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068B" w14:textId="77777777" w:rsidR="00C44F61" w:rsidRPr="004D4C3D" w:rsidRDefault="00C44F61" w:rsidP="0092248E">
      <w:pPr>
        <w:pStyle w:val="ListParagraph"/>
        <w:jc w:val="center"/>
        <w:rPr>
          <w:rFonts w:ascii="Times New Roman" w:hAnsi="Times New Roman" w:cs="Times New Roman"/>
          <w:b/>
          <w:u w:val="single"/>
        </w:rPr>
      </w:pPr>
    </w:p>
    <w:p w14:paraId="2AC55153" w14:textId="77777777" w:rsidR="00C44F61" w:rsidRPr="004D4C3D" w:rsidRDefault="00C44F61" w:rsidP="0092248E">
      <w:pPr>
        <w:pStyle w:val="ListParagraph"/>
        <w:jc w:val="center"/>
        <w:rPr>
          <w:rFonts w:ascii="Times New Roman" w:hAnsi="Times New Roman" w:cs="Times New Roman"/>
          <w:b/>
          <w:u w:val="single"/>
        </w:rPr>
      </w:pPr>
    </w:p>
    <w:p w14:paraId="64EF2013" w14:textId="77777777" w:rsidR="00C44F61" w:rsidRPr="004D4C3D" w:rsidRDefault="00C44F61" w:rsidP="0092248E">
      <w:pPr>
        <w:pStyle w:val="ListParagraph"/>
        <w:jc w:val="center"/>
        <w:rPr>
          <w:rFonts w:ascii="Times New Roman" w:hAnsi="Times New Roman" w:cs="Times New Roman"/>
          <w:b/>
          <w:u w:val="single"/>
        </w:rPr>
      </w:pPr>
    </w:p>
    <w:p w14:paraId="1C44E066" w14:textId="77777777" w:rsidR="00C44F61" w:rsidRPr="004D4C3D" w:rsidRDefault="00C44F61" w:rsidP="0092248E">
      <w:pPr>
        <w:pStyle w:val="ListParagraph"/>
        <w:jc w:val="center"/>
        <w:rPr>
          <w:rFonts w:ascii="Times New Roman" w:hAnsi="Times New Roman" w:cs="Times New Roman"/>
          <w:b/>
          <w:u w:val="single"/>
        </w:rPr>
      </w:pPr>
    </w:p>
    <w:p w14:paraId="4A499AFF" w14:textId="77777777" w:rsidR="00C44F61" w:rsidRPr="004D4C3D" w:rsidRDefault="00C44F61" w:rsidP="0092248E">
      <w:pPr>
        <w:pStyle w:val="ListParagraph"/>
        <w:jc w:val="center"/>
        <w:rPr>
          <w:rFonts w:ascii="Times New Roman" w:hAnsi="Times New Roman" w:cs="Times New Roman"/>
          <w:b/>
          <w:u w:val="single"/>
        </w:rPr>
      </w:pPr>
    </w:p>
    <w:p w14:paraId="21A1B2D5" w14:textId="77777777" w:rsidR="00C44F61" w:rsidRPr="004D4C3D" w:rsidRDefault="00C44F61" w:rsidP="0092248E">
      <w:pPr>
        <w:pStyle w:val="ListParagraph"/>
        <w:jc w:val="center"/>
        <w:rPr>
          <w:rFonts w:ascii="Times New Roman" w:hAnsi="Times New Roman" w:cs="Times New Roman"/>
          <w:b/>
          <w:u w:val="single"/>
        </w:rPr>
      </w:pPr>
    </w:p>
    <w:p w14:paraId="41CF3A40" w14:textId="77777777" w:rsidR="00287FD9" w:rsidRDefault="00287FD9" w:rsidP="0092248E">
      <w:pPr>
        <w:pStyle w:val="ListParagraph"/>
        <w:jc w:val="center"/>
        <w:rPr>
          <w:rFonts w:ascii="Times New Roman" w:hAnsi="Times New Roman" w:cs="Times New Roman"/>
          <w:b/>
          <w:sz w:val="28"/>
          <w:u w:val="single"/>
        </w:rPr>
      </w:pPr>
    </w:p>
    <w:p w14:paraId="0C6DD5B3" w14:textId="77777777" w:rsidR="00E60D12" w:rsidRDefault="00E60D12" w:rsidP="00E472CD">
      <w:pPr>
        <w:pStyle w:val="ListParagraph"/>
        <w:ind w:left="0"/>
        <w:jc w:val="center"/>
        <w:rPr>
          <w:rFonts w:ascii="Times New Roman" w:hAnsi="Times New Roman" w:cs="Times New Roman"/>
          <w:b/>
          <w:sz w:val="28"/>
          <w:u w:val="single"/>
        </w:rPr>
      </w:pPr>
    </w:p>
    <w:p w14:paraId="3ACFA2F6" w14:textId="1B9A6051" w:rsidR="002A0F28" w:rsidRPr="004D4C3D" w:rsidRDefault="00704619" w:rsidP="00E472CD">
      <w:pPr>
        <w:pStyle w:val="ListParagraph"/>
        <w:ind w:left="0"/>
        <w:jc w:val="center"/>
        <w:rPr>
          <w:rFonts w:ascii="Times New Roman" w:hAnsi="Times New Roman" w:cs="Times New Roman"/>
          <w:b/>
          <w:sz w:val="28"/>
          <w:u w:val="single"/>
        </w:rPr>
      </w:pPr>
      <w:r w:rsidRPr="004D4C3D">
        <w:rPr>
          <w:rFonts w:ascii="Times New Roman" w:hAnsi="Times New Roman" w:cs="Times New Roman"/>
          <w:b/>
          <w:sz w:val="28"/>
          <w:u w:val="single"/>
        </w:rPr>
        <w:t xml:space="preserve">Basis Planning </w:t>
      </w:r>
      <w:proofErr w:type="gramStart"/>
      <w:r w:rsidRPr="004D4C3D">
        <w:rPr>
          <w:rFonts w:ascii="Times New Roman" w:hAnsi="Times New Roman" w:cs="Times New Roman"/>
          <w:b/>
          <w:sz w:val="28"/>
          <w:u w:val="single"/>
        </w:rPr>
        <w:t>in Light of</w:t>
      </w:r>
      <w:proofErr w:type="gramEnd"/>
      <w:r w:rsidRPr="004D4C3D">
        <w:rPr>
          <w:rFonts w:ascii="Times New Roman" w:hAnsi="Times New Roman" w:cs="Times New Roman"/>
          <w:b/>
          <w:sz w:val="28"/>
          <w:u w:val="single"/>
        </w:rPr>
        <w:t xml:space="preserve"> the Tax Cuts and Jobs Act</w:t>
      </w:r>
    </w:p>
    <w:p w14:paraId="169C7828" w14:textId="3264E357" w:rsidR="00C44F61" w:rsidRPr="004D4C3D" w:rsidRDefault="00594C9A" w:rsidP="00E472CD">
      <w:pPr>
        <w:pStyle w:val="ListParagraph"/>
        <w:ind w:left="0"/>
        <w:jc w:val="center"/>
        <w:rPr>
          <w:rFonts w:ascii="Times New Roman" w:hAnsi="Times New Roman" w:cs="Times New Roman"/>
        </w:rPr>
      </w:pPr>
      <w:r>
        <w:rPr>
          <w:rFonts w:ascii="Times New Roman" w:hAnsi="Times New Roman" w:cs="Times New Roman"/>
        </w:rPr>
        <w:t>S. Gray Edmondson</w:t>
      </w:r>
      <w:r w:rsidR="003A5C74">
        <w:rPr>
          <w:rFonts w:ascii="Times New Roman" w:hAnsi="Times New Roman" w:cs="Times New Roman"/>
        </w:rPr>
        <w:t>, J.D., LL.M., CPA</w:t>
      </w:r>
    </w:p>
    <w:p w14:paraId="320F22CA" w14:textId="7B5DC338" w:rsidR="00AD15D4" w:rsidRPr="004D4C3D" w:rsidRDefault="00AD15D4" w:rsidP="00E472CD">
      <w:pPr>
        <w:pStyle w:val="ListParagraph"/>
        <w:ind w:left="0"/>
        <w:jc w:val="center"/>
        <w:rPr>
          <w:rFonts w:ascii="Times New Roman" w:hAnsi="Times New Roman" w:cs="Times New Roman"/>
        </w:rPr>
      </w:pPr>
      <w:r w:rsidRPr="004D4C3D">
        <w:rPr>
          <w:rFonts w:ascii="Times New Roman" w:hAnsi="Times New Roman" w:cs="Times New Roman"/>
        </w:rPr>
        <w:t xml:space="preserve">Edmondson Sage </w:t>
      </w:r>
      <w:r w:rsidR="003A5C74">
        <w:rPr>
          <w:rFonts w:ascii="Times New Roman" w:hAnsi="Times New Roman" w:cs="Times New Roman"/>
        </w:rPr>
        <w:t>Allen</w:t>
      </w:r>
      <w:r w:rsidRPr="004D4C3D">
        <w:rPr>
          <w:rFonts w:ascii="Times New Roman" w:hAnsi="Times New Roman" w:cs="Times New Roman"/>
        </w:rPr>
        <w:t>, PLLC</w:t>
      </w:r>
    </w:p>
    <w:p w14:paraId="2FFBD9F9" w14:textId="4D06EF0C" w:rsidR="00AD15D4" w:rsidRPr="004D4C3D" w:rsidRDefault="00B07024" w:rsidP="00E472CD">
      <w:pPr>
        <w:pStyle w:val="ListParagraph"/>
        <w:ind w:left="0"/>
        <w:jc w:val="center"/>
        <w:rPr>
          <w:rFonts w:ascii="Times New Roman" w:hAnsi="Times New Roman" w:cs="Times New Roman"/>
        </w:rPr>
      </w:pPr>
      <w:r>
        <w:rPr>
          <w:rFonts w:ascii="Times New Roman" w:hAnsi="Times New Roman" w:cs="Times New Roman"/>
        </w:rPr>
        <w:t>402 Enterprise Drive</w:t>
      </w:r>
    </w:p>
    <w:p w14:paraId="27FE1F90" w14:textId="77777777" w:rsidR="00AD15D4" w:rsidRPr="004D4C3D" w:rsidRDefault="00AD15D4" w:rsidP="00E472CD">
      <w:pPr>
        <w:pStyle w:val="ListParagraph"/>
        <w:ind w:left="0"/>
        <w:jc w:val="center"/>
        <w:rPr>
          <w:rFonts w:ascii="Times New Roman" w:hAnsi="Times New Roman" w:cs="Times New Roman"/>
        </w:rPr>
      </w:pPr>
      <w:r w:rsidRPr="004D4C3D">
        <w:rPr>
          <w:rFonts w:ascii="Times New Roman" w:hAnsi="Times New Roman" w:cs="Times New Roman"/>
        </w:rPr>
        <w:t>Oxford, Mississippi 38655</w:t>
      </w:r>
    </w:p>
    <w:p w14:paraId="305569CF" w14:textId="29F57161" w:rsidR="00AD15D4" w:rsidRPr="004D4C3D" w:rsidRDefault="00AD15D4" w:rsidP="00E472CD">
      <w:pPr>
        <w:pStyle w:val="ListParagraph"/>
        <w:ind w:left="0"/>
        <w:jc w:val="center"/>
        <w:rPr>
          <w:rFonts w:ascii="Times New Roman" w:hAnsi="Times New Roman" w:cs="Times New Roman"/>
        </w:rPr>
        <w:sectPr w:rsidR="00AD15D4" w:rsidRPr="004D4C3D" w:rsidSect="00A32ECB">
          <w:headerReference w:type="default" r:id="rId8"/>
          <w:footerReference w:type="default" r:id="rId9"/>
          <w:pgSz w:w="12240" w:h="15840"/>
          <w:pgMar w:top="1440" w:right="1440" w:bottom="1440" w:left="1440" w:header="720" w:footer="540" w:gutter="0"/>
          <w:pgNumType w:fmt="numberInDash" w:start="1"/>
          <w:cols w:space="720"/>
          <w:titlePg/>
          <w:docGrid w:linePitch="360"/>
        </w:sectPr>
      </w:pPr>
      <w:r w:rsidRPr="004D4C3D">
        <w:rPr>
          <w:rFonts w:ascii="Times New Roman" w:hAnsi="Times New Roman" w:cs="Times New Roman"/>
        </w:rPr>
        <w:t>(662) 371-4110</w:t>
      </w:r>
    </w:p>
    <w:p w14:paraId="474D3429" w14:textId="1532C81C" w:rsidR="004D4C3D" w:rsidRDefault="004D4C3D" w:rsidP="006B20E7">
      <w:pPr>
        <w:pStyle w:val="TOC1"/>
      </w:pPr>
      <w:r w:rsidRPr="006B20E7">
        <w:lastRenderedPageBreak/>
        <w:t>Table of Contents</w:t>
      </w:r>
      <w:r w:rsidR="00D80B45">
        <w:br/>
      </w:r>
    </w:p>
    <w:p w14:paraId="46C69468" w14:textId="767D7695" w:rsidR="004D4C3D" w:rsidRPr="004D4C3D" w:rsidRDefault="004D4C3D" w:rsidP="006B20E7">
      <w:pPr>
        <w:pStyle w:val="TOC1"/>
        <w:rPr>
          <w:rFonts w:eastAsiaTheme="minorEastAsia"/>
          <w:noProof/>
          <w:szCs w:val="22"/>
        </w:rPr>
      </w:pPr>
      <w:r w:rsidRPr="004D4C3D">
        <w:fldChar w:fldCharType="begin"/>
      </w:r>
      <w:r w:rsidRPr="004D4C3D">
        <w:instrText xml:space="preserve"> TOC \o "2-3" \t "Heading 1,1" </w:instrText>
      </w:r>
      <w:r w:rsidRPr="004D4C3D">
        <w:fldChar w:fldCharType="separate"/>
      </w:r>
      <w:r w:rsidRPr="004D4C3D">
        <w:rPr>
          <w:noProof/>
        </w:rPr>
        <w:t>1.</w:t>
      </w:r>
      <w:r w:rsidRPr="004D4C3D">
        <w:rPr>
          <w:rFonts w:eastAsiaTheme="minorEastAsia"/>
          <w:noProof/>
          <w:szCs w:val="22"/>
        </w:rPr>
        <w:tab/>
      </w:r>
      <w:r w:rsidRPr="004D4C3D">
        <w:rPr>
          <w:noProof/>
        </w:rPr>
        <w:t>Introduction</w:t>
      </w:r>
      <w:r w:rsidRPr="004D4C3D">
        <w:rPr>
          <w:noProof/>
        </w:rPr>
        <w:tab/>
      </w:r>
      <w:r w:rsidRPr="004D4C3D">
        <w:rPr>
          <w:noProof/>
        </w:rPr>
        <w:fldChar w:fldCharType="begin"/>
      </w:r>
      <w:r w:rsidRPr="004D4C3D">
        <w:rPr>
          <w:noProof/>
        </w:rPr>
        <w:instrText xml:space="preserve"> PAGEREF _Toc510811868 \h </w:instrText>
      </w:r>
      <w:r w:rsidRPr="004D4C3D">
        <w:rPr>
          <w:noProof/>
        </w:rPr>
      </w:r>
      <w:r w:rsidRPr="004D4C3D">
        <w:rPr>
          <w:noProof/>
        </w:rPr>
        <w:fldChar w:fldCharType="separate"/>
      </w:r>
      <w:r w:rsidR="000F01BD">
        <w:rPr>
          <w:noProof/>
        </w:rPr>
        <w:t>- 1 -</w:t>
      </w:r>
      <w:r w:rsidRPr="004D4C3D">
        <w:rPr>
          <w:noProof/>
        </w:rPr>
        <w:fldChar w:fldCharType="end"/>
      </w:r>
    </w:p>
    <w:p w14:paraId="4B382156" w14:textId="6903AD3E" w:rsidR="004D4C3D" w:rsidRPr="004D4C3D" w:rsidRDefault="004D4C3D" w:rsidP="00D80B45">
      <w:pPr>
        <w:pStyle w:val="TOC2"/>
        <w:tabs>
          <w:tab w:val="right" w:leader="dot" w:pos="9350"/>
        </w:tabs>
        <w:spacing w:after="120" w:line="240" w:lineRule="auto"/>
        <w:contextualSpacing w:val="0"/>
        <w:rPr>
          <w:rFonts w:ascii="Times New Roman" w:eastAsiaTheme="minorEastAsia" w:hAnsi="Times New Roman" w:cs="Times New Roman"/>
          <w:smallCaps w:val="0"/>
          <w:noProof/>
          <w:sz w:val="22"/>
          <w:szCs w:val="22"/>
        </w:rPr>
      </w:pPr>
      <w:r w:rsidRPr="004D4C3D">
        <w:rPr>
          <w:rFonts w:ascii="Times New Roman" w:hAnsi="Times New Roman" w:cs="Times New Roman"/>
          <w:noProof/>
        </w:rPr>
        <w:t>A. Increase in estate tax exemption.</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_Toc510811869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- 1 -</w:t>
      </w:r>
      <w:r w:rsidRPr="004D4C3D">
        <w:rPr>
          <w:rFonts w:ascii="Times New Roman" w:hAnsi="Times New Roman" w:cs="Times New Roman"/>
          <w:noProof/>
        </w:rPr>
        <w:fldChar w:fldCharType="end"/>
      </w:r>
    </w:p>
    <w:p w14:paraId="4363CBFD" w14:textId="7D389AFE" w:rsidR="004D4C3D" w:rsidRPr="004D4C3D" w:rsidRDefault="004D4C3D" w:rsidP="00D80B45">
      <w:pPr>
        <w:pStyle w:val="TOC2"/>
        <w:tabs>
          <w:tab w:val="right" w:leader="dot" w:pos="9350"/>
        </w:tabs>
        <w:spacing w:after="120" w:line="240" w:lineRule="auto"/>
        <w:contextualSpacing w:val="0"/>
        <w:rPr>
          <w:rFonts w:ascii="Times New Roman" w:eastAsiaTheme="minorEastAsia" w:hAnsi="Times New Roman" w:cs="Times New Roman"/>
          <w:smallCaps w:val="0"/>
          <w:noProof/>
          <w:sz w:val="22"/>
          <w:szCs w:val="22"/>
        </w:rPr>
      </w:pPr>
      <w:r w:rsidRPr="004D4C3D">
        <w:rPr>
          <w:rFonts w:ascii="Times New Roman" w:hAnsi="Times New Roman" w:cs="Times New Roman"/>
          <w:noProof/>
        </w:rPr>
        <w:t>B. Increase in capital gains rates.</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_Toc510811870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- 2 -</w:t>
      </w:r>
      <w:r w:rsidRPr="004D4C3D">
        <w:rPr>
          <w:rFonts w:ascii="Times New Roman" w:hAnsi="Times New Roman" w:cs="Times New Roman"/>
          <w:noProof/>
        </w:rPr>
        <w:fldChar w:fldCharType="end"/>
      </w:r>
    </w:p>
    <w:p w14:paraId="66958A64" w14:textId="0FADD0D6" w:rsidR="004D4C3D" w:rsidRPr="004D4C3D" w:rsidRDefault="004D4C3D" w:rsidP="00D80B45">
      <w:pPr>
        <w:pStyle w:val="TOC2"/>
        <w:tabs>
          <w:tab w:val="right" w:leader="dot" w:pos="9350"/>
        </w:tabs>
        <w:spacing w:after="120" w:line="240" w:lineRule="auto"/>
        <w:contextualSpacing w:val="0"/>
        <w:rPr>
          <w:rFonts w:ascii="Times New Roman" w:eastAsiaTheme="minorEastAsia" w:hAnsi="Times New Roman" w:cs="Times New Roman"/>
          <w:smallCaps w:val="0"/>
          <w:noProof/>
          <w:sz w:val="22"/>
          <w:szCs w:val="22"/>
        </w:rPr>
      </w:pPr>
      <w:r w:rsidRPr="004D4C3D">
        <w:rPr>
          <w:rFonts w:ascii="Times New Roman" w:hAnsi="Times New Roman" w:cs="Times New Roman"/>
          <w:noProof/>
        </w:rPr>
        <w:t>C. Net Investment Income Tax (NIIT).</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_Toc510811871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- 2 -</w:t>
      </w:r>
      <w:r w:rsidRPr="004D4C3D">
        <w:rPr>
          <w:rFonts w:ascii="Times New Roman" w:hAnsi="Times New Roman" w:cs="Times New Roman"/>
          <w:noProof/>
        </w:rPr>
        <w:fldChar w:fldCharType="end"/>
      </w:r>
    </w:p>
    <w:p w14:paraId="11EB043C" w14:textId="714E9AA2" w:rsidR="004D4C3D" w:rsidRPr="004D4C3D" w:rsidRDefault="004D4C3D" w:rsidP="00D80B45">
      <w:pPr>
        <w:pStyle w:val="TOC2"/>
        <w:tabs>
          <w:tab w:val="right" w:leader="dot" w:pos="9350"/>
        </w:tabs>
        <w:spacing w:after="120" w:line="240" w:lineRule="auto"/>
        <w:contextualSpacing w:val="0"/>
        <w:rPr>
          <w:rFonts w:ascii="Times New Roman" w:eastAsiaTheme="minorEastAsia" w:hAnsi="Times New Roman" w:cs="Times New Roman"/>
          <w:smallCaps w:val="0"/>
          <w:noProof/>
          <w:sz w:val="22"/>
          <w:szCs w:val="22"/>
        </w:rPr>
      </w:pPr>
      <w:r w:rsidRPr="004D4C3D">
        <w:rPr>
          <w:rFonts w:ascii="Times New Roman" w:hAnsi="Times New Roman" w:cs="Times New Roman"/>
          <w:noProof/>
        </w:rPr>
        <w:t>D. Effect of Higher Rates (i.e. recapture).</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_Toc510811872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- 3 -</w:t>
      </w:r>
      <w:r w:rsidRPr="004D4C3D">
        <w:rPr>
          <w:rFonts w:ascii="Times New Roman" w:hAnsi="Times New Roman" w:cs="Times New Roman"/>
          <w:noProof/>
        </w:rPr>
        <w:fldChar w:fldCharType="end"/>
      </w:r>
    </w:p>
    <w:p w14:paraId="000E267A" w14:textId="6486E017" w:rsidR="004D4C3D" w:rsidRPr="004D4C3D" w:rsidRDefault="004D4C3D" w:rsidP="00D80B45">
      <w:pPr>
        <w:pStyle w:val="TOC2"/>
        <w:tabs>
          <w:tab w:val="right" w:leader="dot" w:pos="9350"/>
        </w:tabs>
        <w:spacing w:after="120" w:line="240" w:lineRule="auto"/>
        <w:contextualSpacing w:val="0"/>
        <w:rPr>
          <w:rFonts w:ascii="Times New Roman" w:eastAsiaTheme="minorEastAsia" w:hAnsi="Times New Roman" w:cs="Times New Roman"/>
          <w:smallCaps w:val="0"/>
          <w:noProof/>
          <w:sz w:val="22"/>
          <w:szCs w:val="22"/>
        </w:rPr>
      </w:pPr>
      <w:r w:rsidRPr="004D4C3D">
        <w:rPr>
          <w:rFonts w:ascii="Times New Roman" w:hAnsi="Times New Roman" w:cs="Times New Roman"/>
          <w:noProof/>
        </w:rPr>
        <w:t>E. State Tax Rates</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_Toc510811873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- 3 -</w:t>
      </w:r>
      <w:r w:rsidRPr="004D4C3D">
        <w:rPr>
          <w:rFonts w:ascii="Times New Roman" w:hAnsi="Times New Roman" w:cs="Times New Roman"/>
          <w:noProof/>
        </w:rPr>
        <w:fldChar w:fldCharType="end"/>
      </w:r>
    </w:p>
    <w:p w14:paraId="39E6BE08" w14:textId="7EC6F23A" w:rsidR="004D4C3D" w:rsidRPr="004D4C3D" w:rsidRDefault="004D4C3D" w:rsidP="00D80B45">
      <w:pPr>
        <w:pStyle w:val="TOC2"/>
        <w:tabs>
          <w:tab w:val="right" w:leader="dot" w:pos="9350"/>
        </w:tabs>
        <w:spacing w:after="120" w:line="240" w:lineRule="auto"/>
        <w:contextualSpacing w:val="0"/>
        <w:rPr>
          <w:rFonts w:ascii="Times New Roman" w:eastAsiaTheme="minorEastAsia" w:hAnsi="Times New Roman" w:cs="Times New Roman"/>
          <w:smallCaps w:val="0"/>
          <w:noProof/>
          <w:sz w:val="22"/>
          <w:szCs w:val="22"/>
        </w:rPr>
      </w:pPr>
      <w:r w:rsidRPr="004D4C3D">
        <w:rPr>
          <w:rFonts w:ascii="Times New Roman" w:hAnsi="Times New Roman" w:cs="Times New Roman"/>
          <w:noProof/>
        </w:rPr>
        <w:t>F. Accepting loss of step-up for getting assets outside a taxable estate not always good.</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_Toc510811874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- 3 -</w:t>
      </w:r>
      <w:r w:rsidRPr="004D4C3D">
        <w:rPr>
          <w:rFonts w:ascii="Times New Roman" w:hAnsi="Times New Roman" w:cs="Times New Roman"/>
          <w:noProof/>
        </w:rPr>
        <w:fldChar w:fldCharType="end"/>
      </w:r>
    </w:p>
    <w:p w14:paraId="64151D16" w14:textId="217EB0CD" w:rsidR="004D4C3D" w:rsidRPr="004D4C3D" w:rsidRDefault="004D4C3D" w:rsidP="006B20E7">
      <w:pPr>
        <w:pStyle w:val="TOC1"/>
        <w:rPr>
          <w:rFonts w:eastAsiaTheme="minorEastAsia"/>
          <w:noProof/>
          <w:szCs w:val="22"/>
        </w:rPr>
      </w:pPr>
      <w:r w:rsidRPr="004D4C3D">
        <w:rPr>
          <w:noProof/>
        </w:rPr>
        <w:t>2.</w:t>
      </w:r>
      <w:r w:rsidRPr="004D4C3D">
        <w:rPr>
          <w:rFonts w:eastAsiaTheme="minorEastAsia"/>
          <w:noProof/>
          <w:szCs w:val="22"/>
        </w:rPr>
        <w:tab/>
      </w:r>
      <w:r w:rsidRPr="004D4C3D">
        <w:rPr>
          <w:noProof/>
        </w:rPr>
        <w:t>Basis Planning for Assets Currently Held</w:t>
      </w:r>
      <w:r w:rsidRPr="004D4C3D">
        <w:rPr>
          <w:noProof/>
        </w:rPr>
        <w:tab/>
      </w:r>
      <w:r w:rsidRPr="004D4C3D">
        <w:rPr>
          <w:noProof/>
        </w:rPr>
        <w:fldChar w:fldCharType="begin"/>
      </w:r>
      <w:r w:rsidRPr="004D4C3D">
        <w:rPr>
          <w:noProof/>
        </w:rPr>
        <w:instrText xml:space="preserve"> PAGEREF _Toc510811875 \h </w:instrText>
      </w:r>
      <w:r w:rsidRPr="004D4C3D">
        <w:rPr>
          <w:noProof/>
        </w:rPr>
      </w:r>
      <w:r w:rsidRPr="004D4C3D">
        <w:rPr>
          <w:noProof/>
        </w:rPr>
        <w:fldChar w:fldCharType="separate"/>
      </w:r>
      <w:r w:rsidR="000F01BD">
        <w:rPr>
          <w:noProof/>
        </w:rPr>
        <w:t>- 5 -</w:t>
      </w:r>
      <w:r w:rsidRPr="004D4C3D">
        <w:rPr>
          <w:noProof/>
        </w:rPr>
        <w:fldChar w:fldCharType="end"/>
      </w:r>
    </w:p>
    <w:p w14:paraId="1909B6DA" w14:textId="13ED40AA" w:rsidR="004D4C3D" w:rsidRPr="004D4C3D" w:rsidRDefault="004D4C3D" w:rsidP="00D80B45">
      <w:pPr>
        <w:pStyle w:val="TOC2"/>
        <w:tabs>
          <w:tab w:val="right" w:leader="dot" w:pos="9350"/>
        </w:tabs>
        <w:spacing w:after="120" w:line="240" w:lineRule="auto"/>
        <w:contextualSpacing w:val="0"/>
        <w:rPr>
          <w:rFonts w:ascii="Times New Roman" w:eastAsiaTheme="minorEastAsia" w:hAnsi="Times New Roman" w:cs="Times New Roman"/>
          <w:smallCaps w:val="0"/>
          <w:noProof/>
          <w:sz w:val="22"/>
          <w:szCs w:val="22"/>
        </w:rPr>
      </w:pPr>
      <w:r w:rsidRPr="004D4C3D">
        <w:rPr>
          <w:rFonts w:ascii="Times New Roman" w:hAnsi="Times New Roman" w:cs="Times New Roman"/>
          <w:noProof/>
        </w:rPr>
        <w:t>A. Upstream GRATs and UpSPATs</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_Toc510811876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- 5 -</w:t>
      </w:r>
      <w:r w:rsidRPr="004D4C3D">
        <w:rPr>
          <w:rFonts w:ascii="Times New Roman" w:hAnsi="Times New Roman" w:cs="Times New Roman"/>
          <w:noProof/>
        </w:rPr>
        <w:fldChar w:fldCharType="end"/>
      </w:r>
    </w:p>
    <w:p w14:paraId="24B88537" w14:textId="2F5D51A7" w:rsidR="004D4C3D" w:rsidRPr="004D4C3D" w:rsidRDefault="004D4C3D" w:rsidP="00D80B45">
      <w:pPr>
        <w:pStyle w:val="TOC2"/>
        <w:tabs>
          <w:tab w:val="right" w:leader="dot" w:pos="9350"/>
        </w:tabs>
        <w:spacing w:after="120" w:line="240" w:lineRule="auto"/>
        <w:contextualSpacing w:val="0"/>
        <w:rPr>
          <w:rFonts w:ascii="Times New Roman" w:eastAsiaTheme="minorEastAsia" w:hAnsi="Times New Roman" w:cs="Times New Roman"/>
          <w:smallCaps w:val="0"/>
          <w:noProof/>
          <w:sz w:val="22"/>
          <w:szCs w:val="22"/>
        </w:rPr>
      </w:pPr>
      <w:r w:rsidRPr="004D4C3D">
        <w:rPr>
          <w:rFonts w:ascii="Times New Roman" w:hAnsi="Times New Roman" w:cs="Times New Roman"/>
          <w:noProof/>
        </w:rPr>
        <w:t>B. Upstream Crummey Optimal Basis Increase Trust</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_Toc510811877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- 6 -</w:t>
      </w:r>
      <w:r w:rsidRPr="004D4C3D">
        <w:rPr>
          <w:rFonts w:ascii="Times New Roman" w:hAnsi="Times New Roman" w:cs="Times New Roman"/>
          <w:noProof/>
        </w:rPr>
        <w:fldChar w:fldCharType="end"/>
      </w:r>
    </w:p>
    <w:p w14:paraId="55DB5569" w14:textId="18FDFF61" w:rsidR="004D4C3D" w:rsidRPr="004D4C3D" w:rsidRDefault="004D4C3D" w:rsidP="00D80B45">
      <w:pPr>
        <w:pStyle w:val="TOC2"/>
        <w:tabs>
          <w:tab w:val="right" w:leader="dot" w:pos="9350"/>
        </w:tabs>
        <w:spacing w:after="120" w:line="240" w:lineRule="auto"/>
        <w:contextualSpacing w:val="0"/>
        <w:rPr>
          <w:rFonts w:ascii="Times New Roman" w:eastAsiaTheme="minorEastAsia" w:hAnsi="Times New Roman" w:cs="Times New Roman"/>
          <w:smallCaps w:val="0"/>
          <w:noProof/>
          <w:sz w:val="22"/>
          <w:szCs w:val="22"/>
        </w:rPr>
      </w:pPr>
      <w:r w:rsidRPr="004D4C3D">
        <w:rPr>
          <w:rFonts w:ascii="Times New Roman" w:hAnsi="Times New Roman" w:cs="Times New Roman"/>
          <w:noProof/>
        </w:rPr>
        <w:t>C. Accidentally Perfect Grantor Trust</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_Toc510811878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- 7 -</w:t>
      </w:r>
      <w:r w:rsidRPr="004D4C3D">
        <w:rPr>
          <w:rFonts w:ascii="Times New Roman" w:hAnsi="Times New Roman" w:cs="Times New Roman"/>
          <w:noProof/>
        </w:rPr>
        <w:fldChar w:fldCharType="end"/>
      </w:r>
    </w:p>
    <w:p w14:paraId="5A689374" w14:textId="65829731" w:rsidR="004D4C3D" w:rsidRPr="004D4C3D" w:rsidRDefault="004D4C3D" w:rsidP="00D80B45">
      <w:pPr>
        <w:pStyle w:val="TOC2"/>
        <w:tabs>
          <w:tab w:val="right" w:leader="dot" w:pos="9350"/>
        </w:tabs>
        <w:spacing w:after="120" w:line="240" w:lineRule="auto"/>
        <w:contextualSpacing w:val="0"/>
        <w:rPr>
          <w:rFonts w:ascii="Times New Roman" w:eastAsiaTheme="minorEastAsia" w:hAnsi="Times New Roman" w:cs="Times New Roman"/>
          <w:smallCaps w:val="0"/>
          <w:noProof/>
          <w:sz w:val="22"/>
          <w:szCs w:val="22"/>
        </w:rPr>
      </w:pPr>
      <w:r w:rsidRPr="004D4C3D">
        <w:rPr>
          <w:rFonts w:ascii="Times New Roman" w:hAnsi="Times New Roman" w:cs="Times New Roman"/>
          <w:noProof/>
        </w:rPr>
        <w:t>D. Upside of debt</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_Toc510811879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- 9 -</w:t>
      </w:r>
      <w:r w:rsidRPr="004D4C3D">
        <w:rPr>
          <w:rFonts w:ascii="Times New Roman" w:hAnsi="Times New Roman" w:cs="Times New Roman"/>
          <w:noProof/>
        </w:rPr>
        <w:fldChar w:fldCharType="end"/>
      </w:r>
    </w:p>
    <w:p w14:paraId="78EDC212" w14:textId="3AE3B1CA" w:rsidR="004D4C3D" w:rsidRPr="004D4C3D" w:rsidRDefault="004D4C3D" w:rsidP="00D80B45">
      <w:pPr>
        <w:pStyle w:val="TOC2"/>
        <w:tabs>
          <w:tab w:val="right" w:leader="dot" w:pos="9350"/>
        </w:tabs>
        <w:spacing w:after="120" w:line="240" w:lineRule="auto"/>
        <w:contextualSpacing w:val="0"/>
        <w:rPr>
          <w:rFonts w:ascii="Times New Roman" w:eastAsiaTheme="minorEastAsia" w:hAnsi="Times New Roman" w:cs="Times New Roman"/>
          <w:smallCaps w:val="0"/>
          <w:noProof/>
          <w:sz w:val="22"/>
          <w:szCs w:val="22"/>
        </w:rPr>
      </w:pPr>
      <w:r w:rsidRPr="004D4C3D">
        <w:rPr>
          <w:rFonts w:ascii="Times New Roman" w:hAnsi="Times New Roman" w:cs="Times New Roman"/>
          <w:noProof/>
        </w:rPr>
        <w:t>E. Planning with partnerships</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_Toc510811880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- 10 -</w:t>
      </w:r>
      <w:r w:rsidRPr="004D4C3D">
        <w:rPr>
          <w:rFonts w:ascii="Times New Roman" w:hAnsi="Times New Roman" w:cs="Times New Roman"/>
          <w:noProof/>
        </w:rPr>
        <w:fldChar w:fldCharType="end"/>
      </w:r>
    </w:p>
    <w:p w14:paraId="543B332F" w14:textId="434B9538" w:rsidR="004D4C3D" w:rsidRPr="004D4C3D" w:rsidRDefault="004D4C3D" w:rsidP="00D80B45">
      <w:pPr>
        <w:pStyle w:val="TOC3"/>
        <w:tabs>
          <w:tab w:val="left" w:pos="960"/>
          <w:tab w:val="right" w:leader="dot" w:pos="9350"/>
        </w:tabs>
        <w:spacing w:after="120" w:line="240" w:lineRule="auto"/>
        <w:contextualSpacing w:val="0"/>
        <w:rPr>
          <w:rFonts w:ascii="Times New Roman" w:eastAsiaTheme="minorEastAsia" w:hAnsi="Times New Roman" w:cs="Times New Roman"/>
          <w:i w:val="0"/>
          <w:iCs w:val="0"/>
          <w:noProof/>
          <w:sz w:val="22"/>
          <w:szCs w:val="22"/>
        </w:rPr>
      </w:pPr>
      <w:r w:rsidRPr="004D4C3D">
        <w:rPr>
          <w:rFonts w:ascii="Times New Roman" w:hAnsi="Times New Roman" w:cs="Times New Roman"/>
          <w:noProof/>
        </w:rPr>
        <w:t>1.</w:t>
      </w:r>
      <w:r w:rsidRPr="004D4C3D">
        <w:rPr>
          <w:rFonts w:ascii="Times New Roman" w:eastAsiaTheme="minorEastAsia" w:hAnsi="Times New Roman" w:cs="Times New Roman"/>
          <w:i w:val="0"/>
          <w:iCs w:val="0"/>
          <w:noProof/>
          <w:sz w:val="22"/>
          <w:szCs w:val="22"/>
        </w:rPr>
        <w:tab/>
      </w:r>
      <w:r w:rsidRPr="004D4C3D">
        <w:rPr>
          <w:rFonts w:ascii="Times New Roman" w:hAnsi="Times New Roman" w:cs="Times New Roman"/>
          <w:noProof/>
        </w:rPr>
        <w:t>Non-Liquidating Distributions</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_Toc510811881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- 11 -</w:t>
      </w:r>
      <w:r w:rsidRPr="004D4C3D">
        <w:rPr>
          <w:rFonts w:ascii="Times New Roman" w:hAnsi="Times New Roman" w:cs="Times New Roman"/>
          <w:noProof/>
        </w:rPr>
        <w:fldChar w:fldCharType="end"/>
      </w:r>
    </w:p>
    <w:p w14:paraId="7E277BA5" w14:textId="6705037F" w:rsidR="004D4C3D" w:rsidRPr="004D4C3D" w:rsidRDefault="004D4C3D" w:rsidP="00D80B45">
      <w:pPr>
        <w:pStyle w:val="TOC3"/>
        <w:tabs>
          <w:tab w:val="left" w:pos="960"/>
          <w:tab w:val="right" w:leader="dot" w:pos="9350"/>
        </w:tabs>
        <w:spacing w:after="120" w:line="240" w:lineRule="auto"/>
        <w:contextualSpacing w:val="0"/>
        <w:rPr>
          <w:rFonts w:ascii="Times New Roman" w:eastAsiaTheme="minorEastAsia" w:hAnsi="Times New Roman" w:cs="Times New Roman"/>
          <w:i w:val="0"/>
          <w:iCs w:val="0"/>
          <w:noProof/>
          <w:sz w:val="22"/>
          <w:szCs w:val="22"/>
        </w:rPr>
      </w:pPr>
      <w:r w:rsidRPr="004D4C3D">
        <w:rPr>
          <w:rFonts w:ascii="Times New Roman" w:hAnsi="Times New Roman" w:cs="Times New Roman"/>
          <w:noProof/>
        </w:rPr>
        <w:t>2.</w:t>
      </w:r>
      <w:r w:rsidRPr="004D4C3D">
        <w:rPr>
          <w:rFonts w:ascii="Times New Roman" w:eastAsiaTheme="minorEastAsia" w:hAnsi="Times New Roman" w:cs="Times New Roman"/>
          <w:i w:val="0"/>
          <w:iCs w:val="0"/>
          <w:noProof/>
          <w:sz w:val="22"/>
          <w:szCs w:val="22"/>
        </w:rPr>
        <w:tab/>
      </w:r>
      <w:r w:rsidRPr="004D4C3D">
        <w:rPr>
          <w:rFonts w:ascii="Times New Roman" w:hAnsi="Times New Roman" w:cs="Times New Roman"/>
          <w:noProof/>
        </w:rPr>
        <w:t>Liquidating Distributions</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_Toc510811882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- 11 -</w:t>
      </w:r>
      <w:r w:rsidRPr="004D4C3D">
        <w:rPr>
          <w:rFonts w:ascii="Times New Roman" w:hAnsi="Times New Roman" w:cs="Times New Roman"/>
          <w:noProof/>
        </w:rPr>
        <w:fldChar w:fldCharType="end"/>
      </w:r>
    </w:p>
    <w:p w14:paraId="4BBF6685" w14:textId="04EBB9A4" w:rsidR="004D4C3D" w:rsidRPr="004D4C3D" w:rsidRDefault="004D4C3D" w:rsidP="00D80B45">
      <w:pPr>
        <w:pStyle w:val="TOC3"/>
        <w:tabs>
          <w:tab w:val="left" w:pos="960"/>
          <w:tab w:val="right" w:leader="dot" w:pos="9350"/>
        </w:tabs>
        <w:spacing w:after="120" w:line="240" w:lineRule="auto"/>
        <w:contextualSpacing w:val="0"/>
        <w:rPr>
          <w:rFonts w:ascii="Times New Roman" w:eastAsiaTheme="minorEastAsia" w:hAnsi="Times New Roman" w:cs="Times New Roman"/>
          <w:i w:val="0"/>
          <w:iCs w:val="0"/>
          <w:noProof/>
          <w:sz w:val="22"/>
          <w:szCs w:val="22"/>
        </w:rPr>
      </w:pPr>
      <w:r w:rsidRPr="004D4C3D">
        <w:rPr>
          <w:rFonts w:ascii="Times New Roman" w:hAnsi="Times New Roman" w:cs="Times New Roman"/>
          <w:noProof/>
        </w:rPr>
        <w:t>3.</w:t>
      </w:r>
      <w:r w:rsidRPr="004D4C3D">
        <w:rPr>
          <w:rFonts w:ascii="Times New Roman" w:eastAsiaTheme="minorEastAsia" w:hAnsi="Times New Roman" w:cs="Times New Roman"/>
          <w:i w:val="0"/>
          <w:iCs w:val="0"/>
          <w:noProof/>
          <w:sz w:val="22"/>
          <w:szCs w:val="22"/>
        </w:rPr>
        <w:tab/>
      </w:r>
      <w:r w:rsidRPr="004D4C3D">
        <w:rPr>
          <w:rFonts w:ascii="Times New Roman" w:hAnsi="Times New Roman" w:cs="Times New Roman"/>
          <w:noProof/>
        </w:rPr>
        <w:t>Section 754 Election</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_Toc510811883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- 11 -</w:t>
      </w:r>
      <w:r w:rsidRPr="004D4C3D">
        <w:rPr>
          <w:rFonts w:ascii="Times New Roman" w:hAnsi="Times New Roman" w:cs="Times New Roman"/>
          <w:noProof/>
        </w:rPr>
        <w:fldChar w:fldCharType="end"/>
      </w:r>
    </w:p>
    <w:p w14:paraId="08CCE6A5" w14:textId="6D7F033A" w:rsidR="004D4C3D" w:rsidRPr="004D4C3D" w:rsidRDefault="004D4C3D" w:rsidP="00D80B45">
      <w:pPr>
        <w:pStyle w:val="TOC3"/>
        <w:tabs>
          <w:tab w:val="left" w:pos="960"/>
          <w:tab w:val="right" w:leader="dot" w:pos="9350"/>
        </w:tabs>
        <w:spacing w:after="120" w:line="240" w:lineRule="auto"/>
        <w:contextualSpacing w:val="0"/>
        <w:rPr>
          <w:rFonts w:ascii="Times New Roman" w:eastAsiaTheme="minorEastAsia" w:hAnsi="Times New Roman" w:cs="Times New Roman"/>
          <w:i w:val="0"/>
          <w:iCs w:val="0"/>
          <w:noProof/>
          <w:sz w:val="22"/>
          <w:szCs w:val="22"/>
        </w:rPr>
      </w:pPr>
      <w:r w:rsidRPr="004D4C3D">
        <w:rPr>
          <w:rFonts w:ascii="Times New Roman" w:hAnsi="Times New Roman" w:cs="Times New Roman"/>
          <w:noProof/>
        </w:rPr>
        <w:t>4.</w:t>
      </w:r>
      <w:r w:rsidRPr="004D4C3D">
        <w:rPr>
          <w:rFonts w:ascii="Times New Roman" w:eastAsiaTheme="minorEastAsia" w:hAnsi="Times New Roman" w:cs="Times New Roman"/>
          <w:i w:val="0"/>
          <w:iCs w:val="0"/>
          <w:noProof/>
          <w:sz w:val="22"/>
          <w:szCs w:val="22"/>
        </w:rPr>
        <w:tab/>
      </w:r>
      <w:r w:rsidRPr="004D4C3D">
        <w:rPr>
          <w:rFonts w:ascii="Times New Roman" w:hAnsi="Times New Roman" w:cs="Times New Roman"/>
          <w:noProof/>
        </w:rPr>
        <w:t>Estate Planning Techniques</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_Toc510811884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- 12 -</w:t>
      </w:r>
      <w:r w:rsidRPr="004D4C3D">
        <w:rPr>
          <w:rFonts w:ascii="Times New Roman" w:hAnsi="Times New Roman" w:cs="Times New Roman"/>
          <w:noProof/>
        </w:rPr>
        <w:fldChar w:fldCharType="end"/>
      </w:r>
    </w:p>
    <w:p w14:paraId="37B8F1C1" w14:textId="23D8E67E" w:rsidR="004D4C3D" w:rsidRPr="004D4C3D" w:rsidRDefault="004D4C3D" w:rsidP="006B20E7">
      <w:pPr>
        <w:pStyle w:val="TOC1"/>
        <w:rPr>
          <w:rFonts w:eastAsiaTheme="minorEastAsia"/>
          <w:noProof/>
          <w:szCs w:val="22"/>
        </w:rPr>
      </w:pPr>
      <w:r w:rsidRPr="004D4C3D">
        <w:rPr>
          <w:noProof/>
        </w:rPr>
        <w:t>3.</w:t>
      </w:r>
      <w:r w:rsidRPr="004D4C3D">
        <w:rPr>
          <w:rFonts w:eastAsiaTheme="minorEastAsia"/>
          <w:noProof/>
          <w:szCs w:val="22"/>
        </w:rPr>
        <w:tab/>
      </w:r>
      <w:r w:rsidRPr="004D4C3D">
        <w:rPr>
          <w:noProof/>
        </w:rPr>
        <w:t>Estate Planning to Maximize Step-Up in Basis Potential</w:t>
      </w:r>
      <w:r w:rsidRPr="004D4C3D">
        <w:rPr>
          <w:noProof/>
        </w:rPr>
        <w:tab/>
      </w:r>
      <w:r w:rsidRPr="004D4C3D">
        <w:rPr>
          <w:noProof/>
        </w:rPr>
        <w:fldChar w:fldCharType="begin"/>
      </w:r>
      <w:r w:rsidRPr="004D4C3D">
        <w:rPr>
          <w:noProof/>
        </w:rPr>
        <w:instrText xml:space="preserve"> PAGEREF _Toc510811885 \h </w:instrText>
      </w:r>
      <w:r w:rsidRPr="004D4C3D">
        <w:rPr>
          <w:noProof/>
        </w:rPr>
      </w:r>
      <w:r w:rsidRPr="004D4C3D">
        <w:rPr>
          <w:noProof/>
        </w:rPr>
        <w:fldChar w:fldCharType="separate"/>
      </w:r>
      <w:r w:rsidR="000F01BD">
        <w:rPr>
          <w:noProof/>
        </w:rPr>
        <w:t>- 12 -</w:t>
      </w:r>
      <w:r w:rsidRPr="004D4C3D">
        <w:rPr>
          <w:noProof/>
        </w:rPr>
        <w:fldChar w:fldCharType="end"/>
      </w:r>
    </w:p>
    <w:p w14:paraId="4D1F3A3A" w14:textId="0B378CD7" w:rsidR="004D4C3D" w:rsidRPr="004D4C3D" w:rsidRDefault="004D4C3D" w:rsidP="00D80B45">
      <w:pPr>
        <w:pStyle w:val="TOC2"/>
        <w:tabs>
          <w:tab w:val="right" w:leader="dot" w:pos="9350"/>
        </w:tabs>
        <w:spacing w:after="120" w:line="240" w:lineRule="auto"/>
        <w:contextualSpacing w:val="0"/>
        <w:rPr>
          <w:rFonts w:ascii="Times New Roman" w:eastAsiaTheme="minorEastAsia" w:hAnsi="Times New Roman" w:cs="Times New Roman"/>
          <w:smallCaps w:val="0"/>
          <w:noProof/>
          <w:sz w:val="22"/>
          <w:szCs w:val="22"/>
        </w:rPr>
      </w:pPr>
      <w:r w:rsidRPr="004D4C3D">
        <w:rPr>
          <w:rFonts w:ascii="Times New Roman" w:hAnsi="Times New Roman" w:cs="Times New Roman"/>
          <w:noProof/>
        </w:rPr>
        <w:t>A. Grant independent trustee the power to make fully discretionary distributions</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_Toc510811886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- 12 -</w:t>
      </w:r>
      <w:r w:rsidRPr="004D4C3D">
        <w:rPr>
          <w:rFonts w:ascii="Times New Roman" w:hAnsi="Times New Roman" w:cs="Times New Roman"/>
          <w:noProof/>
        </w:rPr>
        <w:fldChar w:fldCharType="end"/>
      </w:r>
    </w:p>
    <w:p w14:paraId="420996FD" w14:textId="6D82ABF1" w:rsidR="004D4C3D" w:rsidRPr="004D4C3D" w:rsidRDefault="004D4C3D" w:rsidP="00D80B45">
      <w:pPr>
        <w:pStyle w:val="TOC2"/>
        <w:tabs>
          <w:tab w:val="right" w:leader="dot" w:pos="9350"/>
        </w:tabs>
        <w:spacing w:after="120" w:line="240" w:lineRule="auto"/>
        <w:contextualSpacing w:val="0"/>
        <w:rPr>
          <w:rFonts w:ascii="Times New Roman" w:eastAsiaTheme="minorEastAsia" w:hAnsi="Times New Roman" w:cs="Times New Roman"/>
          <w:smallCaps w:val="0"/>
          <w:noProof/>
          <w:sz w:val="22"/>
          <w:szCs w:val="22"/>
        </w:rPr>
      </w:pPr>
      <w:r w:rsidRPr="004D4C3D">
        <w:rPr>
          <w:rFonts w:ascii="Times New Roman" w:hAnsi="Times New Roman" w:cs="Times New Roman"/>
          <w:noProof/>
        </w:rPr>
        <w:t>B. Give independent third party (or trust protector) power to grant a general power of appointment</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_Toc510811887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- 14 -</w:t>
      </w:r>
      <w:r w:rsidRPr="004D4C3D">
        <w:rPr>
          <w:rFonts w:ascii="Times New Roman" w:hAnsi="Times New Roman" w:cs="Times New Roman"/>
          <w:noProof/>
        </w:rPr>
        <w:fldChar w:fldCharType="end"/>
      </w:r>
    </w:p>
    <w:p w14:paraId="04F25289" w14:textId="4B8EB33E" w:rsidR="004D4C3D" w:rsidRPr="004D4C3D" w:rsidRDefault="004D4C3D" w:rsidP="00D80B45">
      <w:pPr>
        <w:pStyle w:val="TOC2"/>
        <w:tabs>
          <w:tab w:val="right" w:leader="dot" w:pos="9350"/>
        </w:tabs>
        <w:spacing w:after="120" w:line="240" w:lineRule="auto"/>
        <w:contextualSpacing w:val="0"/>
        <w:rPr>
          <w:rFonts w:ascii="Times New Roman" w:eastAsiaTheme="minorEastAsia" w:hAnsi="Times New Roman" w:cs="Times New Roman"/>
          <w:smallCaps w:val="0"/>
          <w:noProof/>
          <w:sz w:val="22"/>
          <w:szCs w:val="22"/>
        </w:rPr>
      </w:pPr>
      <w:r w:rsidRPr="004D4C3D">
        <w:rPr>
          <w:rFonts w:ascii="Times New Roman" w:hAnsi="Times New Roman" w:cs="Times New Roman"/>
          <w:noProof/>
        </w:rPr>
        <w:t>C. Grant formula general powers of appointment</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_Toc510811888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- 14 -</w:t>
      </w:r>
      <w:r w:rsidRPr="004D4C3D">
        <w:rPr>
          <w:rFonts w:ascii="Times New Roman" w:hAnsi="Times New Roman" w:cs="Times New Roman"/>
          <w:noProof/>
        </w:rPr>
        <w:fldChar w:fldCharType="end"/>
      </w:r>
    </w:p>
    <w:p w14:paraId="5F551774" w14:textId="78D15C5F" w:rsidR="004D4C3D" w:rsidRPr="004D4C3D" w:rsidRDefault="004D4C3D" w:rsidP="00D80B45">
      <w:pPr>
        <w:pStyle w:val="TOC2"/>
        <w:tabs>
          <w:tab w:val="right" w:leader="dot" w:pos="9350"/>
        </w:tabs>
        <w:spacing w:after="120" w:line="240" w:lineRule="auto"/>
        <w:contextualSpacing w:val="0"/>
        <w:rPr>
          <w:rFonts w:ascii="Times New Roman" w:eastAsiaTheme="minorEastAsia" w:hAnsi="Times New Roman" w:cs="Times New Roman"/>
          <w:smallCaps w:val="0"/>
          <w:noProof/>
          <w:sz w:val="22"/>
          <w:szCs w:val="22"/>
        </w:rPr>
      </w:pPr>
      <w:r w:rsidRPr="004D4C3D">
        <w:rPr>
          <w:rFonts w:ascii="Times New Roman" w:hAnsi="Times New Roman" w:cs="Times New Roman"/>
          <w:noProof/>
        </w:rPr>
        <w:t>D. Trigger the Delaware Tax Trap</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_Toc510811889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- 16 -</w:t>
      </w:r>
      <w:r w:rsidRPr="004D4C3D">
        <w:rPr>
          <w:rFonts w:ascii="Times New Roman" w:hAnsi="Times New Roman" w:cs="Times New Roman"/>
          <w:noProof/>
        </w:rPr>
        <w:fldChar w:fldCharType="end"/>
      </w:r>
    </w:p>
    <w:p w14:paraId="5E719421" w14:textId="105C24FE" w:rsidR="004D4C3D" w:rsidRPr="004D4C3D" w:rsidRDefault="004D4C3D" w:rsidP="006B20E7">
      <w:pPr>
        <w:pStyle w:val="TOC1"/>
        <w:rPr>
          <w:rFonts w:eastAsiaTheme="minorEastAsia"/>
          <w:noProof/>
          <w:szCs w:val="22"/>
        </w:rPr>
      </w:pPr>
      <w:r w:rsidRPr="004D4C3D">
        <w:rPr>
          <w:noProof/>
        </w:rPr>
        <w:t>4.</w:t>
      </w:r>
      <w:r w:rsidRPr="004D4C3D">
        <w:rPr>
          <w:rFonts w:eastAsiaTheme="minorEastAsia"/>
          <w:noProof/>
          <w:szCs w:val="22"/>
        </w:rPr>
        <w:tab/>
      </w:r>
      <w:r w:rsidRPr="004D4C3D">
        <w:rPr>
          <w:noProof/>
        </w:rPr>
        <w:t>Planning for Assets Currently Held in Trusts</w:t>
      </w:r>
      <w:r w:rsidRPr="004D4C3D">
        <w:rPr>
          <w:noProof/>
        </w:rPr>
        <w:tab/>
      </w:r>
      <w:r w:rsidRPr="004D4C3D">
        <w:rPr>
          <w:noProof/>
        </w:rPr>
        <w:fldChar w:fldCharType="begin"/>
      </w:r>
      <w:r w:rsidRPr="004D4C3D">
        <w:rPr>
          <w:noProof/>
        </w:rPr>
        <w:instrText xml:space="preserve"> PAGEREF _Toc510811890 \h </w:instrText>
      </w:r>
      <w:r w:rsidRPr="004D4C3D">
        <w:rPr>
          <w:noProof/>
        </w:rPr>
      </w:r>
      <w:r w:rsidRPr="004D4C3D">
        <w:rPr>
          <w:noProof/>
        </w:rPr>
        <w:fldChar w:fldCharType="separate"/>
      </w:r>
      <w:r w:rsidR="000F01BD">
        <w:rPr>
          <w:noProof/>
        </w:rPr>
        <w:t>- 17 -</w:t>
      </w:r>
      <w:r w:rsidRPr="004D4C3D">
        <w:rPr>
          <w:noProof/>
        </w:rPr>
        <w:fldChar w:fldCharType="end"/>
      </w:r>
    </w:p>
    <w:p w14:paraId="464CB1C5" w14:textId="40985100" w:rsidR="004D4C3D" w:rsidRPr="004D4C3D" w:rsidRDefault="004D4C3D" w:rsidP="00D80B45">
      <w:pPr>
        <w:pStyle w:val="TOC2"/>
        <w:tabs>
          <w:tab w:val="right" w:leader="dot" w:pos="9350"/>
        </w:tabs>
        <w:spacing w:after="120" w:line="240" w:lineRule="auto"/>
        <w:contextualSpacing w:val="0"/>
        <w:rPr>
          <w:rFonts w:ascii="Times New Roman" w:eastAsiaTheme="minorEastAsia" w:hAnsi="Times New Roman" w:cs="Times New Roman"/>
          <w:smallCaps w:val="0"/>
          <w:noProof/>
          <w:sz w:val="22"/>
          <w:szCs w:val="22"/>
        </w:rPr>
      </w:pPr>
      <w:r w:rsidRPr="004D4C3D">
        <w:rPr>
          <w:rFonts w:ascii="Times New Roman" w:hAnsi="Times New Roman" w:cs="Times New Roman"/>
          <w:noProof/>
        </w:rPr>
        <w:t>A. Decant or modify (UTC Article 4) to a trust with terms which will allow basis step-up</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_Toc510811891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- 17 -</w:t>
      </w:r>
      <w:r w:rsidRPr="004D4C3D">
        <w:rPr>
          <w:rFonts w:ascii="Times New Roman" w:hAnsi="Times New Roman" w:cs="Times New Roman"/>
          <w:noProof/>
        </w:rPr>
        <w:fldChar w:fldCharType="end"/>
      </w:r>
    </w:p>
    <w:p w14:paraId="074CAF1B" w14:textId="7055E494" w:rsidR="004D4C3D" w:rsidRPr="004D4C3D" w:rsidRDefault="004D4C3D" w:rsidP="00D80B45">
      <w:pPr>
        <w:pStyle w:val="TOC3"/>
        <w:tabs>
          <w:tab w:val="left" w:pos="960"/>
          <w:tab w:val="right" w:leader="dot" w:pos="9350"/>
        </w:tabs>
        <w:spacing w:after="120" w:line="240" w:lineRule="auto"/>
        <w:contextualSpacing w:val="0"/>
        <w:rPr>
          <w:rFonts w:ascii="Times New Roman" w:eastAsiaTheme="minorEastAsia" w:hAnsi="Times New Roman" w:cs="Times New Roman"/>
          <w:i w:val="0"/>
          <w:iCs w:val="0"/>
          <w:noProof/>
          <w:sz w:val="22"/>
          <w:szCs w:val="22"/>
        </w:rPr>
      </w:pPr>
      <w:r w:rsidRPr="004D4C3D">
        <w:rPr>
          <w:rFonts w:ascii="Times New Roman" w:hAnsi="Times New Roman" w:cs="Times New Roman"/>
          <w:noProof/>
        </w:rPr>
        <w:t>1.</w:t>
      </w:r>
      <w:r w:rsidRPr="004D4C3D">
        <w:rPr>
          <w:rFonts w:ascii="Times New Roman" w:eastAsiaTheme="minorEastAsia" w:hAnsi="Times New Roman" w:cs="Times New Roman"/>
          <w:i w:val="0"/>
          <w:iCs w:val="0"/>
          <w:noProof/>
          <w:sz w:val="22"/>
          <w:szCs w:val="22"/>
        </w:rPr>
        <w:tab/>
      </w:r>
      <w:r w:rsidRPr="004D4C3D">
        <w:rPr>
          <w:rFonts w:ascii="Times New Roman" w:hAnsi="Times New Roman" w:cs="Times New Roman"/>
          <w:noProof/>
        </w:rPr>
        <w:t>Tax Consequences of Decanting</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_Toc510811892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- 18 -</w:t>
      </w:r>
      <w:r w:rsidRPr="004D4C3D">
        <w:rPr>
          <w:rFonts w:ascii="Times New Roman" w:hAnsi="Times New Roman" w:cs="Times New Roman"/>
          <w:noProof/>
        </w:rPr>
        <w:fldChar w:fldCharType="end"/>
      </w:r>
    </w:p>
    <w:p w14:paraId="23E65ECD" w14:textId="664091E0" w:rsidR="004D4C3D" w:rsidRPr="004D4C3D" w:rsidRDefault="004D4C3D" w:rsidP="00D80B45">
      <w:pPr>
        <w:pStyle w:val="TOC3"/>
        <w:tabs>
          <w:tab w:val="left" w:pos="960"/>
          <w:tab w:val="right" w:leader="dot" w:pos="9350"/>
        </w:tabs>
        <w:spacing w:after="120" w:line="240" w:lineRule="auto"/>
        <w:contextualSpacing w:val="0"/>
        <w:rPr>
          <w:rFonts w:ascii="Times New Roman" w:eastAsiaTheme="minorEastAsia" w:hAnsi="Times New Roman" w:cs="Times New Roman"/>
          <w:i w:val="0"/>
          <w:iCs w:val="0"/>
          <w:noProof/>
          <w:sz w:val="22"/>
          <w:szCs w:val="22"/>
        </w:rPr>
      </w:pPr>
      <w:r w:rsidRPr="004D4C3D">
        <w:rPr>
          <w:rFonts w:ascii="Times New Roman" w:hAnsi="Times New Roman" w:cs="Times New Roman"/>
          <w:noProof/>
        </w:rPr>
        <w:t>2.</w:t>
      </w:r>
      <w:r w:rsidRPr="004D4C3D">
        <w:rPr>
          <w:rFonts w:ascii="Times New Roman" w:eastAsiaTheme="minorEastAsia" w:hAnsi="Times New Roman" w:cs="Times New Roman"/>
          <w:i w:val="0"/>
          <w:iCs w:val="0"/>
          <w:noProof/>
          <w:sz w:val="22"/>
          <w:szCs w:val="22"/>
        </w:rPr>
        <w:tab/>
      </w:r>
      <w:r w:rsidRPr="004D4C3D">
        <w:rPr>
          <w:rFonts w:ascii="Times New Roman" w:hAnsi="Times New Roman" w:cs="Times New Roman"/>
          <w:noProof/>
        </w:rPr>
        <w:t>Tax Consequences of Modification</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_Toc510811893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- 20 -</w:t>
      </w:r>
      <w:r w:rsidRPr="004D4C3D">
        <w:rPr>
          <w:rFonts w:ascii="Times New Roman" w:hAnsi="Times New Roman" w:cs="Times New Roman"/>
          <w:noProof/>
        </w:rPr>
        <w:fldChar w:fldCharType="end"/>
      </w:r>
    </w:p>
    <w:p w14:paraId="57CF9698" w14:textId="020E6218" w:rsidR="004D4C3D" w:rsidRPr="004D4C3D" w:rsidRDefault="004D4C3D" w:rsidP="00D80B45">
      <w:pPr>
        <w:pStyle w:val="TOC2"/>
        <w:tabs>
          <w:tab w:val="right" w:leader="dot" w:pos="9350"/>
        </w:tabs>
        <w:spacing w:after="120" w:line="240" w:lineRule="auto"/>
        <w:contextualSpacing w:val="0"/>
        <w:rPr>
          <w:rFonts w:ascii="Times New Roman" w:eastAsiaTheme="minorEastAsia" w:hAnsi="Times New Roman" w:cs="Times New Roman"/>
          <w:smallCaps w:val="0"/>
          <w:noProof/>
          <w:sz w:val="22"/>
          <w:szCs w:val="22"/>
        </w:rPr>
      </w:pPr>
      <w:r w:rsidRPr="004D4C3D">
        <w:rPr>
          <w:rFonts w:ascii="Times New Roman" w:hAnsi="Times New Roman" w:cs="Times New Roman"/>
          <w:noProof/>
        </w:rPr>
        <w:t>B. Exchange low basis trust assets with assets of equivalent value</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_Toc510811894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- 20 -</w:t>
      </w:r>
      <w:r w:rsidRPr="004D4C3D">
        <w:rPr>
          <w:rFonts w:ascii="Times New Roman" w:hAnsi="Times New Roman" w:cs="Times New Roman"/>
          <w:noProof/>
        </w:rPr>
        <w:fldChar w:fldCharType="end"/>
      </w:r>
    </w:p>
    <w:p w14:paraId="51D120EE" w14:textId="370C2566" w:rsidR="004D4C3D" w:rsidRPr="004D4C3D" w:rsidRDefault="004D4C3D" w:rsidP="00D80B45">
      <w:pPr>
        <w:pStyle w:val="TOC2"/>
        <w:tabs>
          <w:tab w:val="right" w:leader="dot" w:pos="9350"/>
        </w:tabs>
        <w:spacing w:after="120" w:line="240" w:lineRule="auto"/>
        <w:contextualSpacing w:val="0"/>
        <w:rPr>
          <w:rFonts w:ascii="Times New Roman" w:eastAsiaTheme="minorEastAsia" w:hAnsi="Times New Roman" w:cs="Times New Roman"/>
          <w:smallCaps w:val="0"/>
          <w:noProof/>
          <w:sz w:val="22"/>
          <w:szCs w:val="22"/>
        </w:rPr>
      </w:pPr>
      <w:r w:rsidRPr="004D4C3D">
        <w:rPr>
          <w:rFonts w:ascii="Times New Roman" w:hAnsi="Times New Roman" w:cs="Times New Roman"/>
          <w:noProof/>
        </w:rPr>
        <w:t>C. Steps to reduce valuation discounts</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_Toc510811895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- 21 -</w:t>
      </w:r>
      <w:r w:rsidRPr="004D4C3D">
        <w:rPr>
          <w:rFonts w:ascii="Times New Roman" w:hAnsi="Times New Roman" w:cs="Times New Roman"/>
          <w:noProof/>
        </w:rPr>
        <w:fldChar w:fldCharType="end"/>
      </w:r>
    </w:p>
    <w:p w14:paraId="5EE930E3" w14:textId="68317932" w:rsidR="004D4C3D" w:rsidRPr="004D4C3D" w:rsidRDefault="004D4C3D" w:rsidP="00D80B45">
      <w:pPr>
        <w:pStyle w:val="TOC2"/>
        <w:tabs>
          <w:tab w:val="right" w:leader="dot" w:pos="9350"/>
        </w:tabs>
        <w:spacing w:after="120" w:line="240" w:lineRule="auto"/>
        <w:contextualSpacing w:val="0"/>
        <w:rPr>
          <w:rFonts w:ascii="Times New Roman" w:eastAsiaTheme="minorEastAsia" w:hAnsi="Times New Roman" w:cs="Times New Roman"/>
          <w:smallCaps w:val="0"/>
          <w:noProof/>
          <w:sz w:val="22"/>
          <w:szCs w:val="22"/>
        </w:rPr>
      </w:pPr>
      <w:r w:rsidRPr="004D4C3D">
        <w:rPr>
          <w:rFonts w:ascii="Times New Roman" w:hAnsi="Times New Roman" w:cs="Times New Roman"/>
          <w:noProof/>
        </w:rPr>
        <w:t xml:space="preserve">D. Trigger 2036 (especially after </w:t>
      </w:r>
      <w:r w:rsidRPr="004D4C3D">
        <w:rPr>
          <w:rFonts w:ascii="Times New Roman" w:hAnsi="Times New Roman" w:cs="Times New Roman"/>
          <w:i/>
          <w:noProof/>
        </w:rPr>
        <w:t>Estate of Powell</w:t>
      </w:r>
      <w:r w:rsidRPr="004D4C3D">
        <w:rPr>
          <w:rFonts w:ascii="Times New Roman" w:hAnsi="Times New Roman" w:cs="Times New Roman"/>
          <w:noProof/>
        </w:rPr>
        <w:t>)</w:t>
      </w:r>
      <w:r w:rsidRPr="004D4C3D">
        <w:rPr>
          <w:rFonts w:ascii="Times New Roman" w:hAnsi="Times New Roman" w:cs="Times New Roman"/>
          <w:noProof/>
        </w:rPr>
        <w:tab/>
      </w:r>
      <w:r w:rsidRPr="004D4C3D">
        <w:rPr>
          <w:rFonts w:ascii="Times New Roman" w:hAnsi="Times New Roman" w:cs="Times New Roman"/>
          <w:noProof/>
        </w:rPr>
        <w:fldChar w:fldCharType="begin"/>
      </w:r>
      <w:r w:rsidRPr="004D4C3D">
        <w:rPr>
          <w:rFonts w:ascii="Times New Roman" w:hAnsi="Times New Roman" w:cs="Times New Roman"/>
          <w:noProof/>
        </w:rPr>
        <w:instrText xml:space="preserve"> PAGEREF _Toc510811896 \h </w:instrText>
      </w:r>
      <w:r w:rsidRPr="004D4C3D">
        <w:rPr>
          <w:rFonts w:ascii="Times New Roman" w:hAnsi="Times New Roman" w:cs="Times New Roman"/>
          <w:noProof/>
        </w:rPr>
      </w:r>
      <w:r w:rsidRPr="004D4C3D">
        <w:rPr>
          <w:rFonts w:ascii="Times New Roman" w:hAnsi="Times New Roman" w:cs="Times New Roman"/>
          <w:noProof/>
        </w:rPr>
        <w:fldChar w:fldCharType="separate"/>
      </w:r>
      <w:r w:rsidR="000F01BD">
        <w:rPr>
          <w:rFonts w:ascii="Times New Roman" w:hAnsi="Times New Roman" w:cs="Times New Roman"/>
          <w:noProof/>
        </w:rPr>
        <w:t>- 21 -</w:t>
      </w:r>
      <w:r w:rsidRPr="004D4C3D">
        <w:rPr>
          <w:rFonts w:ascii="Times New Roman" w:hAnsi="Times New Roman" w:cs="Times New Roman"/>
          <w:noProof/>
        </w:rPr>
        <w:fldChar w:fldCharType="end"/>
      </w:r>
    </w:p>
    <w:p w14:paraId="435948B3" w14:textId="7CF7BACF" w:rsidR="00E71FA2" w:rsidRPr="004D4C3D" w:rsidRDefault="004D4C3D" w:rsidP="00D80B45">
      <w:pPr>
        <w:spacing w:after="120" w:line="240" w:lineRule="auto"/>
        <w:contextualSpacing w:val="0"/>
        <w:rPr>
          <w:rFonts w:ascii="Times New Roman" w:hAnsi="Times New Roman" w:cs="Times New Roman"/>
        </w:rPr>
      </w:pPr>
      <w:r w:rsidRPr="004D4C3D">
        <w:rPr>
          <w:rFonts w:ascii="Times New Roman" w:hAnsi="Times New Roman" w:cs="Times New Roman"/>
          <w:b/>
          <w:caps/>
          <w:sz w:val="20"/>
          <w:szCs w:val="20"/>
        </w:rPr>
        <w:fldChar w:fldCharType="end"/>
      </w:r>
    </w:p>
    <w:p w14:paraId="1DFD1BB9" w14:textId="77777777" w:rsidR="00C44F61" w:rsidRPr="004D4C3D" w:rsidRDefault="00C44F61" w:rsidP="004D4C3D">
      <w:pPr>
        <w:pStyle w:val="ListBullet"/>
        <w:sectPr w:rsidR="00C44F61" w:rsidRPr="004D4C3D" w:rsidSect="00E71FA2">
          <w:pgSz w:w="12240" w:h="15840"/>
          <w:pgMar w:top="1440" w:right="1440" w:bottom="1440" w:left="1440" w:header="720" w:footer="720" w:gutter="0"/>
          <w:pgNumType w:fmt="lowerRoman" w:start="1"/>
          <w:cols w:space="720"/>
          <w:titlePg/>
          <w:docGrid w:linePitch="360"/>
        </w:sectPr>
      </w:pPr>
    </w:p>
    <w:p w14:paraId="276BB08C" w14:textId="3ADF278D" w:rsidR="00704619" w:rsidRPr="004D4C3D" w:rsidRDefault="00704619" w:rsidP="004D4C3D">
      <w:pPr>
        <w:pStyle w:val="Heading1"/>
      </w:pPr>
      <w:bookmarkStart w:id="0" w:name="_Toc510811719"/>
      <w:bookmarkStart w:id="1" w:name="_Toc510811754"/>
      <w:bookmarkStart w:id="2" w:name="_Toc510811868"/>
      <w:r w:rsidRPr="004D4C3D">
        <w:lastRenderedPageBreak/>
        <w:t>Introduction</w:t>
      </w:r>
      <w:bookmarkEnd w:id="0"/>
      <w:bookmarkEnd w:id="1"/>
      <w:bookmarkEnd w:id="2"/>
    </w:p>
    <w:p w14:paraId="0D7B7CB5" w14:textId="77777777" w:rsidR="005D4DF1" w:rsidRPr="004D4C3D" w:rsidRDefault="00704619" w:rsidP="004D4C3D">
      <w:pPr>
        <w:pStyle w:val="Heading2"/>
      </w:pPr>
      <w:bookmarkStart w:id="3" w:name="_Toc510811720"/>
      <w:bookmarkStart w:id="4" w:name="_Toc510811755"/>
      <w:bookmarkStart w:id="5" w:name="_Toc510811869"/>
      <w:r w:rsidRPr="004D4C3D">
        <w:t>Increase in estate tax exemption.</w:t>
      </w:r>
      <w:bookmarkEnd w:id="3"/>
      <w:bookmarkEnd w:id="4"/>
      <w:bookmarkEnd w:id="5"/>
      <w:r w:rsidRPr="004D4C3D">
        <w:t xml:space="preserve"> </w:t>
      </w:r>
    </w:p>
    <w:p w14:paraId="2D44FF39" w14:textId="14D9650E" w:rsidR="00704619" w:rsidRPr="004D4C3D" w:rsidRDefault="00CF0362" w:rsidP="002A0F28">
      <w:pPr>
        <w:rPr>
          <w:rFonts w:ascii="Times New Roman" w:hAnsi="Times New Roman" w:cs="Times New Roman"/>
        </w:rPr>
      </w:pPr>
      <w:r w:rsidRPr="004D4C3D">
        <w:rPr>
          <w:rFonts w:ascii="Times New Roman" w:hAnsi="Times New Roman" w:cs="Times New Roman"/>
        </w:rPr>
        <w:tab/>
      </w:r>
      <w:r w:rsidR="0068364B" w:rsidRPr="004D4C3D">
        <w:rPr>
          <w:rFonts w:ascii="Times New Roman" w:hAnsi="Times New Roman" w:cs="Times New Roman"/>
        </w:rPr>
        <w:t>The</w:t>
      </w:r>
      <w:r w:rsidR="00043B73" w:rsidRPr="004D4C3D">
        <w:rPr>
          <w:rFonts w:ascii="Times New Roman" w:hAnsi="Times New Roman" w:cs="Times New Roman"/>
        </w:rPr>
        <w:t xml:space="preserve"> unified credit has increased from $5.49 million in 2017 to</w:t>
      </w:r>
      <w:r w:rsidR="0068364B" w:rsidRPr="004D4C3D">
        <w:rPr>
          <w:rFonts w:ascii="Times New Roman" w:hAnsi="Times New Roman" w:cs="Times New Roman"/>
        </w:rPr>
        <w:t xml:space="preserve"> </w:t>
      </w:r>
      <w:r w:rsidR="00704619" w:rsidRPr="004D4C3D">
        <w:rPr>
          <w:rFonts w:ascii="Times New Roman" w:hAnsi="Times New Roman" w:cs="Times New Roman"/>
        </w:rPr>
        <w:t>$</w:t>
      </w:r>
      <w:r w:rsidR="003A5C74">
        <w:rPr>
          <w:rFonts w:ascii="Times New Roman" w:hAnsi="Times New Roman" w:cs="Times New Roman"/>
        </w:rPr>
        <w:t>12.</w:t>
      </w:r>
      <w:r w:rsidR="00B52A0F">
        <w:rPr>
          <w:rFonts w:ascii="Times New Roman" w:hAnsi="Times New Roman" w:cs="Times New Roman"/>
        </w:rPr>
        <w:t>92</w:t>
      </w:r>
      <w:r w:rsidR="00704619" w:rsidRPr="004D4C3D">
        <w:rPr>
          <w:rFonts w:ascii="Times New Roman" w:hAnsi="Times New Roman" w:cs="Times New Roman"/>
        </w:rPr>
        <w:t xml:space="preserve"> million </w:t>
      </w:r>
      <w:r w:rsidR="00043B73" w:rsidRPr="004D4C3D">
        <w:rPr>
          <w:rFonts w:ascii="Times New Roman" w:hAnsi="Times New Roman" w:cs="Times New Roman"/>
        </w:rPr>
        <w:t>in 2</w:t>
      </w:r>
      <w:r w:rsidR="003A5C74">
        <w:rPr>
          <w:rFonts w:ascii="Times New Roman" w:hAnsi="Times New Roman" w:cs="Times New Roman"/>
        </w:rPr>
        <w:t>02</w:t>
      </w:r>
      <w:r w:rsidR="00B52A0F">
        <w:rPr>
          <w:rFonts w:ascii="Times New Roman" w:hAnsi="Times New Roman" w:cs="Times New Roman"/>
        </w:rPr>
        <w:t>3</w:t>
      </w:r>
      <w:r w:rsidR="00043B73" w:rsidRPr="004D4C3D">
        <w:rPr>
          <w:rFonts w:ascii="Times New Roman" w:hAnsi="Times New Roman" w:cs="Times New Roman"/>
        </w:rPr>
        <w:t xml:space="preserve"> </w:t>
      </w:r>
      <w:r w:rsidR="00704619" w:rsidRPr="004D4C3D">
        <w:rPr>
          <w:rFonts w:ascii="Times New Roman" w:hAnsi="Times New Roman" w:cs="Times New Roman"/>
        </w:rPr>
        <w:t>for individuals</w:t>
      </w:r>
      <w:r w:rsidR="00043B73" w:rsidRPr="004D4C3D">
        <w:rPr>
          <w:rFonts w:ascii="Times New Roman" w:hAnsi="Times New Roman" w:cs="Times New Roman"/>
        </w:rPr>
        <w:t xml:space="preserve"> and from $10.98 million to $</w:t>
      </w:r>
      <w:r w:rsidR="00B52A0F">
        <w:rPr>
          <w:rFonts w:ascii="Times New Roman" w:hAnsi="Times New Roman" w:cs="Times New Roman"/>
        </w:rPr>
        <w:t>25.84</w:t>
      </w:r>
      <w:r w:rsidR="00043B73" w:rsidRPr="004D4C3D">
        <w:rPr>
          <w:rFonts w:ascii="Times New Roman" w:hAnsi="Times New Roman" w:cs="Times New Roman"/>
        </w:rPr>
        <w:t xml:space="preserve"> million for couples</w:t>
      </w:r>
      <w:r w:rsidR="00704619" w:rsidRPr="004D4C3D">
        <w:rPr>
          <w:rFonts w:ascii="Times New Roman" w:hAnsi="Times New Roman" w:cs="Times New Roman"/>
        </w:rPr>
        <w:t>.</w:t>
      </w:r>
      <w:r w:rsidR="00704619" w:rsidRPr="004D4C3D">
        <w:rPr>
          <w:rStyle w:val="FootnoteReference"/>
          <w:rFonts w:ascii="Times New Roman" w:hAnsi="Times New Roman" w:cs="Times New Roman"/>
        </w:rPr>
        <w:footnoteReference w:id="1"/>
      </w:r>
      <w:r w:rsidR="005D4DF1" w:rsidRPr="004D4C3D">
        <w:rPr>
          <w:rFonts w:ascii="Times New Roman" w:hAnsi="Times New Roman" w:cs="Times New Roman"/>
        </w:rPr>
        <w:t xml:space="preserve"> </w:t>
      </w:r>
      <w:r w:rsidR="00704619" w:rsidRPr="004D4C3D">
        <w:rPr>
          <w:rFonts w:ascii="Times New Roman" w:hAnsi="Times New Roman" w:cs="Times New Roman"/>
        </w:rPr>
        <w:t>In 2026, exemption amounts will revert to pre-Jobs Act levels, adjusted for inflation.</w:t>
      </w:r>
      <w:r w:rsidR="00704619" w:rsidRPr="004D4C3D">
        <w:rPr>
          <w:rStyle w:val="FootnoteReference"/>
          <w:rFonts w:ascii="Times New Roman" w:hAnsi="Times New Roman" w:cs="Times New Roman"/>
        </w:rPr>
        <w:footnoteReference w:id="2"/>
      </w:r>
      <w:r w:rsidR="00043B73" w:rsidRPr="004D4C3D">
        <w:rPr>
          <w:rFonts w:ascii="Times New Roman" w:hAnsi="Times New Roman" w:cs="Times New Roman"/>
        </w:rPr>
        <w:t xml:space="preserve"> This represents a unique opportunity for estate planning. Only gifts made before January 1, </w:t>
      </w:r>
      <w:proofErr w:type="gramStart"/>
      <w:r w:rsidR="00043B73" w:rsidRPr="004D4C3D">
        <w:rPr>
          <w:rFonts w:ascii="Times New Roman" w:hAnsi="Times New Roman" w:cs="Times New Roman"/>
        </w:rPr>
        <w:t>2026</w:t>
      </w:r>
      <w:proofErr w:type="gramEnd"/>
      <w:r w:rsidR="00043B73" w:rsidRPr="004D4C3D">
        <w:rPr>
          <w:rFonts w:ascii="Times New Roman" w:hAnsi="Times New Roman" w:cs="Times New Roman"/>
        </w:rPr>
        <w:softHyphen/>
      </w:r>
      <w:r w:rsidR="00043B73" w:rsidRPr="004D4C3D">
        <w:rPr>
          <w:rFonts w:ascii="Times New Roman" w:hAnsi="Times New Roman" w:cs="Times New Roman"/>
        </w:rPr>
        <w:softHyphen/>
      </w:r>
      <w:r w:rsidR="00043B73" w:rsidRPr="004D4C3D">
        <w:rPr>
          <w:rFonts w:ascii="Times New Roman" w:hAnsi="Times New Roman" w:cs="Times New Roman"/>
        </w:rPr>
        <w:softHyphen/>
        <w:t>—or estate returns for a decedent who has died before January 1, 2026—will be able to utilize this additional exemption.</w:t>
      </w:r>
    </w:p>
    <w:p w14:paraId="139998DC" w14:textId="7F8A53FB" w:rsidR="006549E9" w:rsidRPr="004D4C3D" w:rsidRDefault="006549E9" w:rsidP="002A0F28">
      <w:pPr>
        <w:rPr>
          <w:rFonts w:ascii="Times New Roman" w:hAnsi="Times New Roman" w:cs="Times New Roman"/>
        </w:rPr>
      </w:pPr>
      <w:r w:rsidRPr="004D4C3D">
        <w:rPr>
          <w:rFonts w:ascii="Times New Roman" w:hAnsi="Times New Roman" w:cs="Times New Roman"/>
        </w:rPr>
        <w:tab/>
        <w:t xml:space="preserve">Tax planning between now and </w:t>
      </w:r>
      <w:r w:rsidR="00AC0B76" w:rsidRPr="004D4C3D">
        <w:rPr>
          <w:rFonts w:ascii="Times New Roman" w:hAnsi="Times New Roman" w:cs="Times New Roman"/>
        </w:rPr>
        <w:t xml:space="preserve">2026 must consider the possibility of the </w:t>
      </w:r>
      <w:r w:rsidR="00824EF8" w:rsidRPr="004D4C3D">
        <w:rPr>
          <w:rFonts w:ascii="Times New Roman" w:hAnsi="Times New Roman" w:cs="Times New Roman"/>
        </w:rPr>
        <w:t>previous</w:t>
      </w:r>
      <w:r w:rsidR="00AC0B76" w:rsidRPr="004D4C3D">
        <w:rPr>
          <w:rFonts w:ascii="Times New Roman" w:hAnsi="Times New Roman" w:cs="Times New Roman"/>
        </w:rPr>
        <w:t xml:space="preserve"> estate tax exemption returning</w:t>
      </w:r>
      <w:r w:rsidR="00824EF8" w:rsidRPr="004D4C3D">
        <w:rPr>
          <w:rFonts w:ascii="Times New Roman" w:hAnsi="Times New Roman" w:cs="Times New Roman"/>
        </w:rPr>
        <w:t xml:space="preserve"> (adjusted for inflation)</w:t>
      </w:r>
      <w:r w:rsidR="00AC0B76" w:rsidRPr="004D4C3D">
        <w:rPr>
          <w:rFonts w:ascii="Times New Roman" w:hAnsi="Times New Roman" w:cs="Times New Roman"/>
        </w:rPr>
        <w:t xml:space="preserve">. Flexibility in the estate plan will be more important for some clients than in previous years. Many clients may be forced to consider how to plan if the exemption goes down, risking a loss of step-up in cost basis by engaging in traditional estate planning.  Many clients who already have engaged in traditional estate planning (sales to IDGT’s, credit shelter trusts, etc.) are risking loss of step up in cost basis and no resulting estate tax savings.  Also, with the large exemption, even </w:t>
      </w:r>
      <w:r w:rsidR="002706F8" w:rsidRPr="004D4C3D">
        <w:rPr>
          <w:rFonts w:ascii="Times New Roman" w:hAnsi="Times New Roman" w:cs="Times New Roman"/>
        </w:rPr>
        <w:t xml:space="preserve">many </w:t>
      </w:r>
      <w:r w:rsidR="00AC0B76" w:rsidRPr="004D4C3D">
        <w:rPr>
          <w:rFonts w:ascii="Times New Roman" w:hAnsi="Times New Roman" w:cs="Times New Roman"/>
        </w:rPr>
        <w:t xml:space="preserve">taxable estates may have only a minimal effective estate tax rate which may be below what the effective tax rate </w:t>
      </w:r>
      <w:r w:rsidR="002706F8" w:rsidRPr="004D4C3D">
        <w:rPr>
          <w:rFonts w:ascii="Times New Roman" w:hAnsi="Times New Roman" w:cs="Times New Roman"/>
        </w:rPr>
        <w:t>following a sale of the estate’s assets</w:t>
      </w:r>
      <w:r w:rsidR="00AC0B76" w:rsidRPr="004D4C3D">
        <w:rPr>
          <w:rFonts w:ascii="Times New Roman" w:hAnsi="Times New Roman" w:cs="Times New Roman"/>
        </w:rPr>
        <w:t>.</w:t>
      </w:r>
    </w:p>
    <w:p w14:paraId="78C4CE33" w14:textId="2408D623" w:rsidR="002706F8" w:rsidRPr="004D4C3D" w:rsidRDefault="002706F8" w:rsidP="002A0F28">
      <w:pPr>
        <w:rPr>
          <w:rFonts w:ascii="Times New Roman" w:hAnsi="Times New Roman" w:cs="Times New Roman"/>
        </w:rPr>
      </w:pPr>
      <w:r w:rsidRPr="004D4C3D">
        <w:rPr>
          <w:rFonts w:ascii="Times New Roman" w:hAnsi="Times New Roman" w:cs="Times New Roman"/>
        </w:rPr>
        <w:tab/>
        <w:t>Many planners have discussed married couple clients falling into three basic net worth categories: (1) those below one exemption amount; (2) those between one and two exemption amounts; and (3) those above two exemption amounts.  For those above two exemption amounts (currently approx. $</w:t>
      </w:r>
      <w:r w:rsidR="00B52A0F">
        <w:rPr>
          <w:rFonts w:ascii="Times New Roman" w:hAnsi="Times New Roman" w:cs="Times New Roman"/>
        </w:rPr>
        <w:t>25.84</w:t>
      </w:r>
      <w:r w:rsidR="003A5C74">
        <w:rPr>
          <w:rFonts w:ascii="Times New Roman" w:hAnsi="Times New Roman" w:cs="Times New Roman"/>
        </w:rPr>
        <w:t>M</w:t>
      </w:r>
      <w:r w:rsidRPr="004D4C3D">
        <w:rPr>
          <w:rFonts w:ascii="Times New Roman" w:hAnsi="Times New Roman" w:cs="Times New Roman"/>
        </w:rPr>
        <w:t xml:space="preserve">), it is clear that estate </w:t>
      </w:r>
      <w:proofErr w:type="gramStart"/>
      <w:r w:rsidRPr="004D4C3D">
        <w:rPr>
          <w:rFonts w:ascii="Times New Roman" w:hAnsi="Times New Roman" w:cs="Times New Roman"/>
        </w:rPr>
        <w:t>tax based</w:t>
      </w:r>
      <w:proofErr w:type="gramEnd"/>
      <w:r w:rsidRPr="004D4C3D">
        <w:rPr>
          <w:rFonts w:ascii="Times New Roman" w:hAnsi="Times New Roman" w:cs="Times New Roman"/>
        </w:rPr>
        <w:t xml:space="preserve"> planning is necessary.  Couples with an expected joint net worth below one exemption, it may not be a terribly difficult decision to </w:t>
      </w:r>
      <w:r w:rsidRPr="004D4C3D">
        <w:rPr>
          <w:rFonts w:ascii="Times New Roman" w:hAnsi="Times New Roman" w:cs="Times New Roman"/>
        </w:rPr>
        <w:lastRenderedPageBreak/>
        <w:t xml:space="preserve">delay estate tax planning until we have a clearer knowledge of where tax laws will head. For those couples between one and two exemption amounts, the issue becomes more difficult.  If exemptions stay high, the clients may be risking a lost in step-up in cost basis by engaging in estate </w:t>
      </w:r>
      <w:proofErr w:type="gramStart"/>
      <w:r w:rsidRPr="004D4C3D">
        <w:rPr>
          <w:rFonts w:ascii="Times New Roman" w:hAnsi="Times New Roman" w:cs="Times New Roman"/>
        </w:rPr>
        <w:t>tax based</w:t>
      </w:r>
      <w:proofErr w:type="gramEnd"/>
      <w:r w:rsidRPr="004D4C3D">
        <w:rPr>
          <w:rFonts w:ascii="Times New Roman" w:hAnsi="Times New Roman" w:cs="Times New Roman"/>
        </w:rPr>
        <w:t xml:space="preserve"> planning.  However, if exemptions return to previous levels, such estate </w:t>
      </w:r>
      <w:proofErr w:type="gramStart"/>
      <w:r w:rsidRPr="004D4C3D">
        <w:rPr>
          <w:rFonts w:ascii="Times New Roman" w:hAnsi="Times New Roman" w:cs="Times New Roman"/>
        </w:rPr>
        <w:t>tax based</w:t>
      </w:r>
      <w:proofErr w:type="gramEnd"/>
      <w:r w:rsidRPr="004D4C3D">
        <w:rPr>
          <w:rFonts w:ascii="Times New Roman" w:hAnsi="Times New Roman" w:cs="Times New Roman"/>
        </w:rPr>
        <w:t xml:space="preserve"> planning may be important.  For these clients, building flexibility in the estate plan becomes very important to maximize the ability of obtaining estate tax planning benefits, without the loss of a step up in cost basis to the extent that planning is not necessary.</w:t>
      </w:r>
    </w:p>
    <w:p w14:paraId="4B000838" w14:textId="77EA677F" w:rsidR="00704619" w:rsidRPr="004D4C3D" w:rsidRDefault="00704619" w:rsidP="004D4C3D">
      <w:pPr>
        <w:pStyle w:val="Heading2"/>
      </w:pPr>
      <w:bookmarkStart w:id="6" w:name="_Toc510811721"/>
      <w:bookmarkStart w:id="7" w:name="_Toc510811756"/>
      <w:bookmarkStart w:id="8" w:name="_Toc510811870"/>
      <w:r w:rsidRPr="004D4C3D">
        <w:t>Increase in capital gains rates.</w:t>
      </w:r>
      <w:bookmarkEnd w:id="6"/>
      <w:bookmarkEnd w:id="7"/>
      <w:bookmarkEnd w:id="8"/>
      <w:r w:rsidRPr="004D4C3D">
        <w:t xml:space="preserve"> </w:t>
      </w:r>
    </w:p>
    <w:p w14:paraId="150ADCEC" w14:textId="540CD256" w:rsidR="00AC0B76" w:rsidRPr="004D4C3D" w:rsidRDefault="00636305" w:rsidP="003A5C74">
      <w:pPr>
        <w:rPr>
          <w:rFonts w:ascii="Times New Roman" w:hAnsi="Times New Roman" w:cs="Times New Roman"/>
        </w:rPr>
      </w:pPr>
      <w:r w:rsidRPr="004D4C3D">
        <w:rPr>
          <w:rFonts w:ascii="Times New Roman" w:hAnsi="Times New Roman" w:cs="Times New Roman"/>
        </w:rPr>
        <w:tab/>
      </w:r>
      <w:r w:rsidR="00AC0B76" w:rsidRPr="004D4C3D">
        <w:rPr>
          <w:rFonts w:ascii="Times New Roman" w:hAnsi="Times New Roman" w:cs="Times New Roman"/>
        </w:rPr>
        <w:t xml:space="preserve">In 2012, the American </w:t>
      </w:r>
      <w:proofErr w:type="gramStart"/>
      <w:r w:rsidR="00AC0B76" w:rsidRPr="004D4C3D">
        <w:rPr>
          <w:rFonts w:ascii="Times New Roman" w:hAnsi="Times New Roman" w:cs="Times New Roman"/>
        </w:rPr>
        <w:t>Tax Payer</w:t>
      </w:r>
      <w:proofErr w:type="gramEnd"/>
      <w:r w:rsidR="00AC0B76" w:rsidRPr="004D4C3D">
        <w:rPr>
          <w:rFonts w:ascii="Times New Roman" w:hAnsi="Times New Roman" w:cs="Times New Roman"/>
        </w:rPr>
        <w:t xml:space="preserve"> Relief Act increased the top capital gains rate from </w:t>
      </w:r>
      <w:r w:rsidR="00FF626C" w:rsidRPr="004D4C3D">
        <w:rPr>
          <w:rFonts w:ascii="Times New Roman" w:hAnsi="Times New Roman" w:cs="Times New Roman"/>
        </w:rPr>
        <w:t>15%</w:t>
      </w:r>
      <w:r w:rsidR="00AC0B76" w:rsidRPr="004D4C3D">
        <w:rPr>
          <w:rFonts w:ascii="Times New Roman" w:hAnsi="Times New Roman" w:cs="Times New Roman"/>
        </w:rPr>
        <w:t xml:space="preserve"> to 20%. </w:t>
      </w:r>
      <w:r w:rsidR="00FF626C" w:rsidRPr="004D4C3D">
        <w:rPr>
          <w:rFonts w:ascii="Times New Roman" w:hAnsi="Times New Roman" w:cs="Times New Roman"/>
        </w:rPr>
        <w:t>The 20% rate applies to taxpayers in the highest income tax bracket, now 37%.</w:t>
      </w:r>
    </w:p>
    <w:p w14:paraId="6DDC1FA4" w14:textId="77777777" w:rsidR="00043B73" w:rsidRPr="004D4C3D" w:rsidRDefault="00704619" w:rsidP="004D4C3D">
      <w:pPr>
        <w:pStyle w:val="Heading2"/>
      </w:pPr>
      <w:bookmarkStart w:id="9" w:name="_Toc510811722"/>
      <w:bookmarkStart w:id="10" w:name="_Toc510811757"/>
      <w:bookmarkStart w:id="11" w:name="_Toc510811871"/>
      <w:r w:rsidRPr="004D4C3D">
        <w:t>Net Investment Income Tax (NIIT)</w:t>
      </w:r>
      <w:r w:rsidR="00043B73" w:rsidRPr="004D4C3D">
        <w:t>.</w:t>
      </w:r>
      <w:bookmarkEnd w:id="9"/>
      <w:bookmarkEnd w:id="10"/>
      <w:bookmarkEnd w:id="11"/>
      <w:r w:rsidRPr="004D4C3D">
        <w:t xml:space="preserve"> </w:t>
      </w:r>
    </w:p>
    <w:p w14:paraId="113DC95D" w14:textId="3670E15F" w:rsidR="002A0F28" w:rsidRPr="004D4C3D" w:rsidRDefault="00CF0362" w:rsidP="002A0F28">
      <w:pPr>
        <w:rPr>
          <w:rFonts w:ascii="Times New Roman" w:hAnsi="Times New Roman" w:cs="Times New Roman"/>
        </w:rPr>
      </w:pPr>
      <w:r w:rsidRPr="004D4C3D">
        <w:rPr>
          <w:rFonts w:ascii="Times New Roman" w:hAnsi="Times New Roman" w:cs="Times New Roman"/>
        </w:rPr>
        <w:tab/>
      </w:r>
      <w:r w:rsidR="00043B73" w:rsidRPr="004D4C3D">
        <w:rPr>
          <w:rFonts w:ascii="Times New Roman" w:hAnsi="Times New Roman" w:cs="Times New Roman"/>
        </w:rPr>
        <w:t>The</w:t>
      </w:r>
      <w:r w:rsidR="00237040" w:rsidRPr="004D4C3D">
        <w:rPr>
          <w:rFonts w:ascii="Times New Roman" w:hAnsi="Times New Roman" w:cs="Times New Roman"/>
        </w:rPr>
        <w:t xml:space="preserve">re remains a </w:t>
      </w:r>
      <w:r w:rsidR="00704619" w:rsidRPr="004D4C3D">
        <w:rPr>
          <w:rFonts w:ascii="Times New Roman" w:hAnsi="Times New Roman" w:cs="Times New Roman"/>
        </w:rPr>
        <w:t>3.8% tax on certain net investment income</w:t>
      </w:r>
      <w:r w:rsidRPr="004D4C3D">
        <w:rPr>
          <w:rFonts w:ascii="Times New Roman" w:hAnsi="Times New Roman" w:cs="Times New Roman"/>
        </w:rPr>
        <w:t xml:space="preserve"> which took effect on January 1, 2013</w:t>
      </w:r>
      <w:r w:rsidR="00704619" w:rsidRPr="004D4C3D">
        <w:rPr>
          <w:rFonts w:ascii="Times New Roman" w:hAnsi="Times New Roman" w:cs="Times New Roman"/>
        </w:rPr>
        <w:t>.</w:t>
      </w:r>
      <w:r w:rsidR="00704619" w:rsidRPr="004D4C3D">
        <w:rPr>
          <w:rStyle w:val="FootnoteReference"/>
          <w:rFonts w:ascii="Times New Roman" w:hAnsi="Times New Roman" w:cs="Times New Roman"/>
        </w:rPr>
        <w:footnoteReference w:id="3"/>
      </w:r>
      <w:r w:rsidR="00043B73" w:rsidRPr="004D4C3D">
        <w:rPr>
          <w:rFonts w:ascii="Times New Roman" w:hAnsi="Times New Roman" w:cs="Times New Roman"/>
        </w:rPr>
        <w:t xml:space="preserve"> </w:t>
      </w:r>
      <w:r w:rsidR="00704619" w:rsidRPr="004D4C3D">
        <w:rPr>
          <w:rFonts w:ascii="Times New Roman" w:hAnsi="Times New Roman" w:cs="Times New Roman"/>
        </w:rPr>
        <w:t xml:space="preserve">Estates and trusts are subject to the NIIT if they have undistributed Net Investment Income and also have adjusted gross income over the dollar amount at which the highest tax bracket for an estate or trust begins for such taxable year under section 1(e) (for tax year </w:t>
      </w:r>
      <w:r w:rsidR="003A5C74">
        <w:rPr>
          <w:rFonts w:ascii="Times New Roman" w:hAnsi="Times New Roman" w:cs="Times New Roman"/>
        </w:rPr>
        <w:t>202</w:t>
      </w:r>
      <w:r w:rsidR="00B52A0F">
        <w:rPr>
          <w:rFonts w:ascii="Times New Roman" w:hAnsi="Times New Roman" w:cs="Times New Roman"/>
        </w:rPr>
        <w:t>3</w:t>
      </w:r>
      <w:r w:rsidR="00704619" w:rsidRPr="004D4C3D">
        <w:rPr>
          <w:rFonts w:ascii="Times New Roman" w:hAnsi="Times New Roman" w:cs="Times New Roman"/>
        </w:rPr>
        <w:t>, this threshold amount is $</w:t>
      </w:r>
      <w:r w:rsidR="003A5C74">
        <w:rPr>
          <w:rFonts w:ascii="Times New Roman" w:hAnsi="Times New Roman" w:cs="Times New Roman"/>
        </w:rPr>
        <w:t>1</w:t>
      </w:r>
      <w:r w:rsidR="00B52A0F">
        <w:rPr>
          <w:rFonts w:ascii="Times New Roman" w:hAnsi="Times New Roman" w:cs="Times New Roman"/>
        </w:rPr>
        <w:t>4</w:t>
      </w:r>
      <w:r w:rsidR="003A5C74">
        <w:rPr>
          <w:rFonts w:ascii="Times New Roman" w:hAnsi="Times New Roman" w:cs="Times New Roman"/>
        </w:rPr>
        <w:t>,450</w:t>
      </w:r>
      <w:r w:rsidR="00704619" w:rsidRPr="004D4C3D">
        <w:rPr>
          <w:rFonts w:ascii="Times New Roman" w:hAnsi="Times New Roman" w:cs="Times New Roman"/>
        </w:rPr>
        <w:t>).</w:t>
      </w:r>
      <w:r w:rsidR="00704619" w:rsidRPr="004D4C3D">
        <w:rPr>
          <w:rStyle w:val="FootnoteReference"/>
          <w:rFonts w:ascii="Times New Roman" w:hAnsi="Times New Roman" w:cs="Times New Roman"/>
        </w:rPr>
        <w:footnoteReference w:id="4"/>
      </w:r>
    </w:p>
    <w:p w14:paraId="41D0D78B" w14:textId="6767A04D" w:rsidR="00BA040E" w:rsidRPr="004D4C3D" w:rsidRDefault="002A0F28" w:rsidP="002A0F28">
      <w:pPr>
        <w:rPr>
          <w:rFonts w:ascii="Times New Roman" w:hAnsi="Times New Roman" w:cs="Times New Roman"/>
        </w:rPr>
      </w:pPr>
      <w:r w:rsidRPr="004D4C3D">
        <w:rPr>
          <w:rFonts w:ascii="Times New Roman" w:hAnsi="Times New Roman" w:cs="Times New Roman"/>
        </w:rPr>
        <w:tab/>
      </w:r>
      <w:r w:rsidR="00704619" w:rsidRPr="004D4C3D">
        <w:rPr>
          <w:rFonts w:ascii="Times New Roman" w:hAnsi="Times New Roman" w:cs="Times New Roman"/>
        </w:rPr>
        <w:t xml:space="preserve">Net Investment Income </w:t>
      </w:r>
      <w:proofErr w:type="gramStart"/>
      <w:r w:rsidR="00704619" w:rsidRPr="004D4C3D">
        <w:rPr>
          <w:rFonts w:ascii="Times New Roman" w:hAnsi="Times New Roman" w:cs="Times New Roman"/>
        </w:rPr>
        <w:t>includes:</w:t>
      </w:r>
      <w:proofErr w:type="gramEnd"/>
      <w:r w:rsidR="00704619" w:rsidRPr="004D4C3D">
        <w:rPr>
          <w:rFonts w:ascii="Times New Roman" w:hAnsi="Times New Roman" w:cs="Times New Roman"/>
        </w:rPr>
        <w:t xml:space="preserve"> interest, dividends, capital gains, rental and royalty income, non-qualified annuities, income from businesses involved in trading of financial instruments or commodities and businesses that are passive activities to the taxpayer (within the meaning of section 469).</w:t>
      </w:r>
      <w:r w:rsidR="00704619" w:rsidRPr="004D4C3D">
        <w:rPr>
          <w:rStyle w:val="FootnoteReference"/>
          <w:rFonts w:ascii="Times New Roman" w:hAnsi="Times New Roman" w:cs="Times New Roman"/>
        </w:rPr>
        <w:footnoteReference w:id="5"/>
      </w:r>
    </w:p>
    <w:p w14:paraId="0010C415" w14:textId="369EB5E9" w:rsidR="00BA040E" w:rsidRPr="004D4C3D" w:rsidRDefault="00704619" w:rsidP="004D4C3D">
      <w:pPr>
        <w:pStyle w:val="Heading2"/>
      </w:pPr>
      <w:bookmarkStart w:id="12" w:name="_Toc510811723"/>
      <w:bookmarkStart w:id="13" w:name="_Toc510811758"/>
      <w:bookmarkStart w:id="14" w:name="_Toc510811872"/>
      <w:r w:rsidRPr="004D4C3D">
        <w:rPr>
          <w:rStyle w:val="Heading2Char"/>
          <w:b/>
        </w:rPr>
        <w:lastRenderedPageBreak/>
        <w:t>Effect of Higher Rates (i.e. recapture)</w:t>
      </w:r>
      <w:r w:rsidR="00BA040E" w:rsidRPr="004D4C3D">
        <w:t>.</w:t>
      </w:r>
      <w:bookmarkEnd w:id="12"/>
      <w:bookmarkEnd w:id="13"/>
      <w:bookmarkEnd w:id="14"/>
    </w:p>
    <w:p w14:paraId="6A0A0627" w14:textId="2B36F020" w:rsidR="00D07D95" w:rsidRPr="004D4C3D" w:rsidRDefault="00F5152E" w:rsidP="002A0F28">
      <w:pPr>
        <w:rPr>
          <w:rFonts w:ascii="Times New Roman" w:hAnsi="Times New Roman" w:cs="Times New Roman"/>
        </w:rPr>
      </w:pPr>
      <w:r w:rsidRPr="004D4C3D">
        <w:rPr>
          <w:rStyle w:val="Heading2Char"/>
        </w:rPr>
        <w:tab/>
      </w:r>
      <w:r w:rsidR="00D211E1" w:rsidRPr="004D4C3D">
        <w:rPr>
          <w:rFonts w:ascii="Times New Roman" w:hAnsi="Times New Roman" w:cs="Times New Roman"/>
        </w:rPr>
        <w:t xml:space="preserve">A step </w:t>
      </w:r>
      <w:r w:rsidR="00D07D95" w:rsidRPr="004D4C3D">
        <w:rPr>
          <w:rFonts w:ascii="Times New Roman" w:hAnsi="Times New Roman" w:cs="Times New Roman"/>
        </w:rPr>
        <w:t xml:space="preserve">up in basis </w:t>
      </w:r>
      <w:r w:rsidR="00E1216D" w:rsidRPr="004D4C3D">
        <w:rPr>
          <w:rFonts w:ascii="Times New Roman" w:hAnsi="Times New Roman" w:cs="Times New Roman"/>
        </w:rPr>
        <w:t>applies to</w:t>
      </w:r>
      <w:r w:rsidR="00D07D95" w:rsidRPr="004D4C3D">
        <w:rPr>
          <w:rFonts w:ascii="Times New Roman" w:hAnsi="Times New Roman" w:cs="Times New Roman"/>
        </w:rPr>
        <w:t xml:space="preserve"> recapture items in addition to capital gain assets</w:t>
      </w:r>
      <w:r w:rsidR="00E1216D" w:rsidRPr="004D4C3D">
        <w:rPr>
          <w:rFonts w:ascii="Times New Roman" w:hAnsi="Times New Roman" w:cs="Times New Roman"/>
        </w:rPr>
        <w:t>.  This</w:t>
      </w:r>
      <w:r w:rsidR="00D07D95" w:rsidRPr="004D4C3D">
        <w:rPr>
          <w:rFonts w:ascii="Times New Roman" w:hAnsi="Times New Roman" w:cs="Times New Roman"/>
        </w:rPr>
        <w:t xml:space="preserve"> can result in significant tax savings. Losing the step up for those assets can be </w:t>
      </w:r>
      <w:r w:rsidR="00E1216D" w:rsidRPr="004D4C3D">
        <w:rPr>
          <w:rFonts w:ascii="Times New Roman" w:hAnsi="Times New Roman" w:cs="Times New Roman"/>
        </w:rPr>
        <w:t xml:space="preserve">even more costly than for capital gains assets </w:t>
      </w:r>
      <w:r w:rsidR="00D07D95" w:rsidRPr="004D4C3D">
        <w:rPr>
          <w:rFonts w:ascii="Times New Roman" w:hAnsi="Times New Roman" w:cs="Times New Roman"/>
        </w:rPr>
        <w:t xml:space="preserve">given the ordinary income tax nature of that gain recognition. </w:t>
      </w:r>
    </w:p>
    <w:p w14:paraId="01B57155" w14:textId="1D9AEA3D" w:rsidR="00F5152E" w:rsidRPr="004D4C3D" w:rsidRDefault="00D07D95" w:rsidP="002A0F28">
      <w:pPr>
        <w:rPr>
          <w:rStyle w:val="Heading2Char"/>
          <w:b w:val="0"/>
        </w:rPr>
      </w:pPr>
      <w:r w:rsidRPr="004D4C3D">
        <w:rPr>
          <w:rFonts w:ascii="Times New Roman" w:hAnsi="Times New Roman" w:cs="Times New Roman"/>
        </w:rPr>
        <w:tab/>
      </w:r>
      <w:r w:rsidR="00D211E1" w:rsidRPr="004D4C3D">
        <w:rPr>
          <w:rFonts w:ascii="Times New Roman" w:hAnsi="Times New Roman" w:cs="Times New Roman"/>
        </w:rPr>
        <w:t>Further, o</w:t>
      </w:r>
      <w:r w:rsidR="00636305" w:rsidRPr="004D4C3D">
        <w:rPr>
          <w:rFonts w:ascii="Times New Roman" w:hAnsi="Times New Roman" w:cs="Times New Roman"/>
        </w:rPr>
        <w:t>rdinary income rates are expected to increase</w:t>
      </w:r>
      <w:r w:rsidR="002A0F28" w:rsidRPr="004D4C3D">
        <w:rPr>
          <w:rFonts w:ascii="Times New Roman" w:hAnsi="Times New Roman" w:cs="Times New Roman"/>
        </w:rPr>
        <w:t xml:space="preserve"> back to pre-Jobs Act level rates in 2026.</w:t>
      </w:r>
      <w:r w:rsidR="00636305" w:rsidRPr="004D4C3D">
        <w:rPr>
          <w:rFonts w:ascii="Times New Roman" w:hAnsi="Times New Roman" w:cs="Times New Roman"/>
        </w:rPr>
        <w:t xml:space="preserve"> </w:t>
      </w:r>
      <w:r w:rsidR="002A0F28" w:rsidRPr="004D4C3D">
        <w:rPr>
          <w:rFonts w:ascii="Times New Roman" w:hAnsi="Times New Roman" w:cs="Times New Roman"/>
        </w:rPr>
        <w:t>Higher ordinary rates mean a higher burden on taxpayers who recapture deductions taken for prior depreciation</w:t>
      </w:r>
      <w:r w:rsidR="00F5152E" w:rsidRPr="004D4C3D">
        <w:rPr>
          <w:rFonts w:ascii="Times New Roman" w:hAnsi="Times New Roman" w:cs="Times New Roman"/>
        </w:rPr>
        <w:t>. Clients using depreciation deductions must b</w:t>
      </w:r>
      <w:r w:rsidR="002A0F28" w:rsidRPr="004D4C3D">
        <w:rPr>
          <w:rFonts w:ascii="Times New Roman" w:hAnsi="Times New Roman" w:cs="Times New Roman"/>
        </w:rPr>
        <w:t>e wary of this expected increase in 2026 and may wish to utilize depreciation or may be willing to accept a lesser recapture tax in anticipation of this increase</w:t>
      </w:r>
      <w:r w:rsidR="002A0F28" w:rsidRPr="004D4C3D">
        <w:rPr>
          <w:rStyle w:val="Heading2Char"/>
          <w:b w:val="0"/>
        </w:rPr>
        <w:t>.</w:t>
      </w:r>
    </w:p>
    <w:p w14:paraId="0871A289" w14:textId="4B90C416" w:rsidR="00D211E1" w:rsidRPr="004D4C3D" w:rsidRDefault="00D211E1" w:rsidP="004D4C3D">
      <w:pPr>
        <w:pStyle w:val="Heading2"/>
        <w:rPr>
          <w:rStyle w:val="Heading2Char"/>
          <w:b/>
        </w:rPr>
      </w:pPr>
      <w:bookmarkStart w:id="15" w:name="_Toc510811724"/>
      <w:bookmarkStart w:id="16" w:name="_Toc510811759"/>
      <w:bookmarkStart w:id="17" w:name="_Toc510811873"/>
      <w:r w:rsidRPr="004D4C3D">
        <w:rPr>
          <w:rStyle w:val="Heading2Char"/>
          <w:b/>
        </w:rPr>
        <w:t>State Tax Rates</w:t>
      </w:r>
      <w:bookmarkEnd w:id="15"/>
      <w:bookmarkEnd w:id="16"/>
      <w:bookmarkEnd w:id="17"/>
    </w:p>
    <w:p w14:paraId="0BBF67D9" w14:textId="43FA459B" w:rsidR="00D211E1" w:rsidRPr="004D4C3D" w:rsidRDefault="00D211E1" w:rsidP="00D211E1">
      <w:pPr>
        <w:rPr>
          <w:rFonts w:ascii="Times New Roman" w:hAnsi="Times New Roman" w:cs="Times New Roman"/>
        </w:rPr>
      </w:pPr>
      <w:r w:rsidRPr="004D4C3D">
        <w:rPr>
          <w:rFonts w:ascii="Times New Roman" w:hAnsi="Times New Roman" w:cs="Times New Roman"/>
        </w:rPr>
        <w:tab/>
        <w:t>State tax</w:t>
      </w:r>
      <w:r w:rsidR="00610AED" w:rsidRPr="004D4C3D">
        <w:rPr>
          <w:rFonts w:ascii="Times New Roman" w:hAnsi="Times New Roman" w:cs="Times New Roman"/>
        </w:rPr>
        <w:t>es for recapture</w:t>
      </w:r>
      <w:r w:rsidRPr="004D4C3D">
        <w:rPr>
          <w:rFonts w:ascii="Times New Roman" w:hAnsi="Times New Roman" w:cs="Times New Roman"/>
        </w:rPr>
        <w:t xml:space="preserve"> will be paid where the beneficiary resides when the asset is sold, not where the decedent was domiciled. Therefore, planning that considers the effect of state income tax is complicated by the need to consider where beneficiaries may end up living and understanding the income tax consequences of those jurisdictions.</w:t>
      </w:r>
    </w:p>
    <w:p w14:paraId="7D1A9ABA" w14:textId="684512AE" w:rsidR="005155DD" w:rsidRPr="004D4C3D" w:rsidRDefault="00D07D95" w:rsidP="002A0F28">
      <w:pPr>
        <w:rPr>
          <w:rFonts w:ascii="Times New Roman" w:hAnsi="Times New Roman" w:cs="Times New Roman"/>
          <w:b/>
        </w:rPr>
      </w:pPr>
      <w:r w:rsidRPr="004D4C3D">
        <w:rPr>
          <w:rFonts w:ascii="Times New Roman" w:hAnsi="Times New Roman" w:cs="Times New Roman"/>
        </w:rPr>
        <w:tab/>
        <w:t xml:space="preserve">Consider </w:t>
      </w:r>
      <w:r w:rsidR="00610AED" w:rsidRPr="004D4C3D">
        <w:rPr>
          <w:rFonts w:ascii="Times New Roman" w:hAnsi="Times New Roman" w:cs="Times New Roman"/>
        </w:rPr>
        <w:t>states such as California, Minnesota, New York, and Oregon where the top marginal income tax rate is as high was 13.3%</w:t>
      </w:r>
      <w:r w:rsidR="007A36CD">
        <w:rPr>
          <w:rFonts w:ascii="Times New Roman" w:hAnsi="Times New Roman" w:cs="Times New Roman"/>
        </w:rPr>
        <w:t xml:space="preserve"> as of 2018.</w:t>
      </w:r>
      <w:r w:rsidR="001D206B" w:rsidRPr="004D4C3D">
        <w:rPr>
          <w:rStyle w:val="FootnoteReference"/>
          <w:rFonts w:ascii="Times New Roman" w:hAnsi="Times New Roman" w:cs="Times New Roman"/>
        </w:rPr>
        <w:footnoteReference w:id="6"/>
      </w:r>
      <w:r w:rsidR="00610AED" w:rsidRPr="004D4C3D">
        <w:rPr>
          <w:rFonts w:ascii="Times New Roman" w:hAnsi="Times New Roman" w:cs="Times New Roman"/>
        </w:rPr>
        <w:t xml:space="preserve"> This levies a significant additional tax burden on assets, increasing the benefit of achieving a step up in basis. States such as Mississippi, Texas, Florida, and Pennsylvania have </w:t>
      </w:r>
      <w:r w:rsidR="008F7DE0" w:rsidRPr="004D4C3D">
        <w:rPr>
          <w:rFonts w:ascii="Times New Roman" w:hAnsi="Times New Roman" w:cs="Times New Roman"/>
        </w:rPr>
        <w:t>lower</w:t>
      </w:r>
      <w:r w:rsidR="00610AED" w:rsidRPr="004D4C3D">
        <w:rPr>
          <w:rFonts w:ascii="Times New Roman" w:hAnsi="Times New Roman" w:cs="Times New Roman"/>
        </w:rPr>
        <w:t xml:space="preserve"> state income tax.</w:t>
      </w:r>
      <w:r w:rsidR="001368A8" w:rsidRPr="004D4C3D">
        <w:rPr>
          <w:rStyle w:val="FootnoteReference"/>
          <w:rFonts w:ascii="Times New Roman" w:hAnsi="Times New Roman" w:cs="Times New Roman"/>
        </w:rPr>
        <w:footnoteReference w:id="7"/>
      </w:r>
      <w:r w:rsidR="00610AED" w:rsidRPr="004D4C3D">
        <w:rPr>
          <w:rFonts w:ascii="Times New Roman" w:hAnsi="Times New Roman" w:cs="Times New Roman"/>
        </w:rPr>
        <w:t xml:space="preserve"> </w:t>
      </w:r>
      <w:r w:rsidR="001D206B" w:rsidRPr="004D4C3D">
        <w:rPr>
          <w:rFonts w:ascii="Times New Roman" w:hAnsi="Times New Roman" w:cs="Times New Roman"/>
        </w:rPr>
        <w:t>Clients residing in these states when assets are sold will be subject to less additional state income tax.</w:t>
      </w:r>
    </w:p>
    <w:p w14:paraId="44A8A957" w14:textId="6507811C" w:rsidR="005155DD" w:rsidRPr="004D4C3D" w:rsidRDefault="00CF0362" w:rsidP="004D4C3D">
      <w:pPr>
        <w:pStyle w:val="Heading2"/>
      </w:pPr>
      <w:bookmarkStart w:id="18" w:name="_Toc510811725"/>
      <w:bookmarkStart w:id="19" w:name="_Toc510811760"/>
      <w:bookmarkStart w:id="20" w:name="_Toc510811874"/>
      <w:r w:rsidRPr="004D4C3D">
        <w:t>A</w:t>
      </w:r>
      <w:r w:rsidR="00704619" w:rsidRPr="004D4C3D">
        <w:t>ccepting loss of step-up for getting assets outside a taxable estate not always good.</w:t>
      </w:r>
      <w:bookmarkEnd w:id="18"/>
      <w:bookmarkEnd w:id="19"/>
      <w:bookmarkEnd w:id="20"/>
    </w:p>
    <w:p w14:paraId="3DBF521A" w14:textId="77777777" w:rsidR="001D206B" w:rsidRPr="004D4C3D" w:rsidRDefault="001D206B" w:rsidP="005155DD">
      <w:pPr>
        <w:rPr>
          <w:rFonts w:ascii="Times New Roman" w:hAnsi="Times New Roman" w:cs="Times New Roman"/>
        </w:rPr>
      </w:pPr>
      <w:r w:rsidRPr="004D4C3D">
        <w:rPr>
          <w:rFonts w:ascii="Times New Roman" w:hAnsi="Times New Roman" w:cs="Times New Roman"/>
        </w:rPr>
        <w:tab/>
      </w:r>
      <w:r w:rsidR="005155DD" w:rsidRPr="004D4C3D">
        <w:rPr>
          <w:rFonts w:ascii="Times New Roman" w:hAnsi="Times New Roman" w:cs="Times New Roman"/>
        </w:rPr>
        <w:t xml:space="preserve">First, if there is no need to create a credit shelter trust for a spouse to </w:t>
      </w:r>
      <w:r w:rsidR="00FB3F67" w:rsidRPr="004D4C3D">
        <w:rPr>
          <w:rFonts w:ascii="Times New Roman" w:hAnsi="Times New Roman" w:cs="Times New Roman"/>
        </w:rPr>
        <w:t xml:space="preserve">avoid estate tax, then </w:t>
      </w:r>
      <w:r w:rsidR="00FB3F67" w:rsidRPr="004D4C3D">
        <w:rPr>
          <w:rFonts w:ascii="Times New Roman" w:hAnsi="Times New Roman" w:cs="Times New Roman"/>
        </w:rPr>
        <w:lastRenderedPageBreak/>
        <w:t xml:space="preserve">there is obviously no reason to lose step up in cost basis.  </w:t>
      </w:r>
      <w:r w:rsidRPr="004D4C3D">
        <w:rPr>
          <w:rFonts w:ascii="Times New Roman" w:hAnsi="Times New Roman" w:cs="Times New Roman"/>
        </w:rPr>
        <w:t>Consider</w:t>
      </w:r>
      <w:r w:rsidR="00FB3F67" w:rsidRPr="004D4C3D">
        <w:rPr>
          <w:rFonts w:ascii="Times New Roman" w:hAnsi="Times New Roman" w:cs="Times New Roman"/>
        </w:rPr>
        <w:t xml:space="preserve"> </w:t>
      </w:r>
      <w:r w:rsidRPr="004D4C3D">
        <w:rPr>
          <w:rFonts w:ascii="Times New Roman" w:hAnsi="Times New Roman" w:cs="Times New Roman"/>
        </w:rPr>
        <w:t>the following examples:</w:t>
      </w:r>
      <w:r w:rsidR="00FB3F67" w:rsidRPr="004D4C3D">
        <w:rPr>
          <w:rFonts w:ascii="Times New Roman" w:hAnsi="Times New Roman" w:cs="Times New Roman"/>
        </w:rPr>
        <w:t xml:space="preserve"> </w:t>
      </w:r>
    </w:p>
    <w:p w14:paraId="53C5CEF8" w14:textId="68B170A4" w:rsidR="00DA3539" w:rsidRPr="004D4C3D" w:rsidRDefault="001368A8" w:rsidP="001368A8">
      <w:pPr>
        <w:ind w:left="720" w:right="720"/>
        <w:rPr>
          <w:rFonts w:ascii="Times New Roman" w:hAnsi="Times New Roman" w:cs="Times New Roman"/>
        </w:rPr>
      </w:pPr>
      <w:r w:rsidRPr="004D4C3D">
        <w:rPr>
          <w:rFonts w:ascii="Times New Roman" w:hAnsi="Times New Roman" w:cs="Times New Roman"/>
          <w:b/>
        </w:rPr>
        <w:t>Ex. 1:</w:t>
      </w:r>
      <w:r w:rsidRPr="004D4C3D">
        <w:rPr>
          <w:rFonts w:ascii="Times New Roman" w:hAnsi="Times New Roman" w:cs="Times New Roman"/>
        </w:rPr>
        <w:t xml:space="preserve"> The</w:t>
      </w:r>
      <w:r w:rsidR="00FB3F67" w:rsidRPr="004D4C3D">
        <w:rPr>
          <w:rFonts w:ascii="Times New Roman" w:hAnsi="Times New Roman" w:cs="Times New Roman"/>
        </w:rPr>
        <w:t xml:space="preserve"> first-to-die holds </w:t>
      </w:r>
      <w:r w:rsidR="001D206B" w:rsidRPr="004D4C3D">
        <w:rPr>
          <w:rFonts w:ascii="Times New Roman" w:hAnsi="Times New Roman" w:cs="Times New Roman"/>
        </w:rPr>
        <w:t>assets worth $1</w:t>
      </w:r>
      <w:r w:rsidR="00AE7BE6" w:rsidRPr="004D4C3D">
        <w:rPr>
          <w:rFonts w:ascii="Times New Roman" w:hAnsi="Times New Roman" w:cs="Times New Roman"/>
        </w:rPr>
        <w:t>1</w:t>
      </w:r>
      <w:r w:rsidR="001D206B" w:rsidRPr="004D4C3D">
        <w:rPr>
          <w:rFonts w:ascii="Times New Roman" w:hAnsi="Times New Roman" w:cs="Times New Roman"/>
        </w:rPr>
        <w:t>M. (below the exemption) but with low basis of $</w:t>
      </w:r>
      <w:r w:rsidR="00AE7BE6" w:rsidRPr="004D4C3D">
        <w:rPr>
          <w:rFonts w:ascii="Times New Roman" w:hAnsi="Times New Roman" w:cs="Times New Roman"/>
        </w:rPr>
        <w:t>1</w:t>
      </w:r>
      <w:r w:rsidR="001D206B" w:rsidRPr="004D4C3D">
        <w:rPr>
          <w:rFonts w:ascii="Times New Roman" w:hAnsi="Times New Roman" w:cs="Times New Roman"/>
        </w:rPr>
        <w:t>M</w:t>
      </w:r>
      <w:r w:rsidRPr="004D4C3D">
        <w:rPr>
          <w:rFonts w:ascii="Times New Roman" w:hAnsi="Times New Roman" w:cs="Times New Roman"/>
        </w:rPr>
        <w:t>. When sold, $2M of the $10M of gain is depreciation recapture</w:t>
      </w:r>
      <w:r w:rsidR="00FB3F67" w:rsidRPr="004D4C3D">
        <w:rPr>
          <w:rFonts w:ascii="Times New Roman" w:hAnsi="Times New Roman" w:cs="Times New Roman"/>
        </w:rPr>
        <w:t xml:space="preserve">. </w:t>
      </w:r>
      <w:r w:rsidR="001D206B" w:rsidRPr="004D4C3D">
        <w:rPr>
          <w:rFonts w:ascii="Times New Roman" w:hAnsi="Times New Roman" w:cs="Times New Roman"/>
        </w:rPr>
        <w:t>If</w:t>
      </w:r>
      <w:r w:rsidR="00FB3F67" w:rsidRPr="004D4C3D">
        <w:rPr>
          <w:rFonts w:ascii="Times New Roman" w:hAnsi="Times New Roman" w:cs="Times New Roman"/>
        </w:rPr>
        <w:t xml:space="preserve"> he/she die</w:t>
      </w:r>
      <w:r w:rsidR="001D206B" w:rsidRPr="004D4C3D">
        <w:rPr>
          <w:rFonts w:ascii="Times New Roman" w:hAnsi="Times New Roman" w:cs="Times New Roman"/>
        </w:rPr>
        <w:t>s</w:t>
      </w:r>
      <w:r w:rsidR="00FB3F67" w:rsidRPr="004D4C3D">
        <w:rPr>
          <w:rFonts w:ascii="Times New Roman" w:hAnsi="Times New Roman" w:cs="Times New Roman"/>
        </w:rPr>
        <w:t xml:space="preserve"> in Mississippi</w:t>
      </w:r>
      <w:r w:rsidR="001D206B" w:rsidRPr="004D4C3D">
        <w:rPr>
          <w:rFonts w:ascii="Times New Roman" w:hAnsi="Times New Roman" w:cs="Times New Roman"/>
        </w:rPr>
        <w:t>,</w:t>
      </w:r>
      <w:r w:rsidR="00FB3F67" w:rsidRPr="004D4C3D">
        <w:rPr>
          <w:rFonts w:ascii="Times New Roman" w:hAnsi="Times New Roman" w:cs="Times New Roman"/>
        </w:rPr>
        <w:t xml:space="preserve"> </w:t>
      </w:r>
      <w:r w:rsidRPr="004D4C3D">
        <w:rPr>
          <w:rFonts w:ascii="Times New Roman" w:hAnsi="Times New Roman" w:cs="Times New Roman"/>
        </w:rPr>
        <w:t xml:space="preserve">consider </w:t>
      </w:r>
      <w:r w:rsidR="00FB3F67" w:rsidRPr="004D4C3D">
        <w:rPr>
          <w:rFonts w:ascii="Times New Roman" w:hAnsi="Times New Roman" w:cs="Times New Roman"/>
        </w:rPr>
        <w:t xml:space="preserve">the consequences after application of a 20% capital gains rate, the 3.8% NIIT, </w:t>
      </w:r>
      <w:r w:rsidRPr="004D4C3D">
        <w:rPr>
          <w:rFonts w:ascii="Times New Roman" w:hAnsi="Times New Roman" w:cs="Times New Roman"/>
        </w:rPr>
        <w:t xml:space="preserve">the 37% federal income tax rate, </w:t>
      </w:r>
      <w:r w:rsidR="00FB3F67" w:rsidRPr="004D4C3D">
        <w:rPr>
          <w:rFonts w:ascii="Times New Roman" w:hAnsi="Times New Roman" w:cs="Times New Roman"/>
        </w:rPr>
        <w:t>and 5% state income tax.</w:t>
      </w:r>
      <w:r w:rsidRPr="004D4C3D">
        <w:rPr>
          <w:rFonts w:ascii="Times New Roman" w:hAnsi="Times New Roman" w:cs="Times New Roman"/>
        </w:rPr>
        <w:t xml:space="preserve"> The taxpayer pays $</w:t>
      </w:r>
      <w:r w:rsidR="000F01BD">
        <w:rPr>
          <w:rFonts w:ascii="Times New Roman" w:hAnsi="Times New Roman" w:cs="Times New Roman"/>
        </w:rPr>
        <w:t>2.304M</w:t>
      </w:r>
      <w:r w:rsidRPr="004D4C3D">
        <w:rPr>
          <w:rFonts w:ascii="Times New Roman" w:hAnsi="Times New Roman" w:cs="Times New Roman"/>
        </w:rPr>
        <w:t xml:space="preserve"> of capital gains/NIIT</w:t>
      </w:r>
      <w:r w:rsidR="000F01BD">
        <w:rPr>
          <w:rFonts w:ascii="Times New Roman" w:hAnsi="Times New Roman" w:cs="Times New Roman"/>
        </w:rPr>
        <w:t xml:space="preserve"> and state income</w:t>
      </w:r>
      <w:r w:rsidRPr="004D4C3D">
        <w:rPr>
          <w:rFonts w:ascii="Times New Roman" w:hAnsi="Times New Roman" w:cs="Times New Roman"/>
        </w:rPr>
        <w:t xml:space="preserve"> tax and $84</w:t>
      </w:r>
      <w:r w:rsidR="005C48C9">
        <w:rPr>
          <w:rFonts w:ascii="Times New Roman" w:hAnsi="Times New Roman" w:cs="Times New Roman"/>
        </w:rPr>
        <w:t>0</w:t>
      </w:r>
      <w:r w:rsidRPr="004D4C3D">
        <w:rPr>
          <w:rFonts w:ascii="Times New Roman" w:hAnsi="Times New Roman" w:cs="Times New Roman"/>
        </w:rPr>
        <w:t>K of income tax on the recapture, for a</w:t>
      </w:r>
      <w:r w:rsidR="00DA3539" w:rsidRPr="004D4C3D">
        <w:rPr>
          <w:rFonts w:ascii="Times New Roman" w:hAnsi="Times New Roman" w:cs="Times New Roman"/>
        </w:rPr>
        <w:t xml:space="preserve"> total</w:t>
      </w:r>
      <w:r w:rsidRPr="004D4C3D">
        <w:rPr>
          <w:rFonts w:ascii="Times New Roman" w:hAnsi="Times New Roman" w:cs="Times New Roman"/>
        </w:rPr>
        <w:t xml:space="preserve"> </w:t>
      </w:r>
      <w:r w:rsidR="000F01BD">
        <w:rPr>
          <w:rFonts w:ascii="Times New Roman" w:hAnsi="Times New Roman" w:cs="Times New Roman"/>
        </w:rPr>
        <w:t xml:space="preserve">tax of $3.144M and a total </w:t>
      </w:r>
      <w:r w:rsidR="00DA3539" w:rsidRPr="004D4C3D">
        <w:rPr>
          <w:rFonts w:ascii="Times New Roman" w:hAnsi="Times New Roman" w:cs="Times New Roman"/>
        </w:rPr>
        <w:t>“</w:t>
      </w:r>
      <w:r w:rsidRPr="004D4C3D">
        <w:rPr>
          <w:rFonts w:ascii="Times New Roman" w:hAnsi="Times New Roman" w:cs="Times New Roman"/>
        </w:rPr>
        <w:t>effective</w:t>
      </w:r>
      <w:r w:rsidR="00DA3539" w:rsidRPr="004D4C3D">
        <w:rPr>
          <w:rFonts w:ascii="Times New Roman" w:hAnsi="Times New Roman" w:cs="Times New Roman"/>
        </w:rPr>
        <w:t>”</w:t>
      </w:r>
      <w:r w:rsidRPr="004D4C3D">
        <w:rPr>
          <w:rFonts w:ascii="Times New Roman" w:hAnsi="Times New Roman" w:cs="Times New Roman"/>
        </w:rPr>
        <w:t xml:space="preserve"> tax rate of </w:t>
      </w:r>
      <w:r w:rsidR="000F01BD">
        <w:rPr>
          <w:rFonts w:ascii="Times New Roman" w:hAnsi="Times New Roman" w:cs="Times New Roman"/>
        </w:rPr>
        <w:t>31.14</w:t>
      </w:r>
      <w:r w:rsidR="00DA3539" w:rsidRPr="004D4C3D">
        <w:rPr>
          <w:rFonts w:ascii="Times New Roman" w:hAnsi="Times New Roman" w:cs="Times New Roman"/>
        </w:rPr>
        <w:t>%.</w:t>
      </w:r>
      <w:r w:rsidR="00FB3F67" w:rsidRPr="004D4C3D">
        <w:rPr>
          <w:rFonts w:ascii="Times New Roman" w:hAnsi="Times New Roman" w:cs="Times New Roman"/>
        </w:rPr>
        <w:t xml:space="preserve">  </w:t>
      </w:r>
    </w:p>
    <w:p w14:paraId="4AF6414D" w14:textId="4A404FFC" w:rsidR="00DA3539" w:rsidRPr="004D4C3D" w:rsidRDefault="00DA3539" w:rsidP="001368A8">
      <w:pPr>
        <w:ind w:left="720" w:right="720"/>
        <w:rPr>
          <w:rFonts w:ascii="Times New Roman" w:hAnsi="Times New Roman" w:cs="Times New Roman"/>
        </w:rPr>
      </w:pPr>
      <w:r w:rsidRPr="004D4C3D">
        <w:rPr>
          <w:rFonts w:ascii="Times New Roman" w:hAnsi="Times New Roman" w:cs="Times New Roman"/>
          <w:b/>
        </w:rPr>
        <w:t>Ex. 2:</w:t>
      </w:r>
      <w:r w:rsidRPr="004D4C3D">
        <w:rPr>
          <w:rFonts w:ascii="Times New Roman" w:hAnsi="Times New Roman" w:cs="Times New Roman"/>
        </w:rPr>
        <w:t xml:space="preserve"> Consider the same facts as above, except $8M of the $10M of gain is depreciation recapture</w:t>
      </w:r>
      <w:r w:rsidR="00FB3F67" w:rsidRPr="004D4C3D">
        <w:rPr>
          <w:rFonts w:ascii="Times New Roman" w:hAnsi="Times New Roman" w:cs="Times New Roman"/>
        </w:rPr>
        <w:t xml:space="preserve">. </w:t>
      </w:r>
      <w:r w:rsidRPr="004D4C3D">
        <w:rPr>
          <w:rFonts w:ascii="Times New Roman" w:hAnsi="Times New Roman" w:cs="Times New Roman"/>
        </w:rPr>
        <w:t>If he/she dies in Mississippi, the taxpayer pays $</w:t>
      </w:r>
      <w:r w:rsidR="000F01BD">
        <w:rPr>
          <w:rFonts w:ascii="Times New Roman" w:hAnsi="Times New Roman" w:cs="Times New Roman"/>
        </w:rPr>
        <w:t>5</w:t>
      </w:r>
      <w:r w:rsidRPr="004D4C3D">
        <w:rPr>
          <w:rFonts w:ascii="Times New Roman" w:hAnsi="Times New Roman" w:cs="Times New Roman"/>
        </w:rPr>
        <w:t>76K of capital gains/NIIT</w:t>
      </w:r>
      <w:r w:rsidR="000F01BD">
        <w:rPr>
          <w:rFonts w:ascii="Times New Roman" w:hAnsi="Times New Roman" w:cs="Times New Roman"/>
        </w:rPr>
        <w:t xml:space="preserve"> and state income</w:t>
      </w:r>
      <w:r w:rsidRPr="004D4C3D">
        <w:rPr>
          <w:rFonts w:ascii="Times New Roman" w:hAnsi="Times New Roman" w:cs="Times New Roman"/>
        </w:rPr>
        <w:t xml:space="preserve"> tax, and $3.36M of state and federal income tax, for a total </w:t>
      </w:r>
      <w:r w:rsidR="000F01BD">
        <w:rPr>
          <w:rFonts w:ascii="Times New Roman" w:hAnsi="Times New Roman" w:cs="Times New Roman"/>
        </w:rPr>
        <w:t xml:space="preserve">tax of $3.936M and a total </w:t>
      </w:r>
      <w:r w:rsidRPr="004D4C3D">
        <w:rPr>
          <w:rFonts w:ascii="Times New Roman" w:hAnsi="Times New Roman" w:cs="Times New Roman"/>
        </w:rPr>
        <w:t xml:space="preserve">“effective” tax </w:t>
      </w:r>
      <w:r w:rsidR="000F01BD">
        <w:rPr>
          <w:rFonts w:ascii="Times New Roman" w:hAnsi="Times New Roman" w:cs="Times New Roman"/>
        </w:rPr>
        <w:t xml:space="preserve">rate </w:t>
      </w:r>
      <w:r w:rsidRPr="004D4C3D">
        <w:rPr>
          <w:rFonts w:ascii="Times New Roman" w:hAnsi="Times New Roman" w:cs="Times New Roman"/>
        </w:rPr>
        <w:t xml:space="preserve">of </w:t>
      </w:r>
      <w:r w:rsidR="000F01BD">
        <w:rPr>
          <w:rFonts w:ascii="Times New Roman" w:hAnsi="Times New Roman" w:cs="Times New Roman"/>
        </w:rPr>
        <w:t>39.36</w:t>
      </w:r>
      <w:r w:rsidRPr="004D4C3D">
        <w:rPr>
          <w:rFonts w:ascii="Times New Roman" w:hAnsi="Times New Roman" w:cs="Times New Roman"/>
        </w:rPr>
        <w:t>%.</w:t>
      </w:r>
    </w:p>
    <w:p w14:paraId="6BF10149" w14:textId="29A6FFDF" w:rsidR="005155DD" w:rsidRPr="004D4C3D" w:rsidRDefault="00AE7BE6" w:rsidP="004D4C3D">
      <w:pPr>
        <w:ind w:firstLine="720"/>
        <w:rPr>
          <w:rFonts w:ascii="Times New Roman" w:hAnsi="Times New Roman" w:cs="Times New Roman"/>
        </w:rPr>
      </w:pPr>
      <w:r w:rsidRPr="004D4C3D">
        <w:rPr>
          <w:rFonts w:ascii="Times New Roman" w:hAnsi="Times New Roman" w:cs="Times New Roman"/>
        </w:rPr>
        <w:t xml:space="preserve">The second example illustrates the </w:t>
      </w:r>
      <w:r w:rsidR="004330A0" w:rsidRPr="004D4C3D">
        <w:rPr>
          <w:rFonts w:ascii="Times New Roman" w:hAnsi="Times New Roman" w:cs="Times New Roman"/>
        </w:rPr>
        <w:t>effect of large amounts of recapture, a tax that can be increased further in states, such as California, with even greater state income taxes</w:t>
      </w:r>
      <w:r w:rsidR="00FB3F67" w:rsidRPr="004D4C3D">
        <w:rPr>
          <w:rFonts w:ascii="Times New Roman" w:hAnsi="Times New Roman" w:cs="Times New Roman"/>
        </w:rPr>
        <w:t>.</w:t>
      </w:r>
      <w:r w:rsidR="004330A0" w:rsidRPr="004D4C3D">
        <w:rPr>
          <w:rFonts w:ascii="Times New Roman" w:hAnsi="Times New Roman" w:cs="Times New Roman"/>
        </w:rPr>
        <w:t xml:space="preserve"> In either example, a step up in basis can help the taxpayer avoid significant tax bills.</w:t>
      </w:r>
    </w:p>
    <w:p w14:paraId="4DCFBFBF" w14:textId="5D637EA4" w:rsidR="004330A0" w:rsidRPr="004D4C3D" w:rsidRDefault="004330A0" w:rsidP="004330A0">
      <w:pPr>
        <w:ind w:left="720" w:right="720"/>
        <w:rPr>
          <w:rFonts w:ascii="Times New Roman" w:hAnsi="Times New Roman" w:cs="Times New Roman"/>
        </w:rPr>
      </w:pPr>
      <w:r w:rsidRPr="004D4C3D">
        <w:rPr>
          <w:rFonts w:ascii="Times New Roman" w:hAnsi="Times New Roman" w:cs="Times New Roman"/>
          <w:b/>
        </w:rPr>
        <w:t>Ex. 3:</w:t>
      </w:r>
      <w:r w:rsidRPr="004D4C3D">
        <w:rPr>
          <w:rFonts w:ascii="Times New Roman" w:hAnsi="Times New Roman" w:cs="Times New Roman"/>
        </w:rPr>
        <w:t xml:space="preserve"> </w:t>
      </w:r>
      <w:r w:rsidR="00FB3F67" w:rsidRPr="004D4C3D">
        <w:rPr>
          <w:rFonts w:ascii="Times New Roman" w:hAnsi="Times New Roman" w:cs="Times New Roman"/>
        </w:rPr>
        <w:t>If someone dies with $</w:t>
      </w:r>
      <w:r w:rsidR="000F01BD">
        <w:rPr>
          <w:rFonts w:ascii="Times New Roman" w:hAnsi="Times New Roman" w:cs="Times New Roman"/>
        </w:rPr>
        <w:t>15</w:t>
      </w:r>
      <w:r w:rsidR="00FB3F67" w:rsidRPr="004D4C3D">
        <w:rPr>
          <w:rFonts w:ascii="Times New Roman" w:hAnsi="Times New Roman" w:cs="Times New Roman"/>
        </w:rPr>
        <w:t>M, then he/she would have estate tax of $</w:t>
      </w:r>
      <w:r w:rsidR="00B52A0F">
        <w:rPr>
          <w:rFonts w:ascii="Times New Roman" w:hAnsi="Times New Roman" w:cs="Times New Roman"/>
        </w:rPr>
        <w:t>832,000</w:t>
      </w:r>
      <w:r w:rsidR="00FB3F67" w:rsidRPr="004D4C3D">
        <w:rPr>
          <w:rFonts w:ascii="Times New Roman" w:hAnsi="Times New Roman" w:cs="Times New Roman"/>
        </w:rPr>
        <w:t xml:space="preserve"> at the current 40% estate tax rate.  That is an effective rate of just over </w:t>
      </w:r>
      <w:r w:rsidR="00B52A0F">
        <w:rPr>
          <w:rFonts w:ascii="Times New Roman" w:hAnsi="Times New Roman" w:cs="Times New Roman"/>
        </w:rPr>
        <w:t>5.5</w:t>
      </w:r>
      <w:r w:rsidR="00FB3F67" w:rsidRPr="004D4C3D">
        <w:rPr>
          <w:rFonts w:ascii="Times New Roman" w:hAnsi="Times New Roman" w:cs="Times New Roman"/>
        </w:rPr>
        <w:t>% on all assets.  If that $1</w:t>
      </w:r>
      <w:r w:rsidR="000F01BD">
        <w:rPr>
          <w:rFonts w:ascii="Times New Roman" w:hAnsi="Times New Roman" w:cs="Times New Roman"/>
        </w:rPr>
        <w:t>5</w:t>
      </w:r>
      <w:r w:rsidR="00FB3F67" w:rsidRPr="004D4C3D">
        <w:rPr>
          <w:rFonts w:ascii="Times New Roman" w:hAnsi="Times New Roman" w:cs="Times New Roman"/>
        </w:rPr>
        <w:t>M of assets has a cost basis of $5M, then there may be $</w:t>
      </w:r>
      <w:r w:rsidR="000F01BD">
        <w:rPr>
          <w:rFonts w:ascii="Times New Roman" w:hAnsi="Times New Roman" w:cs="Times New Roman"/>
        </w:rPr>
        <w:t>2,880</w:t>
      </w:r>
      <w:r w:rsidR="00FB3F67" w:rsidRPr="004D4C3D">
        <w:rPr>
          <w:rFonts w:ascii="Times New Roman" w:hAnsi="Times New Roman" w:cs="Times New Roman"/>
        </w:rPr>
        <w:t xml:space="preserve">,000 of tax paid due to a loss of step up (20% cap gains, 3.8% NIIT, and 5% MS income tax).  The result is an </w:t>
      </w:r>
      <w:r w:rsidR="000F01BD">
        <w:rPr>
          <w:rFonts w:ascii="Times New Roman" w:hAnsi="Times New Roman" w:cs="Times New Roman"/>
        </w:rPr>
        <w:t>19.2</w:t>
      </w:r>
      <w:r w:rsidR="00FB3F67" w:rsidRPr="004D4C3D">
        <w:rPr>
          <w:rFonts w:ascii="Times New Roman" w:hAnsi="Times New Roman" w:cs="Times New Roman"/>
        </w:rPr>
        <w:t xml:space="preserve">% effective rate.  </w:t>
      </w:r>
    </w:p>
    <w:p w14:paraId="19122EE9" w14:textId="1967199B" w:rsidR="00FB3F67" w:rsidRPr="004D4C3D" w:rsidRDefault="004330A0" w:rsidP="004330A0">
      <w:pPr>
        <w:rPr>
          <w:rFonts w:ascii="Times New Roman" w:hAnsi="Times New Roman" w:cs="Times New Roman"/>
        </w:rPr>
      </w:pPr>
      <w:r w:rsidRPr="004D4C3D">
        <w:rPr>
          <w:rFonts w:ascii="Times New Roman" w:hAnsi="Times New Roman" w:cs="Times New Roman"/>
        </w:rPr>
        <w:tab/>
      </w:r>
      <w:r w:rsidR="00FB3F67" w:rsidRPr="004D4C3D">
        <w:rPr>
          <w:rFonts w:ascii="Times New Roman" w:hAnsi="Times New Roman" w:cs="Times New Roman"/>
        </w:rPr>
        <w:t>Here, assuming the beneficiaries would sell assets, it would have been much better to have paid estate tax than to lose the step up.</w:t>
      </w:r>
      <w:r w:rsidR="00AB26CB" w:rsidRPr="004D4C3D">
        <w:rPr>
          <w:rFonts w:ascii="Times New Roman" w:hAnsi="Times New Roman" w:cs="Times New Roman"/>
          <w:color w:val="FF0000"/>
        </w:rPr>
        <w:t xml:space="preserve"> </w:t>
      </w:r>
      <w:r w:rsidR="00FB3F67" w:rsidRPr="004D4C3D">
        <w:rPr>
          <w:rFonts w:ascii="Times New Roman" w:hAnsi="Times New Roman" w:cs="Times New Roman"/>
        </w:rPr>
        <w:t xml:space="preserve">However, the point is to illustrate that accepting the </w:t>
      </w:r>
      <w:r w:rsidR="00AB26CB" w:rsidRPr="004D4C3D">
        <w:rPr>
          <w:rFonts w:ascii="Times New Roman" w:hAnsi="Times New Roman" w:cs="Times New Roman"/>
        </w:rPr>
        <w:t>trade-off</w:t>
      </w:r>
      <w:r w:rsidR="00FB3F67" w:rsidRPr="004D4C3D">
        <w:rPr>
          <w:rFonts w:ascii="Times New Roman" w:hAnsi="Times New Roman" w:cs="Times New Roman"/>
        </w:rPr>
        <w:t xml:space="preserve"> we </w:t>
      </w:r>
      <w:r w:rsidR="00C36D5D" w:rsidRPr="004D4C3D">
        <w:rPr>
          <w:rFonts w:ascii="Times New Roman" w:hAnsi="Times New Roman" w:cs="Times New Roman"/>
        </w:rPr>
        <w:t>which many are</w:t>
      </w:r>
      <w:r w:rsidR="00FB3F67" w:rsidRPr="004D4C3D">
        <w:rPr>
          <w:rFonts w:ascii="Times New Roman" w:hAnsi="Times New Roman" w:cs="Times New Roman"/>
        </w:rPr>
        <w:t xml:space="preserve"> in the habit of accepting does not always make sense.</w:t>
      </w:r>
    </w:p>
    <w:p w14:paraId="57B4FF10" w14:textId="556BF82A" w:rsidR="00FB3F67" w:rsidRPr="004D4C3D" w:rsidRDefault="004330A0" w:rsidP="001D206B">
      <w:pPr>
        <w:rPr>
          <w:rFonts w:ascii="Times New Roman" w:hAnsi="Times New Roman" w:cs="Times New Roman"/>
        </w:rPr>
      </w:pPr>
      <w:r w:rsidRPr="004D4C3D">
        <w:rPr>
          <w:rFonts w:ascii="Times New Roman" w:hAnsi="Times New Roman" w:cs="Times New Roman"/>
        </w:rPr>
        <w:lastRenderedPageBreak/>
        <w:tab/>
      </w:r>
      <w:r w:rsidR="00FB3F67" w:rsidRPr="004D4C3D">
        <w:rPr>
          <w:rFonts w:ascii="Times New Roman" w:hAnsi="Times New Roman" w:cs="Times New Roman"/>
        </w:rPr>
        <w:t xml:space="preserve">Third, the analysis of how to balance these considerations has become much more complicated given </w:t>
      </w:r>
      <w:r w:rsidRPr="004D4C3D">
        <w:rPr>
          <w:rFonts w:ascii="Times New Roman" w:hAnsi="Times New Roman" w:cs="Times New Roman"/>
        </w:rPr>
        <w:t xml:space="preserve">the </w:t>
      </w:r>
      <w:r w:rsidR="000F01BD">
        <w:rPr>
          <w:rFonts w:ascii="Times New Roman" w:hAnsi="Times New Roman" w:cs="Times New Roman"/>
        </w:rPr>
        <w:t xml:space="preserve">Tax Cut and </w:t>
      </w:r>
      <w:r w:rsidRPr="004D4C3D">
        <w:rPr>
          <w:rFonts w:ascii="Times New Roman" w:hAnsi="Times New Roman" w:cs="Times New Roman"/>
        </w:rPr>
        <w:t>Jobs Act has given a large current exemption that is expected to sunset.</w:t>
      </w:r>
      <w:r w:rsidR="00FB3F67" w:rsidRPr="004D4C3D">
        <w:rPr>
          <w:rFonts w:ascii="Times New Roman" w:hAnsi="Times New Roman" w:cs="Times New Roman"/>
        </w:rPr>
        <w:t xml:space="preserve"> </w:t>
      </w:r>
      <w:r w:rsidRPr="004D4C3D">
        <w:rPr>
          <w:rFonts w:ascii="Times New Roman" w:hAnsi="Times New Roman" w:cs="Times New Roman"/>
        </w:rPr>
        <w:t xml:space="preserve">In other words, </w:t>
      </w:r>
      <w:r w:rsidR="00B048AB" w:rsidRPr="004D4C3D">
        <w:rPr>
          <w:rFonts w:ascii="Times New Roman" w:hAnsi="Times New Roman" w:cs="Times New Roman"/>
        </w:rPr>
        <w:t>we might need to plan for that</w:t>
      </w:r>
      <w:r w:rsidRPr="004D4C3D">
        <w:rPr>
          <w:rFonts w:ascii="Times New Roman" w:hAnsi="Times New Roman" w:cs="Times New Roman"/>
        </w:rPr>
        <w:t xml:space="preserve"> provision to </w:t>
      </w:r>
      <w:r w:rsidR="00B048AB" w:rsidRPr="004D4C3D">
        <w:rPr>
          <w:rFonts w:ascii="Times New Roman" w:hAnsi="Times New Roman" w:cs="Times New Roman"/>
        </w:rPr>
        <w:t xml:space="preserve">no longer </w:t>
      </w:r>
      <w:r w:rsidRPr="004D4C3D">
        <w:rPr>
          <w:rFonts w:ascii="Times New Roman" w:hAnsi="Times New Roman" w:cs="Times New Roman"/>
        </w:rPr>
        <w:t>be in place when the client dies.</w:t>
      </w:r>
      <w:r w:rsidR="00FB3F67" w:rsidRPr="004D4C3D">
        <w:rPr>
          <w:rFonts w:ascii="Times New Roman" w:hAnsi="Times New Roman" w:cs="Times New Roman"/>
        </w:rPr>
        <w:t xml:space="preserve"> Therefore, we need to build flexibility into planning </w:t>
      </w:r>
      <w:proofErr w:type="gramStart"/>
      <w:r w:rsidR="00FB3F67" w:rsidRPr="004D4C3D">
        <w:rPr>
          <w:rFonts w:ascii="Times New Roman" w:hAnsi="Times New Roman" w:cs="Times New Roman"/>
        </w:rPr>
        <w:t>in order to</w:t>
      </w:r>
      <w:proofErr w:type="gramEnd"/>
      <w:r w:rsidR="00FB3F67" w:rsidRPr="004D4C3D">
        <w:rPr>
          <w:rFonts w:ascii="Times New Roman" w:hAnsi="Times New Roman" w:cs="Times New Roman"/>
        </w:rPr>
        <w:t xml:space="preserve"> maximize the opportunity to use exemptions, while also being sure we do not make a bad trade-off.</w:t>
      </w:r>
    </w:p>
    <w:p w14:paraId="3C1363D0" w14:textId="77777777" w:rsidR="004D4C3D" w:rsidRDefault="00704619" w:rsidP="004D4C3D">
      <w:pPr>
        <w:pStyle w:val="Heading1"/>
        <w:rPr>
          <w:rStyle w:val="Heading1Char"/>
          <w:b/>
        </w:rPr>
      </w:pPr>
      <w:bookmarkStart w:id="21" w:name="_Toc510811726"/>
      <w:bookmarkStart w:id="22" w:name="_Toc510811761"/>
      <w:bookmarkStart w:id="23" w:name="_Toc510811875"/>
      <w:r w:rsidRPr="004D4C3D">
        <w:rPr>
          <w:rStyle w:val="Heading1Char"/>
          <w:b/>
        </w:rPr>
        <w:t>Basis Planning for Assets Currently Held</w:t>
      </w:r>
      <w:bookmarkEnd w:id="21"/>
      <w:bookmarkEnd w:id="22"/>
      <w:bookmarkEnd w:id="23"/>
    </w:p>
    <w:p w14:paraId="477D4359" w14:textId="5A103D7A" w:rsidR="00FD37D9" w:rsidRPr="004D4C3D" w:rsidRDefault="00DB1F87" w:rsidP="004D4C3D">
      <w:pPr>
        <w:pStyle w:val="Heading2"/>
      </w:pPr>
      <w:bookmarkStart w:id="24" w:name="_Toc510811727"/>
      <w:bookmarkStart w:id="25" w:name="_Toc510811762"/>
      <w:bookmarkStart w:id="26" w:name="_Toc510811876"/>
      <w:r w:rsidRPr="004D4C3D">
        <w:t xml:space="preserve">Upstream GRATs and </w:t>
      </w:r>
      <w:proofErr w:type="spellStart"/>
      <w:r w:rsidR="00704619" w:rsidRPr="004D4C3D">
        <w:t>UpSPAT</w:t>
      </w:r>
      <w:r w:rsidRPr="004D4C3D">
        <w:t>s</w:t>
      </w:r>
      <w:bookmarkEnd w:id="24"/>
      <w:bookmarkEnd w:id="25"/>
      <w:bookmarkEnd w:id="26"/>
      <w:proofErr w:type="spellEnd"/>
    </w:p>
    <w:p w14:paraId="596A2454" w14:textId="26A5BB16" w:rsidR="00DB1F87" w:rsidRPr="004D4C3D" w:rsidRDefault="00FD37D9" w:rsidP="00FD37D9">
      <w:pPr>
        <w:widowControl/>
        <w:rPr>
          <w:rFonts w:ascii="Times New Roman" w:hAnsi="Times New Roman" w:cs="Times New Roman"/>
        </w:rPr>
      </w:pPr>
      <w:r w:rsidRPr="004D4C3D">
        <w:rPr>
          <w:rFonts w:ascii="Times New Roman" w:hAnsi="Times New Roman" w:cs="Times New Roman"/>
        </w:rPr>
        <w:tab/>
      </w:r>
      <w:r w:rsidR="00DB1F87" w:rsidRPr="004D4C3D">
        <w:rPr>
          <w:rFonts w:ascii="Times New Roman" w:hAnsi="Times New Roman" w:cs="Times New Roman"/>
        </w:rPr>
        <w:t xml:space="preserve">An upstream method of basis planning involves assets transferred by a child to </w:t>
      </w:r>
      <w:r w:rsidR="00F906AB" w:rsidRPr="004D4C3D">
        <w:rPr>
          <w:rFonts w:ascii="Times New Roman" w:hAnsi="Times New Roman" w:cs="Times New Roman"/>
        </w:rPr>
        <w:t>the taxpayer’s</w:t>
      </w:r>
      <w:r w:rsidR="00DB1F87" w:rsidRPr="004D4C3D">
        <w:rPr>
          <w:rFonts w:ascii="Times New Roman" w:hAnsi="Times New Roman" w:cs="Times New Roman"/>
        </w:rPr>
        <w:t xml:space="preserve"> parent to utilize the parent</w:t>
      </w:r>
      <w:r w:rsidR="00FB3F67" w:rsidRPr="004D4C3D">
        <w:rPr>
          <w:rFonts w:ascii="Times New Roman" w:hAnsi="Times New Roman" w:cs="Times New Roman"/>
        </w:rPr>
        <w:t>’</w:t>
      </w:r>
      <w:r w:rsidR="00DB1F87" w:rsidRPr="004D4C3D">
        <w:rPr>
          <w:rFonts w:ascii="Times New Roman" w:hAnsi="Times New Roman" w:cs="Times New Roman"/>
        </w:rPr>
        <w:t>s applicable exclusion amount.</w:t>
      </w:r>
      <w:r w:rsidR="000E6C20" w:rsidRPr="004D4C3D">
        <w:rPr>
          <w:rFonts w:ascii="Times New Roman" w:hAnsi="Times New Roman" w:cs="Times New Roman"/>
        </w:rPr>
        <w:t xml:space="preserve"> Considering that many clients provide financial assistance to their parents, making gifts from a trust that is best designed to benefit the entire family is often a practical estate planning tool.</w:t>
      </w:r>
      <w:r w:rsidR="00DB1F87" w:rsidRPr="004D4C3D">
        <w:rPr>
          <w:rFonts w:ascii="Times New Roman" w:hAnsi="Times New Roman" w:cs="Times New Roman"/>
        </w:rPr>
        <w:t xml:space="preserve"> The recent, large increase in the unified credit makes this estate planning tool much more valuable than before.</w:t>
      </w:r>
    </w:p>
    <w:p w14:paraId="20C9BF70" w14:textId="074AE89D" w:rsidR="00DB1F87" w:rsidRPr="004D4C3D" w:rsidRDefault="00CF7BD3" w:rsidP="00FD37D9">
      <w:pPr>
        <w:rPr>
          <w:rFonts w:ascii="Times New Roman" w:hAnsi="Times New Roman" w:cs="Times New Roman"/>
        </w:rPr>
      </w:pPr>
      <w:r w:rsidRPr="004D4C3D">
        <w:rPr>
          <w:rFonts w:ascii="Times New Roman" w:hAnsi="Times New Roman" w:cs="Times New Roman"/>
        </w:rPr>
        <w:tab/>
        <w:t>An Upstream Grantor Retained Annuity Trust</w:t>
      </w:r>
      <w:r w:rsidR="00336F50" w:rsidRPr="004D4C3D">
        <w:rPr>
          <w:rFonts w:ascii="Times New Roman" w:hAnsi="Times New Roman" w:cs="Times New Roman"/>
        </w:rPr>
        <w:t xml:space="preserve"> is one option for a taxpayer wishing to take advantage of a parent’s additional exemption. The Upstream GRAT</w:t>
      </w:r>
      <w:r w:rsidRPr="004D4C3D">
        <w:rPr>
          <w:rFonts w:ascii="Times New Roman" w:hAnsi="Times New Roman" w:cs="Times New Roman"/>
        </w:rPr>
        <w:t xml:space="preserve"> </w:t>
      </w:r>
      <w:r w:rsidR="00336F50" w:rsidRPr="004D4C3D">
        <w:rPr>
          <w:rFonts w:ascii="Times New Roman" w:hAnsi="Times New Roman" w:cs="Times New Roman"/>
        </w:rPr>
        <w:t>would</w:t>
      </w:r>
      <w:r w:rsidRPr="004D4C3D">
        <w:rPr>
          <w:rFonts w:ascii="Times New Roman" w:hAnsi="Times New Roman" w:cs="Times New Roman"/>
        </w:rPr>
        <w:t xml:space="preserve"> provide for a remainder to vest in a parent after an annuity term ends.</w:t>
      </w:r>
      <w:r w:rsidRPr="004D4C3D">
        <w:rPr>
          <w:rStyle w:val="FootnoteReference"/>
          <w:rFonts w:ascii="Times New Roman" w:hAnsi="Times New Roman" w:cs="Times New Roman"/>
        </w:rPr>
        <w:footnoteReference w:id="8"/>
      </w:r>
      <w:r w:rsidRPr="004D4C3D">
        <w:rPr>
          <w:rFonts w:ascii="Times New Roman" w:hAnsi="Times New Roman" w:cs="Times New Roman"/>
        </w:rPr>
        <w:t xml:space="preserve"> Upon the parent’s death, the value of the remainder would be included in the parent’s estate and pass according to the parent’s estate plan.</w:t>
      </w:r>
    </w:p>
    <w:p w14:paraId="0EBFC68E" w14:textId="7CC3F80C" w:rsidR="00FD37D9" w:rsidRPr="004D4C3D" w:rsidRDefault="00CF7BD3" w:rsidP="0055371E">
      <w:pPr>
        <w:rPr>
          <w:rFonts w:ascii="Times New Roman" w:hAnsi="Times New Roman" w:cs="Times New Roman"/>
        </w:rPr>
      </w:pPr>
      <w:r w:rsidRPr="004D4C3D">
        <w:rPr>
          <w:rFonts w:ascii="Times New Roman" w:hAnsi="Times New Roman" w:cs="Times New Roman"/>
        </w:rPr>
        <w:tab/>
      </w:r>
      <w:r w:rsidR="00A03F5E" w:rsidRPr="004D4C3D">
        <w:rPr>
          <w:rFonts w:ascii="Times New Roman" w:hAnsi="Times New Roman" w:cs="Times New Roman"/>
        </w:rPr>
        <w:t>An Upstream Sale to a Power of Appointment Trust</w:t>
      </w:r>
      <w:r w:rsidR="00FC6CA8" w:rsidRPr="004D4C3D">
        <w:rPr>
          <w:rFonts w:ascii="Times New Roman" w:hAnsi="Times New Roman" w:cs="Times New Roman"/>
        </w:rPr>
        <w:t xml:space="preserve"> (“</w:t>
      </w:r>
      <w:proofErr w:type="spellStart"/>
      <w:r w:rsidR="00FC6CA8" w:rsidRPr="004D4C3D">
        <w:rPr>
          <w:rFonts w:ascii="Times New Roman" w:hAnsi="Times New Roman" w:cs="Times New Roman"/>
        </w:rPr>
        <w:t>UpSPAT</w:t>
      </w:r>
      <w:proofErr w:type="spellEnd"/>
      <w:r w:rsidR="00FC6CA8" w:rsidRPr="004D4C3D">
        <w:rPr>
          <w:rFonts w:ascii="Times New Roman" w:hAnsi="Times New Roman" w:cs="Times New Roman"/>
        </w:rPr>
        <w:t>”)</w:t>
      </w:r>
      <w:r w:rsidR="00A03F5E" w:rsidRPr="004D4C3D">
        <w:rPr>
          <w:rFonts w:ascii="Times New Roman" w:hAnsi="Times New Roman" w:cs="Times New Roman"/>
        </w:rPr>
        <w:t xml:space="preserve"> </w:t>
      </w:r>
      <w:r w:rsidR="00DB1F87" w:rsidRPr="004D4C3D">
        <w:rPr>
          <w:rFonts w:ascii="Times New Roman" w:hAnsi="Times New Roman" w:cs="Times New Roman"/>
        </w:rPr>
        <w:t>involves a child’s sale of assets to a grantor trust in exchange for a note. The parents of the child are given a testamentary general power of appointment over the trust assets</w:t>
      </w:r>
      <w:r w:rsidR="00336F50" w:rsidRPr="004D4C3D">
        <w:rPr>
          <w:rFonts w:ascii="Times New Roman" w:hAnsi="Times New Roman" w:cs="Times New Roman"/>
        </w:rPr>
        <w:t>, resulting in the assets being included in the parent’s estate at death and a new basis in the property. The trust then uses the assets to pay off the note, returning the assets to the child with a step-up in basis.</w:t>
      </w:r>
      <w:r w:rsidR="00FC6CA8" w:rsidRPr="004D4C3D">
        <w:rPr>
          <w:rFonts w:ascii="Times New Roman" w:hAnsi="Times New Roman" w:cs="Times New Roman"/>
        </w:rPr>
        <w:t xml:space="preserve"> The </w:t>
      </w:r>
      <w:proofErr w:type="spellStart"/>
      <w:r w:rsidR="00FC6CA8" w:rsidRPr="004D4C3D">
        <w:rPr>
          <w:rFonts w:ascii="Times New Roman" w:hAnsi="Times New Roman" w:cs="Times New Roman"/>
        </w:rPr>
        <w:t>UpSPAT</w:t>
      </w:r>
      <w:proofErr w:type="spellEnd"/>
      <w:r w:rsidR="00FC6CA8" w:rsidRPr="004D4C3D">
        <w:rPr>
          <w:rFonts w:ascii="Times New Roman" w:hAnsi="Times New Roman" w:cs="Times New Roman"/>
        </w:rPr>
        <w:t xml:space="preserve"> is useful when the </w:t>
      </w:r>
      <w:r w:rsidR="00FC6CA8" w:rsidRPr="004D4C3D">
        <w:rPr>
          <w:rFonts w:ascii="Times New Roman" w:hAnsi="Times New Roman" w:cs="Times New Roman"/>
        </w:rPr>
        <w:lastRenderedPageBreak/>
        <w:t>child is not concerned that the assets will return to his or her estate. Therefore, holding a 2037 reversionary interest will not cause any problems for the trust as it will return to the child’s taxable estate anyway.</w:t>
      </w:r>
    </w:p>
    <w:p w14:paraId="2F480BB5" w14:textId="2B90BDA0" w:rsidR="000E5E5D" w:rsidRPr="004D4C3D" w:rsidRDefault="006D5DBA" w:rsidP="004D4C3D">
      <w:pPr>
        <w:pStyle w:val="Heading2"/>
      </w:pPr>
      <w:bookmarkStart w:id="27" w:name="_Toc510811728"/>
      <w:bookmarkStart w:id="28" w:name="_Toc510811763"/>
      <w:bookmarkStart w:id="29" w:name="_Toc510811877"/>
      <w:r w:rsidRPr="004D4C3D">
        <w:t>Upstream Crummey Optimal Basis Increase Trust</w:t>
      </w:r>
      <w:bookmarkEnd w:id="27"/>
      <w:bookmarkEnd w:id="28"/>
      <w:bookmarkEnd w:id="29"/>
    </w:p>
    <w:p w14:paraId="1C456B6B" w14:textId="50B0858F" w:rsidR="000E6C20" w:rsidRPr="004D4C3D" w:rsidRDefault="00021890" w:rsidP="0055371E">
      <w:pPr>
        <w:rPr>
          <w:rFonts w:ascii="Times New Roman" w:hAnsi="Times New Roman" w:cs="Times New Roman"/>
        </w:rPr>
      </w:pPr>
      <w:r w:rsidRPr="004D4C3D">
        <w:rPr>
          <w:rFonts w:ascii="Times New Roman" w:hAnsi="Times New Roman" w:cs="Times New Roman"/>
        </w:rPr>
        <w:tab/>
        <w:t xml:space="preserve">Ed Morrow describes a similar scenario in which the owner of appreciated property </w:t>
      </w:r>
      <w:r w:rsidR="00134BCB" w:rsidRPr="004D4C3D">
        <w:rPr>
          <w:rFonts w:ascii="Times New Roman" w:hAnsi="Times New Roman" w:cs="Times New Roman"/>
        </w:rPr>
        <w:t>may gift</w:t>
      </w:r>
      <w:r w:rsidRPr="004D4C3D">
        <w:rPr>
          <w:rFonts w:ascii="Times New Roman" w:hAnsi="Times New Roman" w:cs="Times New Roman"/>
        </w:rPr>
        <w:t xml:space="preserve"> a modest sum to a grantor </w:t>
      </w:r>
      <w:r w:rsidRPr="004D4C3D">
        <w:rPr>
          <w:rFonts w:ascii="Times New Roman" w:hAnsi="Times New Roman" w:cs="Times New Roman"/>
          <w:i/>
        </w:rPr>
        <w:t>Crummey</w:t>
      </w:r>
      <w:r w:rsidRPr="004D4C3D">
        <w:rPr>
          <w:rFonts w:ascii="Times New Roman" w:hAnsi="Times New Roman" w:cs="Times New Roman"/>
        </w:rPr>
        <w:t xml:space="preserve"> trust.</w:t>
      </w:r>
      <w:r w:rsidRPr="004D4C3D">
        <w:rPr>
          <w:rStyle w:val="FootnoteReference"/>
          <w:rFonts w:ascii="Times New Roman" w:hAnsi="Times New Roman" w:cs="Times New Roman"/>
        </w:rPr>
        <w:footnoteReference w:id="9"/>
      </w:r>
      <w:r w:rsidRPr="004D4C3D">
        <w:rPr>
          <w:rFonts w:ascii="Times New Roman" w:hAnsi="Times New Roman" w:cs="Times New Roman"/>
        </w:rPr>
        <w:t xml:space="preserve"> Unlike an ordinary trust that names only a spouse and children, the property owner names </w:t>
      </w:r>
      <w:r w:rsidR="00E94C62" w:rsidRPr="004D4C3D">
        <w:rPr>
          <w:rFonts w:ascii="Times New Roman" w:hAnsi="Times New Roman" w:cs="Times New Roman"/>
        </w:rPr>
        <w:t>his</w:t>
      </w:r>
      <w:r w:rsidRPr="004D4C3D">
        <w:rPr>
          <w:rFonts w:ascii="Times New Roman" w:hAnsi="Times New Roman" w:cs="Times New Roman"/>
        </w:rPr>
        <w:t xml:space="preserve"> parents as well and gives all beneficiar</w:t>
      </w:r>
      <w:r w:rsidR="00A12EA3" w:rsidRPr="004D4C3D">
        <w:rPr>
          <w:rFonts w:ascii="Times New Roman" w:hAnsi="Times New Roman" w:cs="Times New Roman"/>
        </w:rPr>
        <w:t>ies</w:t>
      </w:r>
      <w:r w:rsidRPr="004D4C3D">
        <w:rPr>
          <w:rFonts w:ascii="Times New Roman" w:hAnsi="Times New Roman" w:cs="Times New Roman"/>
        </w:rPr>
        <w:t xml:space="preserve"> </w:t>
      </w:r>
      <w:r w:rsidRPr="004D4C3D">
        <w:rPr>
          <w:rFonts w:ascii="Times New Roman" w:hAnsi="Times New Roman" w:cs="Times New Roman"/>
          <w:i/>
        </w:rPr>
        <w:t>Crummey</w:t>
      </w:r>
      <w:r w:rsidRPr="004D4C3D">
        <w:rPr>
          <w:rFonts w:ascii="Times New Roman" w:hAnsi="Times New Roman" w:cs="Times New Roman"/>
        </w:rPr>
        <w:t xml:space="preserve"> powers. </w:t>
      </w:r>
      <w:r w:rsidR="00A12EA3" w:rsidRPr="004D4C3D">
        <w:rPr>
          <w:rFonts w:ascii="Times New Roman" w:hAnsi="Times New Roman" w:cs="Times New Roman"/>
        </w:rPr>
        <w:t xml:space="preserve">The trust then purchases the taxpayer’s property at fair market value with a small down payment and interest at the </w:t>
      </w:r>
      <w:r w:rsidR="00C97913" w:rsidRPr="004D4C3D">
        <w:rPr>
          <w:rFonts w:ascii="Times New Roman" w:hAnsi="Times New Roman" w:cs="Times New Roman"/>
        </w:rPr>
        <w:t xml:space="preserve">applicable </w:t>
      </w:r>
      <w:r w:rsidR="00A12EA3" w:rsidRPr="004D4C3D">
        <w:rPr>
          <w:rFonts w:ascii="Times New Roman" w:hAnsi="Times New Roman" w:cs="Times New Roman"/>
        </w:rPr>
        <w:t>federal rate or higher.</w:t>
      </w:r>
      <w:r w:rsidR="00A12EA3" w:rsidRPr="004D4C3D">
        <w:rPr>
          <w:rStyle w:val="FootnoteReference"/>
          <w:rFonts w:ascii="Times New Roman" w:hAnsi="Times New Roman" w:cs="Times New Roman"/>
        </w:rPr>
        <w:footnoteReference w:id="10"/>
      </w:r>
      <w:r w:rsidR="00A12EA3" w:rsidRPr="004D4C3D">
        <w:rPr>
          <w:rFonts w:ascii="Times New Roman" w:hAnsi="Times New Roman" w:cs="Times New Roman"/>
        </w:rPr>
        <w:t xml:space="preserve"> The trust then grants the taxpayer’s parents a testamentary power of appointment. Upon the death of a parent, the property is included in the parent’s estate and given a step up in basis</w:t>
      </w:r>
      <w:r w:rsidR="000E6C20" w:rsidRPr="004D4C3D">
        <w:rPr>
          <w:rFonts w:ascii="Times New Roman" w:hAnsi="Times New Roman" w:cs="Times New Roman"/>
        </w:rPr>
        <w:t xml:space="preserve"> as of the date of the parent’s death</w:t>
      </w:r>
      <w:r w:rsidR="00A12EA3" w:rsidRPr="004D4C3D">
        <w:rPr>
          <w:rFonts w:ascii="Times New Roman" w:hAnsi="Times New Roman" w:cs="Times New Roman"/>
        </w:rPr>
        <w:t>.</w:t>
      </w:r>
      <w:r w:rsidR="00A12EA3" w:rsidRPr="004D4C3D">
        <w:rPr>
          <w:rStyle w:val="FootnoteReference"/>
          <w:rFonts w:ascii="Times New Roman" w:hAnsi="Times New Roman" w:cs="Times New Roman"/>
        </w:rPr>
        <w:footnoteReference w:id="11"/>
      </w:r>
      <w:r w:rsidR="00A12EA3" w:rsidRPr="004D4C3D">
        <w:rPr>
          <w:rFonts w:ascii="Times New Roman" w:hAnsi="Times New Roman" w:cs="Times New Roman"/>
        </w:rPr>
        <w:t xml:space="preserve"> </w:t>
      </w:r>
    </w:p>
    <w:p w14:paraId="290F5DB5" w14:textId="31DB936D" w:rsidR="00021890" w:rsidRPr="004D4C3D" w:rsidRDefault="000E6C20" w:rsidP="0055371E">
      <w:pPr>
        <w:rPr>
          <w:rFonts w:ascii="Times New Roman" w:hAnsi="Times New Roman" w:cs="Times New Roman"/>
        </w:rPr>
      </w:pPr>
      <w:r w:rsidRPr="004D4C3D">
        <w:rPr>
          <w:rFonts w:ascii="Times New Roman" w:hAnsi="Times New Roman" w:cs="Times New Roman"/>
        </w:rPr>
        <w:tab/>
      </w:r>
      <w:r w:rsidR="00A12EA3" w:rsidRPr="004D4C3D">
        <w:rPr>
          <w:rFonts w:ascii="Times New Roman" w:hAnsi="Times New Roman" w:cs="Times New Roman"/>
        </w:rPr>
        <w:t>The power can be given to only the first beneficiary to die, to avoid any issues regarding inclusion due to a lapse of powers.</w:t>
      </w:r>
      <w:r w:rsidR="00A12EA3" w:rsidRPr="004D4C3D">
        <w:rPr>
          <w:rStyle w:val="FootnoteReference"/>
          <w:rFonts w:ascii="Times New Roman" w:hAnsi="Times New Roman" w:cs="Times New Roman"/>
        </w:rPr>
        <w:footnoteReference w:id="12"/>
      </w:r>
      <w:r w:rsidR="002301D6" w:rsidRPr="004D4C3D">
        <w:rPr>
          <w:rFonts w:ascii="Times New Roman" w:hAnsi="Times New Roman" w:cs="Times New Roman"/>
        </w:rPr>
        <w:t xml:space="preserve"> The power could also be a general </w:t>
      </w:r>
      <w:proofErr w:type="gramStart"/>
      <w:r w:rsidR="002301D6" w:rsidRPr="004D4C3D">
        <w:rPr>
          <w:rFonts w:ascii="Times New Roman" w:hAnsi="Times New Roman" w:cs="Times New Roman"/>
        </w:rPr>
        <w:t>power</w:t>
      </w:r>
      <w:proofErr w:type="gramEnd"/>
      <w:r w:rsidR="002301D6" w:rsidRPr="004D4C3D">
        <w:rPr>
          <w:rFonts w:ascii="Times New Roman" w:hAnsi="Times New Roman" w:cs="Times New Roman"/>
        </w:rPr>
        <w:t xml:space="preserve"> or a limited power exercised in such a way as to trigger the Delaware Tax Trap.</w:t>
      </w:r>
      <w:r w:rsidR="002301D6" w:rsidRPr="004D4C3D">
        <w:rPr>
          <w:rStyle w:val="FootnoteReference"/>
          <w:rFonts w:ascii="Times New Roman" w:hAnsi="Times New Roman" w:cs="Times New Roman"/>
        </w:rPr>
        <w:footnoteReference w:id="13"/>
      </w:r>
      <w:r w:rsidRPr="004D4C3D">
        <w:rPr>
          <w:rFonts w:ascii="Times New Roman" w:hAnsi="Times New Roman" w:cs="Times New Roman"/>
        </w:rPr>
        <w:t xml:space="preserve"> A general power might permit the parent to appoint to his or her creditors or to the child. The limited power may permit appointment to a trust with the exact same provisions as the original </w:t>
      </w:r>
      <w:r w:rsidRPr="004D4C3D">
        <w:rPr>
          <w:rFonts w:ascii="Times New Roman" w:hAnsi="Times New Roman" w:cs="Times New Roman"/>
          <w:i/>
        </w:rPr>
        <w:t>Crummy</w:t>
      </w:r>
      <w:r w:rsidRPr="004D4C3D">
        <w:rPr>
          <w:rFonts w:ascii="Times New Roman" w:hAnsi="Times New Roman" w:cs="Times New Roman"/>
        </w:rPr>
        <w:t xml:space="preserve"> grantor </w:t>
      </w:r>
      <w:proofErr w:type="gramStart"/>
      <w:r w:rsidRPr="004D4C3D">
        <w:rPr>
          <w:rFonts w:ascii="Times New Roman" w:hAnsi="Times New Roman" w:cs="Times New Roman"/>
        </w:rPr>
        <w:t>trust</w:t>
      </w:r>
      <w:proofErr w:type="gramEnd"/>
      <w:r w:rsidRPr="004D4C3D">
        <w:rPr>
          <w:rFonts w:ascii="Times New Roman" w:hAnsi="Times New Roman" w:cs="Times New Roman"/>
        </w:rPr>
        <w:t xml:space="preserve"> but which allows the child or another party to trigger the Delaware Tax Trap. The client’s decision between these powers might be dependent on state creditor and asset protection trust law.</w:t>
      </w:r>
      <w:r w:rsidRPr="004D4C3D">
        <w:rPr>
          <w:rStyle w:val="FootnoteReference"/>
          <w:rFonts w:ascii="Times New Roman" w:hAnsi="Times New Roman" w:cs="Times New Roman"/>
        </w:rPr>
        <w:footnoteReference w:id="14"/>
      </w:r>
    </w:p>
    <w:p w14:paraId="4FB38042" w14:textId="38676C10" w:rsidR="000E6C20" w:rsidRPr="004D4C3D" w:rsidRDefault="000E6C20" w:rsidP="0055371E">
      <w:pPr>
        <w:rPr>
          <w:rFonts w:ascii="Times New Roman" w:hAnsi="Times New Roman" w:cs="Times New Roman"/>
        </w:rPr>
      </w:pPr>
      <w:r w:rsidRPr="004D4C3D">
        <w:rPr>
          <w:rFonts w:ascii="Times New Roman" w:hAnsi="Times New Roman" w:cs="Times New Roman"/>
        </w:rPr>
        <w:tab/>
        <w:t xml:space="preserve">If the </w:t>
      </w:r>
      <w:r w:rsidR="00B15514" w:rsidRPr="004D4C3D">
        <w:rPr>
          <w:rFonts w:ascii="Times New Roman" w:hAnsi="Times New Roman" w:cs="Times New Roman"/>
        </w:rPr>
        <w:t xml:space="preserve">settlor of an irrevocable grantor trust dies in the mist of repayment of an installment </w:t>
      </w:r>
      <w:r w:rsidR="00B15514" w:rsidRPr="004D4C3D">
        <w:rPr>
          <w:rFonts w:ascii="Times New Roman" w:hAnsi="Times New Roman" w:cs="Times New Roman"/>
        </w:rPr>
        <w:lastRenderedPageBreak/>
        <w:t>note with the settlor, income tax on the note may be triggered at the settlor’s death. Therefore, the success of this trust relies upon the settlor surviving the parent.</w:t>
      </w:r>
      <w:r w:rsidR="00B15514" w:rsidRPr="004D4C3D">
        <w:rPr>
          <w:rStyle w:val="FootnoteReference"/>
          <w:rFonts w:ascii="Times New Roman" w:hAnsi="Times New Roman" w:cs="Times New Roman"/>
        </w:rPr>
        <w:footnoteReference w:id="15"/>
      </w:r>
      <w:r w:rsidR="00B15514" w:rsidRPr="004D4C3D">
        <w:rPr>
          <w:rFonts w:ascii="Times New Roman" w:hAnsi="Times New Roman" w:cs="Times New Roman"/>
        </w:rPr>
        <w:t xml:space="preserve"> The death of the powerholder is problematic only if the value of the assets dropped significantly after the gift. This is because the powerholder’s death triggers step up basis on the assets. Therefore, the basis of the assets likely will not exceed the liabilities, barring a sudden drop in the value of the assets. The settler must be careful in deciding which assets to sell to the grantor trust.</w:t>
      </w:r>
    </w:p>
    <w:p w14:paraId="35F39756" w14:textId="09271DDA" w:rsidR="00BA040E" w:rsidRPr="004D4C3D" w:rsidRDefault="00704619" w:rsidP="004D4C3D">
      <w:pPr>
        <w:pStyle w:val="Heading2"/>
      </w:pPr>
      <w:bookmarkStart w:id="30" w:name="_Toc510811729"/>
      <w:bookmarkStart w:id="31" w:name="_Toc510811764"/>
      <w:bookmarkStart w:id="32" w:name="_Toc510811878"/>
      <w:r w:rsidRPr="004D4C3D">
        <w:t>Accidentally Perfect Grantor Trust</w:t>
      </w:r>
      <w:bookmarkEnd w:id="30"/>
      <w:bookmarkEnd w:id="31"/>
      <w:bookmarkEnd w:id="32"/>
    </w:p>
    <w:p w14:paraId="3CB0E234" w14:textId="64BCEA88" w:rsidR="00D8697F" w:rsidRPr="004D4C3D" w:rsidRDefault="000265CC" w:rsidP="00D8697F">
      <w:pPr>
        <w:rPr>
          <w:rFonts w:ascii="Times New Roman" w:hAnsi="Times New Roman" w:cs="Times New Roman"/>
        </w:rPr>
      </w:pPr>
      <w:r w:rsidRPr="004D4C3D">
        <w:rPr>
          <w:rFonts w:ascii="Times New Roman" w:hAnsi="Times New Roman" w:cs="Times New Roman"/>
        </w:rPr>
        <w:tab/>
        <w:t xml:space="preserve">The Accidentally </w:t>
      </w:r>
      <w:r w:rsidR="00913629" w:rsidRPr="004D4C3D">
        <w:rPr>
          <w:rFonts w:ascii="Times New Roman" w:hAnsi="Times New Roman" w:cs="Times New Roman"/>
        </w:rPr>
        <w:t>Perfect</w:t>
      </w:r>
      <w:r w:rsidRPr="004D4C3D">
        <w:rPr>
          <w:rFonts w:ascii="Times New Roman" w:hAnsi="Times New Roman" w:cs="Times New Roman"/>
        </w:rPr>
        <w:t xml:space="preserve"> Grantor Trust</w:t>
      </w:r>
      <w:r w:rsidR="00E94C62" w:rsidRPr="004D4C3D">
        <w:rPr>
          <w:rFonts w:ascii="Times New Roman" w:hAnsi="Times New Roman" w:cs="Times New Roman"/>
        </w:rPr>
        <w:t xml:space="preserve"> (APGT)</w:t>
      </w:r>
      <w:r w:rsidRPr="004D4C3D">
        <w:rPr>
          <w:rFonts w:ascii="Times New Roman" w:hAnsi="Times New Roman" w:cs="Times New Roman"/>
        </w:rPr>
        <w:t xml:space="preserve"> is </w:t>
      </w:r>
      <w:proofErr w:type="gramStart"/>
      <w:r w:rsidRPr="004D4C3D">
        <w:rPr>
          <w:rFonts w:ascii="Times New Roman" w:hAnsi="Times New Roman" w:cs="Times New Roman"/>
        </w:rPr>
        <w:t>similar to</w:t>
      </w:r>
      <w:proofErr w:type="gramEnd"/>
      <w:r w:rsidRPr="004D4C3D">
        <w:rPr>
          <w:rFonts w:ascii="Times New Roman" w:hAnsi="Times New Roman" w:cs="Times New Roman"/>
        </w:rPr>
        <w:t xml:space="preserve"> the </w:t>
      </w:r>
      <w:proofErr w:type="spellStart"/>
      <w:r w:rsidRPr="004D4C3D">
        <w:rPr>
          <w:rFonts w:ascii="Times New Roman" w:hAnsi="Times New Roman" w:cs="Times New Roman"/>
        </w:rPr>
        <w:t>UpSPAT</w:t>
      </w:r>
      <w:proofErr w:type="spellEnd"/>
      <w:r w:rsidRPr="004D4C3D">
        <w:rPr>
          <w:rFonts w:ascii="Times New Roman" w:hAnsi="Times New Roman" w:cs="Times New Roman"/>
        </w:rPr>
        <w:t xml:space="preserve"> in </w:t>
      </w:r>
      <w:r w:rsidR="00913629" w:rsidRPr="004D4C3D">
        <w:rPr>
          <w:rFonts w:ascii="Times New Roman" w:hAnsi="Times New Roman" w:cs="Times New Roman"/>
        </w:rPr>
        <w:t xml:space="preserve">many respects. It requires a child taxpayer to contribute “seed” money to an Intentionally Defective Grantor Trust (IDGT) set up for the benefit of the taxpayer’s parents or senior family members. The trust purchases </w:t>
      </w:r>
      <w:r w:rsidR="003633C5" w:rsidRPr="004D4C3D">
        <w:rPr>
          <w:rFonts w:ascii="Times New Roman" w:hAnsi="Times New Roman" w:cs="Times New Roman"/>
        </w:rPr>
        <w:t xml:space="preserve">assets with high </w:t>
      </w:r>
      <w:r w:rsidR="00913629" w:rsidRPr="004D4C3D">
        <w:rPr>
          <w:rFonts w:ascii="Times New Roman" w:hAnsi="Times New Roman" w:cs="Times New Roman"/>
        </w:rPr>
        <w:t>appreciation</w:t>
      </w:r>
      <w:r w:rsidR="00E94C62" w:rsidRPr="004D4C3D">
        <w:rPr>
          <w:rFonts w:ascii="Times New Roman" w:hAnsi="Times New Roman" w:cs="Times New Roman"/>
        </w:rPr>
        <w:t xml:space="preserve"> </w:t>
      </w:r>
      <w:r w:rsidR="00913629" w:rsidRPr="004D4C3D">
        <w:rPr>
          <w:rFonts w:ascii="Times New Roman" w:hAnsi="Times New Roman" w:cs="Times New Roman"/>
        </w:rPr>
        <w:t xml:space="preserve">potential from the taxpayer. </w:t>
      </w:r>
      <w:r w:rsidR="00E94C62" w:rsidRPr="004D4C3D">
        <w:rPr>
          <w:rFonts w:ascii="Times New Roman" w:hAnsi="Times New Roman" w:cs="Times New Roman"/>
        </w:rPr>
        <w:t xml:space="preserve">The APGT uses less gift tax exemption than if the taxpayer had gifted the property to the senior family member in hopes that it would be bequeathed back to </w:t>
      </w:r>
      <w:r w:rsidR="003633C5" w:rsidRPr="004D4C3D">
        <w:rPr>
          <w:rFonts w:ascii="Times New Roman" w:hAnsi="Times New Roman" w:cs="Times New Roman"/>
        </w:rPr>
        <w:t>him</w:t>
      </w:r>
      <w:r w:rsidR="00E94C62" w:rsidRPr="004D4C3D">
        <w:rPr>
          <w:rFonts w:ascii="Times New Roman" w:hAnsi="Times New Roman" w:cs="Times New Roman"/>
        </w:rPr>
        <w:t xml:space="preserve">. </w:t>
      </w:r>
      <w:r w:rsidR="003633C5" w:rsidRPr="004D4C3D">
        <w:rPr>
          <w:rFonts w:ascii="Times New Roman" w:hAnsi="Times New Roman" w:cs="Times New Roman"/>
        </w:rPr>
        <w:t>Depending on the structure of the trust, it ma</w:t>
      </w:r>
      <w:r w:rsidR="00812A51" w:rsidRPr="004D4C3D">
        <w:rPr>
          <w:rFonts w:ascii="Times New Roman" w:hAnsi="Times New Roman" w:cs="Times New Roman"/>
        </w:rPr>
        <w:t xml:space="preserve">y </w:t>
      </w:r>
      <w:r w:rsidR="003633C5" w:rsidRPr="004D4C3D">
        <w:rPr>
          <w:rFonts w:ascii="Times New Roman" w:hAnsi="Times New Roman" w:cs="Times New Roman"/>
        </w:rPr>
        <w:t xml:space="preserve">remain a grantor trust for the taxpayer even after the senior family member has </w:t>
      </w:r>
      <w:r w:rsidR="00C97913" w:rsidRPr="004D4C3D">
        <w:rPr>
          <w:rFonts w:ascii="Times New Roman" w:hAnsi="Times New Roman" w:cs="Times New Roman"/>
        </w:rPr>
        <w:t>died</w:t>
      </w:r>
      <w:r w:rsidR="003633C5" w:rsidRPr="004D4C3D">
        <w:rPr>
          <w:rFonts w:ascii="Times New Roman" w:hAnsi="Times New Roman" w:cs="Times New Roman"/>
        </w:rPr>
        <w:t>.</w:t>
      </w:r>
      <w:r w:rsidR="003633C5" w:rsidRPr="004D4C3D">
        <w:rPr>
          <w:rStyle w:val="FootnoteReference"/>
          <w:rFonts w:ascii="Times New Roman" w:hAnsi="Times New Roman" w:cs="Times New Roman"/>
        </w:rPr>
        <w:footnoteReference w:id="16"/>
      </w:r>
      <w:r w:rsidR="003633C5" w:rsidRPr="004D4C3D">
        <w:rPr>
          <w:rFonts w:ascii="Times New Roman" w:hAnsi="Times New Roman" w:cs="Times New Roman"/>
        </w:rPr>
        <w:t xml:space="preserve"> </w:t>
      </w:r>
      <w:r w:rsidR="00812A51" w:rsidRPr="004D4C3D">
        <w:rPr>
          <w:rFonts w:ascii="Times New Roman" w:hAnsi="Times New Roman" w:cs="Times New Roman"/>
        </w:rPr>
        <w:t>Mickey Davis</w:t>
      </w:r>
      <w:r w:rsidR="003633C5" w:rsidRPr="004D4C3D">
        <w:rPr>
          <w:rFonts w:ascii="Times New Roman" w:hAnsi="Times New Roman" w:cs="Times New Roman"/>
        </w:rPr>
        <w:t xml:space="preserve"> gives an example of an APGT involving a closely held business:</w:t>
      </w:r>
    </w:p>
    <w:p w14:paraId="6C0DA003" w14:textId="2998A9B5" w:rsidR="009A47CD" w:rsidRPr="004D4C3D" w:rsidRDefault="009A47CD" w:rsidP="009A47CD">
      <w:pPr>
        <w:ind w:left="720" w:right="720"/>
        <w:rPr>
          <w:rFonts w:ascii="Times New Roman" w:hAnsi="Times New Roman" w:cs="Times New Roman"/>
        </w:rPr>
      </w:pPr>
      <w:r w:rsidRPr="004D4C3D">
        <w:rPr>
          <w:rFonts w:ascii="Times New Roman" w:hAnsi="Times New Roman" w:cs="Times New Roman"/>
          <w:b/>
        </w:rPr>
        <w:t>Example:</w:t>
      </w:r>
      <w:r w:rsidRPr="004D4C3D">
        <w:rPr>
          <w:rFonts w:ascii="Times New Roman" w:hAnsi="Times New Roman" w:cs="Times New Roman"/>
        </w:rPr>
        <w:t xml:space="preserve"> </w:t>
      </w:r>
      <w:r w:rsidR="003633C5" w:rsidRPr="004D4C3D">
        <w:rPr>
          <w:rFonts w:ascii="Times New Roman" w:hAnsi="Times New Roman" w:cs="Times New Roman"/>
        </w:rPr>
        <w:t xml:space="preserve">Jenny owns the stock in a closely held business that she thinks is about to explode in value. Her mom Mary's net worth is perhaps $100,000. Jenny recapitalizes the company so that it has 1 voting share and 999 non-voting shares. She then sets up an IDGT for Mary's </w:t>
      </w:r>
      <w:proofErr w:type="gramStart"/>
      <w:r w:rsidR="003633C5" w:rsidRPr="004D4C3D">
        <w:rPr>
          <w:rFonts w:ascii="Times New Roman" w:hAnsi="Times New Roman" w:cs="Times New Roman"/>
        </w:rPr>
        <w:t>benefit, and</w:t>
      </w:r>
      <w:proofErr w:type="gramEnd"/>
      <w:r w:rsidR="003633C5" w:rsidRPr="004D4C3D">
        <w:rPr>
          <w:rFonts w:ascii="Times New Roman" w:hAnsi="Times New Roman" w:cs="Times New Roman"/>
        </w:rPr>
        <w:t xml:space="preserve"> sells the non-voting stock to the trust for its current appraised value of $1 million. She uses a combination of seed money and</w:t>
      </w:r>
      <w:r w:rsidR="003633C5" w:rsidRPr="004D4C3D">
        <w:rPr>
          <w:rFonts w:ascii="Times New Roman" w:hAnsi="Times New Roman" w:cs="Times New Roman"/>
          <w:i/>
        </w:rPr>
        <w:t xml:space="preserve"> a guarantee by Mary</w:t>
      </w:r>
      <w:r w:rsidR="003633C5" w:rsidRPr="004D4C3D">
        <w:rPr>
          <w:rFonts w:ascii="Times New Roman" w:hAnsi="Times New Roman" w:cs="Times New Roman"/>
        </w:rPr>
        <w:t xml:space="preserve"> to make sure that the sale is respected for income </w:t>
      </w:r>
      <w:r w:rsidR="003633C5" w:rsidRPr="004D4C3D">
        <w:rPr>
          <w:rFonts w:ascii="Times New Roman" w:hAnsi="Times New Roman" w:cs="Times New Roman"/>
        </w:rPr>
        <w:lastRenderedPageBreak/>
        <w:t xml:space="preserve">and gift tax purposes. The trust has language that grants Mary a general testamentary power to appoint the trust property to anyone she chooses. Mary signs a new </w:t>
      </w:r>
      <w:r w:rsidR="00C97913" w:rsidRPr="004D4C3D">
        <w:rPr>
          <w:rFonts w:ascii="Times New Roman" w:hAnsi="Times New Roman" w:cs="Times New Roman"/>
        </w:rPr>
        <w:t>W</w:t>
      </w:r>
      <w:r w:rsidR="003633C5" w:rsidRPr="004D4C3D">
        <w:rPr>
          <w:rFonts w:ascii="Times New Roman" w:hAnsi="Times New Roman" w:cs="Times New Roman"/>
        </w:rPr>
        <w:t>ill that leaves the trust property to a dynasty trust for Jenny and her descendants, naming Jenny as the trustee. (Just in case, the IDGT contains the same type of dynasty trust to receive the property if Mary fails to exercise her power of appointment). When Mary dies four years later, the stock has appreciated to $2 million in value. Because the trust assets are included in Mary's estate, the stock gets a new cost basis of $2 million.</w:t>
      </w:r>
      <w:r w:rsidRPr="004D4C3D">
        <w:rPr>
          <w:rStyle w:val="FootnoteReference"/>
          <w:rFonts w:ascii="Times New Roman" w:hAnsi="Times New Roman" w:cs="Times New Roman"/>
        </w:rPr>
        <w:footnoteReference w:id="17"/>
      </w:r>
    </w:p>
    <w:p w14:paraId="17B94A9A" w14:textId="358126C2" w:rsidR="009A47CD" w:rsidRPr="004D4C3D" w:rsidRDefault="009A47CD" w:rsidP="004D4C3D">
      <w:pPr>
        <w:ind w:firstLine="720"/>
        <w:rPr>
          <w:rFonts w:ascii="Times New Roman" w:hAnsi="Times New Roman" w:cs="Times New Roman"/>
        </w:rPr>
      </w:pPr>
      <w:r w:rsidRPr="004D4C3D">
        <w:rPr>
          <w:rFonts w:ascii="Times New Roman" w:hAnsi="Times New Roman" w:cs="Times New Roman"/>
        </w:rPr>
        <w:t xml:space="preserve">Jenny has use of the trust property and may pass the property to her children with no wealth transfer tax obligation. Mary’s estate would also likely have remaining GST tax exemption to shelter the trust assets from estate tax when Jenny dies. The trust in this example has many benefits that Davis points out in turn: (1) Jenny has the lifetime use of the trust property, (2) it </w:t>
      </w:r>
      <w:r w:rsidR="00C97913" w:rsidRPr="004D4C3D">
        <w:rPr>
          <w:rFonts w:ascii="Times New Roman" w:hAnsi="Times New Roman" w:cs="Times New Roman"/>
        </w:rPr>
        <w:t xml:space="preserve">cannot </w:t>
      </w:r>
      <w:r w:rsidRPr="004D4C3D">
        <w:rPr>
          <w:rFonts w:ascii="Times New Roman" w:hAnsi="Times New Roman" w:cs="Times New Roman"/>
        </w:rPr>
        <w:t xml:space="preserve">be attached by Jenny’s creditors, (3) the property can pass to whomever Jenny </w:t>
      </w:r>
      <w:proofErr w:type="spellStart"/>
      <w:r w:rsidRPr="004D4C3D">
        <w:rPr>
          <w:rFonts w:ascii="Times New Roman" w:hAnsi="Times New Roman" w:cs="Times New Roman"/>
        </w:rPr>
        <w:t>whishes</w:t>
      </w:r>
      <w:proofErr w:type="spellEnd"/>
      <w:r w:rsidRPr="004D4C3D">
        <w:rPr>
          <w:rFonts w:ascii="Times New Roman" w:hAnsi="Times New Roman" w:cs="Times New Roman"/>
        </w:rPr>
        <w:t>, (4) principal from the trust can be utilized sparingly for Jenn</w:t>
      </w:r>
      <w:r w:rsidR="00C97913" w:rsidRPr="004D4C3D">
        <w:rPr>
          <w:rFonts w:ascii="Times New Roman" w:hAnsi="Times New Roman" w:cs="Times New Roman"/>
        </w:rPr>
        <w:t xml:space="preserve"> </w:t>
      </w:r>
      <w:r w:rsidRPr="004D4C3D">
        <w:rPr>
          <w:rFonts w:ascii="Times New Roman" w:hAnsi="Times New Roman" w:cs="Times New Roman"/>
        </w:rPr>
        <w:t xml:space="preserve">y’s benefit or the benefit of her descendants, (5) if the trust </w:t>
      </w:r>
      <w:r w:rsidR="00C97913" w:rsidRPr="004D4C3D">
        <w:rPr>
          <w:rFonts w:ascii="Times New Roman" w:hAnsi="Times New Roman" w:cs="Times New Roman"/>
        </w:rPr>
        <w:t xml:space="preserve">is not </w:t>
      </w:r>
      <w:r w:rsidRPr="004D4C3D">
        <w:rPr>
          <w:rFonts w:ascii="Times New Roman" w:hAnsi="Times New Roman" w:cs="Times New Roman"/>
        </w:rPr>
        <w:t>a grantor trust as to Jenny, the income from the trust can be utilized sparingly, at Jenny’s discretion, among herself and her descendants. This has the added benefit of shifting the trust’s income to taxpayers with potentially lower income tax brackets.</w:t>
      </w:r>
      <w:r w:rsidRPr="004D4C3D">
        <w:rPr>
          <w:rStyle w:val="FootnoteReference"/>
          <w:rFonts w:ascii="Times New Roman" w:hAnsi="Times New Roman" w:cs="Times New Roman"/>
        </w:rPr>
        <w:footnoteReference w:id="18"/>
      </w:r>
    </w:p>
    <w:p w14:paraId="4DE5B50C" w14:textId="5C13A5F0" w:rsidR="009A47CD" w:rsidRPr="004D4C3D" w:rsidRDefault="009A47CD" w:rsidP="009A47CD">
      <w:pPr>
        <w:rPr>
          <w:rFonts w:ascii="Times New Roman" w:hAnsi="Times New Roman" w:cs="Times New Roman"/>
        </w:rPr>
      </w:pPr>
      <w:r w:rsidRPr="004D4C3D">
        <w:rPr>
          <w:rFonts w:ascii="Times New Roman" w:hAnsi="Times New Roman" w:cs="Times New Roman"/>
        </w:rPr>
        <w:tab/>
      </w:r>
      <w:r w:rsidR="00907E96" w:rsidRPr="004D4C3D">
        <w:rPr>
          <w:rFonts w:ascii="Times New Roman" w:hAnsi="Times New Roman" w:cs="Times New Roman"/>
        </w:rPr>
        <w:t>Ordinarily, if the taxpayer gives assets to a senior family member, and that family member dies within one year, leaving the property to the donor, there is no step-up in basis.</w:t>
      </w:r>
      <w:r w:rsidR="00907E96" w:rsidRPr="004D4C3D">
        <w:rPr>
          <w:rStyle w:val="FootnoteReference"/>
          <w:rFonts w:ascii="Times New Roman" w:hAnsi="Times New Roman" w:cs="Times New Roman"/>
        </w:rPr>
        <w:footnoteReference w:id="19"/>
      </w:r>
      <w:r w:rsidRPr="004D4C3D">
        <w:rPr>
          <w:rFonts w:ascii="Times New Roman" w:hAnsi="Times New Roman" w:cs="Times New Roman"/>
        </w:rPr>
        <w:t xml:space="preserve"> </w:t>
      </w:r>
      <w:r w:rsidR="00907E96" w:rsidRPr="004D4C3D">
        <w:rPr>
          <w:rFonts w:ascii="Times New Roman" w:hAnsi="Times New Roman" w:cs="Times New Roman"/>
        </w:rPr>
        <w:t xml:space="preserve">However, in the above example, the property does not pass directly to the donor, it passes to a dynasty trust, a beneficiary of which happens to be the donor. This might permit a new step-up in basis, although </w:t>
      </w:r>
      <w:r w:rsidR="00907E96" w:rsidRPr="004D4C3D">
        <w:rPr>
          <w:rFonts w:ascii="Times New Roman" w:hAnsi="Times New Roman" w:cs="Times New Roman"/>
        </w:rPr>
        <w:lastRenderedPageBreak/>
        <w:t>the IRS has stated otherwise.</w:t>
      </w:r>
      <w:r w:rsidR="00907E96" w:rsidRPr="004D4C3D">
        <w:rPr>
          <w:rStyle w:val="FootnoteReference"/>
          <w:rFonts w:ascii="Times New Roman" w:hAnsi="Times New Roman" w:cs="Times New Roman"/>
        </w:rPr>
        <w:footnoteReference w:id="20"/>
      </w:r>
    </w:p>
    <w:p w14:paraId="17E21006" w14:textId="2942FA77" w:rsidR="00812A51" w:rsidRPr="004D4C3D" w:rsidRDefault="00812A51" w:rsidP="009A47CD">
      <w:pPr>
        <w:rPr>
          <w:rFonts w:ascii="Times New Roman" w:hAnsi="Times New Roman" w:cs="Times New Roman"/>
        </w:rPr>
      </w:pPr>
      <w:r w:rsidRPr="004D4C3D">
        <w:rPr>
          <w:rFonts w:ascii="Times New Roman" w:hAnsi="Times New Roman" w:cs="Times New Roman"/>
        </w:rPr>
        <w:tab/>
        <w:t>The status of the successor trust could depend upon the senior family member’s decision to exercise its power of appointment. Referring again to the above example, if the successor dynasty trust arose due to the senior family member’s failure to exercise its power of appointment, the trust can likely be characterized as a grantor trust as to the junior taxpayer.</w:t>
      </w:r>
      <w:r w:rsidRPr="004D4C3D">
        <w:rPr>
          <w:rStyle w:val="FootnoteReference"/>
          <w:rFonts w:ascii="Times New Roman" w:hAnsi="Times New Roman" w:cs="Times New Roman"/>
        </w:rPr>
        <w:footnoteReference w:id="21"/>
      </w:r>
      <w:r w:rsidR="00C93DE1" w:rsidRPr="004D4C3D">
        <w:rPr>
          <w:rFonts w:ascii="Times New Roman" w:hAnsi="Times New Roman" w:cs="Times New Roman"/>
        </w:rPr>
        <w:t xml:space="preserve"> On the other hand, if the senior family member exercises its power of appointment, the senior family member will be the grantor of the trust, although the junior taxpayer is the grantor of the original trust.</w:t>
      </w:r>
    </w:p>
    <w:p w14:paraId="4FD16253" w14:textId="64BE2B61" w:rsidR="00C93DE1" w:rsidRPr="004D4C3D" w:rsidRDefault="00C93DE1" w:rsidP="009A47CD">
      <w:pPr>
        <w:rPr>
          <w:rFonts w:ascii="Times New Roman" w:hAnsi="Times New Roman" w:cs="Times New Roman"/>
        </w:rPr>
      </w:pPr>
      <w:r w:rsidRPr="004D4C3D">
        <w:rPr>
          <w:rFonts w:ascii="Times New Roman" w:hAnsi="Times New Roman" w:cs="Times New Roman"/>
        </w:rPr>
        <w:tab/>
        <w:t>The successor trust must limit the junior taxpayer’s access to rights normally associated with a dynasty trust to prevent the trust from becoming includable in junior taxpayer’s estate. For example, limit that taxpayer’s rights to make distributions by an ascertainable standard and allow only limited powers of appointment.</w:t>
      </w:r>
      <w:r w:rsidRPr="004D4C3D">
        <w:rPr>
          <w:rStyle w:val="FootnoteReference"/>
          <w:rFonts w:ascii="Times New Roman" w:hAnsi="Times New Roman" w:cs="Times New Roman"/>
        </w:rPr>
        <w:footnoteReference w:id="22"/>
      </w:r>
    </w:p>
    <w:p w14:paraId="0C5EDAB4" w14:textId="74F4BB14" w:rsidR="00BA040E" w:rsidRPr="004D4C3D" w:rsidRDefault="00704619" w:rsidP="004D4C3D">
      <w:pPr>
        <w:pStyle w:val="Heading2"/>
      </w:pPr>
      <w:bookmarkStart w:id="33" w:name="_Toc510811730"/>
      <w:bookmarkStart w:id="34" w:name="_Toc510811765"/>
      <w:bookmarkStart w:id="35" w:name="_Toc510811879"/>
      <w:r w:rsidRPr="004D4C3D">
        <w:t>Upside of deb</w:t>
      </w:r>
      <w:r w:rsidR="00BA040E" w:rsidRPr="004D4C3D">
        <w:t>t</w:t>
      </w:r>
      <w:bookmarkEnd w:id="33"/>
      <w:bookmarkEnd w:id="34"/>
      <w:bookmarkEnd w:id="35"/>
    </w:p>
    <w:p w14:paraId="0A1E54F4" w14:textId="03260F29" w:rsidR="00C93DE1" w:rsidRPr="004D4C3D" w:rsidRDefault="00B468B0" w:rsidP="00C93DE1">
      <w:pPr>
        <w:rPr>
          <w:rFonts w:ascii="Times New Roman" w:hAnsi="Times New Roman" w:cs="Times New Roman"/>
        </w:rPr>
      </w:pPr>
      <w:r w:rsidRPr="004D4C3D">
        <w:rPr>
          <w:rFonts w:ascii="Times New Roman" w:hAnsi="Times New Roman" w:cs="Times New Roman"/>
        </w:rPr>
        <w:tab/>
        <w:t>Debt is a tool for maximizing the benefits of a step-up in basis while minimizing the estate tax.</w:t>
      </w:r>
      <w:r w:rsidRPr="004D4C3D">
        <w:rPr>
          <w:rStyle w:val="FootnoteReference"/>
          <w:rFonts w:ascii="Times New Roman" w:hAnsi="Times New Roman" w:cs="Times New Roman"/>
        </w:rPr>
        <w:footnoteReference w:id="23"/>
      </w:r>
      <w:r w:rsidR="00596C44" w:rsidRPr="004D4C3D">
        <w:rPr>
          <w:rFonts w:ascii="Times New Roman" w:hAnsi="Times New Roman" w:cs="Times New Roman"/>
        </w:rPr>
        <w:t xml:space="preserve"> Consider a taxpayer who owns fully depreciated commercial real property worth $10 million and $0 adjusted basis. Without deductions, the taxpayer will include $10 million of property in his taxable estate</w:t>
      </w:r>
      <w:r w:rsidR="00E51687" w:rsidRPr="004D4C3D">
        <w:rPr>
          <w:rFonts w:ascii="Times New Roman" w:hAnsi="Times New Roman" w:cs="Times New Roman"/>
        </w:rPr>
        <w:t xml:space="preserve">, and the property will get a step-up in basis to $10 million. </w:t>
      </w:r>
    </w:p>
    <w:p w14:paraId="66205A81" w14:textId="4C43898F" w:rsidR="00E51687" w:rsidRPr="004D4C3D" w:rsidRDefault="00E51687" w:rsidP="00C93DE1">
      <w:pPr>
        <w:rPr>
          <w:rFonts w:ascii="Times New Roman" w:hAnsi="Times New Roman" w:cs="Times New Roman"/>
        </w:rPr>
      </w:pPr>
      <w:r w:rsidRPr="004D4C3D">
        <w:rPr>
          <w:rFonts w:ascii="Times New Roman" w:hAnsi="Times New Roman" w:cs="Times New Roman"/>
        </w:rPr>
        <w:tab/>
        <w:t xml:space="preserve">Now consider if the taxpayer took out a loan for $9 million, pledging the property as collateral, and uses the $9 million in cash to buy an asset in an IDGT with $0 basis. Both the $10 </w:t>
      </w:r>
      <w:r w:rsidRPr="004D4C3D">
        <w:rPr>
          <w:rFonts w:ascii="Times New Roman" w:hAnsi="Times New Roman" w:cs="Times New Roman"/>
        </w:rPr>
        <w:lastRenderedPageBreak/>
        <w:t>million and $9 million property receive a step-up in basis. The gross estate would be $19 million, reduced by $9 million in debt, resulting in the same taxable estate of $10 million, but this time, there is an additional $9 million of stepped-up basis.</w:t>
      </w:r>
    </w:p>
    <w:p w14:paraId="560102E6" w14:textId="4C2011C9" w:rsidR="00E51687" w:rsidRPr="004D4C3D" w:rsidRDefault="00E51687" w:rsidP="00C93DE1">
      <w:pPr>
        <w:rPr>
          <w:rFonts w:ascii="Times New Roman" w:hAnsi="Times New Roman" w:cs="Times New Roman"/>
        </w:rPr>
      </w:pPr>
      <w:r w:rsidRPr="004D4C3D">
        <w:rPr>
          <w:rFonts w:ascii="Times New Roman" w:hAnsi="Times New Roman" w:cs="Times New Roman"/>
        </w:rPr>
        <w:tab/>
        <w:t xml:space="preserve">Consider a third scenario in which a loan is again taken out for $9 million. The taxpayer uses “zeroed-out” transfers until only $2m of cash remains in the estate. The gross estate is now worth $12 million, reduced by $9 million in debt, resulting in a $3 million taxable estate. </w:t>
      </w:r>
      <w:proofErr w:type="gramStart"/>
      <w:r w:rsidRPr="004D4C3D">
        <w:rPr>
          <w:rFonts w:ascii="Times New Roman" w:hAnsi="Times New Roman" w:cs="Times New Roman"/>
        </w:rPr>
        <w:t>But,</w:t>
      </w:r>
      <w:proofErr w:type="gramEnd"/>
      <w:r w:rsidRPr="004D4C3D">
        <w:rPr>
          <w:rFonts w:ascii="Times New Roman" w:hAnsi="Times New Roman" w:cs="Times New Roman"/>
        </w:rPr>
        <w:t xml:space="preserve"> the taxpayer still gets a $10 million step up in basis for his original property.</w:t>
      </w:r>
    </w:p>
    <w:p w14:paraId="055724D0" w14:textId="003D3B2B" w:rsidR="00E51687" w:rsidRPr="004D4C3D" w:rsidRDefault="00E51687" w:rsidP="00C93DE1">
      <w:pPr>
        <w:rPr>
          <w:rFonts w:ascii="Times New Roman" w:hAnsi="Times New Roman" w:cs="Times New Roman"/>
        </w:rPr>
      </w:pPr>
      <w:r w:rsidRPr="004D4C3D">
        <w:rPr>
          <w:rFonts w:ascii="Times New Roman" w:hAnsi="Times New Roman" w:cs="Times New Roman"/>
        </w:rPr>
        <w:tab/>
        <w:t>Paul Lee refers to two driving factors, both illustrated in this example, that reduce estate tax obligations while maximizing step-up in basis: (1) ensuring that debt is deductible, and (2) engaging in additional transactions</w:t>
      </w:r>
      <w:r w:rsidR="0092248E" w:rsidRPr="004D4C3D">
        <w:rPr>
          <w:rFonts w:ascii="Times New Roman" w:hAnsi="Times New Roman" w:cs="Times New Roman"/>
        </w:rPr>
        <w:t xml:space="preserve"> in exchange for something that can benefit from a step-up in basis (the second scenario) or</w:t>
      </w:r>
      <w:r w:rsidRPr="004D4C3D">
        <w:rPr>
          <w:rFonts w:ascii="Times New Roman" w:hAnsi="Times New Roman" w:cs="Times New Roman"/>
        </w:rPr>
        <w:t xml:space="preserve"> </w:t>
      </w:r>
      <w:r w:rsidR="0092248E" w:rsidRPr="004D4C3D">
        <w:rPr>
          <w:rFonts w:ascii="Times New Roman" w:hAnsi="Times New Roman" w:cs="Times New Roman"/>
        </w:rPr>
        <w:t xml:space="preserve">transactions that </w:t>
      </w:r>
      <w:r w:rsidRPr="004D4C3D">
        <w:rPr>
          <w:rFonts w:ascii="Times New Roman" w:hAnsi="Times New Roman" w:cs="Times New Roman"/>
        </w:rPr>
        <w:t>reduce estate tax exposure of debt proceeds</w:t>
      </w:r>
      <w:r w:rsidR="0092248E" w:rsidRPr="004D4C3D">
        <w:rPr>
          <w:rFonts w:ascii="Times New Roman" w:hAnsi="Times New Roman" w:cs="Times New Roman"/>
        </w:rPr>
        <w:t xml:space="preserve"> (the third scenario).</w:t>
      </w:r>
      <w:r w:rsidR="0092248E" w:rsidRPr="004D4C3D">
        <w:rPr>
          <w:rStyle w:val="FootnoteReference"/>
          <w:rFonts w:ascii="Times New Roman" w:hAnsi="Times New Roman" w:cs="Times New Roman"/>
        </w:rPr>
        <w:footnoteReference w:id="24"/>
      </w:r>
    </w:p>
    <w:p w14:paraId="4757EB9A" w14:textId="5AD1DFD3" w:rsidR="00BA040E" w:rsidRPr="004D4C3D" w:rsidRDefault="00704619" w:rsidP="004D4C3D">
      <w:pPr>
        <w:pStyle w:val="Heading2"/>
      </w:pPr>
      <w:bookmarkStart w:id="36" w:name="_Toc510811731"/>
      <w:bookmarkStart w:id="37" w:name="_Toc510811766"/>
      <w:bookmarkStart w:id="38" w:name="_Toc510811880"/>
      <w:r w:rsidRPr="004D4C3D">
        <w:t>Planning with partnerships</w:t>
      </w:r>
      <w:bookmarkEnd w:id="36"/>
      <w:bookmarkEnd w:id="37"/>
      <w:bookmarkEnd w:id="38"/>
    </w:p>
    <w:p w14:paraId="4084962B" w14:textId="5F4C4C06" w:rsidR="00731D89" w:rsidRPr="004D4C3D" w:rsidRDefault="00F71933" w:rsidP="00731D89">
      <w:pPr>
        <w:rPr>
          <w:rFonts w:ascii="Times New Roman" w:hAnsi="Times New Roman" w:cs="Times New Roman"/>
        </w:rPr>
      </w:pPr>
      <w:r w:rsidRPr="004D4C3D">
        <w:rPr>
          <w:rFonts w:ascii="Times New Roman" w:hAnsi="Times New Roman" w:cs="Times New Roman"/>
        </w:rPr>
        <w:tab/>
        <w:t>Partnerships give taxpayers the unique ability to shift and change the basis of property through distributions without requiring death or a taxable event. A thorough knowledge of the tax law governing partnership basis and the inside and outside basis partners hold in their partnership is a valuable tax-saving tool for a tax planner. These rules are contained in subchapter K, and among the most important concepts are: (1) unitary basis rules, (2) non-liquidating current distribution of partnership property, (3) liquidating distributions of partnership property, (4) “mixing bowl” transactions, (5) partnership liabilities and basis, (6) section 754 election and inside basis adjustments, (</w:t>
      </w:r>
      <w:r w:rsidR="00367BCA" w:rsidRPr="004D4C3D">
        <w:rPr>
          <w:rFonts w:ascii="Times New Roman" w:hAnsi="Times New Roman" w:cs="Times New Roman"/>
        </w:rPr>
        <w:t>7) partnership division, and (8) anti-abuse rules.</w:t>
      </w:r>
      <w:r w:rsidR="00367BCA" w:rsidRPr="004D4C3D">
        <w:rPr>
          <w:rStyle w:val="FootnoteReference"/>
          <w:rFonts w:ascii="Times New Roman" w:hAnsi="Times New Roman" w:cs="Times New Roman"/>
        </w:rPr>
        <w:footnoteReference w:id="25"/>
      </w:r>
    </w:p>
    <w:p w14:paraId="0D0D7DD1" w14:textId="26AE1672" w:rsidR="00367BCA" w:rsidRPr="004D4C3D" w:rsidRDefault="00367BCA" w:rsidP="00731D89">
      <w:pPr>
        <w:rPr>
          <w:rFonts w:ascii="Times New Roman" w:hAnsi="Times New Roman" w:cs="Times New Roman"/>
        </w:rPr>
      </w:pPr>
      <w:r w:rsidRPr="004D4C3D">
        <w:rPr>
          <w:rFonts w:ascii="Times New Roman" w:hAnsi="Times New Roman" w:cs="Times New Roman"/>
        </w:rPr>
        <w:lastRenderedPageBreak/>
        <w:tab/>
        <w:t xml:space="preserve">Unlike shares in a corporation, a partner has a unitary basis in his partnership interest, regardless of differing classes of partnership interests. </w:t>
      </w:r>
    </w:p>
    <w:p w14:paraId="7F9FDAF8" w14:textId="05D172A9" w:rsidR="00DB4CBD" w:rsidRPr="004D4C3D" w:rsidRDefault="00DB4CBD" w:rsidP="004D4C3D">
      <w:pPr>
        <w:pStyle w:val="Heading3"/>
      </w:pPr>
      <w:bookmarkStart w:id="39" w:name="_Toc510811732"/>
      <w:bookmarkStart w:id="40" w:name="_Toc510811881"/>
      <w:r w:rsidRPr="004D4C3D">
        <w:t>Non-Liquidating Distributions</w:t>
      </w:r>
      <w:bookmarkEnd w:id="39"/>
      <w:bookmarkEnd w:id="40"/>
    </w:p>
    <w:p w14:paraId="48BF61A2" w14:textId="4212C8D9" w:rsidR="00DB4CBD" w:rsidRPr="004D4C3D" w:rsidRDefault="00DB4CBD" w:rsidP="00DB4CBD">
      <w:pPr>
        <w:rPr>
          <w:rFonts w:ascii="Times New Roman" w:hAnsi="Times New Roman" w:cs="Times New Roman"/>
        </w:rPr>
      </w:pPr>
      <w:r w:rsidRPr="004D4C3D">
        <w:rPr>
          <w:rFonts w:ascii="Times New Roman" w:hAnsi="Times New Roman" w:cs="Times New Roman"/>
        </w:rPr>
        <w:tab/>
        <w:t>Cash distributions will only trigger gain if the distribution exceeds the outside basis of the partnership interest of any partners.</w:t>
      </w:r>
      <w:r w:rsidRPr="004D4C3D">
        <w:rPr>
          <w:rStyle w:val="FootnoteReference"/>
          <w:rFonts w:ascii="Times New Roman" w:hAnsi="Times New Roman" w:cs="Times New Roman"/>
        </w:rPr>
        <w:footnoteReference w:id="26"/>
      </w:r>
      <w:r w:rsidRPr="004D4C3D">
        <w:rPr>
          <w:rFonts w:ascii="Times New Roman" w:hAnsi="Times New Roman" w:cs="Times New Roman"/>
        </w:rPr>
        <w:t xml:space="preserve"> Any gain recognized to the extent the cash distributed exceeds outside basis reduces the partner’s outside basis.</w:t>
      </w:r>
      <w:r w:rsidRPr="004D4C3D">
        <w:rPr>
          <w:rStyle w:val="FootnoteReference"/>
          <w:rFonts w:ascii="Times New Roman" w:hAnsi="Times New Roman" w:cs="Times New Roman"/>
        </w:rPr>
        <w:footnoteReference w:id="27"/>
      </w:r>
      <w:r w:rsidRPr="004D4C3D">
        <w:rPr>
          <w:rFonts w:ascii="Times New Roman" w:hAnsi="Times New Roman" w:cs="Times New Roman"/>
        </w:rPr>
        <w:t xml:space="preserve"> The cash </w:t>
      </w:r>
      <w:proofErr w:type="gramStart"/>
      <w:r w:rsidRPr="004D4C3D">
        <w:rPr>
          <w:rFonts w:ascii="Times New Roman" w:hAnsi="Times New Roman" w:cs="Times New Roman"/>
        </w:rPr>
        <w:t>in excess of</w:t>
      </w:r>
      <w:proofErr w:type="gramEnd"/>
      <w:r w:rsidRPr="004D4C3D">
        <w:rPr>
          <w:rFonts w:ascii="Times New Roman" w:hAnsi="Times New Roman" w:cs="Times New Roman"/>
        </w:rPr>
        <w:t xml:space="preserve"> basis is considered capital gain from the sale of the partner’s interest.</w:t>
      </w:r>
      <w:r w:rsidRPr="004D4C3D">
        <w:rPr>
          <w:rStyle w:val="FootnoteReference"/>
          <w:rFonts w:ascii="Times New Roman" w:hAnsi="Times New Roman" w:cs="Times New Roman"/>
        </w:rPr>
        <w:footnoteReference w:id="28"/>
      </w:r>
    </w:p>
    <w:p w14:paraId="65B00685" w14:textId="07A18FC1" w:rsidR="007B0EF6" w:rsidRPr="004D4C3D" w:rsidRDefault="007B0EF6" w:rsidP="00DB4CBD">
      <w:pPr>
        <w:rPr>
          <w:rFonts w:ascii="Times New Roman" w:hAnsi="Times New Roman" w:cs="Times New Roman"/>
        </w:rPr>
      </w:pPr>
      <w:r w:rsidRPr="004D4C3D">
        <w:rPr>
          <w:rFonts w:ascii="Times New Roman" w:hAnsi="Times New Roman" w:cs="Times New Roman"/>
        </w:rPr>
        <w:tab/>
        <w:t>Property distributions do not result in any gain or loss upon distribution unless the property is a marketable security or is a “hot asset” pursuant to section 751.</w:t>
      </w:r>
      <w:r w:rsidRPr="004D4C3D">
        <w:rPr>
          <w:rStyle w:val="FootnoteReference"/>
          <w:rFonts w:ascii="Times New Roman" w:hAnsi="Times New Roman" w:cs="Times New Roman"/>
        </w:rPr>
        <w:footnoteReference w:id="29"/>
      </w:r>
    </w:p>
    <w:p w14:paraId="2AB4FC89" w14:textId="427D705B" w:rsidR="007B0EF6" w:rsidRPr="004D4C3D" w:rsidRDefault="007B0EF6" w:rsidP="004D4C3D">
      <w:pPr>
        <w:pStyle w:val="Heading3"/>
      </w:pPr>
      <w:bookmarkStart w:id="41" w:name="_Toc510811733"/>
      <w:bookmarkStart w:id="42" w:name="_Toc510811882"/>
      <w:r w:rsidRPr="004D4C3D">
        <w:t>Liquidating Distributions</w:t>
      </w:r>
      <w:bookmarkEnd w:id="41"/>
      <w:bookmarkEnd w:id="42"/>
    </w:p>
    <w:p w14:paraId="614C2ACC" w14:textId="3BC7F22E" w:rsidR="007B0EF6" w:rsidRPr="004D4C3D" w:rsidRDefault="00176F87" w:rsidP="007B0EF6">
      <w:pPr>
        <w:rPr>
          <w:rFonts w:ascii="Times New Roman" w:hAnsi="Times New Roman" w:cs="Times New Roman"/>
        </w:rPr>
      </w:pPr>
      <w:r w:rsidRPr="004D4C3D">
        <w:rPr>
          <w:rFonts w:ascii="Times New Roman" w:hAnsi="Times New Roman" w:cs="Times New Roman"/>
        </w:rPr>
        <w:tab/>
        <w:t>Liquidating distr</w:t>
      </w:r>
      <w:r w:rsidR="007612D1" w:rsidRPr="004D4C3D">
        <w:rPr>
          <w:rFonts w:ascii="Times New Roman" w:hAnsi="Times New Roman" w:cs="Times New Roman"/>
        </w:rPr>
        <w:t>ibutions are treated as current liquidations except loss may be recognized. The only way to recognize such a loss is if the distribution consists only of cash and section 751 “hot” assets. Also, the basis of property distributed to a partner may be increased.</w:t>
      </w:r>
      <w:r w:rsidR="007612D1" w:rsidRPr="004D4C3D">
        <w:rPr>
          <w:rStyle w:val="FootnoteReference"/>
          <w:rFonts w:ascii="Times New Roman" w:hAnsi="Times New Roman" w:cs="Times New Roman"/>
        </w:rPr>
        <w:footnoteReference w:id="30"/>
      </w:r>
    </w:p>
    <w:p w14:paraId="00A294A0" w14:textId="568CDAA4" w:rsidR="007612D1" w:rsidRPr="004D4C3D" w:rsidRDefault="007612D1" w:rsidP="004D4C3D">
      <w:pPr>
        <w:pStyle w:val="Heading3"/>
      </w:pPr>
      <w:bookmarkStart w:id="43" w:name="_Toc510811734"/>
      <w:bookmarkStart w:id="44" w:name="_Toc510811883"/>
      <w:r w:rsidRPr="004D4C3D">
        <w:t>Section 754 Election</w:t>
      </w:r>
      <w:bookmarkEnd w:id="43"/>
      <w:bookmarkEnd w:id="44"/>
    </w:p>
    <w:p w14:paraId="74ACAC3A" w14:textId="098F6B45" w:rsidR="007612D1" w:rsidRPr="004D4C3D" w:rsidRDefault="00953EC3" w:rsidP="007612D1">
      <w:pPr>
        <w:rPr>
          <w:rFonts w:ascii="Times New Roman" w:hAnsi="Times New Roman" w:cs="Times New Roman"/>
        </w:rPr>
      </w:pPr>
      <w:r w:rsidRPr="004D4C3D">
        <w:rPr>
          <w:rFonts w:ascii="Times New Roman" w:hAnsi="Times New Roman" w:cs="Times New Roman"/>
        </w:rPr>
        <w:tab/>
        <w:t>Upon the death of a partner or upon the sale or exchange of a partnership interest, the partnership may elect to adjust the partnership’s basis (internal basis) pursuant to section 754.</w:t>
      </w:r>
      <w:r w:rsidRPr="004D4C3D">
        <w:rPr>
          <w:rStyle w:val="FootnoteReference"/>
          <w:rFonts w:ascii="Times New Roman" w:hAnsi="Times New Roman" w:cs="Times New Roman"/>
        </w:rPr>
        <w:footnoteReference w:id="31"/>
      </w:r>
      <w:r w:rsidRPr="004D4C3D">
        <w:rPr>
          <w:rFonts w:ascii="Times New Roman" w:hAnsi="Times New Roman" w:cs="Times New Roman"/>
        </w:rPr>
        <w:t xml:space="preserve"> Most commentators agree that it is advantageous for the partnership to elect to adjust its basis if the fair market value of the decedent’s interest in the partnership exceeds the decedent’s interest in the basis of the partnership’s assets.</w:t>
      </w:r>
      <w:r w:rsidRPr="004D4C3D">
        <w:rPr>
          <w:rStyle w:val="FootnoteReference"/>
          <w:rFonts w:ascii="Times New Roman" w:hAnsi="Times New Roman" w:cs="Times New Roman"/>
        </w:rPr>
        <w:footnoteReference w:id="32"/>
      </w:r>
      <w:r w:rsidR="006A3B24" w:rsidRPr="004D4C3D">
        <w:rPr>
          <w:rFonts w:ascii="Times New Roman" w:hAnsi="Times New Roman" w:cs="Times New Roman"/>
        </w:rPr>
        <w:t xml:space="preserve"> If the deceased partner’s interest is worth more than that </w:t>
      </w:r>
      <w:r w:rsidR="006A3B24" w:rsidRPr="004D4C3D">
        <w:rPr>
          <w:rFonts w:ascii="Times New Roman" w:hAnsi="Times New Roman" w:cs="Times New Roman"/>
        </w:rPr>
        <w:lastRenderedPageBreak/>
        <w:t>partner’s share of the basis of the partnership’s assets, then the section 754 basis adjustment will result in a step-up in basis.</w:t>
      </w:r>
      <w:r w:rsidR="006A3B24" w:rsidRPr="004D4C3D">
        <w:rPr>
          <w:rStyle w:val="FootnoteReference"/>
          <w:rFonts w:ascii="Times New Roman" w:hAnsi="Times New Roman" w:cs="Times New Roman"/>
        </w:rPr>
        <w:footnoteReference w:id="33"/>
      </w:r>
      <w:r w:rsidR="006A3B24" w:rsidRPr="004D4C3D">
        <w:rPr>
          <w:rFonts w:ascii="Times New Roman" w:hAnsi="Times New Roman" w:cs="Times New Roman"/>
        </w:rPr>
        <w:t xml:space="preserve"> </w:t>
      </w:r>
    </w:p>
    <w:p w14:paraId="5E12E6D8" w14:textId="730573AE" w:rsidR="00C749AB" w:rsidRPr="004D4C3D" w:rsidRDefault="00C749AB" w:rsidP="004D4C3D">
      <w:pPr>
        <w:pStyle w:val="Heading3"/>
      </w:pPr>
      <w:bookmarkStart w:id="45" w:name="_Toc510811735"/>
      <w:bookmarkStart w:id="46" w:name="_Toc510811884"/>
      <w:r w:rsidRPr="004D4C3D">
        <w:t>Estate Planning Techniques</w:t>
      </w:r>
      <w:bookmarkEnd w:id="45"/>
      <w:bookmarkEnd w:id="46"/>
    </w:p>
    <w:p w14:paraId="3333D445" w14:textId="3AC637CD" w:rsidR="00C749AB" w:rsidRPr="004D4C3D" w:rsidRDefault="00127A47" w:rsidP="00C749AB">
      <w:pPr>
        <w:rPr>
          <w:rFonts w:ascii="Times New Roman" w:hAnsi="Times New Roman" w:cs="Times New Roman"/>
        </w:rPr>
      </w:pPr>
      <w:r w:rsidRPr="004D4C3D">
        <w:rPr>
          <w:rFonts w:ascii="Times New Roman" w:hAnsi="Times New Roman" w:cs="Times New Roman"/>
        </w:rPr>
        <w:tab/>
        <w:t xml:space="preserve">Partnership rules typically provide sufficient planning flexibility to shift and change the basis of property through distributions (liquidating and </w:t>
      </w:r>
      <w:proofErr w:type="spellStart"/>
      <w:r w:rsidRPr="004D4C3D">
        <w:rPr>
          <w:rFonts w:ascii="Times New Roman" w:hAnsi="Times New Roman" w:cs="Times New Roman"/>
        </w:rPr>
        <w:t>nonliquidating</w:t>
      </w:r>
      <w:proofErr w:type="spellEnd"/>
      <w:r w:rsidRPr="004D4C3D">
        <w:rPr>
          <w:rFonts w:ascii="Times New Roman" w:hAnsi="Times New Roman" w:cs="Times New Roman"/>
        </w:rPr>
        <w:t xml:space="preserve">) and the use of elections (like the Section 754 election). </w:t>
      </w:r>
      <w:r w:rsidR="00362A31" w:rsidRPr="004D4C3D">
        <w:rPr>
          <w:rFonts w:ascii="Times New Roman" w:hAnsi="Times New Roman" w:cs="Times New Roman"/>
        </w:rPr>
        <w:t>One option is the partnership may distribute a high basis</w:t>
      </w:r>
      <w:r w:rsidR="005A425F" w:rsidRPr="004D4C3D">
        <w:rPr>
          <w:rFonts w:ascii="Times New Roman" w:hAnsi="Times New Roman" w:cs="Times New Roman"/>
        </w:rPr>
        <w:t xml:space="preserve"> asset</w:t>
      </w:r>
      <w:r w:rsidR="00362A31" w:rsidRPr="004D4C3D">
        <w:rPr>
          <w:rFonts w:ascii="Times New Roman" w:hAnsi="Times New Roman" w:cs="Times New Roman"/>
        </w:rPr>
        <w:t xml:space="preserve"> to a partner with zero outside basis. The partner’s outside basis would allow for a step up in basis on the death of the partner. With a 754 election, the “stripped” basis, the </w:t>
      </w:r>
      <w:proofErr w:type="gramStart"/>
      <w:r w:rsidR="00362A31" w:rsidRPr="004D4C3D">
        <w:rPr>
          <w:rFonts w:ascii="Times New Roman" w:hAnsi="Times New Roman" w:cs="Times New Roman"/>
        </w:rPr>
        <w:t>partnership’s</w:t>
      </w:r>
      <w:proofErr w:type="gramEnd"/>
      <w:r w:rsidR="00362A31" w:rsidRPr="004D4C3D">
        <w:rPr>
          <w:rFonts w:ascii="Times New Roman" w:hAnsi="Times New Roman" w:cs="Times New Roman"/>
        </w:rPr>
        <w:t xml:space="preserve"> inside basis in the asset immediately prior to distribution, would allow for an upward basis adjustment to other assets remaining inside the partnership.</w:t>
      </w:r>
      <w:r w:rsidR="00362A31" w:rsidRPr="004D4C3D">
        <w:rPr>
          <w:rStyle w:val="FootnoteReference"/>
          <w:rFonts w:ascii="Times New Roman" w:hAnsi="Times New Roman" w:cs="Times New Roman"/>
        </w:rPr>
        <w:footnoteReference w:id="34"/>
      </w:r>
    </w:p>
    <w:p w14:paraId="74820E5E" w14:textId="615786DE" w:rsidR="00362A31" w:rsidRPr="004D4C3D" w:rsidRDefault="00362A31" w:rsidP="00C749AB">
      <w:pPr>
        <w:rPr>
          <w:rFonts w:ascii="Times New Roman" w:hAnsi="Times New Roman" w:cs="Times New Roman"/>
        </w:rPr>
      </w:pPr>
      <w:r w:rsidRPr="004D4C3D">
        <w:rPr>
          <w:rFonts w:ascii="Times New Roman" w:hAnsi="Times New Roman" w:cs="Times New Roman"/>
        </w:rPr>
        <w:tab/>
        <w:t xml:space="preserve">Debt is also </w:t>
      </w:r>
      <w:r w:rsidR="00B939DA" w:rsidRPr="004D4C3D">
        <w:rPr>
          <w:rFonts w:ascii="Times New Roman" w:hAnsi="Times New Roman" w:cs="Times New Roman"/>
        </w:rPr>
        <w:t>allocable among partners to create tax basis as to certain partners. By carefully managing each partner’s share of debt, the partnership can increase or decrease basis.</w:t>
      </w:r>
      <w:r w:rsidR="00B939DA" w:rsidRPr="004D4C3D">
        <w:rPr>
          <w:rStyle w:val="FootnoteReference"/>
          <w:rFonts w:ascii="Times New Roman" w:hAnsi="Times New Roman" w:cs="Times New Roman"/>
        </w:rPr>
        <w:footnoteReference w:id="35"/>
      </w:r>
    </w:p>
    <w:p w14:paraId="75DDD2DA" w14:textId="0A55808D" w:rsidR="005A425F" w:rsidRPr="004D4C3D" w:rsidRDefault="005A425F" w:rsidP="00C749AB">
      <w:pPr>
        <w:rPr>
          <w:rFonts w:ascii="Times New Roman" w:hAnsi="Times New Roman" w:cs="Times New Roman"/>
        </w:rPr>
      </w:pPr>
      <w:r w:rsidRPr="004D4C3D">
        <w:rPr>
          <w:rFonts w:ascii="Times New Roman" w:hAnsi="Times New Roman" w:cs="Times New Roman"/>
        </w:rPr>
        <w:tab/>
        <w:t xml:space="preserve">Furthermore, creative partnership divisions may be useful.  Since </w:t>
      </w:r>
      <w:r w:rsidR="00AF2957" w:rsidRPr="004D4C3D">
        <w:rPr>
          <w:rFonts w:ascii="Times New Roman" w:hAnsi="Times New Roman" w:cs="Times New Roman"/>
        </w:rPr>
        <w:t xml:space="preserve">basis adjustments pursuant to a 754 election are allocated among all assets of the partnership, there may be </w:t>
      </w:r>
      <w:proofErr w:type="gramStart"/>
      <w:r w:rsidR="00AF2957" w:rsidRPr="004D4C3D">
        <w:rPr>
          <w:rFonts w:ascii="Times New Roman" w:hAnsi="Times New Roman" w:cs="Times New Roman"/>
        </w:rPr>
        <w:t>benefit</w:t>
      </w:r>
      <w:proofErr w:type="gramEnd"/>
      <w:r w:rsidR="00AF2957" w:rsidRPr="004D4C3D">
        <w:rPr>
          <w:rFonts w:ascii="Times New Roman" w:hAnsi="Times New Roman" w:cs="Times New Roman"/>
        </w:rPr>
        <w:t xml:space="preserve"> to dividing loss property from gain property.  This allows making the 754 </w:t>
      </w:r>
      <w:proofErr w:type="gramStart"/>
      <w:r w:rsidR="00AF2957" w:rsidRPr="004D4C3D">
        <w:rPr>
          <w:rFonts w:ascii="Times New Roman" w:hAnsi="Times New Roman" w:cs="Times New Roman"/>
        </w:rPr>
        <w:t>election</w:t>
      </w:r>
      <w:proofErr w:type="gramEnd"/>
      <w:r w:rsidR="00AF2957" w:rsidRPr="004D4C3D">
        <w:rPr>
          <w:rFonts w:ascii="Times New Roman" w:hAnsi="Times New Roman" w:cs="Times New Roman"/>
        </w:rPr>
        <w:t xml:space="preserve"> only with respect to the partnership holding gain assets. Also, this technique may minimize discounting for specific partnership assets where discounting is not desirable due to substantial appreciation.</w:t>
      </w:r>
    </w:p>
    <w:p w14:paraId="6CC4575C" w14:textId="291936CC" w:rsidR="00704619" w:rsidRPr="004D4C3D" w:rsidRDefault="00704619" w:rsidP="004D4C3D">
      <w:pPr>
        <w:pStyle w:val="Heading1"/>
      </w:pPr>
      <w:bookmarkStart w:id="47" w:name="_Toc510811736"/>
      <w:bookmarkStart w:id="48" w:name="_Toc510811767"/>
      <w:bookmarkStart w:id="49" w:name="_Toc510811885"/>
      <w:r w:rsidRPr="004D4C3D">
        <w:t>Estate Planning to Maximize Step-Up in Basis Potential</w:t>
      </w:r>
      <w:bookmarkEnd w:id="47"/>
      <w:bookmarkEnd w:id="48"/>
      <w:bookmarkEnd w:id="49"/>
    </w:p>
    <w:p w14:paraId="43586779" w14:textId="1DA915B9" w:rsidR="00704619" w:rsidRPr="004D4C3D" w:rsidRDefault="00704619" w:rsidP="004D4C3D">
      <w:pPr>
        <w:pStyle w:val="Heading2"/>
      </w:pPr>
      <w:bookmarkStart w:id="50" w:name="_Toc510811737"/>
      <w:bookmarkStart w:id="51" w:name="_Toc510811768"/>
      <w:bookmarkStart w:id="52" w:name="_Toc510811886"/>
      <w:r w:rsidRPr="004D4C3D">
        <w:t>Grant independent trustee the power to make fully discretionary distributions</w:t>
      </w:r>
      <w:bookmarkEnd w:id="50"/>
      <w:bookmarkEnd w:id="51"/>
      <w:bookmarkEnd w:id="52"/>
      <w:r w:rsidRPr="004D4C3D">
        <w:t xml:space="preserve"> </w:t>
      </w:r>
    </w:p>
    <w:p w14:paraId="2672CE68" w14:textId="29DB4CBD" w:rsidR="006C25DC" w:rsidRPr="004D4C3D" w:rsidRDefault="00042ED0" w:rsidP="006C25DC">
      <w:pPr>
        <w:rPr>
          <w:rFonts w:ascii="Times New Roman" w:hAnsi="Times New Roman" w:cs="Times New Roman"/>
        </w:rPr>
      </w:pPr>
      <w:r w:rsidRPr="004D4C3D">
        <w:rPr>
          <w:rFonts w:ascii="Times New Roman" w:hAnsi="Times New Roman" w:cs="Times New Roman"/>
        </w:rPr>
        <w:tab/>
      </w:r>
      <w:r w:rsidR="006A502B" w:rsidRPr="004D4C3D">
        <w:rPr>
          <w:rFonts w:ascii="Times New Roman" w:hAnsi="Times New Roman" w:cs="Times New Roman"/>
        </w:rPr>
        <w:t xml:space="preserve">If a surviving spouse </w:t>
      </w:r>
      <w:r w:rsidR="00AF2957" w:rsidRPr="004D4C3D">
        <w:rPr>
          <w:rFonts w:ascii="Times New Roman" w:hAnsi="Times New Roman" w:cs="Times New Roman"/>
        </w:rPr>
        <w:t>has an</w:t>
      </w:r>
      <w:r w:rsidR="006A502B" w:rsidRPr="004D4C3D">
        <w:rPr>
          <w:rFonts w:ascii="Times New Roman" w:hAnsi="Times New Roman" w:cs="Times New Roman"/>
        </w:rPr>
        <w:t xml:space="preserve"> estate valued below the </w:t>
      </w:r>
      <w:r w:rsidR="00AF2957" w:rsidRPr="004D4C3D">
        <w:rPr>
          <w:rFonts w:ascii="Times New Roman" w:hAnsi="Times New Roman" w:cs="Times New Roman"/>
        </w:rPr>
        <w:t>exemption</w:t>
      </w:r>
      <w:r w:rsidR="006A502B" w:rsidRPr="004D4C3D">
        <w:rPr>
          <w:rFonts w:ascii="Times New Roman" w:hAnsi="Times New Roman" w:cs="Times New Roman"/>
        </w:rPr>
        <w:t xml:space="preserve"> amount, there exists </w:t>
      </w:r>
      <w:r w:rsidR="00AF2957" w:rsidRPr="004D4C3D">
        <w:rPr>
          <w:rFonts w:ascii="Times New Roman" w:hAnsi="Times New Roman" w:cs="Times New Roman"/>
        </w:rPr>
        <w:t>opportunities</w:t>
      </w:r>
      <w:r w:rsidR="006A502B" w:rsidRPr="004D4C3D">
        <w:rPr>
          <w:rFonts w:ascii="Times New Roman" w:hAnsi="Times New Roman" w:cs="Times New Roman"/>
        </w:rPr>
        <w:t xml:space="preserve"> to acquire a step-up in basis for property left by the deceased spouse. One possibility </w:t>
      </w:r>
      <w:r w:rsidR="006A502B" w:rsidRPr="004D4C3D">
        <w:rPr>
          <w:rFonts w:ascii="Times New Roman" w:hAnsi="Times New Roman" w:cs="Times New Roman"/>
        </w:rPr>
        <w:lastRenderedPageBreak/>
        <w:t>is giving an independent trustee (or co-trustee, distribution trustee</w:t>
      </w:r>
      <w:r w:rsidR="00AF2957" w:rsidRPr="004D4C3D">
        <w:rPr>
          <w:rFonts w:ascii="Times New Roman" w:hAnsi="Times New Roman" w:cs="Times New Roman"/>
        </w:rPr>
        <w:t>, or trust protector</w:t>
      </w:r>
      <w:r w:rsidR="006A502B" w:rsidRPr="004D4C3D">
        <w:rPr>
          <w:rFonts w:ascii="Times New Roman" w:hAnsi="Times New Roman" w:cs="Times New Roman"/>
        </w:rPr>
        <w:t xml:space="preserve">) the broad </w:t>
      </w:r>
      <w:r w:rsidR="00AF2957" w:rsidRPr="004D4C3D">
        <w:rPr>
          <w:rFonts w:ascii="Times New Roman" w:hAnsi="Times New Roman" w:cs="Times New Roman"/>
        </w:rPr>
        <w:t xml:space="preserve">discretionary </w:t>
      </w:r>
      <w:r w:rsidR="006A502B" w:rsidRPr="004D4C3D">
        <w:rPr>
          <w:rFonts w:ascii="Times New Roman" w:hAnsi="Times New Roman" w:cs="Times New Roman"/>
        </w:rPr>
        <w:t xml:space="preserve">authority to distribute property to the surviving spouse, </w:t>
      </w:r>
      <w:r w:rsidR="00AF2957" w:rsidRPr="004D4C3D">
        <w:rPr>
          <w:rFonts w:ascii="Times New Roman" w:hAnsi="Times New Roman" w:cs="Times New Roman"/>
        </w:rPr>
        <w:t>allowing distributions of low basis assets to the surviving spouse so that such assets</w:t>
      </w:r>
      <w:r w:rsidR="006A502B" w:rsidRPr="004D4C3D">
        <w:rPr>
          <w:rFonts w:ascii="Times New Roman" w:hAnsi="Times New Roman" w:cs="Times New Roman"/>
        </w:rPr>
        <w:t xml:space="preserve"> a step-up in basis. So long as the trustee were not a remainderman beneficiary of the trust, no gift would rise </w:t>
      </w:r>
      <w:proofErr w:type="gramStart"/>
      <w:r w:rsidR="006A502B" w:rsidRPr="004D4C3D">
        <w:rPr>
          <w:rFonts w:ascii="Times New Roman" w:hAnsi="Times New Roman" w:cs="Times New Roman"/>
        </w:rPr>
        <w:t>as a result of</w:t>
      </w:r>
      <w:proofErr w:type="gramEnd"/>
      <w:r w:rsidR="006A502B" w:rsidRPr="004D4C3D">
        <w:rPr>
          <w:rFonts w:ascii="Times New Roman" w:hAnsi="Times New Roman" w:cs="Times New Roman"/>
        </w:rPr>
        <w:t xml:space="preserve"> exercising (or not exercising) the power.</w:t>
      </w:r>
      <w:r w:rsidR="006A502B" w:rsidRPr="004D4C3D">
        <w:rPr>
          <w:rStyle w:val="FootnoteReference"/>
          <w:rFonts w:ascii="Times New Roman" w:hAnsi="Times New Roman" w:cs="Times New Roman"/>
        </w:rPr>
        <w:footnoteReference w:id="36"/>
      </w:r>
      <w:r w:rsidR="006A502B" w:rsidRPr="004D4C3D">
        <w:rPr>
          <w:rFonts w:ascii="Times New Roman" w:hAnsi="Times New Roman" w:cs="Times New Roman"/>
        </w:rPr>
        <w:t xml:space="preserve"> </w:t>
      </w:r>
    </w:p>
    <w:p w14:paraId="5790E7F0" w14:textId="20EAD923" w:rsidR="006A502B" w:rsidRPr="004D4C3D" w:rsidRDefault="006A502B" w:rsidP="008007B4">
      <w:pPr>
        <w:rPr>
          <w:rFonts w:ascii="Times New Roman" w:hAnsi="Times New Roman" w:cs="Times New Roman"/>
        </w:rPr>
      </w:pPr>
      <w:r w:rsidRPr="004D4C3D">
        <w:rPr>
          <w:rFonts w:ascii="Times New Roman" w:hAnsi="Times New Roman" w:cs="Times New Roman"/>
        </w:rPr>
        <w:tab/>
      </w:r>
      <w:r w:rsidR="008007B4" w:rsidRPr="004D4C3D">
        <w:rPr>
          <w:rFonts w:ascii="Times New Roman" w:hAnsi="Times New Roman" w:cs="Times New Roman"/>
        </w:rPr>
        <w:t>Tax planners must</w:t>
      </w:r>
      <w:r w:rsidRPr="004D4C3D">
        <w:rPr>
          <w:rFonts w:ascii="Times New Roman" w:hAnsi="Times New Roman" w:cs="Times New Roman"/>
        </w:rPr>
        <w:t xml:space="preserve"> assure there are successors named in case the first trustee </w:t>
      </w:r>
      <w:r w:rsidR="00AF2957" w:rsidRPr="004D4C3D">
        <w:rPr>
          <w:rFonts w:ascii="Times New Roman" w:hAnsi="Times New Roman" w:cs="Times New Roman"/>
        </w:rPr>
        <w:t xml:space="preserve">(or other person holding such power) </w:t>
      </w:r>
      <w:r w:rsidRPr="004D4C3D">
        <w:rPr>
          <w:rFonts w:ascii="Times New Roman" w:hAnsi="Times New Roman" w:cs="Times New Roman"/>
        </w:rPr>
        <w:t xml:space="preserve">cannot perform his </w:t>
      </w:r>
      <w:r w:rsidR="00AF2957" w:rsidRPr="004D4C3D">
        <w:rPr>
          <w:rFonts w:ascii="Times New Roman" w:hAnsi="Times New Roman" w:cs="Times New Roman"/>
        </w:rPr>
        <w:t xml:space="preserve">or her </w:t>
      </w:r>
      <w:r w:rsidRPr="004D4C3D">
        <w:rPr>
          <w:rFonts w:ascii="Times New Roman" w:hAnsi="Times New Roman" w:cs="Times New Roman"/>
        </w:rPr>
        <w:t>duties</w:t>
      </w:r>
      <w:r w:rsidR="008007B4" w:rsidRPr="004D4C3D">
        <w:rPr>
          <w:rFonts w:ascii="Times New Roman" w:hAnsi="Times New Roman" w:cs="Times New Roman"/>
        </w:rPr>
        <w:t xml:space="preserve">. </w:t>
      </w:r>
      <w:r w:rsidR="00AF2957" w:rsidRPr="004D4C3D">
        <w:rPr>
          <w:rFonts w:ascii="Times New Roman" w:hAnsi="Times New Roman" w:cs="Times New Roman"/>
        </w:rPr>
        <w:t xml:space="preserve">Likewise, such person must be aware of the planning needs and continue to monitor the circumstances considering any applicable fiduciary duties.  </w:t>
      </w:r>
      <w:r w:rsidR="008007B4" w:rsidRPr="004D4C3D">
        <w:rPr>
          <w:rFonts w:ascii="Times New Roman" w:hAnsi="Times New Roman" w:cs="Times New Roman"/>
        </w:rPr>
        <w:t>Documents need to be drafted to account for flexibility. For example, an interested trustee could be granted the right to appoint an independent co-</w:t>
      </w:r>
      <w:proofErr w:type="gramStart"/>
      <w:r w:rsidR="008007B4" w:rsidRPr="004D4C3D">
        <w:rPr>
          <w:rFonts w:ascii="Times New Roman" w:hAnsi="Times New Roman" w:cs="Times New Roman"/>
        </w:rPr>
        <w:t>trustee</w:t>
      </w:r>
      <w:proofErr w:type="gramEnd"/>
      <w:r w:rsidR="008007B4" w:rsidRPr="004D4C3D">
        <w:rPr>
          <w:rFonts w:ascii="Times New Roman" w:hAnsi="Times New Roman" w:cs="Times New Roman"/>
        </w:rPr>
        <w:t xml:space="preserve"> or a trust protector could have this power. </w:t>
      </w:r>
      <w:r w:rsidRPr="004D4C3D">
        <w:rPr>
          <w:rFonts w:ascii="Times New Roman" w:hAnsi="Times New Roman" w:cs="Times New Roman"/>
        </w:rPr>
        <w:t>This structure</w:t>
      </w:r>
      <w:r w:rsidR="008007B4" w:rsidRPr="004D4C3D">
        <w:rPr>
          <w:rFonts w:ascii="Times New Roman" w:hAnsi="Times New Roman" w:cs="Times New Roman"/>
        </w:rPr>
        <w:t xml:space="preserve"> also</w:t>
      </w:r>
      <w:r w:rsidRPr="004D4C3D">
        <w:rPr>
          <w:rFonts w:ascii="Times New Roman" w:hAnsi="Times New Roman" w:cs="Times New Roman"/>
        </w:rPr>
        <w:t xml:space="preserve"> requires considerable attentiveness and potential liability on the part of the independent trustee. After all, the trustee cannot reasonably be expected to anticipate the surviving spouse’s death. It could be quite costly and burdensome </w:t>
      </w:r>
      <w:r w:rsidR="00A85471" w:rsidRPr="004D4C3D">
        <w:rPr>
          <w:rFonts w:ascii="Times New Roman" w:hAnsi="Times New Roman" w:cs="Times New Roman"/>
        </w:rPr>
        <w:t>for the trustee to hire counsel, analyze the medical condition of the spouse, and determine an accurate net worth of the spouse on the eve of the spouse’s death. Further, a distribution of property to the surviving spouse subjects the property to the creditors of the surviving spouse, which may not outweigh the tax benefits.</w:t>
      </w:r>
      <w:r w:rsidR="00A85471" w:rsidRPr="004D4C3D">
        <w:rPr>
          <w:rStyle w:val="FootnoteReference"/>
          <w:rFonts w:ascii="Times New Roman" w:hAnsi="Times New Roman" w:cs="Times New Roman"/>
        </w:rPr>
        <w:footnoteReference w:id="37"/>
      </w:r>
    </w:p>
    <w:p w14:paraId="71D7B391" w14:textId="479E9588" w:rsidR="00B939DA" w:rsidRPr="004D4C3D" w:rsidRDefault="00B939DA" w:rsidP="006C25DC">
      <w:pPr>
        <w:rPr>
          <w:rFonts w:ascii="Times New Roman" w:hAnsi="Times New Roman" w:cs="Times New Roman"/>
        </w:rPr>
      </w:pPr>
      <w:r w:rsidRPr="004D4C3D">
        <w:rPr>
          <w:rFonts w:ascii="Times New Roman" w:hAnsi="Times New Roman" w:cs="Times New Roman"/>
        </w:rPr>
        <w:tab/>
        <w:t xml:space="preserve">While this discussion is important for surviving spouses under credit shelter trusts, it also is relevant to descendants who are beneficiaries of trusts as well. Consider, for example, a GST </w:t>
      </w:r>
      <w:r w:rsidR="00AF2957" w:rsidRPr="004D4C3D">
        <w:rPr>
          <w:rFonts w:ascii="Times New Roman" w:hAnsi="Times New Roman" w:cs="Times New Roman"/>
        </w:rPr>
        <w:t>t</w:t>
      </w:r>
      <w:r w:rsidRPr="004D4C3D">
        <w:rPr>
          <w:rFonts w:ascii="Times New Roman" w:hAnsi="Times New Roman" w:cs="Times New Roman"/>
        </w:rPr>
        <w:t>rust set up for a client’s children to hold for their lifetimes.</w:t>
      </w:r>
      <w:r w:rsidR="00AF2957" w:rsidRPr="004D4C3D">
        <w:rPr>
          <w:rFonts w:ascii="Times New Roman" w:hAnsi="Times New Roman" w:cs="Times New Roman"/>
        </w:rPr>
        <w:t xml:space="preserve"> T</w:t>
      </w:r>
      <w:r w:rsidRPr="004D4C3D">
        <w:rPr>
          <w:rFonts w:ascii="Times New Roman" w:hAnsi="Times New Roman" w:cs="Times New Roman"/>
        </w:rPr>
        <w:t xml:space="preserve">hey lose a step up on cost basis at death for assets in the trust.  If they would not have taxable estates, then this would be lost for no </w:t>
      </w:r>
      <w:r w:rsidRPr="004D4C3D">
        <w:rPr>
          <w:rFonts w:ascii="Times New Roman" w:hAnsi="Times New Roman" w:cs="Times New Roman"/>
        </w:rPr>
        <w:lastRenderedPageBreak/>
        <w:t>reason.</w:t>
      </w:r>
    </w:p>
    <w:p w14:paraId="31865AF5" w14:textId="2DB761B1" w:rsidR="00704619" w:rsidRPr="004D4C3D" w:rsidRDefault="00704619" w:rsidP="004D4C3D">
      <w:pPr>
        <w:pStyle w:val="Heading2"/>
      </w:pPr>
      <w:bookmarkStart w:id="53" w:name="_Toc510811738"/>
      <w:bookmarkStart w:id="54" w:name="_Toc510811769"/>
      <w:bookmarkStart w:id="55" w:name="_Toc510811887"/>
      <w:r w:rsidRPr="004D4C3D">
        <w:t xml:space="preserve">Give independent third party (or trust protector) </w:t>
      </w:r>
      <w:r w:rsidR="000319DE" w:rsidRPr="004D4C3D">
        <w:t>power</w:t>
      </w:r>
      <w:r w:rsidRPr="004D4C3D">
        <w:t xml:space="preserve"> to </w:t>
      </w:r>
      <w:r w:rsidR="00AF2957" w:rsidRPr="004D4C3D">
        <w:t>grant a general power of appointment</w:t>
      </w:r>
      <w:bookmarkEnd w:id="53"/>
      <w:bookmarkEnd w:id="54"/>
      <w:bookmarkEnd w:id="55"/>
    </w:p>
    <w:p w14:paraId="7CC66DFE" w14:textId="302566A4" w:rsidR="006D0024" w:rsidRPr="004D4C3D" w:rsidRDefault="00A85471" w:rsidP="006D0024">
      <w:pPr>
        <w:rPr>
          <w:rFonts w:ascii="Times New Roman" w:hAnsi="Times New Roman" w:cs="Times New Roman"/>
        </w:rPr>
      </w:pPr>
      <w:r w:rsidRPr="004D4C3D">
        <w:rPr>
          <w:rFonts w:ascii="Times New Roman" w:hAnsi="Times New Roman" w:cs="Times New Roman"/>
        </w:rPr>
        <w:tab/>
        <w:t>Another technique for placing property into a surviving spouse’s estate involves g</w:t>
      </w:r>
      <w:r w:rsidR="006D0024" w:rsidRPr="004D4C3D">
        <w:rPr>
          <w:rFonts w:ascii="Times New Roman" w:hAnsi="Times New Roman" w:cs="Times New Roman"/>
        </w:rPr>
        <w:t xml:space="preserve">iving </w:t>
      </w:r>
      <w:r w:rsidRPr="004D4C3D">
        <w:rPr>
          <w:rFonts w:ascii="Times New Roman" w:hAnsi="Times New Roman" w:cs="Times New Roman"/>
        </w:rPr>
        <w:t xml:space="preserve">an independent third party the ability to give the surviving spouse a </w:t>
      </w:r>
      <w:r w:rsidR="00AF2957" w:rsidRPr="004D4C3D">
        <w:rPr>
          <w:rFonts w:ascii="Times New Roman" w:hAnsi="Times New Roman" w:cs="Times New Roman"/>
        </w:rPr>
        <w:t>g</w:t>
      </w:r>
      <w:r w:rsidR="006D0024" w:rsidRPr="004D4C3D">
        <w:rPr>
          <w:rFonts w:ascii="Times New Roman" w:hAnsi="Times New Roman" w:cs="Times New Roman"/>
        </w:rPr>
        <w:t xml:space="preserve">eneral </w:t>
      </w:r>
      <w:r w:rsidR="00AF2957" w:rsidRPr="004D4C3D">
        <w:rPr>
          <w:rFonts w:ascii="Times New Roman" w:hAnsi="Times New Roman" w:cs="Times New Roman"/>
        </w:rPr>
        <w:t>p</w:t>
      </w:r>
      <w:r w:rsidR="006D0024" w:rsidRPr="004D4C3D">
        <w:rPr>
          <w:rFonts w:ascii="Times New Roman" w:hAnsi="Times New Roman" w:cs="Times New Roman"/>
        </w:rPr>
        <w:t xml:space="preserve">ower of </w:t>
      </w:r>
      <w:r w:rsidR="00AF2957" w:rsidRPr="004D4C3D">
        <w:rPr>
          <w:rFonts w:ascii="Times New Roman" w:hAnsi="Times New Roman" w:cs="Times New Roman"/>
        </w:rPr>
        <w:t>a</w:t>
      </w:r>
      <w:r w:rsidR="006D0024" w:rsidRPr="004D4C3D">
        <w:rPr>
          <w:rFonts w:ascii="Times New Roman" w:hAnsi="Times New Roman" w:cs="Times New Roman"/>
        </w:rPr>
        <w:t>ppointment (GPA)</w:t>
      </w:r>
      <w:r w:rsidRPr="004D4C3D">
        <w:rPr>
          <w:rFonts w:ascii="Times New Roman" w:hAnsi="Times New Roman" w:cs="Times New Roman"/>
        </w:rPr>
        <w:t xml:space="preserve">. A GPA exercisable by the spouse would cause inclusion in the spouse’s estate of any property subject to the power. This approach involves appointing a third party or trust protector to have the power to give the surviving spouse a GPA. </w:t>
      </w:r>
      <w:proofErr w:type="gramStart"/>
      <w:r w:rsidRPr="004D4C3D">
        <w:rPr>
          <w:rFonts w:ascii="Times New Roman" w:hAnsi="Times New Roman" w:cs="Times New Roman"/>
        </w:rPr>
        <w:t>In the event that</w:t>
      </w:r>
      <w:proofErr w:type="gramEnd"/>
      <w:r w:rsidRPr="004D4C3D">
        <w:rPr>
          <w:rFonts w:ascii="Times New Roman" w:hAnsi="Times New Roman" w:cs="Times New Roman"/>
        </w:rPr>
        <w:t xml:space="preserve"> the surviving spouse’s death will </w:t>
      </w:r>
      <w:r w:rsidR="005D1BA5" w:rsidRPr="004D4C3D">
        <w:rPr>
          <w:rFonts w:ascii="Times New Roman" w:hAnsi="Times New Roman" w:cs="Times New Roman"/>
        </w:rPr>
        <w:t>result in an estate below the exclusion amount, the third party may grant the power of appointment, resulting in inclusion of property in the estate, and a step-up in basis.</w:t>
      </w:r>
      <w:r w:rsidR="008007B4" w:rsidRPr="004D4C3D">
        <w:rPr>
          <w:rFonts w:ascii="Times New Roman" w:hAnsi="Times New Roman" w:cs="Times New Roman"/>
        </w:rPr>
        <w:t xml:space="preserve"> </w:t>
      </w:r>
    </w:p>
    <w:p w14:paraId="21CA2CE6" w14:textId="2B46583B" w:rsidR="005D1BA5" w:rsidRPr="004D4C3D" w:rsidRDefault="005D1BA5" w:rsidP="006D0024">
      <w:pPr>
        <w:rPr>
          <w:rFonts w:ascii="Times New Roman" w:hAnsi="Times New Roman" w:cs="Times New Roman"/>
        </w:rPr>
      </w:pPr>
      <w:r w:rsidRPr="004D4C3D">
        <w:rPr>
          <w:rFonts w:ascii="Times New Roman" w:hAnsi="Times New Roman" w:cs="Times New Roman"/>
        </w:rPr>
        <w:tab/>
        <w:t xml:space="preserve">However, this method has many of the shortcomings mentioned in the first technique. A third party must be willing to hold this power and able to exercise it correctly on the eve of the surviving spouse’s death. Further, there is a risk that the surviving spouse might </w:t>
      </w:r>
      <w:proofErr w:type="gramStart"/>
      <w:r w:rsidRPr="004D4C3D">
        <w:rPr>
          <w:rFonts w:ascii="Times New Roman" w:hAnsi="Times New Roman" w:cs="Times New Roman"/>
        </w:rPr>
        <w:t>actually exercise</w:t>
      </w:r>
      <w:proofErr w:type="gramEnd"/>
      <w:r w:rsidRPr="004D4C3D">
        <w:rPr>
          <w:rFonts w:ascii="Times New Roman" w:hAnsi="Times New Roman" w:cs="Times New Roman"/>
        </w:rPr>
        <w:t xml:space="preserve"> the power, diverting assets away from the intended beneficiaries. Finally, the GPA must be exercisable </w:t>
      </w:r>
      <w:r w:rsidR="000319DE" w:rsidRPr="004D4C3D">
        <w:rPr>
          <w:rFonts w:ascii="Times New Roman" w:hAnsi="Times New Roman" w:cs="Times New Roman"/>
        </w:rPr>
        <w:t>only in conjunction</w:t>
      </w:r>
      <w:r w:rsidRPr="004D4C3D">
        <w:rPr>
          <w:rFonts w:ascii="Times New Roman" w:hAnsi="Times New Roman" w:cs="Times New Roman"/>
        </w:rPr>
        <w:t xml:space="preserve"> with an adverse party.</w:t>
      </w:r>
      <w:r w:rsidRPr="004D4C3D">
        <w:rPr>
          <w:rStyle w:val="FootnoteReference"/>
          <w:rFonts w:ascii="Times New Roman" w:hAnsi="Times New Roman" w:cs="Times New Roman"/>
        </w:rPr>
        <w:footnoteReference w:id="38"/>
      </w:r>
      <w:r w:rsidR="008007B4" w:rsidRPr="004D4C3D">
        <w:rPr>
          <w:rFonts w:ascii="Times New Roman" w:hAnsi="Times New Roman" w:cs="Times New Roman"/>
        </w:rPr>
        <w:t xml:space="preserve"> However, such a power can be conditioned upon the consent of a non-adverse third party.</w:t>
      </w:r>
      <w:r w:rsidR="00AF2957" w:rsidRPr="004D4C3D">
        <w:rPr>
          <w:rStyle w:val="FootnoteReference"/>
          <w:rFonts w:ascii="Times New Roman" w:hAnsi="Times New Roman" w:cs="Times New Roman"/>
        </w:rPr>
        <w:footnoteReference w:id="39"/>
      </w:r>
      <w:r w:rsidR="008007B4" w:rsidRPr="004D4C3D">
        <w:rPr>
          <w:rFonts w:ascii="Times New Roman" w:hAnsi="Times New Roman" w:cs="Times New Roman"/>
        </w:rPr>
        <w:t xml:space="preserve">  </w:t>
      </w:r>
      <w:r w:rsidR="00AF2957" w:rsidRPr="004D4C3D">
        <w:rPr>
          <w:rFonts w:ascii="Times New Roman" w:hAnsi="Times New Roman" w:cs="Times New Roman"/>
        </w:rPr>
        <w:t xml:space="preserve">This allows a client to have the comfort of knowing the holder of the power will not be exercisable without a trusted person’s consent.  </w:t>
      </w:r>
    </w:p>
    <w:p w14:paraId="1A3B60AD" w14:textId="7D8E8CB4" w:rsidR="00AF2957" w:rsidRPr="004D4C3D" w:rsidRDefault="00AF2957" w:rsidP="006D0024">
      <w:pPr>
        <w:rPr>
          <w:rFonts w:ascii="Times New Roman" w:hAnsi="Times New Roman" w:cs="Times New Roman"/>
        </w:rPr>
      </w:pPr>
      <w:r w:rsidRPr="004D4C3D">
        <w:rPr>
          <w:rFonts w:ascii="Times New Roman" w:hAnsi="Times New Roman" w:cs="Times New Roman"/>
        </w:rPr>
        <w:tab/>
        <w:t>As with allowing for broad discretionary distributions, this same technique could be used with respect to trusts created for other beneficiaries, such as descendants.</w:t>
      </w:r>
    </w:p>
    <w:p w14:paraId="0A5C4638" w14:textId="60B8C40F" w:rsidR="00704619" w:rsidRPr="004D4C3D" w:rsidRDefault="00704619" w:rsidP="004D4C3D">
      <w:pPr>
        <w:pStyle w:val="Heading2"/>
      </w:pPr>
      <w:bookmarkStart w:id="56" w:name="_Toc510811739"/>
      <w:bookmarkStart w:id="57" w:name="_Toc510811770"/>
      <w:bookmarkStart w:id="58" w:name="_Toc510811888"/>
      <w:r w:rsidRPr="004D4C3D">
        <w:t>Grant formula general powers of appointment</w:t>
      </w:r>
      <w:bookmarkEnd w:id="56"/>
      <w:bookmarkEnd w:id="57"/>
      <w:bookmarkEnd w:id="58"/>
      <w:r w:rsidRPr="004D4C3D">
        <w:t xml:space="preserve"> </w:t>
      </w:r>
    </w:p>
    <w:p w14:paraId="476FB78D" w14:textId="109A55FB" w:rsidR="006D0024" w:rsidRPr="004D4C3D" w:rsidRDefault="00311FF6" w:rsidP="006D0024">
      <w:pPr>
        <w:rPr>
          <w:rFonts w:ascii="Times New Roman" w:hAnsi="Times New Roman" w:cs="Times New Roman"/>
        </w:rPr>
      </w:pPr>
      <w:r w:rsidRPr="004D4C3D">
        <w:rPr>
          <w:rFonts w:ascii="Times New Roman" w:hAnsi="Times New Roman" w:cs="Times New Roman"/>
        </w:rPr>
        <w:tab/>
        <w:t xml:space="preserve">A third technique involves giving the surviving spouse a </w:t>
      </w:r>
      <w:r w:rsidR="00280879" w:rsidRPr="004D4C3D">
        <w:rPr>
          <w:rFonts w:ascii="Times New Roman" w:hAnsi="Times New Roman" w:cs="Times New Roman"/>
        </w:rPr>
        <w:t xml:space="preserve">formula </w:t>
      </w:r>
      <w:r w:rsidRPr="004D4C3D">
        <w:rPr>
          <w:rFonts w:ascii="Times New Roman" w:hAnsi="Times New Roman" w:cs="Times New Roman"/>
        </w:rPr>
        <w:t>GPA</w:t>
      </w:r>
      <w:r w:rsidR="00280879" w:rsidRPr="004D4C3D">
        <w:rPr>
          <w:rFonts w:ascii="Times New Roman" w:hAnsi="Times New Roman" w:cs="Times New Roman"/>
        </w:rPr>
        <w:t xml:space="preserve"> equal to his or her </w:t>
      </w:r>
      <w:r w:rsidR="00AC23F3" w:rsidRPr="004D4C3D">
        <w:rPr>
          <w:rFonts w:ascii="Times New Roman" w:hAnsi="Times New Roman" w:cs="Times New Roman"/>
        </w:rPr>
        <w:lastRenderedPageBreak/>
        <w:t>unused estate tax exemption</w:t>
      </w:r>
      <w:r w:rsidRPr="004D4C3D">
        <w:rPr>
          <w:rFonts w:ascii="Times New Roman" w:hAnsi="Times New Roman" w:cs="Times New Roman"/>
        </w:rPr>
        <w:t xml:space="preserve">, particularly assets with the greatest appreciation. The GPA </w:t>
      </w:r>
      <w:r w:rsidR="00AC23F3" w:rsidRPr="004D4C3D">
        <w:rPr>
          <w:rFonts w:ascii="Times New Roman" w:hAnsi="Times New Roman" w:cs="Times New Roman"/>
        </w:rPr>
        <w:t>may be</w:t>
      </w:r>
      <w:r w:rsidRPr="004D4C3D">
        <w:rPr>
          <w:rFonts w:ascii="Times New Roman" w:hAnsi="Times New Roman" w:cs="Times New Roman"/>
        </w:rPr>
        <w:t xml:space="preserve"> limited to certain assets </w:t>
      </w:r>
      <w:r w:rsidR="00AC23F3" w:rsidRPr="004D4C3D">
        <w:rPr>
          <w:rFonts w:ascii="Times New Roman" w:hAnsi="Times New Roman" w:cs="Times New Roman"/>
        </w:rPr>
        <w:t>with a</w:t>
      </w:r>
      <w:r w:rsidRPr="004D4C3D">
        <w:rPr>
          <w:rFonts w:ascii="Times New Roman" w:hAnsi="Times New Roman" w:cs="Times New Roman"/>
        </w:rPr>
        <w:t xml:space="preserve"> </w:t>
      </w:r>
      <w:proofErr w:type="gramStart"/>
      <w:r w:rsidR="00AC23F3" w:rsidRPr="004D4C3D">
        <w:rPr>
          <w:rFonts w:ascii="Times New Roman" w:hAnsi="Times New Roman" w:cs="Times New Roman"/>
        </w:rPr>
        <w:t>low cost</w:t>
      </w:r>
      <w:proofErr w:type="gramEnd"/>
      <w:r w:rsidRPr="004D4C3D">
        <w:rPr>
          <w:rFonts w:ascii="Times New Roman" w:hAnsi="Times New Roman" w:cs="Times New Roman"/>
        </w:rPr>
        <w:t xml:space="preserve"> basis </w:t>
      </w:r>
      <w:r w:rsidR="00AC23F3" w:rsidRPr="004D4C3D">
        <w:rPr>
          <w:rFonts w:ascii="Times New Roman" w:hAnsi="Times New Roman" w:cs="Times New Roman"/>
        </w:rPr>
        <w:t>so that they will</w:t>
      </w:r>
      <w:r w:rsidR="00637572" w:rsidRPr="004D4C3D">
        <w:rPr>
          <w:rFonts w:ascii="Times New Roman" w:hAnsi="Times New Roman" w:cs="Times New Roman"/>
        </w:rPr>
        <w:t xml:space="preserve"> experience the most substantial step-up</w:t>
      </w:r>
      <w:r w:rsidRPr="004D4C3D">
        <w:rPr>
          <w:rFonts w:ascii="Times New Roman" w:hAnsi="Times New Roman" w:cs="Times New Roman"/>
        </w:rPr>
        <w:t>, subject to certain rules.</w:t>
      </w:r>
      <w:r w:rsidR="00AC23F3" w:rsidRPr="004D4C3D">
        <w:rPr>
          <w:rFonts w:ascii="Times New Roman" w:hAnsi="Times New Roman" w:cs="Times New Roman"/>
        </w:rPr>
        <w:t xml:space="preserve">  Alternatively, the formula may be based on assets subjected to the highest rate of tax, or even on an asset-by-asset basis.</w:t>
      </w:r>
      <w:r w:rsidRPr="004D4C3D">
        <w:rPr>
          <w:rFonts w:ascii="Times New Roman" w:hAnsi="Times New Roman" w:cs="Times New Roman"/>
        </w:rPr>
        <w:t xml:space="preserve"> The formula typically involves two components: an Ordering Rule and a Capping Rule.</w:t>
      </w:r>
    </w:p>
    <w:p w14:paraId="146CAA64" w14:textId="0F413AAE" w:rsidR="00311FF6" w:rsidRPr="004D4C3D" w:rsidRDefault="00311FF6" w:rsidP="006D0024">
      <w:pPr>
        <w:rPr>
          <w:rFonts w:ascii="Times New Roman" w:hAnsi="Times New Roman" w:cs="Times New Roman"/>
        </w:rPr>
      </w:pPr>
      <w:r w:rsidRPr="004D4C3D">
        <w:rPr>
          <w:rFonts w:ascii="Times New Roman" w:hAnsi="Times New Roman" w:cs="Times New Roman"/>
        </w:rPr>
        <w:tab/>
        <w:t xml:space="preserve">The Ordering Rule </w:t>
      </w:r>
      <w:r w:rsidR="004E22EF" w:rsidRPr="004D4C3D">
        <w:rPr>
          <w:rFonts w:ascii="Times New Roman" w:hAnsi="Times New Roman" w:cs="Times New Roman"/>
        </w:rPr>
        <w:t xml:space="preserve">typically </w:t>
      </w:r>
      <w:r w:rsidRPr="004D4C3D">
        <w:rPr>
          <w:rFonts w:ascii="Times New Roman" w:hAnsi="Times New Roman" w:cs="Times New Roman"/>
        </w:rPr>
        <w:t xml:space="preserve">allows for the GPA to apply to those assets that give the </w:t>
      </w:r>
      <w:r w:rsidR="00637572" w:rsidRPr="004D4C3D">
        <w:rPr>
          <w:rFonts w:ascii="Times New Roman" w:hAnsi="Times New Roman" w:cs="Times New Roman"/>
        </w:rPr>
        <w:t xml:space="preserve">greatest amount of </w:t>
      </w:r>
      <w:r w:rsidR="00AC23F3" w:rsidRPr="004D4C3D">
        <w:rPr>
          <w:rFonts w:ascii="Times New Roman" w:hAnsi="Times New Roman" w:cs="Times New Roman"/>
        </w:rPr>
        <w:t>benefit.  As stated above, the Ordering Rule may seek assets with the greatest amount of appreciation, assets subjected to the highest rate of tax, or asset-by-asset</w:t>
      </w:r>
      <w:r w:rsidR="00637572" w:rsidRPr="004D4C3D">
        <w:rPr>
          <w:rFonts w:ascii="Times New Roman" w:hAnsi="Times New Roman" w:cs="Times New Roman"/>
        </w:rPr>
        <w:t xml:space="preserve">. Ideally, the Ordering Rule specifies that the GPA applies on an asset-by-asset basis to </w:t>
      </w:r>
      <w:r w:rsidR="00AC23F3" w:rsidRPr="004D4C3D">
        <w:rPr>
          <w:rFonts w:ascii="Times New Roman" w:hAnsi="Times New Roman" w:cs="Times New Roman"/>
        </w:rPr>
        <w:t>provide the greatest benefit</w:t>
      </w:r>
      <w:r w:rsidR="00637572" w:rsidRPr="004D4C3D">
        <w:rPr>
          <w:rFonts w:ascii="Times New Roman" w:hAnsi="Times New Roman" w:cs="Times New Roman"/>
        </w:rPr>
        <w:t>.</w:t>
      </w:r>
      <w:r w:rsidR="00637572" w:rsidRPr="004D4C3D">
        <w:rPr>
          <w:rStyle w:val="FootnoteReference"/>
          <w:rFonts w:ascii="Times New Roman" w:hAnsi="Times New Roman" w:cs="Times New Roman"/>
        </w:rPr>
        <w:footnoteReference w:id="40"/>
      </w:r>
      <w:r w:rsidRPr="004D4C3D">
        <w:rPr>
          <w:rFonts w:ascii="Times New Roman" w:hAnsi="Times New Roman" w:cs="Times New Roman"/>
        </w:rPr>
        <w:t xml:space="preserve"> </w:t>
      </w:r>
      <w:r w:rsidR="00AC23F3" w:rsidRPr="004D4C3D">
        <w:rPr>
          <w:rFonts w:ascii="Times New Roman" w:hAnsi="Times New Roman" w:cs="Times New Roman"/>
        </w:rPr>
        <w:t>An example of the way a formula may work based on the amount of appreciation in assets is as follows</w:t>
      </w:r>
      <w:r w:rsidRPr="004D4C3D">
        <w:rPr>
          <w:rFonts w:ascii="Times New Roman" w:hAnsi="Times New Roman" w:cs="Times New Roman"/>
        </w:rPr>
        <w:t xml:space="preserve">: </w:t>
      </w:r>
    </w:p>
    <w:p w14:paraId="0B4FAF6F" w14:textId="33E3718E" w:rsidR="00311FF6" w:rsidRPr="004D4C3D" w:rsidRDefault="00311FF6" w:rsidP="00637572">
      <w:pPr>
        <w:ind w:left="720" w:right="720"/>
        <w:rPr>
          <w:rFonts w:ascii="Times New Roman" w:hAnsi="Times New Roman" w:cs="Times New Roman"/>
        </w:rPr>
      </w:pPr>
      <w:r w:rsidRPr="004D4C3D">
        <w:rPr>
          <w:rFonts w:ascii="Times New Roman" w:hAnsi="Times New Roman" w:cs="Times New Roman"/>
        </w:rPr>
        <w:t>The power shall apply to the asset with the largest percentage of difference between fair market value at the time of my spouse’s death and the cost basis immediately prior to my spouse’s death first, cascading in turn to each subsequent asset with the next largest percentage difference between fair market value and cost basis (e.g. an asset with basis of $10, fair market value of $100 would have a “percentage of difference” of 90/100, or 90%).</w:t>
      </w:r>
      <w:r w:rsidRPr="004D4C3D">
        <w:rPr>
          <w:rStyle w:val="FootnoteReference"/>
          <w:rFonts w:ascii="Times New Roman" w:hAnsi="Times New Roman" w:cs="Times New Roman"/>
        </w:rPr>
        <w:footnoteReference w:id="41"/>
      </w:r>
    </w:p>
    <w:p w14:paraId="37883578" w14:textId="1EE6A406" w:rsidR="004E22EF" w:rsidRPr="004D4C3D" w:rsidRDefault="006459DC" w:rsidP="006459DC">
      <w:pPr>
        <w:rPr>
          <w:rFonts w:ascii="Times New Roman" w:hAnsi="Times New Roman" w:cs="Times New Roman"/>
        </w:rPr>
      </w:pPr>
      <w:r w:rsidRPr="004D4C3D">
        <w:rPr>
          <w:rFonts w:ascii="Times New Roman" w:hAnsi="Times New Roman" w:cs="Times New Roman"/>
        </w:rPr>
        <w:tab/>
      </w:r>
      <w:r w:rsidR="004E22EF" w:rsidRPr="004D4C3D">
        <w:rPr>
          <w:rFonts w:ascii="Times New Roman" w:hAnsi="Times New Roman" w:cs="Times New Roman"/>
        </w:rPr>
        <w:t xml:space="preserve">Another Ordering Rule may </w:t>
      </w:r>
      <w:r w:rsidRPr="004D4C3D">
        <w:rPr>
          <w:rFonts w:ascii="Times New Roman" w:hAnsi="Times New Roman" w:cs="Times New Roman"/>
        </w:rPr>
        <w:t xml:space="preserve">prioritize ordinary income items (such as recapture) over those with the most step up. </w:t>
      </w:r>
    </w:p>
    <w:p w14:paraId="24D44D78" w14:textId="6A99F06D" w:rsidR="00311FF6" w:rsidRPr="004D4C3D" w:rsidRDefault="00311FF6" w:rsidP="00311FF6">
      <w:pPr>
        <w:rPr>
          <w:rFonts w:ascii="Times New Roman" w:hAnsi="Times New Roman" w:cs="Times New Roman"/>
        </w:rPr>
      </w:pPr>
      <w:r w:rsidRPr="004D4C3D">
        <w:rPr>
          <w:rFonts w:ascii="Times New Roman" w:hAnsi="Times New Roman" w:cs="Times New Roman"/>
        </w:rPr>
        <w:tab/>
        <w:t xml:space="preserve">The Capping Rule prevents the GPA from adding appreciated trust assets that also cause an increase in estate tax obligation. There is no reason one cannot grant a GPA over less than 100% </w:t>
      </w:r>
      <w:r w:rsidRPr="004D4C3D">
        <w:rPr>
          <w:rFonts w:ascii="Times New Roman" w:hAnsi="Times New Roman" w:cs="Times New Roman"/>
        </w:rPr>
        <w:lastRenderedPageBreak/>
        <w:t>of trust assets.</w:t>
      </w:r>
      <w:r w:rsidRPr="004D4C3D">
        <w:rPr>
          <w:rStyle w:val="FootnoteReference"/>
          <w:rFonts w:ascii="Times New Roman" w:hAnsi="Times New Roman" w:cs="Times New Roman"/>
        </w:rPr>
        <w:footnoteReference w:id="42"/>
      </w:r>
      <w:r w:rsidR="00637572" w:rsidRPr="004D4C3D">
        <w:rPr>
          <w:rFonts w:ascii="Times New Roman" w:hAnsi="Times New Roman" w:cs="Times New Roman"/>
        </w:rPr>
        <w:t xml:space="preserve"> Consider the following example: </w:t>
      </w:r>
    </w:p>
    <w:p w14:paraId="2EA964FC" w14:textId="4EB6026B" w:rsidR="00637572" w:rsidRPr="004D4C3D" w:rsidRDefault="00637572" w:rsidP="00637572">
      <w:pPr>
        <w:ind w:left="720" w:right="720"/>
        <w:rPr>
          <w:rFonts w:ascii="Times New Roman" w:hAnsi="Times New Roman" w:cs="Times New Roman"/>
        </w:rPr>
      </w:pPr>
      <w:r w:rsidRPr="004D4C3D">
        <w:rPr>
          <w:rFonts w:ascii="Times New Roman" w:hAnsi="Times New Roman" w:cs="Times New Roman"/>
        </w:rPr>
        <w:t>Should the exercise of the above general power of appointment otherwise result in federal or state estate or generation skipping transfer tax liability, the appointive assets subject to this general power of appointment shall be further limited to that fraction or percentage that would not cause any estate tax liability.</w:t>
      </w:r>
      <w:r w:rsidRPr="004D4C3D">
        <w:rPr>
          <w:rStyle w:val="FootnoteReference"/>
          <w:rFonts w:ascii="Times New Roman" w:hAnsi="Times New Roman" w:cs="Times New Roman"/>
        </w:rPr>
        <w:footnoteReference w:id="43"/>
      </w:r>
    </w:p>
    <w:p w14:paraId="10FE8453" w14:textId="2408ED40" w:rsidR="00704619" w:rsidRPr="004D4C3D" w:rsidRDefault="00704619" w:rsidP="004D4C3D">
      <w:pPr>
        <w:pStyle w:val="Heading2"/>
      </w:pPr>
      <w:bookmarkStart w:id="59" w:name="_Toc510811740"/>
      <w:bookmarkStart w:id="60" w:name="_Toc510811771"/>
      <w:bookmarkStart w:id="61" w:name="_Toc510811889"/>
      <w:r w:rsidRPr="004D4C3D">
        <w:t xml:space="preserve">Trigger the </w:t>
      </w:r>
      <w:r w:rsidR="00373D9E" w:rsidRPr="004D4C3D">
        <w:t>Delaware Tax Trap</w:t>
      </w:r>
      <w:bookmarkEnd w:id="59"/>
      <w:bookmarkEnd w:id="60"/>
      <w:bookmarkEnd w:id="61"/>
    </w:p>
    <w:p w14:paraId="192DD000" w14:textId="0A55DF4C" w:rsidR="006D0024" w:rsidRPr="004D4C3D" w:rsidRDefault="00AE18A1" w:rsidP="006D0024">
      <w:pPr>
        <w:rPr>
          <w:rFonts w:ascii="Times New Roman" w:hAnsi="Times New Roman" w:cs="Times New Roman"/>
        </w:rPr>
      </w:pPr>
      <w:r w:rsidRPr="004D4C3D">
        <w:rPr>
          <w:rFonts w:ascii="Times New Roman" w:hAnsi="Times New Roman" w:cs="Times New Roman"/>
        </w:rPr>
        <w:tab/>
        <w:t>This method can be used to accomplish the same results as previous methods but by using a limited power of appointment rather than a GPA. The technique involves what was previously thought of as a tax pitfall in the rules involving the exercise of limited powers of appointment.</w:t>
      </w:r>
      <w:r w:rsidRPr="004D4C3D">
        <w:rPr>
          <w:rStyle w:val="FootnoteReference"/>
          <w:rFonts w:ascii="Times New Roman" w:hAnsi="Times New Roman" w:cs="Times New Roman"/>
        </w:rPr>
        <w:footnoteReference w:id="44"/>
      </w:r>
      <w:r w:rsidR="00CF48E7" w:rsidRPr="004D4C3D">
        <w:rPr>
          <w:rFonts w:ascii="Times New Roman" w:hAnsi="Times New Roman" w:cs="Times New Roman"/>
        </w:rPr>
        <w:t xml:space="preserve"> Estate tax inclusion will occur if the limited power is exercised</w:t>
      </w:r>
    </w:p>
    <w:p w14:paraId="1B6424A7" w14:textId="492F5D44" w:rsidR="00CF48E7" w:rsidRPr="004D4C3D" w:rsidRDefault="00CF48E7" w:rsidP="00CF48E7">
      <w:pPr>
        <w:ind w:left="720" w:right="720"/>
        <w:rPr>
          <w:rFonts w:ascii="Times New Roman" w:hAnsi="Times New Roman" w:cs="Times New Roman"/>
        </w:rPr>
      </w:pPr>
      <w:r w:rsidRPr="004D4C3D">
        <w:rPr>
          <w:rFonts w:ascii="Times New Roman" w:hAnsi="Times New Roman" w:cs="Times New Roman"/>
        </w:rPr>
        <w:t xml:space="preserve">by creating another power of appointment which under the applicable local law can be validly exercised so as to postpone the vesting of any estate or interest in such </w:t>
      </w:r>
      <w:proofErr w:type="gramStart"/>
      <w:r w:rsidRPr="004D4C3D">
        <w:rPr>
          <w:rFonts w:ascii="Times New Roman" w:hAnsi="Times New Roman" w:cs="Times New Roman"/>
        </w:rPr>
        <w:t>property, or</w:t>
      </w:r>
      <w:proofErr w:type="gramEnd"/>
      <w:r w:rsidRPr="004D4C3D">
        <w:rPr>
          <w:rFonts w:ascii="Times New Roman" w:hAnsi="Times New Roman" w:cs="Times New Roman"/>
        </w:rPr>
        <w:t xml:space="preserve"> suspend the absolute ownership or power of alienation of such property, for a period ascertainable without regard to the date of the creation of the first power.</w:t>
      </w:r>
      <w:r w:rsidRPr="004D4C3D">
        <w:rPr>
          <w:rStyle w:val="FootnoteReference"/>
          <w:rFonts w:ascii="Times New Roman" w:hAnsi="Times New Roman" w:cs="Times New Roman"/>
        </w:rPr>
        <w:footnoteReference w:id="45"/>
      </w:r>
    </w:p>
    <w:p w14:paraId="3919D7F7" w14:textId="4BB0B73C" w:rsidR="00CF48E7" w:rsidRPr="004D4C3D" w:rsidRDefault="00CF48E7" w:rsidP="00CF48E7">
      <w:pPr>
        <w:rPr>
          <w:rFonts w:ascii="Times New Roman" w:hAnsi="Times New Roman" w:cs="Times New Roman"/>
        </w:rPr>
      </w:pPr>
      <w:r w:rsidRPr="004D4C3D">
        <w:rPr>
          <w:rFonts w:ascii="Times New Roman" w:hAnsi="Times New Roman" w:cs="Times New Roman"/>
        </w:rPr>
        <w:t>This “trap” causes property to be included in the power holder’s estate if the power is exercised in a manner that restarts the running of the Rule Against Perpetuities</w:t>
      </w:r>
      <w:r w:rsidR="008F0D7C" w:rsidRPr="004D4C3D">
        <w:rPr>
          <w:rFonts w:ascii="Times New Roman" w:hAnsi="Times New Roman" w:cs="Times New Roman"/>
        </w:rPr>
        <w:t xml:space="preserve"> without regard to the date that the original power of appointment was created</w:t>
      </w:r>
      <w:r w:rsidRPr="004D4C3D">
        <w:rPr>
          <w:rFonts w:ascii="Times New Roman" w:hAnsi="Times New Roman" w:cs="Times New Roman"/>
        </w:rPr>
        <w:t>.</w:t>
      </w:r>
      <w:r w:rsidRPr="004D4C3D">
        <w:rPr>
          <w:rStyle w:val="FootnoteReference"/>
          <w:rFonts w:ascii="Times New Roman" w:hAnsi="Times New Roman" w:cs="Times New Roman"/>
        </w:rPr>
        <w:footnoteReference w:id="46"/>
      </w:r>
    </w:p>
    <w:p w14:paraId="557253C2" w14:textId="29D15406" w:rsidR="008F0D7C" w:rsidRPr="004D4C3D" w:rsidRDefault="008F0D7C" w:rsidP="00CF48E7">
      <w:pPr>
        <w:rPr>
          <w:rFonts w:ascii="Times New Roman" w:hAnsi="Times New Roman" w:cs="Times New Roman"/>
        </w:rPr>
      </w:pPr>
      <w:r w:rsidRPr="004D4C3D">
        <w:rPr>
          <w:rFonts w:ascii="Times New Roman" w:hAnsi="Times New Roman" w:cs="Times New Roman"/>
        </w:rPr>
        <w:tab/>
        <w:t>To restart the rule against perpetuities, the surviving spouse can simply grant a P</w:t>
      </w:r>
      <w:r w:rsidR="00CD55D1" w:rsidRPr="004D4C3D">
        <w:rPr>
          <w:rFonts w:ascii="Times New Roman" w:hAnsi="Times New Roman" w:cs="Times New Roman"/>
        </w:rPr>
        <w:t xml:space="preserve">resently </w:t>
      </w:r>
      <w:r w:rsidRPr="004D4C3D">
        <w:rPr>
          <w:rFonts w:ascii="Times New Roman" w:hAnsi="Times New Roman" w:cs="Times New Roman"/>
        </w:rPr>
        <w:t>E</w:t>
      </w:r>
      <w:r w:rsidR="00CD55D1" w:rsidRPr="004D4C3D">
        <w:rPr>
          <w:rFonts w:ascii="Times New Roman" w:hAnsi="Times New Roman" w:cs="Times New Roman"/>
        </w:rPr>
        <w:t xml:space="preserve">xercisable </w:t>
      </w:r>
      <w:r w:rsidRPr="004D4C3D">
        <w:rPr>
          <w:rFonts w:ascii="Times New Roman" w:hAnsi="Times New Roman" w:cs="Times New Roman"/>
        </w:rPr>
        <w:t>G</w:t>
      </w:r>
      <w:r w:rsidR="00CD55D1" w:rsidRPr="004D4C3D">
        <w:rPr>
          <w:rFonts w:ascii="Times New Roman" w:hAnsi="Times New Roman" w:cs="Times New Roman"/>
        </w:rPr>
        <w:t>eneral</w:t>
      </w:r>
      <w:r w:rsidRPr="004D4C3D">
        <w:rPr>
          <w:rFonts w:ascii="Times New Roman" w:hAnsi="Times New Roman" w:cs="Times New Roman"/>
        </w:rPr>
        <w:t xml:space="preserve"> Power</w:t>
      </w:r>
      <w:r w:rsidR="00CD55D1" w:rsidRPr="004D4C3D">
        <w:rPr>
          <w:rFonts w:ascii="Times New Roman" w:hAnsi="Times New Roman" w:cs="Times New Roman"/>
        </w:rPr>
        <w:t xml:space="preserve"> (“PEG Power”)</w:t>
      </w:r>
      <w:r w:rsidRPr="004D4C3D">
        <w:rPr>
          <w:rFonts w:ascii="Times New Roman" w:hAnsi="Times New Roman" w:cs="Times New Roman"/>
        </w:rPr>
        <w:t xml:space="preserve"> to a beneficiary. The surviving spouse would appoint </w:t>
      </w:r>
      <w:r w:rsidRPr="004D4C3D">
        <w:rPr>
          <w:rFonts w:ascii="Times New Roman" w:hAnsi="Times New Roman" w:cs="Times New Roman"/>
        </w:rPr>
        <w:lastRenderedPageBreak/>
        <w:t>trust assets into a separate trust which gives a beneficiary a Peg Power. Under common law, this appointment is considered to reset the clock on the running of the Rule Against Perpetuities.</w:t>
      </w:r>
      <w:r w:rsidRPr="004D4C3D">
        <w:rPr>
          <w:rStyle w:val="FootnoteReference"/>
          <w:rFonts w:ascii="Times New Roman" w:hAnsi="Times New Roman" w:cs="Times New Roman"/>
        </w:rPr>
        <w:footnoteReference w:id="47"/>
      </w:r>
      <w:r w:rsidR="00393682" w:rsidRPr="004D4C3D">
        <w:rPr>
          <w:rFonts w:ascii="Times New Roman" w:hAnsi="Times New Roman" w:cs="Times New Roman"/>
        </w:rPr>
        <w:t xml:space="preserve"> Essentially, the vesting of the property has been postponed “for a period ascertainable without regard to the date of the creation of the first power.”</w:t>
      </w:r>
      <w:r w:rsidR="00393682" w:rsidRPr="004D4C3D">
        <w:rPr>
          <w:rStyle w:val="FootnoteReference"/>
          <w:rFonts w:ascii="Times New Roman" w:hAnsi="Times New Roman" w:cs="Times New Roman"/>
        </w:rPr>
        <w:footnoteReference w:id="48"/>
      </w:r>
      <w:r w:rsidR="00393682" w:rsidRPr="004D4C3D">
        <w:rPr>
          <w:rFonts w:ascii="Times New Roman" w:hAnsi="Times New Roman" w:cs="Times New Roman"/>
        </w:rPr>
        <w:t xml:space="preserve"> By triggering section 2041(a)(3), the appointed property becomes a part of the surviving spouse’s estate. Estate tax inclusion means there is a step-up in basis. </w:t>
      </w:r>
    </w:p>
    <w:p w14:paraId="0BC7AF70" w14:textId="2276817D" w:rsidR="00393682" w:rsidRPr="004D4C3D" w:rsidRDefault="00393682" w:rsidP="00CF48E7">
      <w:pPr>
        <w:rPr>
          <w:rFonts w:ascii="Times New Roman" w:hAnsi="Times New Roman" w:cs="Times New Roman"/>
        </w:rPr>
      </w:pPr>
      <w:r w:rsidRPr="004D4C3D">
        <w:rPr>
          <w:rFonts w:ascii="Times New Roman" w:hAnsi="Times New Roman" w:cs="Times New Roman"/>
        </w:rPr>
        <w:tab/>
        <w:t>Fortunately, Treasury regulations have explicitly stated that the limited power may be exercised in favor of the person who would receive the property in default. “[A] power of appointment is considered as exercised for purposes of section 2041 even though the exercise is in favor of the taker in default of appointment.”</w:t>
      </w:r>
      <w:r w:rsidRPr="004D4C3D">
        <w:rPr>
          <w:rStyle w:val="FootnoteReference"/>
          <w:rFonts w:ascii="Times New Roman" w:hAnsi="Times New Roman" w:cs="Times New Roman"/>
        </w:rPr>
        <w:footnoteReference w:id="49"/>
      </w:r>
    </w:p>
    <w:p w14:paraId="37526D3B" w14:textId="08F5FF8E" w:rsidR="00373D9E" w:rsidRPr="004D4C3D" w:rsidRDefault="00373D9E" w:rsidP="00CF48E7">
      <w:pPr>
        <w:rPr>
          <w:rFonts w:ascii="Times New Roman" w:hAnsi="Times New Roman" w:cs="Times New Roman"/>
        </w:rPr>
      </w:pPr>
      <w:r w:rsidRPr="004D4C3D">
        <w:rPr>
          <w:rFonts w:ascii="Times New Roman" w:hAnsi="Times New Roman" w:cs="Times New Roman"/>
        </w:rPr>
        <w:tab/>
        <w:t xml:space="preserve">One drawback of using the Delaware Tax Trap is that if a beneficiary is holding an inter </w:t>
      </w:r>
      <w:proofErr w:type="spellStart"/>
      <w:r w:rsidRPr="004D4C3D">
        <w:rPr>
          <w:rFonts w:ascii="Times New Roman" w:hAnsi="Times New Roman" w:cs="Times New Roman"/>
        </w:rPr>
        <w:t>vivos</w:t>
      </w:r>
      <w:proofErr w:type="spellEnd"/>
      <w:r w:rsidRPr="004D4C3D">
        <w:rPr>
          <w:rFonts w:ascii="Times New Roman" w:hAnsi="Times New Roman" w:cs="Times New Roman"/>
        </w:rPr>
        <w:t xml:space="preserve"> GPA (required to trigger the Delaware Tax Trap), trust assets are exposed to the beneficiary’s creditors. Creating the PEG Power exposes any assets placed into the new trust to the new beneficiary’s creditors (the holder of the GPA).</w:t>
      </w:r>
    </w:p>
    <w:p w14:paraId="0F271D8D" w14:textId="77777777" w:rsidR="00704619" w:rsidRPr="004D4C3D" w:rsidRDefault="00704619" w:rsidP="004D4C3D">
      <w:pPr>
        <w:pStyle w:val="Heading1"/>
      </w:pPr>
      <w:bookmarkStart w:id="62" w:name="_Toc510811741"/>
      <w:bookmarkStart w:id="63" w:name="_Toc510811772"/>
      <w:bookmarkStart w:id="64" w:name="_Toc510811890"/>
      <w:r w:rsidRPr="004D4C3D">
        <w:t>Planning for Assets Currently Held in Trusts</w:t>
      </w:r>
      <w:bookmarkEnd w:id="62"/>
      <w:bookmarkEnd w:id="63"/>
      <w:bookmarkEnd w:id="64"/>
    </w:p>
    <w:p w14:paraId="6AA562F1" w14:textId="0A774371" w:rsidR="00704619" w:rsidRPr="004D4C3D" w:rsidRDefault="00704619" w:rsidP="004D4C3D">
      <w:pPr>
        <w:pStyle w:val="Heading2"/>
      </w:pPr>
      <w:bookmarkStart w:id="65" w:name="_Toc510811742"/>
      <w:bookmarkStart w:id="66" w:name="_Toc510811773"/>
      <w:bookmarkStart w:id="67" w:name="_Toc510811891"/>
      <w:r w:rsidRPr="004D4C3D">
        <w:t>Decant or modify (UTC Article</w:t>
      </w:r>
      <w:r w:rsidR="006A3B24" w:rsidRPr="004D4C3D">
        <w:t xml:space="preserve"> </w:t>
      </w:r>
      <w:r w:rsidRPr="004D4C3D">
        <w:t>4) to a trust with terms which will</w:t>
      </w:r>
      <w:r w:rsidR="00373D9E" w:rsidRPr="004D4C3D">
        <w:t xml:space="preserve"> </w:t>
      </w:r>
      <w:r w:rsidRPr="004D4C3D">
        <w:t>allow basis step-up</w:t>
      </w:r>
      <w:bookmarkEnd w:id="65"/>
      <w:bookmarkEnd w:id="66"/>
      <w:bookmarkEnd w:id="67"/>
    </w:p>
    <w:p w14:paraId="1C62F75B" w14:textId="7AB53134" w:rsidR="00CD55D1" w:rsidRPr="004D4C3D" w:rsidRDefault="00EF4A7E" w:rsidP="00CD55D1">
      <w:pPr>
        <w:rPr>
          <w:rFonts w:ascii="Times New Roman" w:hAnsi="Times New Roman" w:cs="Times New Roman"/>
        </w:rPr>
      </w:pPr>
      <w:r w:rsidRPr="004D4C3D">
        <w:rPr>
          <w:rFonts w:ascii="Times New Roman" w:hAnsi="Times New Roman" w:cs="Times New Roman"/>
        </w:rPr>
        <w:tab/>
      </w:r>
      <w:r w:rsidR="00CD55D1" w:rsidRPr="004D4C3D">
        <w:rPr>
          <w:rFonts w:ascii="Times New Roman" w:hAnsi="Times New Roman" w:cs="Times New Roman"/>
        </w:rPr>
        <w:t>The procedure to decant or modify under Article 4 of the Trust Code</w:t>
      </w:r>
      <w:r w:rsidR="00CD55D1" w:rsidRPr="004D4C3D">
        <w:rPr>
          <w:rStyle w:val="FootnoteReference"/>
          <w:rFonts w:ascii="Times New Roman" w:hAnsi="Times New Roman" w:cs="Times New Roman"/>
        </w:rPr>
        <w:footnoteReference w:id="50"/>
      </w:r>
      <w:r w:rsidR="00CD55D1" w:rsidRPr="004D4C3D">
        <w:rPr>
          <w:rFonts w:ascii="Times New Roman" w:hAnsi="Times New Roman" w:cs="Times New Roman"/>
        </w:rPr>
        <w:t xml:space="preserve"> requires a petition or complaint to be filed in the proper court in the jurisdiction of the trust’s principal place of </w:t>
      </w:r>
      <w:r w:rsidR="00CD55D1" w:rsidRPr="004D4C3D">
        <w:rPr>
          <w:rFonts w:ascii="Times New Roman" w:hAnsi="Times New Roman" w:cs="Times New Roman"/>
        </w:rPr>
        <w:lastRenderedPageBreak/>
        <w:t>administration.</w:t>
      </w:r>
      <w:r w:rsidR="00CD55D1" w:rsidRPr="004D4C3D">
        <w:rPr>
          <w:rStyle w:val="FootnoteReference"/>
          <w:rFonts w:ascii="Times New Roman" w:hAnsi="Times New Roman" w:cs="Times New Roman"/>
        </w:rPr>
        <w:footnoteReference w:id="51"/>
      </w:r>
      <w:r w:rsidRPr="004D4C3D">
        <w:rPr>
          <w:rFonts w:ascii="Times New Roman" w:hAnsi="Times New Roman" w:cs="Times New Roman"/>
        </w:rPr>
        <w:t xml:space="preserve"> Any trustee or beneficiary may bring such an action. The Trust Code does not require the trustee or settlor (if living) to be made a party.</w:t>
      </w:r>
      <w:r w:rsidRPr="004D4C3D">
        <w:rPr>
          <w:rStyle w:val="FootnoteReference"/>
          <w:rFonts w:ascii="Times New Roman" w:hAnsi="Times New Roman" w:cs="Times New Roman"/>
        </w:rPr>
        <w:footnoteReference w:id="52"/>
      </w:r>
      <w:r w:rsidRPr="004D4C3D">
        <w:rPr>
          <w:rFonts w:ascii="Times New Roman" w:hAnsi="Times New Roman" w:cs="Times New Roman"/>
        </w:rPr>
        <w:t xml:space="preserve"> However, the trustee may be a necessary party under the jurisdiction’s rules of civil procedure. Venue is governed by Section 204 of the Trust Code, not the local rules of civil procedure. Section 204 requires a proceeding involving a trust to be brought in the county in which the trust’s principal place of administration is or will be located.</w:t>
      </w:r>
    </w:p>
    <w:p w14:paraId="142D9819" w14:textId="6B5BD8FE" w:rsidR="00EF4A7E" w:rsidRPr="004D4C3D" w:rsidRDefault="00EF4A7E" w:rsidP="00CD55D1">
      <w:pPr>
        <w:rPr>
          <w:rFonts w:ascii="Times New Roman" w:hAnsi="Times New Roman" w:cs="Times New Roman"/>
        </w:rPr>
      </w:pPr>
      <w:r w:rsidRPr="004D4C3D">
        <w:rPr>
          <w:rFonts w:ascii="Times New Roman" w:hAnsi="Times New Roman" w:cs="Times New Roman"/>
        </w:rPr>
        <w:tab/>
        <w:t xml:space="preserve">A non-charitable trust may be modified or terminated by: (1) modification or termination by consent of settlor and beneficiaries, (2) compelled modification or termination by consent of beneficiaries when such modification or termination is not inconsistent with a material purpose of the trust, or (3) </w:t>
      </w:r>
      <w:r w:rsidR="009F0690" w:rsidRPr="004D4C3D">
        <w:rPr>
          <w:rFonts w:ascii="Times New Roman" w:hAnsi="Times New Roman" w:cs="Times New Roman"/>
        </w:rPr>
        <w:t>modification under Section 411 without consent of all the beneficiaries. The last option requires that had all the beneficiaries consented, the trust could have been properly modified or terminated and that the interests of a beneficiary who does not consent will be adequately protected.</w:t>
      </w:r>
      <w:r w:rsidR="00252FE8" w:rsidRPr="004D4C3D">
        <w:rPr>
          <w:rStyle w:val="FootnoteReference"/>
          <w:rFonts w:ascii="Times New Roman" w:hAnsi="Times New Roman" w:cs="Times New Roman"/>
        </w:rPr>
        <w:footnoteReference w:id="53"/>
      </w:r>
      <w:r w:rsidR="009F0690" w:rsidRPr="004D4C3D">
        <w:rPr>
          <w:rFonts w:ascii="Times New Roman" w:hAnsi="Times New Roman" w:cs="Times New Roman"/>
        </w:rPr>
        <w:t xml:space="preserve"> The second and third options are available even when the settlor is not alive.</w:t>
      </w:r>
    </w:p>
    <w:p w14:paraId="2C074108" w14:textId="462E01F9" w:rsidR="00CD55D1" w:rsidRPr="004D4C3D" w:rsidRDefault="00274B68" w:rsidP="004D4C3D">
      <w:pPr>
        <w:pStyle w:val="Heading3"/>
      </w:pPr>
      <w:bookmarkStart w:id="68" w:name="_Toc510811743"/>
      <w:bookmarkStart w:id="69" w:name="_Toc510811892"/>
      <w:r w:rsidRPr="004D4C3D">
        <w:t xml:space="preserve">Tax Consequences of </w:t>
      </w:r>
      <w:r w:rsidR="0033721C" w:rsidRPr="004D4C3D">
        <w:t>Decant</w:t>
      </w:r>
      <w:r w:rsidRPr="004D4C3D">
        <w:t>ing</w:t>
      </w:r>
      <w:bookmarkEnd w:id="68"/>
      <w:bookmarkEnd w:id="69"/>
    </w:p>
    <w:p w14:paraId="3F70866B" w14:textId="3BFB5E80" w:rsidR="00274B68" w:rsidRPr="004D4C3D" w:rsidRDefault="00274B68" w:rsidP="0033721C">
      <w:pPr>
        <w:rPr>
          <w:rFonts w:ascii="Times New Roman" w:hAnsi="Times New Roman" w:cs="Times New Roman"/>
        </w:rPr>
      </w:pPr>
      <w:r w:rsidRPr="004D4C3D">
        <w:rPr>
          <w:rFonts w:ascii="Times New Roman" w:hAnsi="Times New Roman" w:cs="Times New Roman"/>
        </w:rPr>
        <w:tab/>
      </w:r>
      <w:r w:rsidRPr="004D4C3D">
        <w:rPr>
          <w:rFonts w:ascii="Times New Roman" w:hAnsi="Times New Roman" w:cs="Times New Roman"/>
          <w:b/>
        </w:rPr>
        <w:t>Income Tax.</w:t>
      </w:r>
      <w:r w:rsidRPr="004D4C3D">
        <w:rPr>
          <w:rFonts w:ascii="Times New Roman" w:hAnsi="Times New Roman" w:cs="Times New Roman"/>
        </w:rPr>
        <w:t xml:space="preserve"> Decanting does not trigger income tax obligations in most circumstances. However, one example in which gain will be recognized is on the decanting of negative basis assets from a grantor trust to a non-grantor trust.</w:t>
      </w:r>
      <w:r w:rsidRPr="004D4C3D">
        <w:rPr>
          <w:rStyle w:val="FootnoteReference"/>
          <w:rFonts w:ascii="Times New Roman" w:hAnsi="Times New Roman" w:cs="Times New Roman"/>
        </w:rPr>
        <w:footnoteReference w:id="54"/>
      </w:r>
      <w:r w:rsidRPr="004D4C3D">
        <w:rPr>
          <w:rFonts w:ascii="Times New Roman" w:hAnsi="Times New Roman" w:cs="Times New Roman"/>
        </w:rPr>
        <w:t xml:space="preserve"> The original trust will recognize gain equal to the amount of any liabilities held.</w:t>
      </w:r>
    </w:p>
    <w:p w14:paraId="506086E7" w14:textId="251DD465" w:rsidR="009D49F2" w:rsidRPr="004D4C3D" w:rsidRDefault="00274B68" w:rsidP="0033721C">
      <w:pPr>
        <w:rPr>
          <w:rFonts w:ascii="Times New Roman" w:hAnsi="Times New Roman" w:cs="Times New Roman"/>
        </w:rPr>
      </w:pPr>
      <w:r w:rsidRPr="004D4C3D">
        <w:rPr>
          <w:rFonts w:ascii="Times New Roman" w:hAnsi="Times New Roman" w:cs="Times New Roman"/>
        </w:rPr>
        <w:tab/>
      </w:r>
      <w:r w:rsidRPr="004D4C3D">
        <w:rPr>
          <w:rFonts w:ascii="Times New Roman" w:hAnsi="Times New Roman" w:cs="Times New Roman"/>
          <w:b/>
        </w:rPr>
        <w:t>Gift and Estate Tax.</w:t>
      </w:r>
      <w:r w:rsidRPr="004D4C3D">
        <w:rPr>
          <w:rFonts w:ascii="Times New Roman" w:hAnsi="Times New Roman" w:cs="Times New Roman"/>
        </w:rPr>
        <w:t xml:space="preserve"> Decanting statutes do not allow a trustee who is also a beneficiary to decant. This would result in a taxable gift for the trustee/beneficiary. A beneficiary’s consent to </w:t>
      </w:r>
      <w:r w:rsidRPr="004D4C3D">
        <w:rPr>
          <w:rFonts w:ascii="Times New Roman" w:hAnsi="Times New Roman" w:cs="Times New Roman"/>
        </w:rPr>
        <w:lastRenderedPageBreak/>
        <w:t>decanting may be deemed to be a taxable transfer for gift tax purposes.</w:t>
      </w:r>
      <w:r w:rsidRPr="004D4C3D">
        <w:rPr>
          <w:rStyle w:val="FootnoteReference"/>
          <w:rFonts w:ascii="Times New Roman" w:hAnsi="Times New Roman" w:cs="Times New Roman"/>
        </w:rPr>
        <w:footnoteReference w:id="55"/>
      </w:r>
      <w:r w:rsidRPr="004D4C3D">
        <w:rPr>
          <w:rFonts w:ascii="Times New Roman" w:hAnsi="Times New Roman" w:cs="Times New Roman"/>
        </w:rPr>
        <w:t xml:space="preserve"> Springing the Delaware Tax Trap may also present gift tax consequences, particularly for the powerholder exercising the first power of appointment. Commentators have disagreed as to whether power held in a fiduciary capacity is a power of appointment. Legislative history indicates that the Delaware Tax Trap was not intended to apply to a fiduciary power of appointment</w:t>
      </w:r>
      <w:r w:rsidR="009D49F2" w:rsidRPr="004D4C3D">
        <w:rPr>
          <w:rFonts w:ascii="Times New Roman" w:hAnsi="Times New Roman" w:cs="Times New Roman"/>
        </w:rPr>
        <w:t>.</w:t>
      </w:r>
      <w:r w:rsidR="009D49F2" w:rsidRPr="004D4C3D">
        <w:rPr>
          <w:rStyle w:val="FootnoteReference"/>
          <w:rFonts w:ascii="Times New Roman" w:hAnsi="Times New Roman" w:cs="Times New Roman"/>
        </w:rPr>
        <w:footnoteReference w:id="56"/>
      </w:r>
      <w:r w:rsidR="009D49F2" w:rsidRPr="004D4C3D">
        <w:rPr>
          <w:rFonts w:ascii="Times New Roman" w:hAnsi="Times New Roman" w:cs="Times New Roman"/>
        </w:rPr>
        <w:t xml:space="preserve"> But consider </w:t>
      </w:r>
    </w:p>
    <w:p w14:paraId="35652965" w14:textId="0469FEA9" w:rsidR="00274B68" w:rsidRPr="004D4C3D" w:rsidRDefault="009D49F2" w:rsidP="00954490">
      <w:pPr>
        <w:ind w:firstLine="720"/>
        <w:rPr>
          <w:rFonts w:ascii="Times New Roman" w:hAnsi="Times New Roman" w:cs="Times New Roman"/>
        </w:rPr>
      </w:pPr>
      <w:r w:rsidRPr="004D4C3D">
        <w:rPr>
          <w:rFonts w:ascii="Times New Roman" w:hAnsi="Times New Roman" w:cs="Times New Roman"/>
        </w:rPr>
        <w:t>One solution is to include a clause in the decanting instrument or in the terms of the second trust that provides that postponement of vesting of beneficial interests in, or suspension of absolute ownership or power of alienation over, trust property cannot be extended through the trustee’s discretionary distribution power or the exercise of a special power of appointment for a period in excess of the governing permissible perpetuities period measured as of the date of creation of the original trust.</w:t>
      </w:r>
      <w:r w:rsidRPr="004D4C3D">
        <w:rPr>
          <w:rStyle w:val="FootnoteReference"/>
          <w:rFonts w:ascii="Times New Roman" w:hAnsi="Times New Roman" w:cs="Times New Roman"/>
        </w:rPr>
        <w:footnoteReference w:id="57"/>
      </w:r>
    </w:p>
    <w:p w14:paraId="0A294F9E" w14:textId="7B26724E" w:rsidR="009D49F2" w:rsidRPr="004D4C3D" w:rsidRDefault="009D49F2" w:rsidP="009D49F2">
      <w:pPr>
        <w:rPr>
          <w:rFonts w:ascii="Times New Roman" w:hAnsi="Times New Roman" w:cs="Times New Roman"/>
        </w:rPr>
      </w:pPr>
      <w:r w:rsidRPr="004D4C3D">
        <w:rPr>
          <w:rFonts w:ascii="Times New Roman" w:hAnsi="Times New Roman" w:cs="Times New Roman"/>
        </w:rPr>
        <w:tab/>
      </w:r>
      <w:r w:rsidRPr="004D4C3D">
        <w:rPr>
          <w:rFonts w:ascii="Times New Roman" w:hAnsi="Times New Roman" w:cs="Times New Roman"/>
          <w:b/>
        </w:rPr>
        <w:t xml:space="preserve">GST Tax. </w:t>
      </w:r>
      <w:r w:rsidRPr="004D4C3D">
        <w:rPr>
          <w:rFonts w:ascii="Times New Roman" w:hAnsi="Times New Roman" w:cs="Times New Roman"/>
        </w:rPr>
        <w:t>Safe harbor regulations provide that certain trusts may not lose their grandfather status, a status that exempts the trust from GST tax. The Discretionary Distribution Safe Harbor requires: (1) either (i) the terms of the trust authorize decanting, or (ii) on the date the trust became irrevocable, state law authorized decanting; (2) the trustee is able to exercise the power to decant without the consent or approval of any beneficiary or court; and (3) the second trust does not postpone or suspend the vesting, absolute ownership, or power of alienation of an interest in property beyond the federal perpetuities period.</w:t>
      </w:r>
      <w:r w:rsidRPr="004D4C3D">
        <w:rPr>
          <w:rStyle w:val="FootnoteReference"/>
          <w:rFonts w:ascii="Times New Roman" w:hAnsi="Times New Roman" w:cs="Times New Roman"/>
        </w:rPr>
        <w:footnoteReference w:id="58"/>
      </w:r>
    </w:p>
    <w:p w14:paraId="714A9CB5" w14:textId="25361360" w:rsidR="0033721C" w:rsidRPr="004D4C3D" w:rsidRDefault="00252FE8" w:rsidP="0033721C">
      <w:pPr>
        <w:rPr>
          <w:rFonts w:ascii="Times New Roman" w:hAnsi="Times New Roman" w:cs="Times New Roman"/>
        </w:rPr>
      </w:pPr>
      <w:r w:rsidRPr="004D4C3D">
        <w:rPr>
          <w:rFonts w:ascii="Times New Roman" w:hAnsi="Times New Roman" w:cs="Times New Roman"/>
        </w:rPr>
        <w:tab/>
      </w:r>
      <w:r w:rsidR="0009183C" w:rsidRPr="004D4C3D">
        <w:rPr>
          <w:rFonts w:ascii="Times New Roman" w:hAnsi="Times New Roman" w:cs="Times New Roman"/>
        </w:rPr>
        <w:t>The trustee must be wary of its fiduciary duties, including a Duty of Loyalty, when considering decanting to another trust.</w:t>
      </w:r>
      <w:r w:rsidR="0009183C" w:rsidRPr="004D4C3D">
        <w:rPr>
          <w:rStyle w:val="FootnoteReference"/>
          <w:rFonts w:ascii="Times New Roman" w:hAnsi="Times New Roman" w:cs="Times New Roman"/>
        </w:rPr>
        <w:footnoteReference w:id="59"/>
      </w:r>
      <w:r w:rsidR="0009183C" w:rsidRPr="004D4C3D">
        <w:rPr>
          <w:rFonts w:ascii="Times New Roman" w:hAnsi="Times New Roman" w:cs="Times New Roman"/>
        </w:rPr>
        <w:t xml:space="preserve"> State</w:t>
      </w:r>
      <w:r w:rsidR="009E3DA7" w:rsidRPr="004D4C3D">
        <w:rPr>
          <w:rFonts w:ascii="Times New Roman" w:hAnsi="Times New Roman" w:cs="Times New Roman"/>
        </w:rPr>
        <w:t xml:space="preserve"> law also plays a major factor in what can and cannot </w:t>
      </w:r>
      <w:r w:rsidR="009E3DA7" w:rsidRPr="004D4C3D">
        <w:rPr>
          <w:rFonts w:ascii="Times New Roman" w:hAnsi="Times New Roman" w:cs="Times New Roman"/>
        </w:rPr>
        <w:lastRenderedPageBreak/>
        <w:t>be done by decanting.</w:t>
      </w:r>
      <w:r w:rsidR="00274B68" w:rsidRPr="004D4C3D">
        <w:rPr>
          <w:rFonts w:ascii="Times New Roman" w:hAnsi="Times New Roman" w:cs="Times New Roman"/>
        </w:rPr>
        <w:t xml:space="preserve"> </w:t>
      </w:r>
    </w:p>
    <w:p w14:paraId="7F5AE989" w14:textId="1676ED78" w:rsidR="009D49F2" w:rsidRPr="004D4C3D" w:rsidRDefault="009D49F2" w:rsidP="004D4C3D">
      <w:pPr>
        <w:pStyle w:val="Heading3"/>
      </w:pPr>
      <w:bookmarkStart w:id="70" w:name="_Toc510811744"/>
      <w:bookmarkStart w:id="71" w:name="_Toc510811893"/>
      <w:r w:rsidRPr="004D4C3D">
        <w:t>Tax Consequences of Modification</w:t>
      </w:r>
      <w:bookmarkEnd w:id="70"/>
      <w:bookmarkEnd w:id="71"/>
    </w:p>
    <w:p w14:paraId="62C43F26" w14:textId="78B09C5A" w:rsidR="009E3DA7" w:rsidRPr="004D4C3D" w:rsidRDefault="009E3DA7" w:rsidP="009E3DA7">
      <w:pPr>
        <w:rPr>
          <w:rFonts w:ascii="Times New Roman" w:hAnsi="Times New Roman" w:cs="Times New Roman"/>
        </w:rPr>
      </w:pPr>
      <w:r w:rsidRPr="004D4C3D">
        <w:rPr>
          <w:rFonts w:ascii="Times New Roman" w:hAnsi="Times New Roman" w:cs="Times New Roman"/>
        </w:rPr>
        <w:tab/>
      </w:r>
      <w:r w:rsidR="00256F0E" w:rsidRPr="004D4C3D">
        <w:rPr>
          <w:rFonts w:ascii="Times New Roman" w:hAnsi="Times New Roman" w:cs="Times New Roman"/>
          <w:b/>
        </w:rPr>
        <w:t>Income Tax.</w:t>
      </w:r>
      <w:r w:rsidR="00256F0E" w:rsidRPr="004D4C3D">
        <w:rPr>
          <w:rFonts w:ascii="Times New Roman" w:hAnsi="Times New Roman" w:cs="Times New Roman"/>
        </w:rPr>
        <w:t xml:space="preserve"> No income tax concerns should arise from a trust modification.</w:t>
      </w:r>
      <w:r w:rsidR="00256F0E" w:rsidRPr="004D4C3D">
        <w:rPr>
          <w:rStyle w:val="FootnoteReference"/>
          <w:rFonts w:ascii="Times New Roman" w:hAnsi="Times New Roman" w:cs="Times New Roman"/>
        </w:rPr>
        <w:footnoteReference w:id="60"/>
      </w:r>
    </w:p>
    <w:p w14:paraId="2A6B2454" w14:textId="1BCA205B" w:rsidR="00256F0E" w:rsidRPr="004D4C3D" w:rsidRDefault="00256F0E" w:rsidP="009E3DA7">
      <w:pPr>
        <w:rPr>
          <w:rFonts w:ascii="Times New Roman" w:hAnsi="Times New Roman" w:cs="Times New Roman"/>
        </w:rPr>
      </w:pPr>
      <w:r w:rsidRPr="004D4C3D">
        <w:rPr>
          <w:rFonts w:ascii="Times New Roman" w:hAnsi="Times New Roman" w:cs="Times New Roman"/>
        </w:rPr>
        <w:tab/>
      </w:r>
      <w:r w:rsidRPr="004D4C3D">
        <w:rPr>
          <w:rFonts w:ascii="Times New Roman" w:hAnsi="Times New Roman" w:cs="Times New Roman"/>
          <w:b/>
        </w:rPr>
        <w:t>Gift and Estate Tax.</w:t>
      </w:r>
      <w:r w:rsidRPr="004D4C3D">
        <w:rPr>
          <w:rFonts w:ascii="Times New Roman" w:hAnsi="Times New Roman" w:cs="Times New Roman"/>
        </w:rPr>
        <w:t xml:space="preserve"> Gift and estate tax concerns may arise when a beneficiary consents to a modification that lessens the beneficiary’s interest in the trust or gives an interest away. Also, a gift may occur if a beneficiary receives less than the beneficiary’s pro rata </w:t>
      </w:r>
      <w:proofErr w:type="gramStart"/>
      <w:r w:rsidRPr="004D4C3D">
        <w:rPr>
          <w:rFonts w:ascii="Times New Roman" w:hAnsi="Times New Roman" w:cs="Times New Roman"/>
        </w:rPr>
        <w:t>share</w:t>
      </w:r>
      <w:proofErr w:type="gramEnd"/>
      <w:r w:rsidRPr="004D4C3D">
        <w:rPr>
          <w:rFonts w:ascii="Times New Roman" w:hAnsi="Times New Roman" w:cs="Times New Roman"/>
        </w:rPr>
        <w:t xml:space="preserve"> of a trust assets upon termination.</w:t>
      </w:r>
    </w:p>
    <w:p w14:paraId="3448042C" w14:textId="0B67B88F" w:rsidR="00256F0E" w:rsidRPr="004D4C3D" w:rsidRDefault="00256F0E" w:rsidP="004D6A7C">
      <w:pPr>
        <w:rPr>
          <w:rFonts w:ascii="Times New Roman" w:hAnsi="Times New Roman" w:cs="Times New Roman"/>
        </w:rPr>
      </w:pPr>
      <w:r w:rsidRPr="004D4C3D">
        <w:rPr>
          <w:rFonts w:ascii="Times New Roman" w:hAnsi="Times New Roman" w:cs="Times New Roman"/>
        </w:rPr>
        <w:tab/>
      </w:r>
      <w:r w:rsidRPr="004D4C3D">
        <w:rPr>
          <w:rFonts w:ascii="Times New Roman" w:hAnsi="Times New Roman" w:cs="Times New Roman"/>
          <w:b/>
        </w:rPr>
        <w:t>GST Tax.</w:t>
      </w:r>
      <w:r w:rsidRPr="004D4C3D">
        <w:rPr>
          <w:rFonts w:ascii="Times New Roman" w:hAnsi="Times New Roman" w:cs="Times New Roman"/>
        </w:rPr>
        <w:t xml:space="preserve"> Again, a trust can be exempt from GST tax if it is a grandfathered trust or a </w:t>
      </w:r>
      <w:proofErr w:type="gramStart"/>
      <w:r w:rsidRPr="004D4C3D">
        <w:rPr>
          <w:rFonts w:ascii="Times New Roman" w:hAnsi="Times New Roman" w:cs="Times New Roman"/>
        </w:rPr>
        <w:t>zero inclusion</w:t>
      </w:r>
      <w:proofErr w:type="gramEnd"/>
      <w:r w:rsidRPr="004D4C3D">
        <w:rPr>
          <w:rFonts w:ascii="Times New Roman" w:hAnsi="Times New Roman" w:cs="Times New Roman"/>
        </w:rPr>
        <w:t xml:space="preserve"> ratio trust. Safe harbor provisions exist to protect the grandfathered status of a trust. The Trust Modification Safe Harbor (which can also apply to decanting) requires</w:t>
      </w:r>
      <w:r w:rsidR="004D6A7C" w:rsidRPr="004D4C3D">
        <w:rPr>
          <w:rFonts w:ascii="Times New Roman" w:hAnsi="Times New Roman" w:cs="Times New Roman"/>
        </w:rPr>
        <w:t>: (1) the modification or decanting does not shift a beneficial interest in the original trust to any beneficiary occupying a lower generation than the person(s) holding beneficial interests in the trust prior to modification or decanting and (2) the modification or decanting does not extend the time for vesting of any beneficial interest in the original trust beyond the period provided for under the terms of the trust.</w:t>
      </w:r>
      <w:r w:rsidR="004D6A7C" w:rsidRPr="004D4C3D">
        <w:rPr>
          <w:rStyle w:val="FootnoteReference"/>
          <w:rFonts w:ascii="Times New Roman" w:hAnsi="Times New Roman" w:cs="Times New Roman"/>
        </w:rPr>
        <w:footnoteReference w:id="61"/>
      </w:r>
    </w:p>
    <w:p w14:paraId="65D1A4A5" w14:textId="359CE154" w:rsidR="00704619" w:rsidRPr="004D4C3D" w:rsidRDefault="00704619" w:rsidP="004D4C3D">
      <w:pPr>
        <w:pStyle w:val="Heading2"/>
      </w:pPr>
      <w:bookmarkStart w:id="72" w:name="_Toc510811745"/>
      <w:bookmarkStart w:id="73" w:name="_Toc510811774"/>
      <w:bookmarkStart w:id="74" w:name="_Toc510811894"/>
      <w:r w:rsidRPr="004D4C3D">
        <w:t>Exchange low basis trust assets with assets of equivalent value</w:t>
      </w:r>
      <w:bookmarkEnd w:id="72"/>
      <w:bookmarkEnd w:id="73"/>
      <w:bookmarkEnd w:id="74"/>
    </w:p>
    <w:p w14:paraId="5E7D19DF" w14:textId="51BBAE52" w:rsidR="009E647A" w:rsidRPr="004D4C3D" w:rsidRDefault="009E647A" w:rsidP="009E647A">
      <w:pPr>
        <w:rPr>
          <w:rFonts w:ascii="Times New Roman" w:hAnsi="Times New Roman" w:cs="Times New Roman"/>
        </w:rPr>
      </w:pPr>
      <w:r w:rsidRPr="004D4C3D">
        <w:rPr>
          <w:rFonts w:ascii="Times New Roman" w:hAnsi="Times New Roman" w:cs="Times New Roman"/>
        </w:rPr>
        <w:tab/>
        <w:t>A general power of administration includes “power to reacquire the trust corpus by substituting other property of an equivalent value.”</w:t>
      </w:r>
      <w:r w:rsidRPr="004D4C3D">
        <w:rPr>
          <w:rStyle w:val="FootnoteReference"/>
          <w:rFonts w:ascii="Times New Roman" w:hAnsi="Times New Roman" w:cs="Times New Roman"/>
        </w:rPr>
        <w:footnoteReference w:id="62"/>
      </w:r>
      <w:r w:rsidRPr="004D4C3D">
        <w:rPr>
          <w:rFonts w:ascii="Times New Roman" w:hAnsi="Times New Roman" w:cs="Times New Roman"/>
        </w:rPr>
        <w:t xml:space="preserve"> If the trust provides for this particular power of administration, a surviving spouse could exchange high basis assets for low </w:t>
      </w:r>
      <w:proofErr w:type="gramStart"/>
      <w:r w:rsidRPr="004D4C3D">
        <w:rPr>
          <w:rFonts w:ascii="Times New Roman" w:hAnsi="Times New Roman" w:cs="Times New Roman"/>
        </w:rPr>
        <w:t>bassets</w:t>
      </w:r>
      <w:proofErr w:type="gramEnd"/>
      <w:r w:rsidRPr="004D4C3D">
        <w:rPr>
          <w:rFonts w:ascii="Times New Roman" w:hAnsi="Times New Roman" w:cs="Times New Roman"/>
        </w:rPr>
        <w:t xml:space="preserve"> assets of, for example, an Intentionally Defective Grantor Trust, prior to death and effectuate a step-up in basis for those assets.</w:t>
      </w:r>
      <w:r w:rsidRPr="004D4C3D">
        <w:rPr>
          <w:rStyle w:val="FootnoteReference"/>
          <w:rFonts w:ascii="Times New Roman" w:hAnsi="Times New Roman" w:cs="Times New Roman"/>
        </w:rPr>
        <w:footnoteReference w:id="63"/>
      </w:r>
    </w:p>
    <w:p w14:paraId="36A639C4" w14:textId="4AD724CB" w:rsidR="00704619" w:rsidRPr="004D4C3D" w:rsidRDefault="00704619" w:rsidP="004D4C3D">
      <w:pPr>
        <w:pStyle w:val="Heading2"/>
      </w:pPr>
      <w:bookmarkStart w:id="75" w:name="_Toc510811746"/>
      <w:bookmarkStart w:id="76" w:name="_Toc510811775"/>
      <w:bookmarkStart w:id="77" w:name="_Toc510811895"/>
      <w:r w:rsidRPr="004D4C3D">
        <w:lastRenderedPageBreak/>
        <w:t>Steps to reduce valuation discounts</w:t>
      </w:r>
      <w:bookmarkEnd w:id="75"/>
      <w:bookmarkEnd w:id="76"/>
      <w:bookmarkEnd w:id="77"/>
    </w:p>
    <w:p w14:paraId="3AAB68B9" w14:textId="429C99FE" w:rsidR="00C44F61" w:rsidRPr="004D4C3D" w:rsidRDefault="00C44F61" w:rsidP="00C44F61">
      <w:pPr>
        <w:rPr>
          <w:rFonts w:ascii="Times New Roman" w:hAnsi="Times New Roman" w:cs="Times New Roman"/>
        </w:rPr>
      </w:pPr>
      <w:r w:rsidRPr="004D4C3D">
        <w:rPr>
          <w:rFonts w:ascii="Times New Roman" w:hAnsi="Times New Roman" w:cs="Times New Roman"/>
        </w:rPr>
        <w:tab/>
        <w:t xml:space="preserve">Assets that may have been divided as they are passed down to multiple generations may have been subject to valuation discounts in the past. The taxpayer should consider </w:t>
      </w:r>
      <w:r w:rsidR="00AC23F3" w:rsidRPr="004D4C3D">
        <w:rPr>
          <w:rFonts w:ascii="Times New Roman" w:hAnsi="Times New Roman" w:cs="Times New Roman"/>
        </w:rPr>
        <w:t>reducing</w:t>
      </w:r>
      <w:r w:rsidRPr="004D4C3D">
        <w:rPr>
          <w:rFonts w:ascii="Times New Roman" w:hAnsi="Times New Roman" w:cs="Times New Roman"/>
        </w:rPr>
        <w:t xml:space="preserve"> those discounts if he wishes to maximize his step-up in basis. </w:t>
      </w:r>
    </w:p>
    <w:p w14:paraId="7318E021" w14:textId="77777777" w:rsidR="00AC23F3" w:rsidRPr="004D4C3D" w:rsidRDefault="00C44F61" w:rsidP="00C44F61">
      <w:pPr>
        <w:rPr>
          <w:rFonts w:ascii="Times New Roman" w:hAnsi="Times New Roman" w:cs="Times New Roman"/>
        </w:rPr>
      </w:pPr>
      <w:r w:rsidRPr="004D4C3D">
        <w:rPr>
          <w:rFonts w:ascii="Times New Roman" w:hAnsi="Times New Roman" w:cs="Times New Roman"/>
        </w:rPr>
        <w:tab/>
        <w:t>One option is to allow a parent to sell the parent’s interest to a child for undiscounted fair market value at death. This, of course, would be a gift unless given for full and adequate consideration.</w:t>
      </w:r>
      <w:r w:rsidR="00FC2C00" w:rsidRPr="004D4C3D">
        <w:rPr>
          <w:rStyle w:val="FootnoteReference"/>
          <w:rFonts w:ascii="Times New Roman" w:hAnsi="Times New Roman" w:cs="Times New Roman"/>
        </w:rPr>
        <w:footnoteReference w:id="64"/>
      </w:r>
      <w:r w:rsidR="004D6A7C" w:rsidRPr="004D4C3D">
        <w:rPr>
          <w:rFonts w:ascii="Times New Roman" w:hAnsi="Times New Roman" w:cs="Times New Roman"/>
        </w:rPr>
        <w:t xml:space="preserve"> </w:t>
      </w:r>
      <w:r w:rsidR="00AC23F3" w:rsidRPr="004D4C3D">
        <w:rPr>
          <w:rFonts w:ascii="Times New Roman" w:hAnsi="Times New Roman" w:cs="Times New Roman"/>
        </w:rPr>
        <w:t xml:space="preserve">Other options include dissolving entities such that assets received in liquidation would no longer be subjected to discounts, allowing any owner to put his or her interests to the entity for the pro rata share of underlying net asset value, etc.  The goal of this type of planning is to minimize the application of discounts which would reduce the amount of basis increase at death. </w:t>
      </w:r>
    </w:p>
    <w:p w14:paraId="76AD1468" w14:textId="0DB20302" w:rsidR="004D6A7C" w:rsidRPr="004D4C3D" w:rsidRDefault="004D6A7C" w:rsidP="00AC23F3">
      <w:pPr>
        <w:ind w:firstLine="720"/>
        <w:rPr>
          <w:rFonts w:ascii="Times New Roman" w:hAnsi="Times New Roman" w:cs="Times New Roman"/>
        </w:rPr>
      </w:pPr>
      <w:r w:rsidRPr="004D4C3D">
        <w:rPr>
          <w:rFonts w:ascii="Times New Roman" w:hAnsi="Times New Roman" w:cs="Times New Roman"/>
        </w:rPr>
        <w:t>The tax planner should consider amending FLP/FLLC agreements to minimize discounts</w:t>
      </w:r>
      <w:r w:rsidR="00AC23F3" w:rsidRPr="004D4C3D">
        <w:rPr>
          <w:rFonts w:ascii="Times New Roman" w:hAnsi="Times New Roman" w:cs="Times New Roman"/>
        </w:rPr>
        <w:t>.  If such amendments are made, unless it is desirable (discussed below), it will be important to be sure that amendments which reduce discounts do not result in inclusion under 2036</w:t>
      </w:r>
      <w:r w:rsidRPr="004D4C3D">
        <w:rPr>
          <w:rFonts w:ascii="Times New Roman" w:hAnsi="Times New Roman" w:cs="Times New Roman"/>
        </w:rPr>
        <w:t xml:space="preserve">.  </w:t>
      </w:r>
    </w:p>
    <w:p w14:paraId="2202D64B" w14:textId="13F2C30F" w:rsidR="00704619" w:rsidRPr="004D4C3D" w:rsidRDefault="00704619" w:rsidP="004D4C3D">
      <w:pPr>
        <w:pStyle w:val="Heading2"/>
      </w:pPr>
      <w:bookmarkStart w:id="78" w:name="_Toc510811747"/>
      <w:bookmarkStart w:id="79" w:name="_Toc510811776"/>
      <w:bookmarkStart w:id="80" w:name="_Toc510811896"/>
      <w:r w:rsidRPr="004D4C3D">
        <w:t>Trigger 2036 (</w:t>
      </w:r>
      <w:r w:rsidR="00AC23F3" w:rsidRPr="004D4C3D">
        <w:t xml:space="preserve">especially after </w:t>
      </w:r>
      <w:r w:rsidRPr="004D4C3D">
        <w:rPr>
          <w:i/>
        </w:rPr>
        <w:t>Estate of Powell</w:t>
      </w:r>
      <w:r w:rsidRPr="004D4C3D">
        <w:t>)</w:t>
      </w:r>
      <w:bookmarkEnd w:id="78"/>
      <w:bookmarkEnd w:id="79"/>
      <w:bookmarkEnd w:id="80"/>
    </w:p>
    <w:p w14:paraId="5D95D55F" w14:textId="730B77EF" w:rsidR="00FC2C00" w:rsidRPr="004D4C3D" w:rsidRDefault="003F505A" w:rsidP="00FC2C00">
      <w:pPr>
        <w:rPr>
          <w:rFonts w:ascii="Times New Roman" w:hAnsi="Times New Roman" w:cs="Times New Roman"/>
        </w:rPr>
      </w:pPr>
      <w:r w:rsidRPr="004D4C3D">
        <w:rPr>
          <w:rFonts w:ascii="Times New Roman" w:hAnsi="Times New Roman" w:cs="Times New Roman"/>
        </w:rPr>
        <w:tab/>
        <w:t>The value of the gross estate includes the value of any interest in property to the extent the taxpayer made a transfer of that property, under which he has retained a right to possession or enjoyment or the right to designate the person who shall possess or enjoy the property, and if either of those rights last for the taxpayer’s lifetime.</w:t>
      </w:r>
      <w:r w:rsidRPr="004D4C3D">
        <w:rPr>
          <w:rStyle w:val="FootnoteReference"/>
          <w:rFonts w:ascii="Times New Roman" w:hAnsi="Times New Roman" w:cs="Times New Roman"/>
        </w:rPr>
        <w:footnoteReference w:id="65"/>
      </w:r>
    </w:p>
    <w:p w14:paraId="7EDB20C6" w14:textId="239BD673" w:rsidR="00AC23F3" w:rsidRPr="004D4C3D" w:rsidRDefault="009C31C8" w:rsidP="00FC2C00">
      <w:pPr>
        <w:rPr>
          <w:rFonts w:ascii="Times New Roman" w:hAnsi="Times New Roman" w:cs="Times New Roman"/>
        </w:rPr>
      </w:pPr>
      <w:r w:rsidRPr="004D4C3D">
        <w:rPr>
          <w:rFonts w:ascii="Times New Roman" w:hAnsi="Times New Roman" w:cs="Times New Roman"/>
        </w:rPr>
        <w:tab/>
      </w:r>
      <w:r w:rsidRPr="004D4C3D">
        <w:rPr>
          <w:rFonts w:ascii="Times New Roman" w:hAnsi="Times New Roman" w:cs="Times New Roman"/>
          <w:i/>
        </w:rPr>
        <w:t>Estate of Powell</w:t>
      </w:r>
      <w:r w:rsidRPr="004D4C3D">
        <w:rPr>
          <w:rFonts w:ascii="Times New Roman" w:hAnsi="Times New Roman" w:cs="Times New Roman"/>
        </w:rPr>
        <w:t xml:space="preserve"> highlights several methods by which inclusion in the estate may occur</w:t>
      </w:r>
      <w:r w:rsidR="004E739B" w:rsidRPr="004D4C3D">
        <w:rPr>
          <w:rFonts w:ascii="Times New Roman" w:hAnsi="Times New Roman" w:cs="Times New Roman"/>
        </w:rPr>
        <w:t xml:space="preserve"> under § 2036</w:t>
      </w:r>
      <w:r w:rsidRPr="004D4C3D">
        <w:rPr>
          <w:rFonts w:ascii="Times New Roman" w:hAnsi="Times New Roman" w:cs="Times New Roman"/>
        </w:rPr>
        <w:t xml:space="preserve"> </w:t>
      </w:r>
      <w:r w:rsidR="004E739B" w:rsidRPr="004D4C3D">
        <w:rPr>
          <w:rFonts w:ascii="Times New Roman" w:hAnsi="Times New Roman" w:cs="Times New Roman"/>
        </w:rPr>
        <w:t>when an estate planner is careless</w:t>
      </w:r>
      <w:r w:rsidRPr="004D4C3D">
        <w:rPr>
          <w:rFonts w:ascii="Times New Roman" w:hAnsi="Times New Roman" w:cs="Times New Roman"/>
        </w:rPr>
        <w:t>.</w:t>
      </w:r>
      <w:r w:rsidR="004E739B" w:rsidRPr="004D4C3D">
        <w:rPr>
          <w:rStyle w:val="FootnoteReference"/>
          <w:rFonts w:ascii="Times New Roman" w:hAnsi="Times New Roman" w:cs="Times New Roman"/>
        </w:rPr>
        <w:footnoteReference w:id="66"/>
      </w:r>
      <w:r w:rsidRPr="004D4C3D">
        <w:rPr>
          <w:rFonts w:ascii="Times New Roman" w:hAnsi="Times New Roman" w:cs="Times New Roman"/>
        </w:rPr>
        <w:t xml:space="preserve"> But</w:t>
      </w:r>
      <w:r w:rsidR="004E739B" w:rsidRPr="004D4C3D">
        <w:rPr>
          <w:rFonts w:ascii="Times New Roman" w:hAnsi="Times New Roman" w:cs="Times New Roman"/>
        </w:rPr>
        <w:t xml:space="preserve">, these methods can be utilized to cause intentional inclusion when a step up in basis is desired. </w:t>
      </w:r>
      <w:r w:rsidR="00B74950" w:rsidRPr="004D4C3D">
        <w:rPr>
          <w:rFonts w:ascii="Times New Roman" w:hAnsi="Times New Roman" w:cs="Times New Roman"/>
        </w:rPr>
        <w:t xml:space="preserve">Section 2036(a)(2) </w:t>
      </w:r>
      <w:r w:rsidR="0011745E" w:rsidRPr="004D4C3D">
        <w:rPr>
          <w:rFonts w:ascii="Times New Roman" w:hAnsi="Times New Roman" w:cs="Times New Roman"/>
        </w:rPr>
        <w:t>inclusion in the estate</w:t>
      </w:r>
      <w:r w:rsidR="00B74950" w:rsidRPr="004D4C3D">
        <w:rPr>
          <w:rFonts w:ascii="Times New Roman" w:hAnsi="Times New Roman" w:cs="Times New Roman"/>
        </w:rPr>
        <w:t xml:space="preserve"> </w:t>
      </w:r>
      <w:r w:rsidR="00B74950" w:rsidRPr="004D4C3D">
        <w:rPr>
          <w:rFonts w:ascii="Times New Roman" w:hAnsi="Times New Roman" w:cs="Times New Roman"/>
        </w:rPr>
        <w:lastRenderedPageBreak/>
        <w:t>applies when the decadent merely owned a limited partnership interest.</w:t>
      </w:r>
      <w:r w:rsidR="00B74950" w:rsidRPr="004D4C3D">
        <w:rPr>
          <w:rStyle w:val="FootnoteReference"/>
          <w:rFonts w:ascii="Times New Roman" w:hAnsi="Times New Roman" w:cs="Times New Roman"/>
        </w:rPr>
        <w:footnoteReference w:id="67"/>
      </w:r>
      <w:r w:rsidR="00B74950" w:rsidRPr="004D4C3D">
        <w:rPr>
          <w:rFonts w:ascii="Times New Roman" w:hAnsi="Times New Roman" w:cs="Times New Roman"/>
        </w:rPr>
        <w:t xml:space="preserve"> </w:t>
      </w:r>
      <w:r w:rsidR="0011745E" w:rsidRPr="004D4C3D">
        <w:rPr>
          <w:rFonts w:ascii="Times New Roman" w:hAnsi="Times New Roman" w:cs="Times New Roman"/>
        </w:rPr>
        <w:t>The court reasoned that holding the power, in conjunction with others, to dissolve a limited partnership was ruled to cause inclusion under section 2036(a)(2).</w:t>
      </w:r>
      <w:r w:rsidR="0011745E" w:rsidRPr="004D4C3D">
        <w:rPr>
          <w:rStyle w:val="FootnoteReference"/>
          <w:rFonts w:ascii="Times New Roman" w:hAnsi="Times New Roman" w:cs="Times New Roman"/>
        </w:rPr>
        <w:footnoteReference w:id="68"/>
      </w:r>
      <w:r w:rsidR="0011745E" w:rsidRPr="004D4C3D">
        <w:rPr>
          <w:rFonts w:ascii="Times New Roman" w:hAnsi="Times New Roman" w:cs="Times New Roman"/>
        </w:rPr>
        <w:t xml:space="preserve"> The court drew no distinction between a 99% LP interest and a 1% LP interest. Tax planners may take advantage of this inclusion</w:t>
      </w:r>
      <w:r w:rsidR="00AC23F3" w:rsidRPr="004D4C3D">
        <w:rPr>
          <w:rFonts w:ascii="Times New Roman" w:hAnsi="Times New Roman" w:cs="Times New Roman"/>
        </w:rPr>
        <w:t>, for example,</w:t>
      </w:r>
      <w:r w:rsidR="0011745E" w:rsidRPr="004D4C3D">
        <w:rPr>
          <w:rFonts w:ascii="Times New Roman" w:hAnsi="Times New Roman" w:cs="Times New Roman"/>
        </w:rPr>
        <w:t xml:space="preserve"> by giving an individual a 1% LP interest and the power to dissolve the LP in conjunction with others. This would cause inclusion in the individual’s estate upon his or death, giving the assets a step up in basis</w:t>
      </w:r>
      <w:r w:rsidR="00AC23F3" w:rsidRPr="004D4C3D">
        <w:rPr>
          <w:rFonts w:ascii="Times New Roman" w:hAnsi="Times New Roman" w:cs="Times New Roman"/>
        </w:rPr>
        <w:t xml:space="preserve"> without being subject to discounts.  </w:t>
      </w:r>
    </w:p>
    <w:p w14:paraId="0B1338A2" w14:textId="13256426" w:rsidR="00AC23F3" w:rsidRPr="004D4C3D" w:rsidRDefault="00AC23F3" w:rsidP="00FC2C00">
      <w:pPr>
        <w:rPr>
          <w:rFonts w:ascii="Times New Roman" w:hAnsi="Times New Roman" w:cs="Times New Roman"/>
        </w:rPr>
      </w:pPr>
      <w:r w:rsidRPr="004D4C3D">
        <w:rPr>
          <w:rFonts w:ascii="Times New Roman" w:hAnsi="Times New Roman" w:cs="Times New Roman"/>
        </w:rPr>
        <w:tab/>
        <w:t>Other methods of inclusion under 2036 may be to highlight facts indicating a retained right to the use or possession of FLP assets</w:t>
      </w:r>
      <w:r w:rsidR="00845534" w:rsidRPr="004D4C3D">
        <w:rPr>
          <w:rFonts w:ascii="Times New Roman" w:hAnsi="Times New Roman" w:cs="Times New Roman"/>
        </w:rPr>
        <w:t>, allowing the parent to reside in a residence purchased by the FLP rent-free, etc. Especially for FLP interests which already are held between the taxpayer and an irrevocable trust, for example, creating such inclusion essentially can serve to unwind FLP’s which are no longer useful (and may be detrimental due to a loss of step-up).</w:t>
      </w:r>
    </w:p>
    <w:p w14:paraId="1F99C766" w14:textId="4453128B" w:rsidR="0033721C" w:rsidRPr="004D4C3D" w:rsidRDefault="0033721C" w:rsidP="006459DC">
      <w:pPr>
        <w:widowControl/>
        <w:spacing w:after="160" w:line="259" w:lineRule="auto"/>
        <w:contextualSpacing w:val="0"/>
        <w:jc w:val="left"/>
        <w:rPr>
          <w:rFonts w:ascii="Times New Roman" w:hAnsi="Times New Roman" w:cs="Times New Roman"/>
        </w:rPr>
      </w:pPr>
    </w:p>
    <w:sectPr w:rsidR="0033721C" w:rsidRPr="004D4C3D" w:rsidSect="004D4C3D">
      <w:pgSz w:w="12240" w:h="15840"/>
      <w:pgMar w:top="1440" w:right="1440" w:bottom="1440" w:left="1440" w:header="576"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0AA8F" w14:textId="77777777" w:rsidR="00AC23F3" w:rsidRDefault="00AC23F3" w:rsidP="002A0F28">
      <w:r>
        <w:separator/>
      </w:r>
    </w:p>
  </w:endnote>
  <w:endnote w:type="continuationSeparator" w:id="0">
    <w:p w14:paraId="3141D131" w14:textId="77777777" w:rsidR="00AC23F3" w:rsidRDefault="00AC23F3" w:rsidP="002A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342498"/>
      <w:docPartObj>
        <w:docPartGallery w:val="Page Numbers (Bottom of Page)"/>
        <w:docPartUnique/>
      </w:docPartObj>
    </w:sdtPr>
    <w:sdtEndPr>
      <w:rPr>
        <w:noProof/>
      </w:rPr>
    </w:sdtEndPr>
    <w:sdtContent>
      <w:p w14:paraId="31480183" w14:textId="3E43C649" w:rsidR="00AC23F3" w:rsidRDefault="00594C9A">
        <w:pPr>
          <w:pStyle w:val="Footer"/>
          <w:jc w:val="center"/>
        </w:pPr>
        <w:r>
          <w:t>Edmondson</w:t>
        </w:r>
        <w:r w:rsidR="004D2E8F">
          <w:t xml:space="preserve"> </w:t>
        </w:r>
        <w:r w:rsidR="00AC23F3">
          <w:fldChar w:fldCharType="begin"/>
        </w:r>
        <w:r w:rsidR="00AC23F3">
          <w:instrText xml:space="preserve"> PAGE   \* MERGEFORMAT </w:instrText>
        </w:r>
        <w:r w:rsidR="00AC23F3">
          <w:fldChar w:fldCharType="separate"/>
        </w:r>
        <w:r w:rsidR="00AC23F3">
          <w:rPr>
            <w:noProof/>
          </w:rPr>
          <w:t>2</w:t>
        </w:r>
        <w:r w:rsidR="00AC23F3">
          <w:rPr>
            <w:noProof/>
          </w:rPr>
          <w:fldChar w:fldCharType="end"/>
        </w:r>
      </w:p>
    </w:sdtContent>
  </w:sdt>
  <w:p w14:paraId="2E369D21" w14:textId="02082CD7" w:rsidR="00AC23F3" w:rsidRDefault="00AC23F3" w:rsidP="00A32ECB">
    <w:pPr>
      <w:pStyle w:val="Footer"/>
      <w:spacing w:line="180" w:lineRule="exact"/>
      <w:jc w:val="left"/>
    </w:pPr>
    <w:r>
      <w:rPr>
        <w:rFonts w:ascii="Arial" w:hAnsi="Arial" w:cs="Arial"/>
        <w:sz w:val="16"/>
      </w:rPr>
      <w:fldChar w:fldCharType="begin"/>
    </w:r>
    <w:r>
      <w:rPr>
        <w:rFonts w:ascii="Arial" w:hAnsi="Arial" w:cs="Arial"/>
        <w:sz w:val="16"/>
      </w:rPr>
      <w:instrText xml:space="preserve"> DOCVARIABLE ndGeneratedStamp \* MERGEFORMAT </w:instrText>
    </w:r>
    <w:r w:rsidR="00594C9A">
      <w:rPr>
        <w:rFonts w:ascii="Arial" w:hAnsi="Arial" w:cs="Arial"/>
        <w:sz w:val="16"/>
      </w:rPr>
      <w:fldChar w:fldCharType="separate"/>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83F42" w14:textId="77777777" w:rsidR="00AC23F3" w:rsidRDefault="00AC23F3" w:rsidP="002A0F28">
      <w:r>
        <w:separator/>
      </w:r>
    </w:p>
  </w:footnote>
  <w:footnote w:type="continuationSeparator" w:id="0">
    <w:p w14:paraId="7580EEB3" w14:textId="77777777" w:rsidR="00AC23F3" w:rsidRDefault="00AC23F3" w:rsidP="002A0F28">
      <w:r>
        <w:continuationSeparator/>
      </w:r>
    </w:p>
  </w:footnote>
  <w:footnote w:id="1">
    <w:p w14:paraId="61E3B6AA" w14:textId="77777777" w:rsidR="00AC23F3" w:rsidRDefault="00AC23F3" w:rsidP="002A0F28">
      <w:pPr>
        <w:pStyle w:val="FootnoteText"/>
      </w:pPr>
      <w:r>
        <w:rPr>
          <w:rStyle w:val="FootnoteReference"/>
        </w:rPr>
        <w:footnoteRef/>
      </w:r>
      <w:r>
        <w:t xml:space="preserve"> I.R.C. § 2010(c)(3)(C) (adjusted for inflation).</w:t>
      </w:r>
    </w:p>
    <w:p w14:paraId="77E3732B" w14:textId="77777777" w:rsidR="00AC23F3" w:rsidRDefault="00AC23F3" w:rsidP="002A0F28">
      <w:pPr>
        <w:pStyle w:val="FootnoteText"/>
      </w:pPr>
      <w:r>
        <w:t>and Increase in the Annual Gift Tax Exclusion</w:t>
      </w:r>
    </w:p>
  </w:footnote>
  <w:footnote w:id="2">
    <w:p w14:paraId="6BC62989" w14:textId="77777777" w:rsidR="00AC23F3" w:rsidRDefault="00AC23F3" w:rsidP="002A0F28">
      <w:pPr>
        <w:pStyle w:val="FootnoteText"/>
      </w:pPr>
      <w:r>
        <w:rPr>
          <w:rStyle w:val="FootnoteReference"/>
        </w:rPr>
        <w:footnoteRef/>
      </w:r>
      <w:r>
        <w:t xml:space="preserve"> </w:t>
      </w:r>
      <w:r w:rsidRPr="006549E9">
        <w:rPr>
          <w:i/>
        </w:rPr>
        <w:t>Id.</w:t>
      </w:r>
    </w:p>
  </w:footnote>
  <w:footnote w:id="3">
    <w:p w14:paraId="2C3462C8" w14:textId="77777777" w:rsidR="00AC23F3" w:rsidRDefault="00AC23F3" w:rsidP="002A0F28">
      <w:pPr>
        <w:pStyle w:val="FootnoteText"/>
      </w:pPr>
      <w:r>
        <w:rPr>
          <w:rStyle w:val="FootnoteReference"/>
        </w:rPr>
        <w:footnoteRef/>
      </w:r>
      <w:r>
        <w:t xml:space="preserve"> I.R.C. § 1411.</w:t>
      </w:r>
    </w:p>
  </w:footnote>
  <w:footnote w:id="4">
    <w:p w14:paraId="70BE6FCA" w14:textId="19FEFA6B" w:rsidR="00AC23F3" w:rsidRDefault="00AC23F3" w:rsidP="002A0F28">
      <w:pPr>
        <w:pStyle w:val="FootnoteText"/>
      </w:pPr>
      <w:r>
        <w:rPr>
          <w:rStyle w:val="FootnoteReference"/>
        </w:rPr>
        <w:footnoteRef/>
      </w:r>
      <w:r>
        <w:t xml:space="preserve"> Questions and Answers on the Net Investment Income Tax, IRS (Nov. 27, 2017), </w:t>
      </w:r>
      <w:r w:rsidRPr="001B7A39">
        <w:t>https://www.irs.gov/newsroom/net-investment-income-tax-faqs</w:t>
      </w:r>
      <w:r>
        <w:t>; Revenue Procedure 2016-55</w:t>
      </w:r>
    </w:p>
  </w:footnote>
  <w:footnote w:id="5">
    <w:p w14:paraId="54D3901E" w14:textId="51828C46" w:rsidR="00AC23F3" w:rsidRPr="00CF0362" w:rsidRDefault="00AC23F3" w:rsidP="002A0F28">
      <w:pPr>
        <w:pStyle w:val="FootnoteText"/>
      </w:pPr>
      <w:r>
        <w:rPr>
          <w:rStyle w:val="FootnoteReference"/>
        </w:rPr>
        <w:footnoteRef/>
      </w:r>
      <w:r>
        <w:t xml:space="preserve"> IRS, supra note 4.</w:t>
      </w:r>
    </w:p>
  </w:footnote>
  <w:footnote w:id="6">
    <w:p w14:paraId="5442F2F6" w14:textId="1A595B84" w:rsidR="00AC23F3" w:rsidRDefault="00AC23F3">
      <w:pPr>
        <w:pStyle w:val="FootnoteText"/>
      </w:pPr>
      <w:r>
        <w:rPr>
          <w:rStyle w:val="FootnoteReference"/>
        </w:rPr>
        <w:footnoteRef/>
      </w:r>
      <w:r>
        <w:t xml:space="preserve"> Morgan Scarboro, </w:t>
      </w:r>
      <w:r w:rsidRPr="001D206B">
        <w:rPr>
          <w:i/>
        </w:rPr>
        <w:t>State Individual Income Tax Rates and Brackets for 2018</w:t>
      </w:r>
      <w:r>
        <w:t>, Tax Foundation Fiscal Fact No. 576 3 (Mar. 2018).</w:t>
      </w:r>
    </w:p>
  </w:footnote>
  <w:footnote w:id="7">
    <w:p w14:paraId="57523ACF" w14:textId="29859D3A" w:rsidR="00AC23F3" w:rsidRDefault="00AC23F3">
      <w:pPr>
        <w:pStyle w:val="FootnoteText"/>
      </w:pPr>
      <w:r>
        <w:rPr>
          <w:rStyle w:val="FootnoteReference"/>
        </w:rPr>
        <w:footnoteRef/>
      </w:r>
      <w:r>
        <w:t xml:space="preserve"> </w:t>
      </w:r>
      <w:r w:rsidRPr="001368A8">
        <w:rPr>
          <w:i/>
        </w:rPr>
        <w:t>Id.</w:t>
      </w:r>
    </w:p>
  </w:footnote>
  <w:footnote w:id="8">
    <w:p w14:paraId="04A4B19C" w14:textId="35A90CF9" w:rsidR="00AC23F3" w:rsidRDefault="00AC23F3">
      <w:pPr>
        <w:pStyle w:val="FootnoteText"/>
      </w:pPr>
      <w:r>
        <w:rPr>
          <w:rStyle w:val="FootnoteReference"/>
        </w:rPr>
        <w:footnoteRef/>
      </w:r>
      <w:r>
        <w:t xml:space="preserve"> Paul S. Lee, </w:t>
      </w:r>
      <w:r w:rsidRPr="00A12EA3">
        <w:rPr>
          <w:i/>
        </w:rPr>
        <w:t xml:space="preserve">Venn Diagrams: The Intersection of Estate &amp; Income Tax (Planning in the </w:t>
      </w:r>
      <w:proofErr w:type="spellStart"/>
      <w:r w:rsidRPr="00A12EA3">
        <w:rPr>
          <w:i/>
        </w:rPr>
        <w:t>Atra</w:t>
      </w:r>
      <w:proofErr w:type="spellEnd"/>
      <w:r w:rsidRPr="00A12EA3">
        <w:rPr>
          <w:i/>
        </w:rPr>
        <w:t>-Math)</w:t>
      </w:r>
      <w:r w:rsidRPr="00A12EA3">
        <w:t xml:space="preserve"> </w:t>
      </w:r>
      <w:r>
        <w:t>48, (Sep. 1, 2014).</w:t>
      </w:r>
    </w:p>
  </w:footnote>
  <w:footnote w:id="9">
    <w:p w14:paraId="4F0D528E" w14:textId="14128D13" w:rsidR="00AC23F3" w:rsidRDefault="00AC23F3">
      <w:pPr>
        <w:pStyle w:val="FootnoteText"/>
      </w:pPr>
      <w:r>
        <w:rPr>
          <w:rStyle w:val="FootnoteReference"/>
        </w:rPr>
        <w:footnoteRef/>
      </w:r>
      <w:r>
        <w:t xml:space="preserve"> Ed Morrow, </w:t>
      </w:r>
      <w:r w:rsidRPr="00A12EA3">
        <w:rPr>
          <w:i/>
        </w:rPr>
        <w:t>The Upstream Crummey Optimal Basis Increase Trus</w:t>
      </w:r>
      <w:r>
        <w:rPr>
          <w:i/>
        </w:rPr>
        <w:t>t</w:t>
      </w:r>
      <w:r>
        <w:t xml:space="preserve">, </w:t>
      </w:r>
      <w:r w:rsidRPr="00A12EA3">
        <w:rPr>
          <w:i/>
        </w:rPr>
        <w:t>in</w:t>
      </w:r>
      <w:r>
        <w:t xml:space="preserve"> </w:t>
      </w:r>
      <w:r w:rsidRPr="00021890">
        <w:rPr>
          <w:smallCaps/>
        </w:rPr>
        <w:t>Estate Planning Review-The Journal</w:t>
      </w:r>
      <w:r>
        <w:rPr>
          <w:smallCaps/>
        </w:rPr>
        <w:t xml:space="preserve"> </w:t>
      </w:r>
      <w:r>
        <w:t>84-85 (2014).</w:t>
      </w:r>
    </w:p>
  </w:footnote>
  <w:footnote w:id="10">
    <w:p w14:paraId="735DC830" w14:textId="3FDF9F98" w:rsidR="00AC23F3" w:rsidRDefault="00AC23F3">
      <w:pPr>
        <w:pStyle w:val="FootnoteText"/>
      </w:pPr>
      <w:r>
        <w:rPr>
          <w:rStyle w:val="FootnoteReference"/>
        </w:rPr>
        <w:footnoteRef/>
      </w:r>
      <w:r>
        <w:t xml:space="preserve"> </w:t>
      </w:r>
      <w:r w:rsidRPr="00A12EA3">
        <w:rPr>
          <w:i/>
        </w:rPr>
        <w:t>Id.</w:t>
      </w:r>
    </w:p>
  </w:footnote>
  <w:footnote w:id="11">
    <w:p w14:paraId="652D57AD" w14:textId="52330189" w:rsidR="00AC23F3" w:rsidRDefault="00AC23F3">
      <w:pPr>
        <w:pStyle w:val="FootnoteText"/>
      </w:pPr>
      <w:r>
        <w:rPr>
          <w:rStyle w:val="FootnoteReference"/>
        </w:rPr>
        <w:footnoteRef/>
      </w:r>
      <w:r>
        <w:t xml:space="preserve"> I.R.C. § 2041.</w:t>
      </w:r>
    </w:p>
  </w:footnote>
  <w:footnote w:id="12">
    <w:p w14:paraId="5BAF3D8B" w14:textId="3DC532F7" w:rsidR="00AC23F3" w:rsidRDefault="00AC23F3">
      <w:pPr>
        <w:pStyle w:val="FootnoteText"/>
      </w:pPr>
      <w:r>
        <w:rPr>
          <w:rStyle w:val="FootnoteReference"/>
        </w:rPr>
        <w:footnoteRef/>
      </w:r>
      <w:r>
        <w:t xml:space="preserve"> Morrow, </w:t>
      </w:r>
      <w:r w:rsidRPr="00812A51">
        <w:rPr>
          <w:i/>
        </w:rPr>
        <w:t>supra</w:t>
      </w:r>
      <w:r>
        <w:t xml:space="preserve"> note 12, at 85.</w:t>
      </w:r>
    </w:p>
  </w:footnote>
  <w:footnote w:id="13">
    <w:p w14:paraId="4A4311C5" w14:textId="0087BB26" w:rsidR="00AC23F3" w:rsidRDefault="00AC23F3">
      <w:pPr>
        <w:pStyle w:val="FootnoteText"/>
      </w:pPr>
      <w:r>
        <w:rPr>
          <w:rStyle w:val="FootnoteReference"/>
        </w:rPr>
        <w:footnoteRef/>
      </w:r>
      <w:r>
        <w:t xml:space="preserve"> </w:t>
      </w:r>
      <w:r w:rsidRPr="000E6C20">
        <w:rPr>
          <w:i/>
        </w:rPr>
        <w:t>Id.</w:t>
      </w:r>
    </w:p>
  </w:footnote>
  <w:footnote w:id="14">
    <w:p w14:paraId="7491D108" w14:textId="54F7926B" w:rsidR="00AC23F3" w:rsidRDefault="00AC23F3">
      <w:pPr>
        <w:pStyle w:val="FootnoteText"/>
      </w:pPr>
      <w:r>
        <w:rPr>
          <w:rStyle w:val="FootnoteReference"/>
        </w:rPr>
        <w:footnoteRef/>
      </w:r>
      <w:r>
        <w:t xml:space="preserve"> </w:t>
      </w:r>
      <w:r w:rsidRPr="000E6C20">
        <w:rPr>
          <w:i/>
        </w:rPr>
        <w:t>Id.</w:t>
      </w:r>
    </w:p>
  </w:footnote>
  <w:footnote w:id="15">
    <w:p w14:paraId="72A98191" w14:textId="786347D2" w:rsidR="00AC23F3" w:rsidRDefault="00AC23F3">
      <w:pPr>
        <w:pStyle w:val="FootnoteText"/>
      </w:pPr>
      <w:r>
        <w:rPr>
          <w:rStyle w:val="FootnoteReference"/>
        </w:rPr>
        <w:footnoteRef/>
      </w:r>
      <w:r>
        <w:t xml:space="preserve"> </w:t>
      </w:r>
      <w:r w:rsidRPr="00B15514">
        <w:rPr>
          <w:i/>
        </w:rPr>
        <w:t>Id.</w:t>
      </w:r>
      <w:r>
        <w:t xml:space="preserve"> at 86.</w:t>
      </w:r>
    </w:p>
  </w:footnote>
  <w:footnote w:id="16">
    <w:p w14:paraId="1087C47B" w14:textId="152CCCE5" w:rsidR="00AC23F3" w:rsidRDefault="00AC23F3">
      <w:pPr>
        <w:pStyle w:val="FootnoteText"/>
      </w:pPr>
      <w:r>
        <w:rPr>
          <w:rStyle w:val="FootnoteReference"/>
        </w:rPr>
        <w:footnoteRef/>
      </w:r>
      <w:r>
        <w:t xml:space="preserve"> Mickey R. Davis, </w:t>
      </w:r>
      <w:r w:rsidRPr="003633C5">
        <w:rPr>
          <w:i/>
        </w:rPr>
        <w:t>Planning for New Basis at Death</w:t>
      </w:r>
      <w:r>
        <w:t xml:space="preserve"> 22-23, American Bar Association, Fiduciary Income Tax Committee Meeting (Jan. 31</w:t>
      </w:r>
      <w:proofErr w:type="gramStart"/>
      <w:r>
        <w:t xml:space="preserve"> 2015</w:t>
      </w:r>
      <w:proofErr w:type="gramEnd"/>
      <w:r>
        <w:t>).</w:t>
      </w:r>
    </w:p>
  </w:footnote>
  <w:footnote w:id="17">
    <w:p w14:paraId="5DEFA3DC" w14:textId="1680211B" w:rsidR="00AC23F3" w:rsidRDefault="00AC23F3">
      <w:pPr>
        <w:pStyle w:val="FootnoteText"/>
      </w:pPr>
      <w:r>
        <w:rPr>
          <w:rStyle w:val="FootnoteReference"/>
        </w:rPr>
        <w:footnoteRef/>
      </w:r>
      <w:r>
        <w:t xml:space="preserve"> </w:t>
      </w:r>
      <w:r w:rsidRPr="009A47CD">
        <w:rPr>
          <w:i/>
        </w:rPr>
        <w:t>Id.</w:t>
      </w:r>
      <w:r>
        <w:t xml:space="preserve"> at 23.</w:t>
      </w:r>
    </w:p>
  </w:footnote>
  <w:footnote w:id="18">
    <w:p w14:paraId="6564B5C3" w14:textId="7CB747FF" w:rsidR="00AC23F3" w:rsidRDefault="00AC23F3">
      <w:pPr>
        <w:pStyle w:val="FootnoteText"/>
      </w:pPr>
      <w:r>
        <w:rPr>
          <w:rStyle w:val="FootnoteReference"/>
        </w:rPr>
        <w:footnoteRef/>
      </w:r>
      <w:r>
        <w:t xml:space="preserve"> </w:t>
      </w:r>
      <w:r w:rsidRPr="009A47CD">
        <w:rPr>
          <w:i/>
        </w:rPr>
        <w:t>Id.</w:t>
      </w:r>
    </w:p>
  </w:footnote>
  <w:footnote w:id="19">
    <w:p w14:paraId="6F374393" w14:textId="6CC7F234" w:rsidR="00AC23F3" w:rsidRDefault="00AC23F3">
      <w:pPr>
        <w:pStyle w:val="FootnoteText"/>
      </w:pPr>
      <w:r>
        <w:rPr>
          <w:rStyle w:val="FootnoteReference"/>
        </w:rPr>
        <w:footnoteRef/>
      </w:r>
      <w:r>
        <w:t xml:space="preserve"> I.R.C. § 1014(e).</w:t>
      </w:r>
    </w:p>
  </w:footnote>
  <w:footnote w:id="20">
    <w:p w14:paraId="36913B38" w14:textId="28603AC8" w:rsidR="00AC23F3" w:rsidRDefault="00AC23F3">
      <w:pPr>
        <w:pStyle w:val="FootnoteText"/>
      </w:pPr>
      <w:r>
        <w:rPr>
          <w:rStyle w:val="FootnoteReference"/>
        </w:rPr>
        <w:footnoteRef/>
      </w:r>
      <w:r>
        <w:t xml:space="preserve"> IRS, Prv. </w:t>
      </w:r>
      <w:proofErr w:type="spellStart"/>
      <w:r>
        <w:t>Ltr</w:t>
      </w:r>
      <w:proofErr w:type="spellEnd"/>
      <w:r>
        <w:t>. Rul. 200101021 at 5 (Jan. 5</w:t>
      </w:r>
      <w:proofErr w:type="gramStart"/>
      <w:r>
        <w:t xml:space="preserve"> 2001</w:t>
      </w:r>
      <w:proofErr w:type="gramEnd"/>
      <w:r>
        <w:t xml:space="preserve">). However, </w:t>
      </w:r>
      <w:r w:rsidRPr="00741CE3">
        <w:t xml:space="preserve">the PLR </w:t>
      </w:r>
      <w:r>
        <w:t xml:space="preserve">is distinguishable </w:t>
      </w:r>
      <w:r w:rsidRPr="00741CE3">
        <w:t xml:space="preserve">in that it relies upon a situation where the GPOA includes assets which were deemed to have been gifted by the surviving spouse immediately at the death of the first to die.  Therefore, if the trust is the same person as the surviving spouse for </w:t>
      </w:r>
      <w:r>
        <w:t xml:space="preserve">§ </w:t>
      </w:r>
      <w:r w:rsidRPr="00741CE3">
        <w:t xml:space="preserve">1014(e) purposes, then the </w:t>
      </w:r>
      <w:proofErr w:type="gramStart"/>
      <w:r>
        <w:t>one</w:t>
      </w:r>
      <w:r w:rsidRPr="00741CE3">
        <w:t xml:space="preserve"> year</w:t>
      </w:r>
      <w:proofErr w:type="gramEnd"/>
      <w:r w:rsidRPr="00741CE3">
        <w:t xml:space="preserve"> rule is not satisfied.  However, here, even if the trust is deemed to be the same person as the child-grantor, the plan should work merely by the parent surviving one year.</w:t>
      </w:r>
    </w:p>
  </w:footnote>
  <w:footnote w:id="21">
    <w:p w14:paraId="2D9C0CDD" w14:textId="5DBACC5A" w:rsidR="00AC23F3" w:rsidRDefault="00AC23F3">
      <w:pPr>
        <w:pStyle w:val="FootnoteText"/>
      </w:pPr>
      <w:r>
        <w:rPr>
          <w:rStyle w:val="FootnoteReference"/>
        </w:rPr>
        <w:footnoteRef/>
      </w:r>
      <w:r>
        <w:t xml:space="preserve"> Davis, </w:t>
      </w:r>
      <w:r w:rsidRPr="00812A51">
        <w:rPr>
          <w:i/>
        </w:rPr>
        <w:t>supra</w:t>
      </w:r>
      <w:r>
        <w:t xml:space="preserve"> note 19, at 24 (citing </w:t>
      </w:r>
      <w:r w:rsidRPr="00812A51">
        <w:t>Treas. Reg. § 1.671-2(e)(5)</w:t>
      </w:r>
      <w:r>
        <w:t>).</w:t>
      </w:r>
    </w:p>
  </w:footnote>
  <w:footnote w:id="22">
    <w:p w14:paraId="6E932212" w14:textId="7175A028" w:rsidR="00AC23F3" w:rsidRDefault="00AC23F3">
      <w:pPr>
        <w:pStyle w:val="FootnoteText"/>
      </w:pPr>
      <w:r>
        <w:rPr>
          <w:rStyle w:val="FootnoteReference"/>
        </w:rPr>
        <w:footnoteRef/>
      </w:r>
      <w:r>
        <w:t xml:space="preserve"> </w:t>
      </w:r>
      <w:r w:rsidRPr="00C93DE1">
        <w:rPr>
          <w:i/>
        </w:rPr>
        <w:t>Id.</w:t>
      </w:r>
    </w:p>
  </w:footnote>
  <w:footnote w:id="23">
    <w:p w14:paraId="1DA1B381" w14:textId="06AE3CB4" w:rsidR="00AC23F3" w:rsidRDefault="00AC23F3">
      <w:pPr>
        <w:pStyle w:val="FootnoteText"/>
      </w:pPr>
      <w:r>
        <w:rPr>
          <w:rStyle w:val="FootnoteReference"/>
        </w:rPr>
        <w:footnoteRef/>
      </w:r>
      <w:r>
        <w:t xml:space="preserve"> Paul Lee, Senior Regional Wealth Advisor, Northern Trust, Planning in the ATRA-Math 46 (Feb. 2016).</w:t>
      </w:r>
    </w:p>
  </w:footnote>
  <w:footnote w:id="24">
    <w:p w14:paraId="481381D0" w14:textId="195537D8" w:rsidR="00AC23F3" w:rsidRDefault="00AC23F3">
      <w:pPr>
        <w:pStyle w:val="FootnoteText"/>
      </w:pPr>
      <w:r>
        <w:rPr>
          <w:rStyle w:val="FootnoteReference"/>
        </w:rPr>
        <w:footnoteRef/>
      </w:r>
      <w:r>
        <w:t xml:space="preserve"> Lee, </w:t>
      </w:r>
      <w:r w:rsidRPr="0092248E">
        <w:rPr>
          <w:i/>
        </w:rPr>
        <w:t>supra</w:t>
      </w:r>
      <w:r>
        <w:t xml:space="preserve"> note 9, at 60.</w:t>
      </w:r>
    </w:p>
  </w:footnote>
  <w:footnote w:id="25">
    <w:p w14:paraId="4A7A5A96" w14:textId="27DCA40A" w:rsidR="00AC23F3" w:rsidRDefault="00AC23F3">
      <w:pPr>
        <w:pStyle w:val="FootnoteText"/>
      </w:pPr>
      <w:r>
        <w:rPr>
          <w:rStyle w:val="FootnoteReference"/>
        </w:rPr>
        <w:footnoteRef/>
      </w:r>
      <w:r>
        <w:t xml:space="preserve"> </w:t>
      </w:r>
      <w:r w:rsidRPr="00367BCA">
        <w:rPr>
          <w:i/>
        </w:rPr>
        <w:t>See</w:t>
      </w:r>
      <w:r>
        <w:t xml:space="preserve"> Lee, </w:t>
      </w:r>
      <w:r w:rsidRPr="00367BCA">
        <w:rPr>
          <w:i/>
        </w:rPr>
        <w:t>supra</w:t>
      </w:r>
      <w:r>
        <w:t xml:space="preserve"> note 9, at 64.</w:t>
      </w:r>
    </w:p>
  </w:footnote>
  <w:footnote w:id="26">
    <w:p w14:paraId="068C2694" w14:textId="3E0D18F2" w:rsidR="00AC23F3" w:rsidRDefault="00AC23F3">
      <w:pPr>
        <w:pStyle w:val="FootnoteText"/>
      </w:pPr>
      <w:r>
        <w:rPr>
          <w:rStyle w:val="FootnoteReference"/>
        </w:rPr>
        <w:footnoteRef/>
      </w:r>
      <w:r>
        <w:t xml:space="preserve"> </w:t>
      </w:r>
      <w:r w:rsidRPr="00DB4CBD">
        <w:t>I.R.C. § 731(a)(1)</w:t>
      </w:r>
      <w:r>
        <w:t>.</w:t>
      </w:r>
    </w:p>
  </w:footnote>
  <w:footnote w:id="27">
    <w:p w14:paraId="1EE838D4" w14:textId="1BD96735" w:rsidR="00AC23F3" w:rsidRDefault="00AC23F3">
      <w:pPr>
        <w:pStyle w:val="FootnoteText"/>
      </w:pPr>
      <w:r>
        <w:rPr>
          <w:rStyle w:val="FootnoteReference"/>
        </w:rPr>
        <w:footnoteRef/>
      </w:r>
      <w:r>
        <w:t xml:space="preserve"> I.R.C. </w:t>
      </w:r>
      <w:r w:rsidRPr="00DB4CBD">
        <w:t>731(c)</w:t>
      </w:r>
      <w:r>
        <w:t>.</w:t>
      </w:r>
    </w:p>
  </w:footnote>
  <w:footnote w:id="28">
    <w:p w14:paraId="2DCEC90B" w14:textId="6A826245" w:rsidR="00AC23F3" w:rsidRDefault="00AC23F3">
      <w:pPr>
        <w:pStyle w:val="FootnoteText"/>
      </w:pPr>
      <w:r>
        <w:rPr>
          <w:rStyle w:val="FootnoteReference"/>
        </w:rPr>
        <w:footnoteRef/>
      </w:r>
      <w:r>
        <w:t xml:space="preserve"> I.R.C. § 731(a).</w:t>
      </w:r>
    </w:p>
  </w:footnote>
  <w:footnote w:id="29">
    <w:p w14:paraId="5C149656" w14:textId="1D383401" w:rsidR="00AC23F3" w:rsidRDefault="00AC23F3">
      <w:pPr>
        <w:pStyle w:val="FootnoteText"/>
      </w:pPr>
      <w:r>
        <w:rPr>
          <w:rStyle w:val="FootnoteReference"/>
        </w:rPr>
        <w:footnoteRef/>
      </w:r>
      <w:r>
        <w:t xml:space="preserve"> Lee, </w:t>
      </w:r>
      <w:r w:rsidRPr="007B0EF6">
        <w:rPr>
          <w:i/>
        </w:rPr>
        <w:t>supra</w:t>
      </w:r>
      <w:r>
        <w:t xml:space="preserve"> note 9, at 70 (citing § 731(a)-(c)).</w:t>
      </w:r>
    </w:p>
  </w:footnote>
  <w:footnote w:id="30">
    <w:p w14:paraId="0C989B71" w14:textId="5FCFA3B3" w:rsidR="00AC23F3" w:rsidRDefault="00AC23F3">
      <w:pPr>
        <w:pStyle w:val="FootnoteText"/>
      </w:pPr>
      <w:r>
        <w:rPr>
          <w:rStyle w:val="FootnoteReference"/>
        </w:rPr>
        <w:footnoteRef/>
      </w:r>
      <w:r>
        <w:t xml:space="preserve"> </w:t>
      </w:r>
      <w:r w:rsidRPr="007612D1">
        <w:rPr>
          <w:i/>
        </w:rPr>
        <w:t>Id.</w:t>
      </w:r>
      <w:r>
        <w:t xml:space="preserve"> at 71.</w:t>
      </w:r>
    </w:p>
  </w:footnote>
  <w:footnote w:id="31">
    <w:p w14:paraId="7AE56611" w14:textId="031D18B4" w:rsidR="00AC23F3" w:rsidRDefault="00AC23F3">
      <w:pPr>
        <w:pStyle w:val="FootnoteText"/>
      </w:pPr>
      <w:r>
        <w:rPr>
          <w:rStyle w:val="FootnoteReference"/>
        </w:rPr>
        <w:footnoteRef/>
      </w:r>
      <w:r>
        <w:t xml:space="preserve"> I.R.C. § 754.</w:t>
      </w:r>
    </w:p>
  </w:footnote>
  <w:footnote w:id="32">
    <w:p w14:paraId="26D55B89" w14:textId="39E2E101" w:rsidR="00AC23F3" w:rsidRDefault="00AC23F3">
      <w:pPr>
        <w:pStyle w:val="FootnoteText"/>
      </w:pPr>
      <w:r>
        <w:rPr>
          <w:rStyle w:val="FootnoteReference"/>
        </w:rPr>
        <w:footnoteRef/>
      </w:r>
      <w:r>
        <w:t xml:space="preserve"> Davis, </w:t>
      </w:r>
      <w:r w:rsidRPr="00953EC3">
        <w:rPr>
          <w:i/>
        </w:rPr>
        <w:t>supra</w:t>
      </w:r>
      <w:r>
        <w:t xml:space="preserve"> note 16, at 25.</w:t>
      </w:r>
    </w:p>
  </w:footnote>
  <w:footnote w:id="33">
    <w:p w14:paraId="0F042A1B" w14:textId="4F7092D2" w:rsidR="00AC23F3" w:rsidRDefault="00AC23F3">
      <w:pPr>
        <w:pStyle w:val="FootnoteText"/>
      </w:pPr>
      <w:r>
        <w:rPr>
          <w:rStyle w:val="FootnoteReference"/>
        </w:rPr>
        <w:footnoteRef/>
      </w:r>
      <w:r>
        <w:t xml:space="preserve"> See I.R.C. § 734 for the rules governing basis adjustment.</w:t>
      </w:r>
    </w:p>
  </w:footnote>
  <w:footnote w:id="34">
    <w:p w14:paraId="677C1DF8" w14:textId="59ACBB1D" w:rsidR="00AC23F3" w:rsidRDefault="00AC23F3">
      <w:pPr>
        <w:pStyle w:val="FootnoteText"/>
      </w:pPr>
      <w:r>
        <w:rPr>
          <w:rStyle w:val="FootnoteReference"/>
        </w:rPr>
        <w:footnoteRef/>
      </w:r>
      <w:r>
        <w:t xml:space="preserve"> Lee, </w:t>
      </w:r>
      <w:r w:rsidRPr="00B939DA">
        <w:rPr>
          <w:i/>
        </w:rPr>
        <w:t>supra</w:t>
      </w:r>
      <w:r>
        <w:t xml:space="preserve"> note 9, at 63.</w:t>
      </w:r>
    </w:p>
  </w:footnote>
  <w:footnote w:id="35">
    <w:p w14:paraId="2E987AA8" w14:textId="1FC7B96A" w:rsidR="00AC23F3" w:rsidRDefault="00AC23F3">
      <w:pPr>
        <w:pStyle w:val="FootnoteText"/>
      </w:pPr>
      <w:r>
        <w:rPr>
          <w:rStyle w:val="FootnoteReference"/>
        </w:rPr>
        <w:footnoteRef/>
      </w:r>
      <w:r>
        <w:t xml:space="preserve"> </w:t>
      </w:r>
      <w:r w:rsidRPr="00B939DA">
        <w:rPr>
          <w:i/>
        </w:rPr>
        <w:t>Id.</w:t>
      </w:r>
      <w:r>
        <w:t xml:space="preserve"> at 64.</w:t>
      </w:r>
    </w:p>
  </w:footnote>
  <w:footnote w:id="36">
    <w:p w14:paraId="6824BA7A" w14:textId="27966C2A" w:rsidR="00AC23F3" w:rsidRDefault="00AC23F3">
      <w:pPr>
        <w:pStyle w:val="FootnoteText"/>
      </w:pPr>
      <w:r>
        <w:rPr>
          <w:rStyle w:val="FootnoteReference"/>
        </w:rPr>
        <w:footnoteRef/>
      </w:r>
      <w:r>
        <w:t xml:space="preserve"> Davis, </w:t>
      </w:r>
      <w:r w:rsidRPr="006A502B">
        <w:rPr>
          <w:i/>
        </w:rPr>
        <w:t>supra</w:t>
      </w:r>
      <w:r>
        <w:t xml:space="preserve"> note 16, at 13.</w:t>
      </w:r>
    </w:p>
  </w:footnote>
  <w:footnote w:id="37">
    <w:p w14:paraId="0EEDAE7F" w14:textId="704D8E76" w:rsidR="00AC23F3" w:rsidRDefault="00AC23F3">
      <w:pPr>
        <w:pStyle w:val="FootnoteText"/>
      </w:pPr>
      <w:r>
        <w:rPr>
          <w:rStyle w:val="FootnoteReference"/>
        </w:rPr>
        <w:footnoteRef/>
      </w:r>
      <w:r>
        <w:t xml:space="preserve"> </w:t>
      </w:r>
      <w:r w:rsidRPr="00A85471">
        <w:rPr>
          <w:i/>
        </w:rPr>
        <w:t xml:space="preserve">See </w:t>
      </w:r>
      <w:r>
        <w:rPr>
          <w:i/>
        </w:rPr>
        <w:t>i</w:t>
      </w:r>
      <w:r w:rsidRPr="00A85471">
        <w:rPr>
          <w:i/>
        </w:rPr>
        <w:t>d.</w:t>
      </w:r>
    </w:p>
  </w:footnote>
  <w:footnote w:id="38">
    <w:p w14:paraId="4FCCD25F" w14:textId="04594691" w:rsidR="00AC23F3" w:rsidRDefault="00AC23F3">
      <w:pPr>
        <w:pStyle w:val="FootnoteText"/>
      </w:pPr>
      <w:r>
        <w:rPr>
          <w:rStyle w:val="FootnoteReference"/>
        </w:rPr>
        <w:footnoteRef/>
      </w:r>
      <w:r>
        <w:t xml:space="preserve"> I.R.C. § 2041(b).</w:t>
      </w:r>
    </w:p>
  </w:footnote>
  <w:footnote w:id="39">
    <w:p w14:paraId="44B38EAC" w14:textId="23D1946B" w:rsidR="00AC23F3" w:rsidRDefault="00AC23F3">
      <w:pPr>
        <w:pStyle w:val="FootnoteText"/>
      </w:pPr>
      <w:r>
        <w:rPr>
          <w:rStyle w:val="FootnoteReference"/>
        </w:rPr>
        <w:footnoteRef/>
      </w:r>
      <w:r>
        <w:t xml:space="preserve"> I.R.C. § 2041(b)(1)(C); Reg. § 20.2041-3(c)(2)</w:t>
      </w:r>
    </w:p>
  </w:footnote>
  <w:footnote w:id="40">
    <w:p w14:paraId="0B523170" w14:textId="3678CB4D" w:rsidR="00AC23F3" w:rsidRDefault="00AC23F3">
      <w:pPr>
        <w:pStyle w:val="FootnoteText"/>
      </w:pPr>
      <w:r>
        <w:rPr>
          <w:rStyle w:val="FootnoteReference"/>
        </w:rPr>
        <w:footnoteRef/>
      </w:r>
      <w:r>
        <w:t xml:space="preserve"> Davis, </w:t>
      </w:r>
      <w:r w:rsidRPr="00637572">
        <w:rPr>
          <w:i/>
        </w:rPr>
        <w:t>supra</w:t>
      </w:r>
      <w:r>
        <w:t xml:space="preserve"> note 16, at 16.</w:t>
      </w:r>
    </w:p>
  </w:footnote>
  <w:footnote w:id="41">
    <w:p w14:paraId="5C8204EB" w14:textId="513F6E94" w:rsidR="00AC23F3" w:rsidRDefault="00AC23F3">
      <w:pPr>
        <w:pStyle w:val="FootnoteText"/>
      </w:pPr>
      <w:r>
        <w:rPr>
          <w:rStyle w:val="FootnoteReference"/>
        </w:rPr>
        <w:footnoteRef/>
      </w:r>
      <w:r>
        <w:t xml:space="preserve"> Robert J. Kolasa, </w:t>
      </w:r>
      <w:r w:rsidRPr="00311FF6">
        <w:rPr>
          <w:i/>
        </w:rPr>
        <w:t>Obtaining Stepped-Up Basis for Credit Shelter Trusts</w:t>
      </w:r>
      <w:r>
        <w:rPr>
          <w:i/>
        </w:rPr>
        <w:t xml:space="preserve"> </w:t>
      </w:r>
      <w:r>
        <w:t>7, Lake County Bar Association, 2015 Trusts &amp; Estates Annual Seminar (Nov. 13, 2015).</w:t>
      </w:r>
    </w:p>
  </w:footnote>
  <w:footnote w:id="42">
    <w:p w14:paraId="7602F70C" w14:textId="2BE7D81C" w:rsidR="00AC23F3" w:rsidRDefault="00AC23F3">
      <w:pPr>
        <w:pStyle w:val="FootnoteText"/>
      </w:pPr>
      <w:r>
        <w:rPr>
          <w:rStyle w:val="FootnoteReference"/>
        </w:rPr>
        <w:footnoteRef/>
      </w:r>
      <w:r>
        <w:t xml:space="preserve"> </w:t>
      </w:r>
      <w:r w:rsidRPr="00311FF6">
        <w:rPr>
          <w:i/>
        </w:rPr>
        <w:t>See</w:t>
      </w:r>
      <w:r w:rsidRPr="00311FF6">
        <w:t xml:space="preserve"> Treas. Reg. § 20.2041-1(b)(3).</w:t>
      </w:r>
    </w:p>
  </w:footnote>
  <w:footnote w:id="43">
    <w:p w14:paraId="651F30F4" w14:textId="490D326A" w:rsidR="00AC23F3" w:rsidRDefault="00AC23F3">
      <w:pPr>
        <w:pStyle w:val="FootnoteText"/>
      </w:pPr>
      <w:r>
        <w:rPr>
          <w:rStyle w:val="FootnoteReference"/>
        </w:rPr>
        <w:footnoteRef/>
      </w:r>
      <w:r>
        <w:t xml:space="preserve"> Kolasa, </w:t>
      </w:r>
      <w:r w:rsidRPr="00637572">
        <w:rPr>
          <w:i/>
        </w:rPr>
        <w:t>supra</w:t>
      </w:r>
      <w:r>
        <w:t xml:space="preserve"> note 39.</w:t>
      </w:r>
    </w:p>
  </w:footnote>
  <w:footnote w:id="44">
    <w:p w14:paraId="36094334" w14:textId="3B5033E3" w:rsidR="00AC23F3" w:rsidRDefault="00AC23F3">
      <w:pPr>
        <w:pStyle w:val="FootnoteText"/>
      </w:pPr>
      <w:r>
        <w:rPr>
          <w:rStyle w:val="FootnoteReference"/>
        </w:rPr>
        <w:footnoteRef/>
      </w:r>
      <w:r>
        <w:t xml:space="preserve"> Davis, </w:t>
      </w:r>
      <w:r w:rsidRPr="00AE18A1">
        <w:rPr>
          <w:i/>
        </w:rPr>
        <w:t>supra</w:t>
      </w:r>
      <w:r>
        <w:t xml:space="preserve"> note 16, at 18.</w:t>
      </w:r>
    </w:p>
  </w:footnote>
  <w:footnote w:id="45">
    <w:p w14:paraId="3A1521E3" w14:textId="1752BB06" w:rsidR="00AC23F3" w:rsidRPr="00393682" w:rsidRDefault="00AC23F3">
      <w:pPr>
        <w:pStyle w:val="FootnoteText"/>
      </w:pPr>
      <w:r>
        <w:rPr>
          <w:rStyle w:val="FootnoteReference"/>
        </w:rPr>
        <w:footnoteRef/>
      </w:r>
      <w:r>
        <w:t xml:space="preserve"> I.R.C. § 2041(a)(3).</w:t>
      </w:r>
    </w:p>
  </w:footnote>
  <w:footnote w:id="46">
    <w:p w14:paraId="0E7834FA" w14:textId="2D696B11" w:rsidR="00AC23F3" w:rsidRDefault="00AC23F3">
      <w:pPr>
        <w:pStyle w:val="FootnoteText"/>
      </w:pPr>
      <w:r>
        <w:rPr>
          <w:rStyle w:val="FootnoteReference"/>
        </w:rPr>
        <w:footnoteRef/>
      </w:r>
      <w:r>
        <w:t xml:space="preserve"> Davis, </w:t>
      </w:r>
      <w:r w:rsidRPr="008F0D7C">
        <w:rPr>
          <w:i/>
        </w:rPr>
        <w:t>supra</w:t>
      </w:r>
      <w:r>
        <w:t xml:space="preserve"> note 16, at 18.</w:t>
      </w:r>
    </w:p>
  </w:footnote>
  <w:footnote w:id="47">
    <w:p w14:paraId="0FE9BF3C" w14:textId="3FADA312" w:rsidR="00AC23F3" w:rsidRDefault="00AC23F3">
      <w:pPr>
        <w:pStyle w:val="FootnoteText"/>
      </w:pPr>
      <w:r>
        <w:rPr>
          <w:rStyle w:val="FootnoteReference"/>
        </w:rPr>
        <w:footnoteRef/>
      </w:r>
      <w:r>
        <w:t xml:space="preserve"> </w:t>
      </w:r>
      <w:r w:rsidRPr="00393682">
        <w:rPr>
          <w:i/>
        </w:rPr>
        <w:t>Id.</w:t>
      </w:r>
      <w:r>
        <w:t xml:space="preserve"> at 19 (citing </w:t>
      </w:r>
      <w:r>
        <w:rPr>
          <w:smallCaps/>
        </w:rPr>
        <w:t>Restatement (Third) of Trusts</w:t>
      </w:r>
      <w:r w:rsidRPr="00393682">
        <w:t xml:space="preserve"> § 56 </w:t>
      </w:r>
      <w:proofErr w:type="spellStart"/>
      <w:r w:rsidRPr="00393682">
        <w:t>cmt</w:t>
      </w:r>
      <w:proofErr w:type="spellEnd"/>
      <w:r w:rsidRPr="00393682">
        <w:t>. b.</w:t>
      </w:r>
      <w:r>
        <w:t>).</w:t>
      </w:r>
    </w:p>
  </w:footnote>
  <w:footnote w:id="48">
    <w:p w14:paraId="3138BDA1" w14:textId="52A88A5B" w:rsidR="00AC23F3" w:rsidRDefault="00AC23F3">
      <w:pPr>
        <w:pStyle w:val="FootnoteText"/>
      </w:pPr>
      <w:r>
        <w:rPr>
          <w:rStyle w:val="FootnoteReference"/>
        </w:rPr>
        <w:footnoteRef/>
      </w:r>
      <w:r>
        <w:t xml:space="preserve"> I.R.C. § 2041(a)(3).</w:t>
      </w:r>
    </w:p>
  </w:footnote>
  <w:footnote w:id="49">
    <w:p w14:paraId="349212E0" w14:textId="448F375C" w:rsidR="00AC23F3" w:rsidRDefault="00AC23F3">
      <w:pPr>
        <w:pStyle w:val="FootnoteText"/>
      </w:pPr>
      <w:r>
        <w:rPr>
          <w:rStyle w:val="FootnoteReference"/>
        </w:rPr>
        <w:footnoteRef/>
      </w:r>
      <w:r>
        <w:t xml:space="preserve"> Treas. Reg. § </w:t>
      </w:r>
      <w:r w:rsidRPr="00393682">
        <w:t>20.2041-1(d)</w:t>
      </w:r>
      <w:r>
        <w:t>.</w:t>
      </w:r>
    </w:p>
  </w:footnote>
  <w:footnote w:id="50">
    <w:p w14:paraId="29DA26AE" w14:textId="3FEE3AB6" w:rsidR="00AC23F3" w:rsidRPr="00CD55D1" w:rsidRDefault="00AC23F3">
      <w:pPr>
        <w:pStyle w:val="FootnoteText"/>
      </w:pPr>
      <w:r>
        <w:rPr>
          <w:rStyle w:val="FootnoteReference"/>
        </w:rPr>
        <w:footnoteRef/>
      </w:r>
      <w:r>
        <w:t xml:space="preserve"> The Uniform Trust Code has been adopted in </w:t>
      </w:r>
      <w:r w:rsidR="000F01BD">
        <w:t>thirty-four states of January 1, 2020.</w:t>
      </w:r>
      <w:r>
        <w:t xml:space="preserve"> Elizabeth K. Arias, </w:t>
      </w:r>
      <w:proofErr w:type="gramStart"/>
      <w:r w:rsidRPr="00CD55D1">
        <w:rPr>
          <w:i/>
        </w:rPr>
        <w:t>Fixing</w:t>
      </w:r>
      <w:proofErr w:type="gramEnd"/>
      <w:r w:rsidRPr="00CD55D1">
        <w:rPr>
          <w:i/>
        </w:rPr>
        <w:t xml:space="preserve"> a Broken Trust: Judicial and Non-Judicial Modifications, Reformations, and Decanting, Can You Change an Irrevocable Trust?</w:t>
      </w:r>
      <w:r>
        <w:rPr>
          <w:i/>
        </w:rPr>
        <w:t xml:space="preserve"> </w:t>
      </w:r>
      <w:r>
        <w:t>2, Forty-Ninth Annual Southern Federal Tax Institute (Oct. 2014).</w:t>
      </w:r>
    </w:p>
  </w:footnote>
  <w:footnote w:id="51">
    <w:p w14:paraId="23A8C3EB" w14:textId="6466C370" w:rsidR="00AC23F3" w:rsidRDefault="00AC23F3">
      <w:pPr>
        <w:pStyle w:val="FootnoteText"/>
      </w:pPr>
      <w:r>
        <w:rPr>
          <w:rStyle w:val="FootnoteReference"/>
        </w:rPr>
        <w:footnoteRef/>
      </w:r>
      <w:r>
        <w:t xml:space="preserve"> </w:t>
      </w:r>
      <w:r w:rsidRPr="00CD55D1">
        <w:rPr>
          <w:i/>
        </w:rPr>
        <w:t>Id.</w:t>
      </w:r>
    </w:p>
  </w:footnote>
  <w:footnote w:id="52">
    <w:p w14:paraId="7DFFC7C6" w14:textId="601D8F04" w:rsidR="00AC23F3" w:rsidRDefault="00AC23F3">
      <w:pPr>
        <w:pStyle w:val="FootnoteText"/>
      </w:pPr>
      <w:r>
        <w:rPr>
          <w:rStyle w:val="FootnoteReference"/>
        </w:rPr>
        <w:footnoteRef/>
      </w:r>
      <w:r>
        <w:t xml:space="preserve"> </w:t>
      </w:r>
      <w:r w:rsidRPr="00EF4A7E">
        <w:rPr>
          <w:i/>
        </w:rPr>
        <w:t>Id.</w:t>
      </w:r>
    </w:p>
  </w:footnote>
  <w:footnote w:id="53">
    <w:p w14:paraId="3DA0772B" w14:textId="37DC666F" w:rsidR="00AC23F3" w:rsidRDefault="00AC23F3">
      <w:pPr>
        <w:pStyle w:val="FootnoteText"/>
      </w:pPr>
      <w:r>
        <w:rPr>
          <w:rStyle w:val="FootnoteReference"/>
        </w:rPr>
        <w:footnoteRef/>
      </w:r>
      <w:r>
        <w:t xml:space="preserve"> </w:t>
      </w:r>
      <w:proofErr w:type="spellStart"/>
      <w:r>
        <w:t>Unif</w:t>
      </w:r>
      <w:proofErr w:type="spellEnd"/>
      <w:r>
        <w:t>. Trust Code § 411.</w:t>
      </w:r>
    </w:p>
  </w:footnote>
  <w:footnote w:id="54">
    <w:p w14:paraId="120C8279" w14:textId="36A91296" w:rsidR="00AC23F3" w:rsidRDefault="00AC23F3">
      <w:pPr>
        <w:pStyle w:val="FootnoteText"/>
      </w:pPr>
      <w:r>
        <w:rPr>
          <w:rStyle w:val="FootnoteReference"/>
        </w:rPr>
        <w:footnoteRef/>
      </w:r>
      <w:r>
        <w:t xml:space="preserve"> Arias, </w:t>
      </w:r>
      <w:r w:rsidRPr="00252FE8">
        <w:rPr>
          <w:i/>
        </w:rPr>
        <w:t>supra</w:t>
      </w:r>
      <w:r>
        <w:t xml:space="preserve"> note 52, at 17.</w:t>
      </w:r>
    </w:p>
  </w:footnote>
  <w:footnote w:id="55">
    <w:p w14:paraId="0951D92E" w14:textId="32170D8D" w:rsidR="00AC23F3" w:rsidRDefault="00AC23F3">
      <w:pPr>
        <w:pStyle w:val="FootnoteText"/>
      </w:pPr>
      <w:r>
        <w:rPr>
          <w:rStyle w:val="FootnoteReference"/>
        </w:rPr>
        <w:footnoteRef/>
      </w:r>
      <w:r>
        <w:t xml:space="preserve"> </w:t>
      </w:r>
      <w:r w:rsidRPr="00274B68">
        <w:rPr>
          <w:i/>
        </w:rPr>
        <w:t>Id.</w:t>
      </w:r>
    </w:p>
  </w:footnote>
  <w:footnote w:id="56">
    <w:p w14:paraId="1E59B376" w14:textId="414DA1FC" w:rsidR="00AC23F3" w:rsidRDefault="00AC23F3">
      <w:pPr>
        <w:pStyle w:val="FootnoteText"/>
      </w:pPr>
      <w:r>
        <w:rPr>
          <w:rStyle w:val="FootnoteReference"/>
        </w:rPr>
        <w:footnoteRef/>
      </w:r>
      <w:r>
        <w:t xml:space="preserve"> </w:t>
      </w:r>
      <w:r w:rsidRPr="009D49F2">
        <w:rPr>
          <w:i/>
        </w:rPr>
        <w:t>Id.</w:t>
      </w:r>
      <w:r>
        <w:rPr>
          <w:i/>
        </w:rPr>
        <w:t xml:space="preserve"> </w:t>
      </w:r>
      <w:r>
        <w:t>at 18 (citing S. Rep. No. 82-382 (1951)).</w:t>
      </w:r>
    </w:p>
  </w:footnote>
  <w:footnote w:id="57">
    <w:p w14:paraId="715B564F" w14:textId="6B5D6902" w:rsidR="00AC23F3" w:rsidRDefault="00AC23F3">
      <w:pPr>
        <w:pStyle w:val="FootnoteText"/>
      </w:pPr>
      <w:r>
        <w:rPr>
          <w:rStyle w:val="FootnoteReference"/>
        </w:rPr>
        <w:footnoteRef/>
      </w:r>
      <w:r>
        <w:t xml:space="preserve"> </w:t>
      </w:r>
      <w:r w:rsidRPr="009D49F2">
        <w:rPr>
          <w:i/>
        </w:rPr>
        <w:t>Id.</w:t>
      </w:r>
    </w:p>
  </w:footnote>
  <w:footnote w:id="58">
    <w:p w14:paraId="20BBD0CB" w14:textId="48FCA9B3" w:rsidR="00AC23F3" w:rsidRDefault="00AC23F3">
      <w:pPr>
        <w:pStyle w:val="FootnoteText"/>
      </w:pPr>
      <w:r>
        <w:rPr>
          <w:rStyle w:val="FootnoteReference"/>
        </w:rPr>
        <w:footnoteRef/>
      </w:r>
      <w:r>
        <w:t xml:space="preserve"> </w:t>
      </w:r>
      <w:r w:rsidRPr="009D49F2">
        <w:rPr>
          <w:i/>
        </w:rPr>
        <w:t>Id.</w:t>
      </w:r>
      <w:r>
        <w:t xml:space="preserve"> at 19.</w:t>
      </w:r>
    </w:p>
  </w:footnote>
  <w:footnote w:id="59">
    <w:p w14:paraId="236FDF47" w14:textId="46F63E65" w:rsidR="00AC23F3" w:rsidRDefault="00AC23F3">
      <w:pPr>
        <w:pStyle w:val="FootnoteText"/>
      </w:pPr>
      <w:r>
        <w:rPr>
          <w:rStyle w:val="FootnoteReference"/>
        </w:rPr>
        <w:footnoteRef/>
      </w:r>
      <w:r>
        <w:t xml:space="preserve"> Melissa J. Willms, </w:t>
      </w:r>
      <w:r w:rsidRPr="0009183C">
        <w:rPr>
          <w:i/>
        </w:rPr>
        <w:t>Decanting Trusts: Irrevocable, Not Unchan</w:t>
      </w:r>
      <w:r w:rsidR="007A36CD">
        <w:rPr>
          <w:i/>
        </w:rPr>
        <w:t>g</w:t>
      </w:r>
      <w:r w:rsidRPr="0009183C">
        <w:rPr>
          <w:i/>
        </w:rPr>
        <w:t>eable</w:t>
      </w:r>
      <w:r>
        <w:t>, 6 Est. Plan. &amp; Community Prop. L.J. 35, 40-41 (2013).</w:t>
      </w:r>
    </w:p>
  </w:footnote>
  <w:footnote w:id="60">
    <w:p w14:paraId="66A7FAE3" w14:textId="56864923" w:rsidR="00AC23F3" w:rsidRDefault="00AC23F3">
      <w:pPr>
        <w:pStyle w:val="FootnoteText"/>
      </w:pPr>
      <w:r>
        <w:rPr>
          <w:rStyle w:val="FootnoteReference"/>
        </w:rPr>
        <w:footnoteRef/>
      </w:r>
      <w:r>
        <w:t xml:space="preserve"> Arias, </w:t>
      </w:r>
      <w:r w:rsidRPr="00256F0E">
        <w:rPr>
          <w:i/>
        </w:rPr>
        <w:t>supra</w:t>
      </w:r>
      <w:r>
        <w:t xml:space="preserve"> note 52 at 17.</w:t>
      </w:r>
    </w:p>
  </w:footnote>
  <w:footnote w:id="61">
    <w:p w14:paraId="251FFEBF" w14:textId="56AF8D49" w:rsidR="00AC23F3" w:rsidRDefault="00AC23F3">
      <w:pPr>
        <w:pStyle w:val="FootnoteText"/>
      </w:pPr>
      <w:r>
        <w:rPr>
          <w:rStyle w:val="FootnoteReference"/>
        </w:rPr>
        <w:footnoteRef/>
      </w:r>
      <w:r>
        <w:t xml:space="preserve"> </w:t>
      </w:r>
      <w:r w:rsidRPr="004D6A7C">
        <w:rPr>
          <w:i/>
        </w:rPr>
        <w:t xml:space="preserve">Id. </w:t>
      </w:r>
      <w:r>
        <w:t>at 19.</w:t>
      </w:r>
    </w:p>
  </w:footnote>
  <w:footnote w:id="62">
    <w:p w14:paraId="08A15CF8" w14:textId="7F4A31C7" w:rsidR="00AC23F3" w:rsidRDefault="00AC23F3">
      <w:pPr>
        <w:pStyle w:val="FootnoteText"/>
      </w:pPr>
      <w:r>
        <w:rPr>
          <w:rStyle w:val="FootnoteReference"/>
        </w:rPr>
        <w:footnoteRef/>
      </w:r>
      <w:r>
        <w:t xml:space="preserve"> I.R.C. § 675(4).</w:t>
      </w:r>
    </w:p>
  </w:footnote>
  <w:footnote w:id="63">
    <w:p w14:paraId="3BB7BCDB" w14:textId="59796079" w:rsidR="00AC23F3" w:rsidRDefault="00AC23F3">
      <w:pPr>
        <w:pStyle w:val="FootnoteText"/>
      </w:pPr>
      <w:r>
        <w:rPr>
          <w:rStyle w:val="FootnoteReference"/>
        </w:rPr>
        <w:footnoteRef/>
      </w:r>
      <w:r>
        <w:t xml:space="preserve"> </w:t>
      </w:r>
      <w:r w:rsidRPr="009E647A">
        <w:rPr>
          <w:i/>
        </w:rPr>
        <w:t>See</w:t>
      </w:r>
      <w:r>
        <w:t xml:space="preserve"> Lee, </w:t>
      </w:r>
      <w:r w:rsidRPr="009E647A">
        <w:rPr>
          <w:i/>
        </w:rPr>
        <w:t>supra</w:t>
      </w:r>
      <w:r>
        <w:t xml:space="preserve"> note 7, at 13.</w:t>
      </w:r>
    </w:p>
  </w:footnote>
  <w:footnote w:id="64">
    <w:p w14:paraId="07633CBB" w14:textId="52A50CDE" w:rsidR="00AC23F3" w:rsidRDefault="00AC23F3">
      <w:pPr>
        <w:pStyle w:val="FootnoteText"/>
      </w:pPr>
      <w:r>
        <w:rPr>
          <w:rStyle w:val="FootnoteReference"/>
        </w:rPr>
        <w:footnoteRef/>
      </w:r>
      <w:r>
        <w:t xml:space="preserve"> </w:t>
      </w:r>
      <w:r w:rsidRPr="00FC2C00">
        <w:rPr>
          <w:i/>
        </w:rPr>
        <w:t>Id.</w:t>
      </w:r>
      <w:r>
        <w:t xml:space="preserve"> at 40.</w:t>
      </w:r>
    </w:p>
  </w:footnote>
  <w:footnote w:id="65">
    <w:p w14:paraId="5AB15E31" w14:textId="7BD15952" w:rsidR="00AC23F3" w:rsidRDefault="00AC23F3">
      <w:pPr>
        <w:pStyle w:val="FootnoteText"/>
      </w:pPr>
      <w:r>
        <w:rPr>
          <w:rStyle w:val="FootnoteReference"/>
        </w:rPr>
        <w:footnoteRef/>
      </w:r>
      <w:r>
        <w:t xml:space="preserve"> I.R.C. § 2036(a).</w:t>
      </w:r>
    </w:p>
  </w:footnote>
  <w:footnote w:id="66">
    <w:p w14:paraId="1A15936D" w14:textId="48EB6733" w:rsidR="00AC23F3" w:rsidRDefault="00AC23F3" w:rsidP="004E739B">
      <w:pPr>
        <w:pStyle w:val="FootnoteText"/>
      </w:pPr>
      <w:r>
        <w:rPr>
          <w:rStyle w:val="FootnoteReference"/>
        </w:rPr>
        <w:footnoteRef/>
      </w:r>
      <w:r>
        <w:t xml:space="preserve"> Estate of Powell v. Comm'r of Internal Revenue, 148 T.C. No. 18 (T.C. May 18, 2017)</w:t>
      </w:r>
    </w:p>
  </w:footnote>
  <w:footnote w:id="67">
    <w:p w14:paraId="0496DCB6" w14:textId="1C8BF480" w:rsidR="00AC23F3" w:rsidRDefault="00AC23F3">
      <w:pPr>
        <w:pStyle w:val="FootnoteText"/>
      </w:pPr>
      <w:r>
        <w:rPr>
          <w:rStyle w:val="FootnoteReference"/>
        </w:rPr>
        <w:footnoteRef/>
      </w:r>
      <w:r>
        <w:t xml:space="preserve"> </w:t>
      </w:r>
      <w:r w:rsidRPr="00B74950">
        <w:rPr>
          <w:i/>
        </w:rPr>
        <w:t>Id.</w:t>
      </w:r>
    </w:p>
  </w:footnote>
  <w:footnote w:id="68">
    <w:p w14:paraId="031E73A5" w14:textId="77777777" w:rsidR="00AC23F3" w:rsidRDefault="00AC23F3" w:rsidP="0011745E">
      <w:pPr>
        <w:pStyle w:val="FootnoteText"/>
      </w:pPr>
      <w:r>
        <w:rPr>
          <w:rStyle w:val="FootnoteReference"/>
        </w:rPr>
        <w:footnoteRef/>
      </w:r>
      <w:r>
        <w:t xml:space="preserve"> Steve R. Akers, </w:t>
      </w:r>
      <w:r w:rsidRPr="004E739B">
        <w:rPr>
          <w:i/>
        </w:rPr>
        <w:t>Estate of Powell v. Commissioner, 148 T.C. No. 18 (May 18, 2017)</w:t>
      </w:r>
      <w:r>
        <w:rPr>
          <w:i/>
        </w:rPr>
        <w:t xml:space="preserve"> </w:t>
      </w:r>
      <w:r>
        <w:t>2, Bessemer Trust (June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B2ED" w14:textId="77777777" w:rsidR="00AC23F3" w:rsidRPr="004D4C3D" w:rsidRDefault="00AC23F3" w:rsidP="002A0F28">
    <w:pPr>
      <w:pStyle w:val="Header"/>
      <w:rPr>
        <w:rFonts w:ascii="Times New Roman" w:hAnsi="Times New Roman" w:cs="Times New Roman"/>
      </w:rPr>
    </w:pPr>
    <w:r w:rsidRPr="004D4C3D">
      <w:rPr>
        <w:rFonts w:ascii="Times New Roman" w:hAnsi="Times New Roman" w:cs="Times New Roman"/>
      </w:rPr>
      <w:t xml:space="preserve">Basis Planning </w:t>
    </w:r>
    <w:proofErr w:type="gramStart"/>
    <w:r w:rsidRPr="004D4C3D">
      <w:rPr>
        <w:rFonts w:ascii="Times New Roman" w:hAnsi="Times New Roman" w:cs="Times New Roman"/>
      </w:rPr>
      <w:t>in Light of</w:t>
    </w:r>
    <w:proofErr w:type="gramEnd"/>
    <w:r w:rsidRPr="004D4C3D">
      <w:rPr>
        <w:rFonts w:ascii="Times New Roman" w:hAnsi="Times New Roman" w:cs="Times New Roman"/>
      </w:rPr>
      <w:t xml:space="preserve"> the Jobs Act</w:t>
    </w:r>
  </w:p>
  <w:p w14:paraId="40791ABE" w14:textId="647D0042" w:rsidR="00AC23F3" w:rsidRPr="004D4C3D" w:rsidRDefault="00594C9A" w:rsidP="002A0F28">
    <w:pPr>
      <w:pStyle w:val="Header"/>
      <w:rPr>
        <w:rFonts w:ascii="Times New Roman" w:hAnsi="Times New Roman" w:cs="Times New Roman"/>
      </w:rPr>
    </w:pPr>
    <w:r>
      <w:rPr>
        <w:rFonts w:ascii="Times New Roman" w:hAnsi="Times New Roman" w:cs="Times New Roman"/>
      </w:rPr>
      <w:t>S. Gray Edmondson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D6E64"/>
    <w:multiLevelType w:val="multilevel"/>
    <w:tmpl w:val="6CD6DE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BA31970"/>
    <w:multiLevelType w:val="hybridMultilevel"/>
    <w:tmpl w:val="25522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013C2D"/>
    <w:multiLevelType w:val="multilevel"/>
    <w:tmpl w:val="C9E28E30"/>
    <w:lvl w:ilvl="0">
      <w:start w:val="1"/>
      <w:numFmt w:val="decimal"/>
      <w:pStyle w:val="ListBullet"/>
      <w:lvlText w:val="%1."/>
      <w:lvlJc w:val="left"/>
      <w:pPr>
        <w:tabs>
          <w:tab w:val="num" w:pos="432"/>
        </w:tabs>
        <w:ind w:left="0" w:firstLine="0"/>
      </w:pPr>
      <w:rPr>
        <w:rFonts w:hint="default"/>
        <w:b/>
      </w:rPr>
    </w:lvl>
    <w:lvl w:ilvl="1">
      <w:start w:val="1"/>
      <w:numFmt w:val="lowerLetter"/>
      <w:suff w:val="space"/>
      <w:lvlText w:val="(%2)"/>
      <w:lvlJc w:val="left"/>
      <w:pPr>
        <w:ind w:left="99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3)"/>
      <w:lvlJc w:val="right"/>
      <w:pPr>
        <w:ind w:left="1800" w:firstLine="0"/>
      </w:pPr>
      <w:rPr>
        <w:rFonts w:ascii="Century Schoolbook" w:hAnsi="Century Schoolbook" w:hint="default"/>
        <w:b/>
        <w:i w:val="0"/>
        <w:sz w:val="24"/>
      </w:rPr>
    </w:lvl>
    <w:lvl w:ilvl="3">
      <w:start w:val="1"/>
      <w:numFmt w:val="upperLetter"/>
      <w:suff w:val="space"/>
      <w:lvlText w:val="(%4)"/>
      <w:lvlJc w:val="left"/>
      <w:pPr>
        <w:ind w:left="2520" w:firstLine="0"/>
      </w:pPr>
      <w:rPr>
        <w:rFonts w:hint="default"/>
      </w:rPr>
    </w:lvl>
    <w:lvl w:ilvl="4">
      <w:start w:val="1"/>
      <w:numFmt w:val="upperRoman"/>
      <w:suff w:val="space"/>
      <w:lvlText w:val="(%5)"/>
      <w:lvlJc w:val="left"/>
      <w:pPr>
        <w:ind w:left="2016" w:firstLine="0"/>
      </w:pPr>
      <w:rPr>
        <w:rFonts w:hint="default"/>
      </w:rPr>
    </w:lvl>
    <w:lvl w:ilvl="5">
      <w:start w:val="1"/>
      <w:numFmt w:val="lowerLetter"/>
      <w:suff w:val="space"/>
      <w:lvlText w:val="%6."/>
      <w:lvlJc w:val="right"/>
      <w:pPr>
        <w:ind w:left="2448" w:firstLine="0"/>
      </w:pPr>
      <w:rPr>
        <w:rFonts w:hint="default"/>
      </w:rPr>
    </w:lvl>
    <w:lvl w:ilvl="6">
      <w:start w:val="1"/>
      <w:numFmt w:val="decimal"/>
      <w:suff w:val="space"/>
      <w:lvlText w:val="%7."/>
      <w:lvlJc w:val="left"/>
      <w:pPr>
        <w:ind w:left="2880" w:firstLine="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35C543B"/>
    <w:multiLevelType w:val="multilevel"/>
    <w:tmpl w:val="C8D631F6"/>
    <w:lvl w:ilvl="0">
      <w:start w:val="1"/>
      <w:numFmt w:val="decimal"/>
      <w:pStyle w:val="Heading1"/>
      <w:lvlText w:val="%1."/>
      <w:lvlJc w:val="left"/>
      <w:pPr>
        <w:ind w:left="360" w:hanging="360"/>
      </w:pPr>
      <w:rPr>
        <w:rFonts w:hint="default"/>
        <w:b/>
      </w:rPr>
    </w:lvl>
    <w:lvl w:ilvl="1">
      <w:start w:val="1"/>
      <w:numFmt w:val="upperLetter"/>
      <w:pStyle w:val="Heading2"/>
      <w:suff w:val="space"/>
      <w:lvlText w:val="%2."/>
      <w:lvlJc w:val="left"/>
      <w:pPr>
        <w:ind w:left="432"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16cid:durableId="1859275336">
    <w:abstractNumId w:val="3"/>
  </w:num>
  <w:num w:numId="2" w16cid:durableId="1828326201">
    <w:abstractNumId w:val="2"/>
  </w:num>
  <w:num w:numId="3" w16cid:durableId="1778216648">
    <w:abstractNumId w:val="0"/>
  </w:num>
  <w:num w:numId="4" w16cid:durableId="8977418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243054">
    <w:abstractNumId w:val="2"/>
  </w:num>
  <w:num w:numId="6" w16cid:durableId="18647065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05649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4855502">
    <w:abstractNumId w:val="1"/>
  </w:num>
  <w:num w:numId="9" w16cid:durableId="1558759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1521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45-9396-0801, v. 3"/>
    <w:docVar w:name="ndGeneratedStampLocation" w:val="ExceptFirst"/>
  </w:docVars>
  <w:rsids>
    <w:rsidRoot w:val="00704619"/>
    <w:rsid w:val="00021890"/>
    <w:rsid w:val="000265CC"/>
    <w:rsid w:val="000319DE"/>
    <w:rsid w:val="00042ED0"/>
    <w:rsid w:val="00043B73"/>
    <w:rsid w:val="00080744"/>
    <w:rsid w:val="00085063"/>
    <w:rsid w:val="0009183C"/>
    <w:rsid w:val="000B2BAE"/>
    <w:rsid w:val="000E5E5D"/>
    <w:rsid w:val="000E6C20"/>
    <w:rsid w:val="000F01BD"/>
    <w:rsid w:val="00111F01"/>
    <w:rsid w:val="0011745E"/>
    <w:rsid w:val="00127A47"/>
    <w:rsid w:val="0013016B"/>
    <w:rsid w:val="00134BCB"/>
    <w:rsid w:val="001368A8"/>
    <w:rsid w:val="001766E9"/>
    <w:rsid w:val="00176F87"/>
    <w:rsid w:val="001D206B"/>
    <w:rsid w:val="002301D6"/>
    <w:rsid w:val="00237040"/>
    <w:rsid w:val="00252FE8"/>
    <w:rsid w:val="00256F0E"/>
    <w:rsid w:val="002706F8"/>
    <w:rsid w:val="00274B68"/>
    <w:rsid w:val="00276FB9"/>
    <w:rsid w:val="00280879"/>
    <w:rsid w:val="00287FD9"/>
    <w:rsid w:val="002A0F28"/>
    <w:rsid w:val="002C149E"/>
    <w:rsid w:val="00311FF6"/>
    <w:rsid w:val="00336F50"/>
    <w:rsid w:val="0033721C"/>
    <w:rsid w:val="003449B1"/>
    <w:rsid w:val="00362A31"/>
    <w:rsid w:val="003633C5"/>
    <w:rsid w:val="00367BCA"/>
    <w:rsid w:val="00373D9E"/>
    <w:rsid w:val="00393682"/>
    <w:rsid w:val="003A5C74"/>
    <w:rsid w:val="003F505A"/>
    <w:rsid w:val="004330A0"/>
    <w:rsid w:val="004962AB"/>
    <w:rsid w:val="004D2E8F"/>
    <w:rsid w:val="004D4947"/>
    <w:rsid w:val="004D4C3D"/>
    <w:rsid w:val="004D6A7C"/>
    <w:rsid w:val="004E22EF"/>
    <w:rsid w:val="004E739B"/>
    <w:rsid w:val="005155DD"/>
    <w:rsid w:val="0055371E"/>
    <w:rsid w:val="00594C9A"/>
    <w:rsid w:val="00596C44"/>
    <w:rsid w:val="005A425F"/>
    <w:rsid w:val="005A4484"/>
    <w:rsid w:val="005C48C9"/>
    <w:rsid w:val="005D1BA5"/>
    <w:rsid w:val="005D4DF1"/>
    <w:rsid w:val="00610AED"/>
    <w:rsid w:val="0062324B"/>
    <w:rsid w:val="006260CF"/>
    <w:rsid w:val="00636305"/>
    <w:rsid w:val="00637572"/>
    <w:rsid w:val="00645955"/>
    <w:rsid w:val="006459DC"/>
    <w:rsid w:val="006549E9"/>
    <w:rsid w:val="00671FD7"/>
    <w:rsid w:val="0068364B"/>
    <w:rsid w:val="006839D6"/>
    <w:rsid w:val="006A3B24"/>
    <w:rsid w:val="006A502B"/>
    <w:rsid w:val="006B20E7"/>
    <w:rsid w:val="006C25DC"/>
    <w:rsid w:val="006D0024"/>
    <w:rsid w:val="006D1E02"/>
    <w:rsid w:val="006D5DBA"/>
    <w:rsid w:val="00704619"/>
    <w:rsid w:val="00731D89"/>
    <w:rsid w:val="00741CE3"/>
    <w:rsid w:val="007612D1"/>
    <w:rsid w:val="007A36CD"/>
    <w:rsid w:val="007B0EF6"/>
    <w:rsid w:val="007C32CA"/>
    <w:rsid w:val="007D0F24"/>
    <w:rsid w:val="008007B4"/>
    <w:rsid w:val="00812A51"/>
    <w:rsid w:val="00824EF8"/>
    <w:rsid w:val="00845534"/>
    <w:rsid w:val="008F0D7C"/>
    <w:rsid w:val="008F7DE0"/>
    <w:rsid w:val="00907E96"/>
    <w:rsid w:val="00913629"/>
    <w:rsid w:val="0092248E"/>
    <w:rsid w:val="00953EC3"/>
    <w:rsid w:val="00954490"/>
    <w:rsid w:val="009659D3"/>
    <w:rsid w:val="009752D8"/>
    <w:rsid w:val="00993FBD"/>
    <w:rsid w:val="0099558B"/>
    <w:rsid w:val="009A47CD"/>
    <w:rsid w:val="009C31C8"/>
    <w:rsid w:val="009D49F2"/>
    <w:rsid w:val="009E3DA7"/>
    <w:rsid w:val="009E647A"/>
    <w:rsid w:val="009F0690"/>
    <w:rsid w:val="00A03F5E"/>
    <w:rsid w:val="00A12EA3"/>
    <w:rsid w:val="00A32ECB"/>
    <w:rsid w:val="00A85471"/>
    <w:rsid w:val="00A9564F"/>
    <w:rsid w:val="00AB26CB"/>
    <w:rsid w:val="00AC0B76"/>
    <w:rsid w:val="00AC23F3"/>
    <w:rsid w:val="00AD15D4"/>
    <w:rsid w:val="00AD666E"/>
    <w:rsid w:val="00AE18A1"/>
    <w:rsid w:val="00AE7BE6"/>
    <w:rsid w:val="00AF2957"/>
    <w:rsid w:val="00B048AB"/>
    <w:rsid w:val="00B07024"/>
    <w:rsid w:val="00B15514"/>
    <w:rsid w:val="00B468B0"/>
    <w:rsid w:val="00B52A0F"/>
    <w:rsid w:val="00B74950"/>
    <w:rsid w:val="00B939DA"/>
    <w:rsid w:val="00BA040E"/>
    <w:rsid w:val="00BA5C20"/>
    <w:rsid w:val="00C36D5D"/>
    <w:rsid w:val="00C44F61"/>
    <w:rsid w:val="00C54911"/>
    <w:rsid w:val="00C749AB"/>
    <w:rsid w:val="00C768FB"/>
    <w:rsid w:val="00C93DE1"/>
    <w:rsid w:val="00C97913"/>
    <w:rsid w:val="00CD55D1"/>
    <w:rsid w:val="00CF0362"/>
    <w:rsid w:val="00CF48E7"/>
    <w:rsid w:val="00CF7BD3"/>
    <w:rsid w:val="00D07D95"/>
    <w:rsid w:val="00D211E1"/>
    <w:rsid w:val="00D32945"/>
    <w:rsid w:val="00D80B45"/>
    <w:rsid w:val="00D8697F"/>
    <w:rsid w:val="00DA3539"/>
    <w:rsid w:val="00DB1F87"/>
    <w:rsid w:val="00DB4CBD"/>
    <w:rsid w:val="00E1216D"/>
    <w:rsid w:val="00E37A6D"/>
    <w:rsid w:val="00E472CD"/>
    <w:rsid w:val="00E51687"/>
    <w:rsid w:val="00E60D12"/>
    <w:rsid w:val="00E71FA2"/>
    <w:rsid w:val="00E94C62"/>
    <w:rsid w:val="00EF4A7E"/>
    <w:rsid w:val="00F14080"/>
    <w:rsid w:val="00F22507"/>
    <w:rsid w:val="00F5152E"/>
    <w:rsid w:val="00F547F8"/>
    <w:rsid w:val="00F71933"/>
    <w:rsid w:val="00F906AB"/>
    <w:rsid w:val="00F962A4"/>
    <w:rsid w:val="00FB3F67"/>
    <w:rsid w:val="00FC2C00"/>
    <w:rsid w:val="00FC6CA8"/>
    <w:rsid w:val="00FD37D9"/>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48AAA9"/>
  <w15:chartTrackingRefBased/>
  <w15:docId w15:val="{FEC8D08A-25C2-4D99-AC05-6BAD052B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FA2"/>
    <w:pPr>
      <w:widowControl w:val="0"/>
      <w:spacing w:after="0" w:line="480" w:lineRule="auto"/>
      <w:contextualSpacing/>
      <w:jc w:val="both"/>
    </w:pPr>
    <w:rPr>
      <w:rFonts w:ascii="Century Schoolbook" w:eastAsiaTheme="majorEastAsia" w:hAnsi="Century Schoolbook" w:cstheme="majorBidi"/>
      <w:bCs/>
      <w:sz w:val="24"/>
      <w:szCs w:val="24"/>
    </w:rPr>
  </w:style>
  <w:style w:type="paragraph" w:styleId="Heading1">
    <w:name w:val="heading 1"/>
    <w:next w:val="Normal"/>
    <w:link w:val="Heading1Char"/>
    <w:uiPriority w:val="9"/>
    <w:qFormat/>
    <w:rsid w:val="004D4C3D"/>
    <w:pPr>
      <w:keepNext/>
      <w:keepLines/>
      <w:numPr>
        <w:numId w:val="1"/>
      </w:numPr>
      <w:spacing w:after="0" w:line="480" w:lineRule="auto"/>
      <w:outlineLvl w:val="0"/>
    </w:pPr>
    <w:rPr>
      <w:rFonts w:ascii="Times New Roman" w:eastAsiaTheme="majorEastAsia" w:hAnsi="Times New Roman" w:cs="Times New Roman"/>
      <w:b/>
      <w:sz w:val="24"/>
      <w:szCs w:val="28"/>
    </w:rPr>
  </w:style>
  <w:style w:type="paragraph" w:styleId="Heading2">
    <w:name w:val="heading 2"/>
    <w:next w:val="Normal"/>
    <w:link w:val="Heading2Char"/>
    <w:uiPriority w:val="9"/>
    <w:unhideWhenUsed/>
    <w:qFormat/>
    <w:rsid w:val="004D4C3D"/>
    <w:pPr>
      <w:numPr>
        <w:ilvl w:val="1"/>
        <w:numId w:val="1"/>
      </w:numPr>
      <w:spacing w:after="0" w:line="480" w:lineRule="auto"/>
      <w:contextualSpacing/>
      <w:outlineLvl w:val="1"/>
    </w:pPr>
    <w:rPr>
      <w:rFonts w:ascii="Times New Roman" w:eastAsiaTheme="majorEastAsia" w:hAnsi="Times New Roman" w:cs="Times New Roman"/>
      <w:b/>
      <w:sz w:val="24"/>
      <w:szCs w:val="24"/>
    </w:rPr>
  </w:style>
  <w:style w:type="paragraph" w:styleId="Heading3">
    <w:name w:val="heading 3"/>
    <w:basedOn w:val="Heading2"/>
    <w:next w:val="Normal"/>
    <w:link w:val="Heading3Char"/>
    <w:uiPriority w:val="9"/>
    <w:unhideWhenUsed/>
    <w:qFormat/>
    <w:rsid w:val="004D4C3D"/>
    <w:pPr>
      <w:numPr>
        <w:ilvl w:val="2"/>
      </w:numPr>
      <w:ind w:left="720"/>
      <w:outlineLvl w:val="2"/>
    </w:pPr>
  </w:style>
  <w:style w:type="paragraph" w:styleId="Heading4">
    <w:name w:val="heading 4"/>
    <w:basedOn w:val="Normal"/>
    <w:next w:val="Normal"/>
    <w:link w:val="Heading4Char"/>
    <w:uiPriority w:val="9"/>
    <w:semiHidden/>
    <w:unhideWhenUsed/>
    <w:qFormat/>
    <w:rsid w:val="00704619"/>
    <w:pPr>
      <w:keepNext/>
      <w:keepLines/>
      <w:numPr>
        <w:ilvl w:val="3"/>
        <w:numId w:val="1"/>
      </w:numPr>
      <w:spacing w:before="200"/>
      <w:outlineLvl w:val="3"/>
    </w:pPr>
    <w:rPr>
      <w:rFonts w:asciiTheme="majorHAnsi" w:hAnsiTheme="majorHAnsi"/>
      <w:b/>
      <w:bCs w:val="0"/>
      <w:i/>
      <w:iCs/>
      <w:color w:val="4472C4" w:themeColor="accent1"/>
    </w:rPr>
  </w:style>
  <w:style w:type="paragraph" w:styleId="Heading5">
    <w:name w:val="heading 5"/>
    <w:basedOn w:val="Normal"/>
    <w:next w:val="Normal"/>
    <w:link w:val="Heading5Char"/>
    <w:uiPriority w:val="9"/>
    <w:semiHidden/>
    <w:unhideWhenUsed/>
    <w:qFormat/>
    <w:rsid w:val="00704619"/>
    <w:pPr>
      <w:keepNext/>
      <w:keepLines/>
      <w:numPr>
        <w:ilvl w:val="4"/>
        <w:numId w:val="1"/>
      </w:numPr>
      <w:spacing w:before="200"/>
      <w:outlineLvl w:val="4"/>
    </w:pPr>
    <w:rPr>
      <w:rFonts w:asciiTheme="majorHAnsi" w:hAnsiTheme="majorHAnsi"/>
      <w:color w:val="1F3763" w:themeColor="accent1" w:themeShade="7F"/>
    </w:rPr>
  </w:style>
  <w:style w:type="paragraph" w:styleId="Heading6">
    <w:name w:val="heading 6"/>
    <w:basedOn w:val="Normal"/>
    <w:next w:val="Normal"/>
    <w:link w:val="Heading6Char"/>
    <w:uiPriority w:val="9"/>
    <w:semiHidden/>
    <w:unhideWhenUsed/>
    <w:qFormat/>
    <w:rsid w:val="00704619"/>
    <w:pPr>
      <w:keepNext/>
      <w:keepLines/>
      <w:numPr>
        <w:ilvl w:val="5"/>
        <w:numId w:val="1"/>
      </w:numPr>
      <w:spacing w:before="200"/>
      <w:outlineLvl w:val="5"/>
    </w:pPr>
    <w:rPr>
      <w:rFonts w:asciiTheme="majorHAnsi" w:hAnsiTheme="majorHAnsi"/>
      <w:i/>
      <w:iCs/>
      <w:color w:val="1F3763" w:themeColor="accent1" w:themeShade="7F"/>
    </w:rPr>
  </w:style>
  <w:style w:type="paragraph" w:styleId="Heading7">
    <w:name w:val="heading 7"/>
    <w:basedOn w:val="Normal"/>
    <w:next w:val="Normal"/>
    <w:link w:val="Heading7Char"/>
    <w:uiPriority w:val="9"/>
    <w:semiHidden/>
    <w:unhideWhenUsed/>
    <w:qFormat/>
    <w:rsid w:val="00704619"/>
    <w:pPr>
      <w:keepNext/>
      <w:keepLines/>
      <w:numPr>
        <w:ilvl w:val="6"/>
        <w:numId w:val="1"/>
      </w:numPr>
      <w:spacing w:before="200"/>
      <w:outlineLvl w:val="6"/>
    </w:pPr>
    <w:rPr>
      <w:rFonts w:asciiTheme="majorHAnsi" w:hAnsiTheme="majorHAnsi"/>
      <w:i/>
      <w:iCs/>
      <w:color w:val="404040" w:themeColor="text1" w:themeTint="BF"/>
    </w:rPr>
  </w:style>
  <w:style w:type="paragraph" w:styleId="Heading8">
    <w:name w:val="heading 8"/>
    <w:basedOn w:val="Normal"/>
    <w:next w:val="Normal"/>
    <w:link w:val="Heading8Char"/>
    <w:uiPriority w:val="9"/>
    <w:semiHidden/>
    <w:unhideWhenUsed/>
    <w:qFormat/>
    <w:rsid w:val="00704619"/>
    <w:pPr>
      <w:keepNext/>
      <w:keepLines/>
      <w:numPr>
        <w:ilvl w:val="7"/>
        <w:numId w:val="1"/>
      </w:numPr>
      <w:spacing w:before="200"/>
      <w:outlineLvl w:val="7"/>
    </w:pPr>
    <w:rPr>
      <w:rFonts w:asciiTheme="majorHAnsi"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704619"/>
    <w:pPr>
      <w:keepNext/>
      <w:keepLines/>
      <w:numPr>
        <w:ilvl w:val="8"/>
        <w:numId w:val="1"/>
      </w:numPr>
      <w:spacing w:before="200"/>
      <w:outlineLvl w:val="8"/>
    </w:pPr>
    <w:rPr>
      <w:rFonts w:asciiTheme="majorHAnsi"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C3D"/>
    <w:rPr>
      <w:rFonts w:ascii="Times New Roman" w:eastAsiaTheme="majorEastAsia" w:hAnsi="Times New Roman" w:cs="Times New Roman"/>
      <w:b/>
      <w:sz w:val="24"/>
      <w:szCs w:val="28"/>
    </w:rPr>
  </w:style>
  <w:style w:type="character" w:customStyle="1" w:styleId="Heading2Char">
    <w:name w:val="Heading 2 Char"/>
    <w:basedOn w:val="DefaultParagraphFont"/>
    <w:link w:val="Heading2"/>
    <w:uiPriority w:val="9"/>
    <w:rsid w:val="004D4C3D"/>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4D4C3D"/>
    <w:rPr>
      <w:rFonts w:ascii="Times New Roman" w:eastAsiaTheme="majorEastAsia" w:hAnsi="Times New Roman" w:cs="Times New Roman"/>
      <w:b/>
      <w:sz w:val="24"/>
      <w:szCs w:val="24"/>
    </w:rPr>
  </w:style>
  <w:style w:type="character" w:customStyle="1" w:styleId="Heading4Char">
    <w:name w:val="Heading 4 Char"/>
    <w:basedOn w:val="DefaultParagraphFont"/>
    <w:link w:val="Heading4"/>
    <w:uiPriority w:val="9"/>
    <w:semiHidden/>
    <w:rsid w:val="0070461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70461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70461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7046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046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04619"/>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rsid w:val="00704619"/>
    <w:pPr>
      <w:ind w:left="720"/>
    </w:pPr>
  </w:style>
  <w:style w:type="paragraph" w:styleId="Header">
    <w:name w:val="header"/>
    <w:basedOn w:val="Normal"/>
    <w:link w:val="HeaderChar"/>
    <w:uiPriority w:val="99"/>
    <w:unhideWhenUsed/>
    <w:rsid w:val="00704619"/>
    <w:pPr>
      <w:tabs>
        <w:tab w:val="center" w:pos="4680"/>
        <w:tab w:val="right" w:pos="9360"/>
      </w:tabs>
      <w:spacing w:line="240" w:lineRule="auto"/>
    </w:pPr>
  </w:style>
  <w:style w:type="character" w:customStyle="1" w:styleId="HeaderChar">
    <w:name w:val="Header Char"/>
    <w:basedOn w:val="DefaultParagraphFont"/>
    <w:link w:val="Header"/>
    <w:uiPriority w:val="99"/>
    <w:rsid w:val="00704619"/>
    <w:rPr>
      <w:rFonts w:ascii="Century Schoolbook" w:hAnsi="Century Schoolbook"/>
    </w:rPr>
  </w:style>
  <w:style w:type="paragraph" w:styleId="Footer">
    <w:name w:val="footer"/>
    <w:basedOn w:val="Normal"/>
    <w:link w:val="FooterChar"/>
    <w:uiPriority w:val="99"/>
    <w:unhideWhenUsed/>
    <w:rsid w:val="00704619"/>
    <w:pPr>
      <w:tabs>
        <w:tab w:val="center" w:pos="4680"/>
        <w:tab w:val="right" w:pos="9360"/>
      </w:tabs>
      <w:spacing w:line="240" w:lineRule="auto"/>
    </w:pPr>
  </w:style>
  <w:style w:type="character" w:customStyle="1" w:styleId="FooterChar">
    <w:name w:val="Footer Char"/>
    <w:basedOn w:val="DefaultParagraphFont"/>
    <w:link w:val="Footer"/>
    <w:uiPriority w:val="99"/>
    <w:rsid w:val="00704619"/>
    <w:rPr>
      <w:rFonts w:ascii="Century Schoolbook" w:hAnsi="Century Schoolbook"/>
    </w:rPr>
  </w:style>
  <w:style w:type="paragraph" w:styleId="FootnoteText">
    <w:name w:val="footnote text"/>
    <w:basedOn w:val="Normal"/>
    <w:link w:val="FootnoteTextChar"/>
    <w:uiPriority w:val="99"/>
    <w:unhideWhenUsed/>
    <w:rsid w:val="00704619"/>
    <w:pPr>
      <w:spacing w:line="240" w:lineRule="auto"/>
    </w:pPr>
    <w:rPr>
      <w:sz w:val="20"/>
      <w:szCs w:val="20"/>
    </w:rPr>
  </w:style>
  <w:style w:type="character" w:customStyle="1" w:styleId="FootnoteTextChar">
    <w:name w:val="Footnote Text Char"/>
    <w:basedOn w:val="DefaultParagraphFont"/>
    <w:link w:val="FootnoteText"/>
    <w:uiPriority w:val="99"/>
    <w:rsid w:val="00704619"/>
    <w:rPr>
      <w:rFonts w:ascii="Century Schoolbook" w:hAnsi="Century Schoolbook"/>
      <w:sz w:val="20"/>
      <w:szCs w:val="20"/>
    </w:rPr>
  </w:style>
  <w:style w:type="character" w:styleId="FootnoteReference">
    <w:name w:val="footnote reference"/>
    <w:basedOn w:val="DefaultParagraphFont"/>
    <w:uiPriority w:val="99"/>
    <w:semiHidden/>
    <w:unhideWhenUsed/>
    <w:rsid w:val="00704619"/>
    <w:rPr>
      <w:vertAlign w:val="superscript"/>
    </w:rPr>
  </w:style>
  <w:style w:type="character" w:styleId="Hyperlink">
    <w:name w:val="Hyperlink"/>
    <w:basedOn w:val="DefaultParagraphFont"/>
    <w:uiPriority w:val="99"/>
    <w:unhideWhenUsed/>
    <w:rsid w:val="0068364B"/>
    <w:rPr>
      <w:color w:val="0563C1" w:themeColor="hyperlink"/>
      <w:u w:val="single"/>
    </w:rPr>
  </w:style>
  <w:style w:type="character" w:styleId="UnresolvedMention">
    <w:name w:val="Unresolved Mention"/>
    <w:basedOn w:val="DefaultParagraphFont"/>
    <w:uiPriority w:val="99"/>
    <w:semiHidden/>
    <w:unhideWhenUsed/>
    <w:rsid w:val="0068364B"/>
    <w:rPr>
      <w:color w:val="808080"/>
      <w:shd w:val="clear" w:color="auto" w:fill="E6E6E6"/>
    </w:rPr>
  </w:style>
  <w:style w:type="character" w:styleId="CommentReference">
    <w:name w:val="annotation reference"/>
    <w:basedOn w:val="DefaultParagraphFont"/>
    <w:uiPriority w:val="99"/>
    <w:semiHidden/>
    <w:unhideWhenUsed/>
    <w:rsid w:val="00043B73"/>
    <w:rPr>
      <w:sz w:val="16"/>
      <w:szCs w:val="16"/>
    </w:rPr>
  </w:style>
  <w:style w:type="paragraph" w:styleId="CommentText">
    <w:name w:val="annotation text"/>
    <w:basedOn w:val="Normal"/>
    <w:link w:val="CommentTextChar"/>
    <w:uiPriority w:val="99"/>
    <w:unhideWhenUsed/>
    <w:rsid w:val="00043B73"/>
    <w:pPr>
      <w:spacing w:line="240" w:lineRule="auto"/>
    </w:pPr>
    <w:rPr>
      <w:sz w:val="20"/>
      <w:szCs w:val="20"/>
    </w:rPr>
  </w:style>
  <w:style w:type="character" w:customStyle="1" w:styleId="CommentTextChar">
    <w:name w:val="Comment Text Char"/>
    <w:basedOn w:val="DefaultParagraphFont"/>
    <w:link w:val="CommentText"/>
    <w:uiPriority w:val="99"/>
    <w:rsid w:val="00043B73"/>
    <w:rPr>
      <w:rFonts w:ascii="Century Schoolbook" w:hAnsi="Century Schoolbook"/>
      <w:sz w:val="20"/>
      <w:szCs w:val="20"/>
    </w:rPr>
  </w:style>
  <w:style w:type="paragraph" w:styleId="CommentSubject">
    <w:name w:val="annotation subject"/>
    <w:basedOn w:val="CommentText"/>
    <w:next w:val="CommentText"/>
    <w:link w:val="CommentSubjectChar"/>
    <w:uiPriority w:val="99"/>
    <w:semiHidden/>
    <w:unhideWhenUsed/>
    <w:rsid w:val="00043B73"/>
    <w:rPr>
      <w:b/>
      <w:bCs w:val="0"/>
    </w:rPr>
  </w:style>
  <w:style w:type="character" w:customStyle="1" w:styleId="CommentSubjectChar">
    <w:name w:val="Comment Subject Char"/>
    <w:basedOn w:val="CommentTextChar"/>
    <w:link w:val="CommentSubject"/>
    <w:uiPriority w:val="99"/>
    <w:semiHidden/>
    <w:rsid w:val="00043B73"/>
    <w:rPr>
      <w:rFonts w:ascii="Century Schoolbook" w:hAnsi="Century Schoolbook"/>
      <w:b/>
      <w:bCs/>
      <w:sz w:val="20"/>
      <w:szCs w:val="20"/>
    </w:rPr>
  </w:style>
  <w:style w:type="paragraph" w:styleId="BalloonText">
    <w:name w:val="Balloon Text"/>
    <w:basedOn w:val="Normal"/>
    <w:link w:val="BalloonTextChar"/>
    <w:uiPriority w:val="99"/>
    <w:semiHidden/>
    <w:unhideWhenUsed/>
    <w:rsid w:val="00043B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B73"/>
    <w:rPr>
      <w:rFonts w:ascii="Segoe UI" w:hAnsi="Segoe UI" w:cs="Segoe UI"/>
      <w:sz w:val="18"/>
      <w:szCs w:val="18"/>
    </w:rPr>
  </w:style>
  <w:style w:type="paragraph" w:styleId="NormalWeb">
    <w:name w:val="Normal (Web)"/>
    <w:basedOn w:val="Normal"/>
    <w:uiPriority w:val="99"/>
    <w:semiHidden/>
    <w:unhideWhenUsed/>
    <w:rsid w:val="007C32CA"/>
    <w:pPr>
      <w:spacing w:before="100" w:beforeAutospacing="1" w:after="100" w:afterAutospacing="1" w:line="240" w:lineRule="auto"/>
      <w:contextualSpacing w:val="0"/>
    </w:pPr>
    <w:rPr>
      <w:rFonts w:ascii="Times New Roman" w:eastAsia="Times New Roman" w:hAnsi="Times New Roman" w:cs="Times New Roman"/>
    </w:rPr>
  </w:style>
  <w:style w:type="character" w:styleId="Strong">
    <w:name w:val="Strong"/>
    <w:basedOn w:val="DefaultParagraphFont"/>
    <w:uiPriority w:val="22"/>
    <w:qFormat/>
    <w:rsid w:val="007C32CA"/>
    <w:rPr>
      <w:b/>
      <w:bCs/>
    </w:rPr>
  </w:style>
  <w:style w:type="paragraph" w:styleId="NoSpacing">
    <w:name w:val="No Spacing"/>
    <w:uiPriority w:val="1"/>
    <w:qFormat/>
    <w:rsid w:val="00237040"/>
    <w:pPr>
      <w:keepNext/>
      <w:keepLines/>
      <w:spacing w:after="0" w:line="240" w:lineRule="auto"/>
      <w:contextualSpacing/>
      <w:jc w:val="both"/>
      <w:outlineLvl w:val="0"/>
    </w:pPr>
    <w:rPr>
      <w:rFonts w:ascii="Century Schoolbook" w:eastAsiaTheme="majorEastAsia" w:hAnsi="Century Schoolbook" w:cstheme="majorBidi"/>
      <w:bCs/>
      <w:sz w:val="24"/>
      <w:szCs w:val="24"/>
    </w:rPr>
  </w:style>
  <w:style w:type="paragraph" w:styleId="EndnoteText">
    <w:name w:val="endnote text"/>
    <w:basedOn w:val="Normal"/>
    <w:link w:val="EndnoteTextChar"/>
    <w:uiPriority w:val="99"/>
    <w:semiHidden/>
    <w:unhideWhenUsed/>
    <w:rsid w:val="00C93DE1"/>
    <w:pPr>
      <w:spacing w:line="240" w:lineRule="auto"/>
    </w:pPr>
    <w:rPr>
      <w:sz w:val="20"/>
      <w:szCs w:val="20"/>
    </w:rPr>
  </w:style>
  <w:style w:type="character" w:customStyle="1" w:styleId="EndnoteTextChar">
    <w:name w:val="Endnote Text Char"/>
    <w:basedOn w:val="DefaultParagraphFont"/>
    <w:link w:val="EndnoteText"/>
    <w:uiPriority w:val="99"/>
    <w:semiHidden/>
    <w:rsid w:val="00C93DE1"/>
    <w:rPr>
      <w:rFonts w:ascii="Century Schoolbook" w:eastAsiaTheme="majorEastAsia" w:hAnsi="Century Schoolbook" w:cstheme="majorBidi"/>
      <w:bCs/>
      <w:sz w:val="20"/>
      <w:szCs w:val="20"/>
    </w:rPr>
  </w:style>
  <w:style w:type="character" w:styleId="EndnoteReference">
    <w:name w:val="endnote reference"/>
    <w:basedOn w:val="DefaultParagraphFont"/>
    <w:uiPriority w:val="99"/>
    <w:semiHidden/>
    <w:unhideWhenUsed/>
    <w:rsid w:val="00C93DE1"/>
    <w:rPr>
      <w:vertAlign w:val="superscript"/>
    </w:rPr>
  </w:style>
  <w:style w:type="table" w:customStyle="1" w:styleId="TableGrid">
    <w:name w:val="TableGrid"/>
    <w:rsid w:val="0033721C"/>
    <w:pPr>
      <w:spacing w:after="0" w:line="240" w:lineRule="auto"/>
    </w:pPr>
    <w:rPr>
      <w:rFonts w:eastAsiaTheme="minorEastAsia"/>
    </w:rPr>
    <w:tblPr>
      <w:tblCellMar>
        <w:top w:w="0" w:type="dxa"/>
        <w:left w:w="0" w:type="dxa"/>
        <w:bottom w:w="0" w:type="dxa"/>
        <w:right w:w="0" w:type="dxa"/>
      </w:tblCellMar>
    </w:tblPr>
  </w:style>
  <w:style w:type="paragraph" w:styleId="ListBullet">
    <w:name w:val="List Bullet"/>
    <w:basedOn w:val="Normal"/>
    <w:uiPriority w:val="99"/>
    <w:unhideWhenUsed/>
    <w:rsid w:val="0009183C"/>
    <w:pPr>
      <w:numPr>
        <w:numId w:val="5"/>
      </w:numPr>
    </w:pPr>
  </w:style>
  <w:style w:type="paragraph" w:styleId="TOCHeading">
    <w:name w:val="TOC Heading"/>
    <w:basedOn w:val="Heading1"/>
    <w:next w:val="Normal"/>
    <w:uiPriority w:val="39"/>
    <w:unhideWhenUsed/>
    <w:qFormat/>
    <w:rsid w:val="00C44F61"/>
    <w:pPr>
      <w:numPr>
        <w:numId w:val="0"/>
      </w:numPr>
      <w:spacing w:before="240" w:line="259" w:lineRule="auto"/>
      <w:outlineLvl w:val="9"/>
    </w:pPr>
    <w:rPr>
      <w:rFonts w:asciiTheme="majorHAnsi" w:hAnsiTheme="majorHAnsi"/>
      <w:b w:val="0"/>
      <w:color w:val="2F5496" w:themeColor="accent1" w:themeShade="BF"/>
      <w:sz w:val="32"/>
      <w:szCs w:val="32"/>
    </w:rPr>
  </w:style>
  <w:style w:type="paragraph" w:styleId="TOC1">
    <w:name w:val="toc 1"/>
    <w:basedOn w:val="Normal"/>
    <w:next w:val="Normal"/>
    <w:autoRedefine/>
    <w:uiPriority w:val="39"/>
    <w:unhideWhenUsed/>
    <w:rsid w:val="006B20E7"/>
    <w:pPr>
      <w:tabs>
        <w:tab w:val="left" w:pos="480"/>
        <w:tab w:val="right" w:leader="dot" w:pos="9350"/>
      </w:tabs>
      <w:spacing w:line="240" w:lineRule="auto"/>
      <w:contextualSpacing w:val="0"/>
      <w:jc w:val="center"/>
    </w:pPr>
    <w:rPr>
      <w:rFonts w:ascii="Times New Roman" w:hAnsi="Times New Roman" w:cs="Times New Roman"/>
      <w:b/>
      <w:caps/>
      <w:szCs w:val="20"/>
    </w:rPr>
  </w:style>
  <w:style w:type="paragraph" w:styleId="TOC2">
    <w:name w:val="toc 2"/>
    <w:basedOn w:val="Normal"/>
    <w:next w:val="Normal"/>
    <w:autoRedefine/>
    <w:uiPriority w:val="39"/>
    <w:unhideWhenUsed/>
    <w:rsid w:val="00C44F61"/>
    <w:pPr>
      <w:ind w:left="240"/>
      <w:jc w:val="left"/>
    </w:pPr>
    <w:rPr>
      <w:rFonts w:asciiTheme="minorHAnsi" w:hAnsiTheme="minorHAnsi" w:cstheme="minorHAnsi"/>
      <w:bCs w:val="0"/>
      <w:smallCaps/>
      <w:sz w:val="20"/>
      <w:szCs w:val="20"/>
    </w:rPr>
  </w:style>
  <w:style w:type="paragraph" w:styleId="TOC3">
    <w:name w:val="toc 3"/>
    <w:basedOn w:val="Normal"/>
    <w:next w:val="Normal"/>
    <w:autoRedefine/>
    <w:uiPriority w:val="39"/>
    <w:unhideWhenUsed/>
    <w:rsid w:val="00C44F61"/>
    <w:pPr>
      <w:ind w:left="480"/>
      <w:jc w:val="left"/>
    </w:pPr>
    <w:rPr>
      <w:rFonts w:asciiTheme="minorHAnsi" w:hAnsiTheme="minorHAnsi" w:cstheme="minorHAnsi"/>
      <w:bCs w:val="0"/>
      <w:i/>
      <w:iCs/>
      <w:sz w:val="20"/>
      <w:szCs w:val="20"/>
    </w:rPr>
  </w:style>
  <w:style w:type="paragraph" w:styleId="TOC4">
    <w:name w:val="toc 4"/>
    <w:basedOn w:val="Normal"/>
    <w:next w:val="Normal"/>
    <w:autoRedefine/>
    <w:uiPriority w:val="39"/>
    <w:unhideWhenUsed/>
    <w:rsid w:val="00C44F61"/>
    <w:pPr>
      <w:ind w:left="720"/>
      <w:jc w:val="left"/>
    </w:pPr>
    <w:rPr>
      <w:rFonts w:asciiTheme="minorHAnsi" w:hAnsiTheme="minorHAnsi" w:cstheme="minorHAnsi"/>
      <w:bCs w:val="0"/>
      <w:sz w:val="18"/>
      <w:szCs w:val="18"/>
    </w:rPr>
  </w:style>
  <w:style w:type="paragraph" w:styleId="TOC5">
    <w:name w:val="toc 5"/>
    <w:basedOn w:val="Normal"/>
    <w:next w:val="Normal"/>
    <w:autoRedefine/>
    <w:uiPriority w:val="39"/>
    <w:unhideWhenUsed/>
    <w:rsid w:val="00C44F61"/>
    <w:pPr>
      <w:ind w:left="960"/>
      <w:jc w:val="left"/>
    </w:pPr>
    <w:rPr>
      <w:rFonts w:asciiTheme="minorHAnsi" w:hAnsiTheme="minorHAnsi" w:cstheme="minorHAnsi"/>
      <w:bCs w:val="0"/>
      <w:sz w:val="18"/>
      <w:szCs w:val="18"/>
    </w:rPr>
  </w:style>
  <w:style w:type="paragraph" w:styleId="TOC6">
    <w:name w:val="toc 6"/>
    <w:basedOn w:val="Normal"/>
    <w:next w:val="Normal"/>
    <w:autoRedefine/>
    <w:uiPriority w:val="39"/>
    <w:unhideWhenUsed/>
    <w:rsid w:val="00C44F61"/>
    <w:pPr>
      <w:ind w:left="1200"/>
      <w:jc w:val="left"/>
    </w:pPr>
    <w:rPr>
      <w:rFonts w:asciiTheme="minorHAnsi" w:hAnsiTheme="minorHAnsi" w:cstheme="minorHAnsi"/>
      <w:bCs w:val="0"/>
      <w:sz w:val="18"/>
      <w:szCs w:val="18"/>
    </w:rPr>
  </w:style>
  <w:style w:type="paragraph" w:styleId="TOC7">
    <w:name w:val="toc 7"/>
    <w:basedOn w:val="Normal"/>
    <w:next w:val="Normal"/>
    <w:autoRedefine/>
    <w:uiPriority w:val="39"/>
    <w:unhideWhenUsed/>
    <w:rsid w:val="00C44F61"/>
    <w:pPr>
      <w:ind w:left="1440"/>
      <w:jc w:val="left"/>
    </w:pPr>
    <w:rPr>
      <w:rFonts w:asciiTheme="minorHAnsi" w:hAnsiTheme="minorHAnsi" w:cstheme="minorHAnsi"/>
      <w:bCs w:val="0"/>
      <w:sz w:val="18"/>
      <w:szCs w:val="18"/>
    </w:rPr>
  </w:style>
  <w:style w:type="paragraph" w:styleId="TOC8">
    <w:name w:val="toc 8"/>
    <w:basedOn w:val="Normal"/>
    <w:next w:val="Normal"/>
    <w:autoRedefine/>
    <w:uiPriority w:val="39"/>
    <w:unhideWhenUsed/>
    <w:rsid w:val="00C44F61"/>
    <w:pPr>
      <w:ind w:left="1680"/>
      <w:jc w:val="left"/>
    </w:pPr>
    <w:rPr>
      <w:rFonts w:asciiTheme="minorHAnsi" w:hAnsiTheme="minorHAnsi" w:cstheme="minorHAnsi"/>
      <w:bCs w:val="0"/>
      <w:sz w:val="18"/>
      <w:szCs w:val="18"/>
    </w:rPr>
  </w:style>
  <w:style w:type="paragraph" w:styleId="TOC9">
    <w:name w:val="toc 9"/>
    <w:basedOn w:val="Normal"/>
    <w:next w:val="Normal"/>
    <w:autoRedefine/>
    <w:uiPriority w:val="39"/>
    <w:unhideWhenUsed/>
    <w:rsid w:val="00C44F61"/>
    <w:pPr>
      <w:ind w:left="1920"/>
      <w:jc w:val="left"/>
    </w:pPr>
    <w:rPr>
      <w:rFonts w:asciiTheme="minorHAnsi" w:hAnsiTheme="minorHAnsi" w:cstheme="minorHAnsi"/>
      <w:b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53EAC-840B-424B-99FF-7EE241B1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5925</Words>
  <Characters>33773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Simpson</dc:creator>
  <cp:keywords/>
  <dc:description/>
  <cp:lastModifiedBy>Gray Edmondson</cp:lastModifiedBy>
  <cp:revision>3</cp:revision>
  <cp:lastPrinted>2018-11-12T15:40:00Z</cp:lastPrinted>
  <dcterms:created xsi:type="dcterms:W3CDTF">2024-01-25T15:23:00Z</dcterms:created>
  <dcterms:modified xsi:type="dcterms:W3CDTF">2024-01-25T15:25:00Z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4875-5004-8543</vt:lpwstr>
  </property>
</Properties>
</file>