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40D7" w14:textId="00A29AFB" w:rsidR="00AE1DA4" w:rsidRPr="00AE1DA4" w:rsidRDefault="00AE1DA4" w:rsidP="00AE1DA4">
      <w:pPr>
        <w:jc w:val="center"/>
        <w:rPr>
          <w:b/>
          <w:bCs/>
          <w:sz w:val="28"/>
          <w:szCs w:val="28"/>
        </w:rPr>
      </w:pPr>
      <w:r w:rsidRPr="00AE1DA4">
        <w:rPr>
          <w:b/>
          <w:bCs/>
          <w:sz w:val="28"/>
          <w:szCs w:val="28"/>
        </w:rPr>
        <w:t>Southern Arizona Estate Planning Council</w:t>
      </w:r>
    </w:p>
    <w:p w14:paraId="6619A382" w14:textId="77777777" w:rsidR="00AE1DA4" w:rsidRDefault="00AE1DA4" w:rsidP="00AE1DA4">
      <w:pPr>
        <w:jc w:val="center"/>
        <w:rPr>
          <w:b/>
          <w:bCs/>
          <w:sz w:val="28"/>
          <w:szCs w:val="28"/>
        </w:rPr>
      </w:pPr>
      <w:r w:rsidRPr="00AE1DA4">
        <w:rPr>
          <w:b/>
          <w:bCs/>
          <w:sz w:val="28"/>
          <w:szCs w:val="28"/>
        </w:rPr>
        <w:t>February 18, 2026</w:t>
      </w:r>
    </w:p>
    <w:p w14:paraId="12C2E6D4" w14:textId="5C167F2C" w:rsidR="00F94921" w:rsidRPr="00F94921" w:rsidRDefault="00F94921" w:rsidP="00AE1DA4">
      <w:pPr>
        <w:jc w:val="center"/>
        <w:rPr>
          <w:b/>
          <w:bCs/>
        </w:rPr>
      </w:pPr>
      <w:r w:rsidRPr="00F94921">
        <w:rPr>
          <w:b/>
          <w:bCs/>
        </w:rPr>
        <w:t>Kathleen W. Bilderback, JD, LL.M., AEP</w:t>
      </w:r>
    </w:p>
    <w:p w14:paraId="530829CC" w14:textId="5A1E0644" w:rsidR="00E25EE9" w:rsidRDefault="00F94921" w:rsidP="00F94921">
      <w:pPr>
        <w:jc w:val="center"/>
        <w:rPr>
          <w:b/>
          <w:bCs/>
        </w:rPr>
      </w:pPr>
      <w:r w:rsidRPr="00F94921">
        <w:rPr>
          <w:b/>
          <w:bCs/>
        </w:rPr>
        <w:t>Sandberg Phoenix, and von Gontard, P.C.</w:t>
      </w:r>
    </w:p>
    <w:p w14:paraId="197404CB" w14:textId="7C82608C" w:rsidR="00F94921" w:rsidRDefault="00F94921" w:rsidP="00F94921">
      <w:pPr>
        <w:jc w:val="center"/>
        <w:rPr>
          <w:b/>
          <w:bCs/>
        </w:rPr>
      </w:pPr>
      <w:hyperlink r:id="rId7" w:history="1">
        <w:r w:rsidRPr="00FF311D">
          <w:rPr>
            <w:rStyle w:val="Hyperlink"/>
            <w:b/>
            <w:bCs/>
          </w:rPr>
          <w:t>kbilderback@sandbergphoenix.com</w:t>
        </w:r>
      </w:hyperlink>
    </w:p>
    <w:p w14:paraId="3AE527AF" w14:textId="77777777" w:rsidR="00E25EE9" w:rsidRDefault="00E25EE9" w:rsidP="00626856">
      <w:pPr>
        <w:jc w:val="center"/>
        <w:rPr>
          <w:b/>
          <w:bCs/>
          <w:u w:val="single"/>
        </w:rPr>
      </w:pPr>
    </w:p>
    <w:p w14:paraId="3BD17225" w14:textId="7B38536B" w:rsidR="00626856" w:rsidRPr="000A72A3" w:rsidRDefault="00626856" w:rsidP="00626856">
      <w:pPr>
        <w:jc w:val="center"/>
        <w:rPr>
          <w:b/>
          <w:bCs/>
          <w:sz w:val="32"/>
          <w:szCs w:val="32"/>
          <w:u w:val="single"/>
        </w:rPr>
      </w:pPr>
      <w:r w:rsidRPr="00626856">
        <w:rPr>
          <w:b/>
          <w:bCs/>
          <w:sz w:val="32"/>
          <w:szCs w:val="32"/>
          <w:u w:val="single"/>
        </w:rPr>
        <w:t xml:space="preserve">Tax Code </w:t>
      </w:r>
      <w:r w:rsidR="00E25EE9" w:rsidRPr="000A72A3">
        <w:rPr>
          <w:b/>
          <w:bCs/>
          <w:sz w:val="32"/>
          <w:szCs w:val="32"/>
          <w:u w:val="single"/>
        </w:rPr>
        <w:t xml:space="preserve">and ERISA </w:t>
      </w:r>
      <w:r w:rsidRPr="00626856">
        <w:rPr>
          <w:b/>
          <w:bCs/>
          <w:sz w:val="32"/>
          <w:szCs w:val="32"/>
          <w:u w:val="single"/>
        </w:rPr>
        <w:t>Cheat Sheet</w:t>
      </w:r>
    </w:p>
    <w:p w14:paraId="04CEBC5A" w14:textId="77777777" w:rsidR="00626856" w:rsidRDefault="00626856" w:rsidP="00626856">
      <w:pPr>
        <w:jc w:val="center"/>
        <w:rPr>
          <w:b/>
          <w:bCs/>
        </w:rPr>
      </w:pPr>
    </w:p>
    <w:p w14:paraId="7A533383" w14:textId="77777777" w:rsidR="004C7F53" w:rsidRDefault="00E25EE9" w:rsidP="00626856">
      <w:pPr>
        <w:jc w:val="both"/>
      </w:pPr>
      <w:r>
        <w:t>Because the phrase “executive benefits” can have many different meanings, d</w:t>
      </w:r>
      <w:r w:rsidR="00626856">
        <w:t>ifferent provisions of the Internal Revenue Code of 1986, as amended (the “Code”) and the Treasury Regulations promulgated thereunder, will apply</w:t>
      </w:r>
      <w:r>
        <w:t xml:space="preserve">, depending upon the </w:t>
      </w:r>
      <w:r w:rsidR="00626856">
        <w:t xml:space="preserve">plan design. This “cheat sheet” </w:t>
      </w:r>
      <w:r w:rsidRPr="00E25EE9">
        <w:rPr>
          <w:u w:val="single"/>
        </w:rPr>
        <w:t>summarizes</w:t>
      </w:r>
      <w:r>
        <w:t xml:space="preserve"> </w:t>
      </w:r>
      <w:r w:rsidR="00626856">
        <w:t>the Code provisions applicable to different types of executive benefit plans</w:t>
      </w:r>
      <w:r>
        <w:t xml:space="preserve"> and provide</w:t>
      </w:r>
      <w:r w:rsidR="004C7F53">
        <w:t>s</w:t>
      </w:r>
      <w:r>
        <w:t xml:space="preserve"> a </w:t>
      </w:r>
      <w:r w:rsidRPr="004C7F53">
        <w:rPr>
          <w:u w:val="single"/>
        </w:rPr>
        <w:t>general overview</w:t>
      </w:r>
      <w:r>
        <w:t xml:space="preserve"> of how the </w:t>
      </w:r>
      <w:r w:rsidRPr="00E50F68">
        <w:t>Employee Retirement Income Security Act of 1974</w:t>
      </w:r>
      <w:r>
        <w:t xml:space="preserve"> (“ERISA”) may, or may not, also apply</w:t>
      </w:r>
      <w:r w:rsidR="00626856">
        <w:t>.</w:t>
      </w:r>
      <w:r w:rsidR="003E2399">
        <w:t xml:space="preserve"> </w:t>
      </w:r>
    </w:p>
    <w:p w14:paraId="510B7AE8" w14:textId="77777777" w:rsidR="004C7F53" w:rsidRDefault="004C7F53" w:rsidP="00626856">
      <w:pPr>
        <w:jc w:val="both"/>
      </w:pPr>
    </w:p>
    <w:p w14:paraId="0435DA3E" w14:textId="6793C3CA" w:rsidR="00626856" w:rsidRPr="00626856" w:rsidRDefault="003E2399" w:rsidP="00626856">
      <w:pPr>
        <w:jc w:val="both"/>
      </w:pPr>
      <w:r>
        <w:t xml:space="preserve">Advisors should always review the relevant Code </w:t>
      </w:r>
      <w:r w:rsidR="00E25EE9">
        <w:t xml:space="preserve">and ERISA </w:t>
      </w:r>
      <w:r>
        <w:t xml:space="preserve">sections and </w:t>
      </w:r>
      <w:r w:rsidR="004C7F53">
        <w:t xml:space="preserve">relevant </w:t>
      </w:r>
      <w:r>
        <w:t xml:space="preserve">Regulations </w:t>
      </w:r>
      <w:r w:rsidR="00E25EE9">
        <w:t xml:space="preserve">when providing anything more than “general consulting advice” to their clients.  </w:t>
      </w:r>
    </w:p>
    <w:p w14:paraId="19E22A8A" w14:textId="77777777" w:rsidR="00626856" w:rsidRDefault="00626856" w:rsidP="00626856">
      <w:pPr>
        <w:jc w:val="both"/>
        <w:rPr>
          <w:b/>
          <w:bCs/>
        </w:rPr>
      </w:pPr>
    </w:p>
    <w:p w14:paraId="6D14CFCD" w14:textId="77777777" w:rsidR="00626856" w:rsidRPr="00626856" w:rsidRDefault="00626856" w:rsidP="0065680C">
      <w:pPr>
        <w:jc w:val="both"/>
        <w:rPr>
          <w:b/>
          <w:bCs/>
        </w:rPr>
      </w:pPr>
      <w:r w:rsidRPr="00626856">
        <w:rPr>
          <w:b/>
          <w:bCs/>
        </w:rPr>
        <w:t>§83 – Transfers of Property in Connection with the Performance of Services</w:t>
      </w:r>
    </w:p>
    <w:p w14:paraId="5274EDEC" w14:textId="38AB7DBB" w:rsidR="00626856" w:rsidRPr="00626856" w:rsidRDefault="00626856" w:rsidP="0065680C">
      <w:pPr>
        <w:numPr>
          <w:ilvl w:val="0"/>
          <w:numId w:val="3"/>
        </w:numPr>
        <w:jc w:val="both"/>
      </w:pPr>
      <w:r w:rsidRPr="00626856">
        <w:t>Taxable when no longer subject to a substantial risk of forfeiture</w:t>
      </w:r>
      <w:r w:rsidR="00F94921">
        <w:t xml:space="preserve">. </w:t>
      </w:r>
    </w:p>
    <w:p w14:paraId="6BC57FE5" w14:textId="77777777" w:rsidR="00F94921" w:rsidRDefault="00626856" w:rsidP="0065680C">
      <w:pPr>
        <w:numPr>
          <w:ilvl w:val="1"/>
          <w:numId w:val="3"/>
        </w:numPr>
        <w:jc w:val="both"/>
      </w:pPr>
      <w:r w:rsidRPr="00626856">
        <w:t>Subject to a substantial risk of forfeiture if conditioned on the performance of future services or occurrence of future condition and the chance of forfeiture is substantial</w:t>
      </w:r>
      <w:r w:rsidR="00F94921">
        <w:t xml:space="preserve"> </w:t>
      </w:r>
    </w:p>
    <w:p w14:paraId="6AD859B6" w14:textId="38AB964E" w:rsidR="00626856" w:rsidRPr="00626856" w:rsidRDefault="00F94921" w:rsidP="0065680C">
      <w:pPr>
        <w:numPr>
          <w:ilvl w:val="1"/>
          <w:numId w:val="3"/>
        </w:numPr>
        <w:jc w:val="both"/>
      </w:pPr>
      <w:r>
        <w:t xml:space="preserve">For example, if payment of benefits is subject to a </w:t>
      </w:r>
      <w:r w:rsidR="00626856" w:rsidRPr="00626856">
        <w:t>vesting</w:t>
      </w:r>
      <w:r>
        <w:t xml:space="preserve"> schedule, there is a substantial risk of forfeiture until the property vests.</w:t>
      </w:r>
    </w:p>
    <w:p w14:paraId="08F6994D" w14:textId="77777777" w:rsidR="00626856" w:rsidRDefault="00626856" w:rsidP="0065680C">
      <w:pPr>
        <w:numPr>
          <w:ilvl w:val="0"/>
          <w:numId w:val="3"/>
        </w:numPr>
        <w:jc w:val="both"/>
      </w:pPr>
      <w:r w:rsidRPr="00626856">
        <w:t xml:space="preserve">§83(b) election – Election to be taxed at the time of </w:t>
      </w:r>
      <w:r w:rsidRPr="00626856">
        <w:rPr>
          <w:i/>
          <w:iCs/>
          <w:u w:val="single"/>
        </w:rPr>
        <w:t>grant</w:t>
      </w:r>
      <w:r w:rsidRPr="00626856">
        <w:t xml:space="preserve"> rather than at the time of vesting  </w:t>
      </w:r>
    </w:p>
    <w:p w14:paraId="23E60000" w14:textId="59AD0E2C" w:rsidR="0065680C" w:rsidRDefault="00626856" w:rsidP="0065680C">
      <w:pPr>
        <w:numPr>
          <w:ilvl w:val="0"/>
          <w:numId w:val="3"/>
        </w:numPr>
        <w:jc w:val="both"/>
      </w:pPr>
      <w:r w:rsidRPr="0065680C">
        <w:rPr>
          <w:u w:val="single"/>
        </w:rPr>
        <w:t>Example</w:t>
      </w:r>
      <w:r>
        <w:t xml:space="preserve">: Caroline receives 90 shares of restricted stock from her employer.  The shares vest ratably over a 3 year period, </w:t>
      </w:r>
      <w:proofErr w:type="gramStart"/>
      <w:r>
        <w:t>provided that</w:t>
      </w:r>
      <w:proofErr w:type="gramEnd"/>
      <w:r>
        <w:t xml:space="preserve"> she remains continuously employed by the Company.  At the time of the grant, shares in the Company are worth $5 each. Therefore, on the date of grant, the 90 shares are worth $450. However, the shares are subject to a “substantial risk of forfeiture” (the vesting schedule), so Caroline is not taxed with the restricted stock is received. The Company is experiencing explosive growth. On the first anniversary of the grant, 30 shares of Caroline’s restricted stock vest. They are worth $10 per share at the time that they vest.  Therefore, Caroline </w:t>
      </w:r>
      <w:r w:rsidR="0065680C">
        <w:t>will be taxed (as compensation – ordinary income) on $300 (30 x $10 per share).  On the second anniversary of the grant, Caroline vests in an additional 30 shares of stock which are worth $15 per share on the vesting date. Caroline will be taxed on $ 450 (30 x 15). On the 3</w:t>
      </w:r>
      <w:r w:rsidR="0065680C" w:rsidRPr="0065680C">
        <w:rPr>
          <w:vertAlign w:val="superscript"/>
        </w:rPr>
        <w:t>rd</w:t>
      </w:r>
      <w:r w:rsidR="0065680C">
        <w:t xml:space="preserve"> anniversary of the grant, Caroline’s remaining 30 shares vest. On the vesting date, the shares are worth $20 per share.  </w:t>
      </w:r>
      <w:r w:rsidR="004C7F53">
        <w:t>Therefore,</w:t>
      </w:r>
      <w:r w:rsidR="0065680C">
        <w:t xml:space="preserve"> she receives taxable compensation of $600 (30 x $20).  </w:t>
      </w:r>
    </w:p>
    <w:p w14:paraId="13747297" w14:textId="219A40EF" w:rsidR="00626856" w:rsidRPr="0065680C" w:rsidRDefault="0065680C" w:rsidP="0065680C">
      <w:pPr>
        <w:numPr>
          <w:ilvl w:val="0"/>
          <w:numId w:val="3"/>
        </w:numPr>
        <w:jc w:val="both"/>
      </w:pPr>
      <w:r w:rsidRPr="0065680C">
        <w:t>Let’s assume that instead, Caroline decides to make a</w:t>
      </w:r>
      <w:r>
        <w:t xml:space="preserve"> </w:t>
      </w:r>
      <w:r w:rsidR="00626856" w:rsidRPr="00626856">
        <w:t>§83(b) election</w:t>
      </w:r>
      <w:r>
        <w:t xml:space="preserve"> at the time of the grant.  In this case, Caroline will pay tax on the value of the shares in the year of the grant ($450) and will not be taxed again when the shares vest, even though the shares have increased in value on the vesting date.  </w:t>
      </w:r>
      <w:r w:rsidRPr="0065680C">
        <w:t xml:space="preserve"> </w:t>
      </w:r>
      <w:r w:rsidR="00626856" w:rsidRPr="0065680C">
        <w:t xml:space="preserve">       </w:t>
      </w:r>
    </w:p>
    <w:p w14:paraId="28A52119" w14:textId="77777777" w:rsidR="00626856" w:rsidRPr="00626856" w:rsidRDefault="00626856" w:rsidP="00626856">
      <w:pPr>
        <w:ind w:left="360"/>
      </w:pPr>
    </w:p>
    <w:p w14:paraId="518746C5" w14:textId="77777777" w:rsidR="000A72A3" w:rsidRDefault="000A72A3">
      <w:pPr>
        <w:rPr>
          <w:b/>
          <w:bCs/>
        </w:rPr>
      </w:pPr>
      <w:r>
        <w:rPr>
          <w:b/>
          <w:bCs/>
        </w:rPr>
        <w:br w:type="page"/>
      </w:r>
    </w:p>
    <w:p w14:paraId="7C94994F" w14:textId="34699509" w:rsidR="00CF3FEF" w:rsidRPr="003E2399" w:rsidRDefault="00626856" w:rsidP="00626856">
      <w:pPr>
        <w:rPr>
          <w:b/>
          <w:bCs/>
        </w:rPr>
      </w:pPr>
      <w:r w:rsidRPr="00626856">
        <w:rPr>
          <w:b/>
          <w:bCs/>
        </w:rPr>
        <w:lastRenderedPageBreak/>
        <w:t xml:space="preserve">§162 – Trade or business expenses </w:t>
      </w:r>
    </w:p>
    <w:p w14:paraId="7763CDF3" w14:textId="4E35DEB3" w:rsidR="00626856" w:rsidRDefault="00CF3FEF" w:rsidP="00CF3FEF">
      <w:pPr>
        <w:pStyle w:val="ListParagraph"/>
        <w:numPr>
          <w:ilvl w:val="0"/>
          <w:numId w:val="4"/>
        </w:numPr>
      </w:pPr>
      <w:r>
        <w:t>G</w:t>
      </w:r>
      <w:r w:rsidR="00626856" w:rsidRPr="00626856">
        <w:t>enerally, company receives a deduction when employee is taxed on compensation received</w:t>
      </w:r>
      <w:r w:rsidR="00626856">
        <w:t xml:space="preserve">. If an employee receives “compensation” for their services, the employer typically receives a deduction in the same year that the employee must include the compensation in his/her/their income.  </w:t>
      </w:r>
    </w:p>
    <w:p w14:paraId="359ACDE4" w14:textId="0E34103C" w:rsidR="00626856" w:rsidRDefault="0065680C" w:rsidP="00626856">
      <w:r w:rsidRPr="0065680C">
        <w:rPr>
          <w:u w:val="single"/>
        </w:rPr>
        <w:t>Example</w:t>
      </w:r>
      <w:r>
        <w:t xml:space="preserve">: In the example above, Caroline decides to pay tax on the shares as they vest, rather than filing a </w:t>
      </w:r>
      <w:r w:rsidR="00626856" w:rsidRPr="00626856">
        <w:t>§83(b) election</w:t>
      </w:r>
      <w:r>
        <w:t xml:space="preserve">. The Company receives a deduction each year equal to the amount that Caroline includes in her income as compensation.   </w:t>
      </w:r>
    </w:p>
    <w:p w14:paraId="7FD44A8C" w14:textId="77777777" w:rsidR="00626856" w:rsidRDefault="00626856" w:rsidP="00626856">
      <w:pPr>
        <w:numPr>
          <w:ilvl w:val="0"/>
          <w:numId w:val="3"/>
        </w:numPr>
      </w:pPr>
      <w:r w:rsidRPr="00626856">
        <w:t xml:space="preserve">162(m) – Limits annual deduction for compensation paid to covered employees of publicly traded corporations. </w:t>
      </w:r>
    </w:p>
    <w:p w14:paraId="4AE0DF35" w14:textId="0AD223E5" w:rsidR="00626856" w:rsidRPr="00626856" w:rsidRDefault="00626856" w:rsidP="00626856">
      <w:pPr>
        <w:numPr>
          <w:ilvl w:val="0"/>
          <w:numId w:val="3"/>
        </w:numPr>
      </w:pPr>
      <w:r w:rsidRPr="00626856">
        <w:t xml:space="preserve">HR 1 changes </w:t>
      </w:r>
      <w:proofErr w:type="gramStart"/>
      <w:r w:rsidRPr="00626856">
        <w:t>effective</w:t>
      </w:r>
      <w:proofErr w:type="gramEnd"/>
      <w:r w:rsidRPr="00626856">
        <w:t xml:space="preserve"> </w:t>
      </w:r>
      <w:r w:rsidR="004C7F53">
        <w:t xml:space="preserve">in </w:t>
      </w:r>
      <w:r w:rsidRPr="00626856">
        <w:t>2026</w:t>
      </w:r>
      <w:r w:rsidR="00030A44">
        <w:t xml:space="preserve">. </w:t>
      </w:r>
    </w:p>
    <w:p w14:paraId="1517CADE" w14:textId="77777777" w:rsidR="00030A44" w:rsidRDefault="00030A44" w:rsidP="00030A44"/>
    <w:p w14:paraId="3A76236C" w14:textId="09296BC3" w:rsidR="00626856" w:rsidRPr="00626856" w:rsidRDefault="00626856" w:rsidP="00030A44">
      <w:pPr>
        <w:rPr>
          <w:b/>
          <w:bCs/>
        </w:rPr>
      </w:pPr>
      <w:r w:rsidRPr="00626856">
        <w:rPr>
          <w:b/>
          <w:bCs/>
        </w:rPr>
        <w:t>§409A – Nonqualified Deferred Compensation</w:t>
      </w:r>
    </w:p>
    <w:p w14:paraId="27668121" w14:textId="70C69652" w:rsidR="00030A44" w:rsidRDefault="00030A44" w:rsidP="00030A44">
      <w:pPr>
        <w:numPr>
          <w:ilvl w:val="1"/>
          <w:numId w:val="3"/>
        </w:numPr>
        <w:tabs>
          <w:tab w:val="clear" w:pos="1080"/>
          <w:tab w:val="num" w:pos="360"/>
        </w:tabs>
        <w:ind w:left="360"/>
      </w:pPr>
      <w:r>
        <w:t xml:space="preserve">Section was enacted in </w:t>
      </w:r>
      <w:r w:rsidR="00DC17DF">
        <w:t xml:space="preserve">2004. </w:t>
      </w:r>
      <w:r w:rsidR="00CF3FEF">
        <w:t>+/- 100 pages of Treasury Regulations were enacted in 2005.</w:t>
      </w:r>
    </w:p>
    <w:p w14:paraId="6139BD39" w14:textId="52717F2F" w:rsidR="00626856" w:rsidRDefault="00626856" w:rsidP="00030A44">
      <w:pPr>
        <w:numPr>
          <w:ilvl w:val="1"/>
          <w:numId w:val="3"/>
        </w:numPr>
        <w:tabs>
          <w:tab w:val="clear" w:pos="1080"/>
          <w:tab w:val="num" w:pos="360"/>
        </w:tabs>
        <w:ind w:left="360"/>
      </w:pPr>
      <w:r w:rsidRPr="00626856">
        <w:t>Deferred compensation = Compensation earned in one year payable in a later year</w:t>
      </w:r>
      <w:r w:rsidR="00CF3FEF">
        <w:t xml:space="preserve">. </w:t>
      </w:r>
    </w:p>
    <w:p w14:paraId="3009C0AD" w14:textId="32FC803D" w:rsidR="00626856" w:rsidRDefault="00CF3FEF" w:rsidP="00CF3FEF">
      <w:pPr>
        <w:numPr>
          <w:ilvl w:val="1"/>
          <w:numId w:val="3"/>
        </w:numPr>
        <w:tabs>
          <w:tab w:val="clear" w:pos="1080"/>
        </w:tabs>
      </w:pPr>
      <w:r>
        <w:t xml:space="preserve">Specific exceptions for certain stock based compensation plans, option plans, and others, </w:t>
      </w:r>
      <w:r w:rsidR="00F94921">
        <w:t>if</w:t>
      </w:r>
      <w:r>
        <w:t xml:space="preserve"> they do not contain “an element of deferred compensation” when granted. </w:t>
      </w:r>
    </w:p>
    <w:p w14:paraId="29D6B129" w14:textId="77777777" w:rsidR="00F94921" w:rsidRDefault="00F94921" w:rsidP="00CF3FEF">
      <w:pPr>
        <w:numPr>
          <w:ilvl w:val="1"/>
          <w:numId w:val="3"/>
        </w:numPr>
        <w:tabs>
          <w:tab w:val="clear" w:pos="1080"/>
        </w:tabs>
      </w:pPr>
      <w:r>
        <w:t xml:space="preserve">Phantom stock plans are typically governed by IRC </w:t>
      </w:r>
      <w:r>
        <w:rPr>
          <w:rFonts w:cs="Times New Roman"/>
        </w:rPr>
        <w:t>§</w:t>
      </w:r>
      <w:r>
        <w:t>409A.</w:t>
      </w:r>
    </w:p>
    <w:p w14:paraId="24096B04" w14:textId="21A512A3" w:rsidR="00F94921" w:rsidRDefault="00F94921" w:rsidP="00CF3FEF">
      <w:pPr>
        <w:numPr>
          <w:ilvl w:val="1"/>
          <w:numId w:val="3"/>
        </w:numPr>
        <w:tabs>
          <w:tab w:val="clear" w:pos="1080"/>
        </w:tabs>
      </w:pPr>
      <w:r>
        <w:t xml:space="preserve">Stock Appreciation Rights are typically governed by IRC </w:t>
      </w:r>
      <w:r>
        <w:rPr>
          <w:rFonts w:cs="Times New Roman"/>
        </w:rPr>
        <w:t>§</w:t>
      </w:r>
      <w:r>
        <w:t xml:space="preserve">409A.  </w:t>
      </w:r>
    </w:p>
    <w:p w14:paraId="343CB687" w14:textId="31ECF29A" w:rsidR="00626856" w:rsidRDefault="00CF3FEF" w:rsidP="00CF3FEF">
      <w:pPr>
        <w:numPr>
          <w:ilvl w:val="1"/>
          <w:numId w:val="3"/>
        </w:numPr>
        <w:tabs>
          <w:tab w:val="clear" w:pos="1080"/>
        </w:tabs>
      </w:pPr>
      <w:r>
        <w:t>Short-term deferral exception for deferred compensation paid by the 15</w:t>
      </w:r>
      <w:r w:rsidRPr="00CF3FEF">
        <w:rPr>
          <w:vertAlign w:val="superscript"/>
        </w:rPr>
        <w:t>th</w:t>
      </w:r>
      <w:r>
        <w:t xml:space="preserve"> day of the 3</w:t>
      </w:r>
      <w:r w:rsidRPr="00CF3FEF">
        <w:rPr>
          <w:vertAlign w:val="superscript"/>
        </w:rPr>
        <w:t>rd</w:t>
      </w:r>
      <w:r>
        <w:t xml:space="preserve"> month following the end of the year in which the compensation was earned is a </w:t>
      </w:r>
      <w:r w:rsidR="00F94921">
        <w:t>f</w:t>
      </w:r>
      <w:r>
        <w:t xml:space="preserve">requently used exception. </w:t>
      </w:r>
    </w:p>
    <w:p w14:paraId="7F1D2F7C" w14:textId="77777777" w:rsidR="00626856" w:rsidRPr="00626856" w:rsidRDefault="00626856" w:rsidP="00030A44">
      <w:pPr>
        <w:numPr>
          <w:ilvl w:val="1"/>
          <w:numId w:val="3"/>
        </w:numPr>
        <w:tabs>
          <w:tab w:val="clear" w:pos="1080"/>
          <w:tab w:val="num" w:pos="360"/>
        </w:tabs>
        <w:ind w:left="360"/>
      </w:pPr>
      <w:r w:rsidRPr="00626856">
        <w:t xml:space="preserve">Permissible Payment Events: </w:t>
      </w:r>
    </w:p>
    <w:p w14:paraId="1DB3AAF3" w14:textId="77777777" w:rsidR="00626856" w:rsidRPr="00626856" w:rsidRDefault="00626856" w:rsidP="00030A44">
      <w:pPr>
        <w:numPr>
          <w:ilvl w:val="2"/>
          <w:numId w:val="3"/>
        </w:numPr>
        <w:tabs>
          <w:tab w:val="clear" w:pos="1800"/>
          <w:tab w:val="num" w:pos="1080"/>
        </w:tabs>
        <w:ind w:left="1080"/>
      </w:pPr>
      <w:r w:rsidRPr="00626856">
        <w:t>Death</w:t>
      </w:r>
    </w:p>
    <w:p w14:paraId="10B1EC58" w14:textId="0C284AEC" w:rsidR="00626856" w:rsidRPr="00626856" w:rsidRDefault="00626856" w:rsidP="00030A44">
      <w:pPr>
        <w:numPr>
          <w:ilvl w:val="2"/>
          <w:numId w:val="3"/>
        </w:numPr>
        <w:tabs>
          <w:tab w:val="clear" w:pos="1800"/>
          <w:tab w:val="num" w:pos="1080"/>
        </w:tabs>
        <w:ind w:left="1080"/>
      </w:pPr>
      <w:r w:rsidRPr="00626856">
        <w:t>Disability (as defined by Code</w:t>
      </w:r>
      <w:r w:rsidR="00CF3FEF">
        <w:t xml:space="preserve"> </w:t>
      </w:r>
      <w:r w:rsidR="00CF3FEF">
        <w:rPr>
          <w:rFonts w:cs="Times New Roman"/>
        </w:rPr>
        <w:t>§</w:t>
      </w:r>
      <w:r w:rsidR="00CF3FEF">
        <w:t>409A</w:t>
      </w:r>
      <w:r w:rsidRPr="00626856">
        <w:t>)</w:t>
      </w:r>
    </w:p>
    <w:p w14:paraId="14C4AB10" w14:textId="77777777" w:rsidR="00626856" w:rsidRPr="00626856" w:rsidRDefault="00626856" w:rsidP="00030A44">
      <w:pPr>
        <w:numPr>
          <w:ilvl w:val="2"/>
          <w:numId w:val="3"/>
        </w:numPr>
        <w:tabs>
          <w:tab w:val="clear" w:pos="1800"/>
          <w:tab w:val="num" w:pos="1080"/>
        </w:tabs>
        <w:ind w:left="1080"/>
      </w:pPr>
      <w:r w:rsidRPr="00626856">
        <w:t>At a specified time or pursuant to a fixed schedule</w:t>
      </w:r>
    </w:p>
    <w:p w14:paraId="57E3360A" w14:textId="06B6CD17" w:rsidR="00626856" w:rsidRPr="00626856" w:rsidRDefault="00626856" w:rsidP="00030A44">
      <w:pPr>
        <w:numPr>
          <w:ilvl w:val="2"/>
          <w:numId w:val="3"/>
        </w:numPr>
        <w:tabs>
          <w:tab w:val="clear" w:pos="1800"/>
          <w:tab w:val="num" w:pos="1080"/>
        </w:tabs>
        <w:ind w:left="1080"/>
      </w:pPr>
      <w:r w:rsidRPr="00626856">
        <w:t xml:space="preserve">Separation from Service (voluntary and involuntary - generally </w:t>
      </w:r>
      <w:r w:rsidR="00CF3FEF">
        <w:t xml:space="preserve">involuntary termination </w:t>
      </w:r>
      <w:r w:rsidRPr="00626856">
        <w:t>“for Cause”</w:t>
      </w:r>
      <w:r w:rsidR="00CF3FEF">
        <w:t>, as defined in the agreement is carved out)</w:t>
      </w:r>
    </w:p>
    <w:p w14:paraId="429D046F" w14:textId="18D4690A" w:rsidR="00626856" w:rsidRPr="00626856" w:rsidRDefault="00626856" w:rsidP="00030A44">
      <w:pPr>
        <w:numPr>
          <w:ilvl w:val="2"/>
          <w:numId w:val="3"/>
        </w:numPr>
        <w:tabs>
          <w:tab w:val="clear" w:pos="1800"/>
          <w:tab w:val="num" w:pos="1080"/>
        </w:tabs>
        <w:ind w:left="1080"/>
      </w:pPr>
      <w:r w:rsidRPr="00626856">
        <w:t>Change of Control (as defined by Code</w:t>
      </w:r>
      <w:r w:rsidR="00CF3FEF">
        <w:t xml:space="preserve"> </w:t>
      </w:r>
      <w:r w:rsidR="00CF3FEF">
        <w:rPr>
          <w:rFonts w:cs="Times New Roman"/>
        </w:rPr>
        <w:t>§</w:t>
      </w:r>
      <w:r w:rsidR="00CF3FEF">
        <w:t>409A</w:t>
      </w:r>
      <w:r w:rsidR="00CF3FEF" w:rsidRPr="00626856">
        <w:t xml:space="preserve"> </w:t>
      </w:r>
      <w:r w:rsidRPr="00626856">
        <w:t>and Regulations)</w:t>
      </w:r>
    </w:p>
    <w:p w14:paraId="1CBFF842" w14:textId="77777777" w:rsidR="00626856" w:rsidRPr="00626856" w:rsidRDefault="00626856" w:rsidP="00030A44">
      <w:pPr>
        <w:numPr>
          <w:ilvl w:val="2"/>
          <w:numId w:val="3"/>
        </w:numPr>
        <w:tabs>
          <w:tab w:val="clear" w:pos="1800"/>
          <w:tab w:val="num" w:pos="1080"/>
        </w:tabs>
        <w:ind w:left="1080"/>
      </w:pPr>
      <w:r w:rsidRPr="00626856">
        <w:t>Unforeseeable emergency</w:t>
      </w:r>
    </w:p>
    <w:p w14:paraId="35EB2FBF" w14:textId="30BEDF42" w:rsidR="00CF3FEF" w:rsidRDefault="00CF3FEF" w:rsidP="00CF3FEF">
      <w:pPr>
        <w:numPr>
          <w:ilvl w:val="1"/>
          <w:numId w:val="3"/>
        </w:numPr>
        <w:tabs>
          <w:tab w:val="clear" w:pos="1080"/>
          <w:tab w:val="num" w:pos="360"/>
        </w:tabs>
        <w:ind w:left="360"/>
        <w:jc w:val="both"/>
      </w:pPr>
      <w:r>
        <w:t xml:space="preserve">Must use statutory definitions of “Disability” and “Change of Control” to avoid plan failure. </w:t>
      </w:r>
    </w:p>
    <w:p w14:paraId="1F339F84" w14:textId="744A5F39" w:rsidR="00F94921" w:rsidRPr="00F94921" w:rsidRDefault="00F94921" w:rsidP="00CF3FEF">
      <w:pPr>
        <w:numPr>
          <w:ilvl w:val="1"/>
          <w:numId w:val="3"/>
        </w:numPr>
        <w:tabs>
          <w:tab w:val="clear" w:pos="1080"/>
          <w:tab w:val="num" w:pos="360"/>
        </w:tabs>
        <w:ind w:left="360"/>
        <w:jc w:val="both"/>
      </w:pPr>
      <w:r w:rsidRPr="00F94921">
        <w:t>Certain “specified employees” of publicly traded corporations separate from service, their deferred compensation payments must be delayed for six months (or until death) after separation</w:t>
      </w:r>
      <w:r>
        <w:t>.</w:t>
      </w:r>
      <w:r w:rsidRPr="00F94921">
        <w:t xml:space="preserve"> </w:t>
      </w:r>
    </w:p>
    <w:p w14:paraId="7F534CA1" w14:textId="4E4DF16C" w:rsidR="00CF3FEF" w:rsidRDefault="00CF3FEF" w:rsidP="00CF3FEF">
      <w:pPr>
        <w:numPr>
          <w:ilvl w:val="1"/>
          <w:numId w:val="3"/>
        </w:numPr>
        <w:tabs>
          <w:tab w:val="clear" w:pos="1080"/>
          <w:tab w:val="num" w:pos="360"/>
        </w:tabs>
        <w:ind w:left="360"/>
        <w:jc w:val="both"/>
      </w:pPr>
      <w:r>
        <w:t xml:space="preserve">Changes in time or manner of payment generally must (a) occur more than 12 months before payments are scheduled to begin, and (b) must push the payment start date out at least 5 years. </w:t>
      </w:r>
    </w:p>
    <w:p w14:paraId="0D599F37" w14:textId="548FBD05" w:rsidR="00CF3FEF" w:rsidRDefault="00626856" w:rsidP="00CF3FEF">
      <w:pPr>
        <w:numPr>
          <w:ilvl w:val="1"/>
          <w:numId w:val="3"/>
        </w:numPr>
        <w:tabs>
          <w:tab w:val="clear" w:pos="1080"/>
          <w:tab w:val="num" w:pos="360"/>
        </w:tabs>
        <w:ind w:left="360"/>
      </w:pPr>
      <w:r w:rsidRPr="00626856">
        <w:t xml:space="preserve">Violations </w:t>
      </w:r>
      <w:r w:rsidR="00CF3FEF">
        <w:t xml:space="preserve">of </w:t>
      </w:r>
      <w:r w:rsidR="00CF3FEF">
        <w:rPr>
          <w:rFonts w:cs="Times New Roman"/>
        </w:rPr>
        <w:t>§</w:t>
      </w:r>
      <w:r w:rsidR="00CF3FEF">
        <w:t>409A</w:t>
      </w:r>
      <w:r w:rsidR="00CF3FEF" w:rsidRPr="00626856">
        <w:t xml:space="preserve"> </w:t>
      </w:r>
      <w:r w:rsidRPr="00626856">
        <w:t xml:space="preserve">mean compensation is immediately taxable </w:t>
      </w:r>
      <w:r w:rsidRPr="00626856">
        <w:rPr>
          <w:i/>
          <w:iCs/>
          <w:u w:val="single"/>
        </w:rPr>
        <w:t>and</w:t>
      </w:r>
      <w:r w:rsidRPr="00626856">
        <w:t xml:space="preserve"> subject to 20% excise tax </w:t>
      </w:r>
      <w:r w:rsidR="00F94921">
        <w:t xml:space="preserve">that </w:t>
      </w:r>
      <w:r w:rsidRPr="00626856">
        <w:t>falls on the employee/service provider</w:t>
      </w:r>
      <w:r w:rsidR="00F94921">
        <w:t>.</w:t>
      </w:r>
    </w:p>
    <w:p w14:paraId="575FDA39" w14:textId="77777777" w:rsidR="00CF3FEF" w:rsidRDefault="00CF3FEF" w:rsidP="00CF3FEF"/>
    <w:p w14:paraId="28C322D7" w14:textId="423DC949" w:rsidR="00626856" w:rsidRPr="00626856" w:rsidRDefault="00626856" w:rsidP="00CF3FEF">
      <w:pPr>
        <w:rPr>
          <w:b/>
          <w:bCs/>
        </w:rPr>
      </w:pPr>
      <w:r w:rsidRPr="00626856">
        <w:rPr>
          <w:b/>
          <w:bCs/>
        </w:rPr>
        <w:t>§422 – Incentive Stock Options</w:t>
      </w:r>
    </w:p>
    <w:p w14:paraId="43AE8E64" w14:textId="6164689A" w:rsidR="003E2399" w:rsidRDefault="003E2399" w:rsidP="00030A44">
      <w:pPr>
        <w:numPr>
          <w:ilvl w:val="1"/>
          <w:numId w:val="3"/>
        </w:numPr>
        <w:tabs>
          <w:tab w:val="clear" w:pos="1080"/>
          <w:tab w:val="num" w:pos="360"/>
        </w:tabs>
        <w:ind w:left="360"/>
      </w:pPr>
      <w:r>
        <w:t xml:space="preserve">Available to </w:t>
      </w:r>
      <w:r w:rsidRPr="003E2399">
        <w:rPr>
          <w:u w:val="single"/>
        </w:rPr>
        <w:t>C corporation only</w:t>
      </w:r>
    </w:p>
    <w:p w14:paraId="611C5DC8" w14:textId="5CDA745A" w:rsidR="00626856" w:rsidRPr="00626856" w:rsidRDefault="00626856" w:rsidP="00030A44">
      <w:pPr>
        <w:numPr>
          <w:ilvl w:val="1"/>
          <w:numId w:val="3"/>
        </w:numPr>
        <w:tabs>
          <w:tab w:val="clear" w:pos="1080"/>
          <w:tab w:val="num" w:pos="360"/>
        </w:tabs>
        <w:ind w:left="360"/>
      </w:pPr>
      <w:r w:rsidRPr="00626856">
        <w:t>Grant the right to buy:</w:t>
      </w:r>
    </w:p>
    <w:p w14:paraId="1846AD08" w14:textId="77777777" w:rsidR="00626856" w:rsidRPr="00626856" w:rsidRDefault="00626856" w:rsidP="00030A44">
      <w:pPr>
        <w:numPr>
          <w:ilvl w:val="2"/>
          <w:numId w:val="3"/>
        </w:numPr>
        <w:tabs>
          <w:tab w:val="clear" w:pos="1800"/>
          <w:tab w:val="num" w:pos="1080"/>
        </w:tabs>
        <w:ind w:left="1080"/>
      </w:pPr>
      <w:r w:rsidRPr="00626856">
        <w:t xml:space="preserve">a fixed number of common shares, </w:t>
      </w:r>
    </w:p>
    <w:p w14:paraId="6A68CA8B" w14:textId="77777777" w:rsidR="00626856" w:rsidRPr="00626856" w:rsidRDefault="00626856" w:rsidP="00030A44">
      <w:pPr>
        <w:numPr>
          <w:ilvl w:val="2"/>
          <w:numId w:val="3"/>
        </w:numPr>
        <w:tabs>
          <w:tab w:val="clear" w:pos="1800"/>
          <w:tab w:val="num" w:pos="1080"/>
        </w:tabs>
        <w:ind w:left="1080"/>
      </w:pPr>
      <w:r w:rsidRPr="00626856">
        <w:t xml:space="preserve">at a fixed price, </w:t>
      </w:r>
    </w:p>
    <w:p w14:paraId="512F3101" w14:textId="77777777" w:rsidR="00626856" w:rsidRPr="00626856" w:rsidRDefault="00626856" w:rsidP="00030A44">
      <w:pPr>
        <w:numPr>
          <w:ilvl w:val="2"/>
          <w:numId w:val="3"/>
        </w:numPr>
        <w:tabs>
          <w:tab w:val="clear" w:pos="1800"/>
          <w:tab w:val="num" w:pos="1080"/>
        </w:tabs>
        <w:ind w:left="1080"/>
      </w:pPr>
      <w:r w:rsidRPr="00626856">
        <w:t>over a specified period, and</w:t>
      </w:r>
    </w:p>
    <w:p w14:paraId="1A77CC88" w14:textId="77777777" w:rsidR="00626856" w:rsidRPr="00626856" w:rsidRDefault="00626856" w:rsidP="00030A44">
      <w:pPr>
        <w:numPr>
          <w:ilvl w:val="2"/>
          <w:numId w:val="3"/>
        </w:numPr>
        <w:tabs>
          <w:tab w:val="clear" w:pos="1800"/>
          <w:tab w:val="num" w:pos="1080"/>
        </w:tabs>
        <w:ind w:left="1080"/>
      </w:pPr>
      <w:r w:rsidRPr="00626856">
        <w:t>may include a vesting schedule is met</w:t>
      </w:r>
    </w:p>
    <w:p w14:paraId="00EE36BB" w14:textId="77777777" w:rsidR="00626856" w:rsidRPr="00626856" w:rsidRDefault="00626856" w:rsidP="00030A44">
      <w:pPr>
        <w:numPr>
          <w:ilvl w:val="1"/>
          <w:numId w:val="3"/>
        </w:numPr>
        <w:tabs>
          <w:tab w:val="clear" w:pos="1080"/>
          <w:tab w:val="num" w:pos="360"/>
        </w:tabs>
        <w:ind w:left="360"/>
      </w:pPr>
      <w:r w:rsidRPr="00626856">
        <w:lastRenderedPageBreak/>
        <w:t>Exercise price must be equal or greater than the value of the stock on the grant date</w:t>
      </w:r>
    </w:p>
    <w:p w14:paraId="4DB655AF" w14:textId="78C580D6" w:rsidR="00626856" w:rsidRPr="00626856" w:rsidRDefault="00626856" w:rsidP="00030A44">
      <w:pPr>
        <w:numPr>
          <w:ilvl w:val="1"/>
          <w:numId w:val="3"/>
        </w:numPr>
        <w:tabs>
          <w:tab w:val="clear" w:pos="1080"/>
          <w:tab w:val="num" w:pos="360"/>
        </w:tabs>
        <w:ind w:left="360"/>
      </w:pPr>
      <w:r w:rsidRPr="00626856">
        <w:t xml:space="preserve">If holding period requirements </w:t>
      </w:r>
      <w:r>
        <w:t xml:space="preserve">are </w:t>
      </w:r>
      <w:r w:rsidRPr="00626856">
        <w:t xml:space="preserve">met, then income tax </w:t>
      </w:r>
      <w:r w:rsidRPr="00626856">
        <w:rPr>
          <w:u w:val="single"/>
        </w:rPr>
        <w:t>only</w:t>
      </w:r>
      <w:r w:rsidRPr="00626856">
        <w:t xml:space="preserve"> upon sale of the acquired stock (at capital gain rates)</w:t>
      </w:r>
    </w:p>
    <w:p w14:paraId="67020BCA" w14:textId="77777777" w:rsidR="00626856" w:rsidRPr="00626856" w:rsidRDefault="00626856" w:rsidP="00030A44">
      <w:pPr>
        <w:numPr>
          <w:ilvl w:val="2"/>
          <w:numId w:val="3"/>
        </w:numPr>
        <w:tabs>
          <w:tab w:val="clear" w:pos="1800"/>
          <w:tab w:val="num" w:pos="1080"/>
        </w:tabs>
        <w:ind w:left="1080"/>
      </w:pPr>
      <w:r w:rsidRPr="00626856">
        <w:t>Holding Period: Stock must be held until at least 2 years from the date options were granted, and at least 1 year from the options were exercised</w:t>
      </w:r>
    </w:p>
    <w:p w14:paraId="548B3B4B" w14:textId="77777777" w:rsidR="00626856" w:rsidRPr="00626856" w:rsidRDefault="00626856" w:rsidP="00030A44">
      <w:pPr>
        <w:numPr>
          <w:ilvl w:val="1"/>
          <w:numId w:val="3"/>
        </w:numPr>
        <w:tabs>
          <w:tab w:val="clear" w:pos="1080"/>
          <w:tab w:val="num" w:pos="360"/>
        </w:tabs>
        <w:ind w:left="360"/>
      </w:pPr>
      <w:r w:rsidRPr="00626856">
        <w:t>Laundry list of requirements</w:t>
      </w:r>
    </w:p>
    <w:p w14:paraId="03B5FEEE" w14:textId="77777777" w:rsidR="00626856" w:rsidRPr="00626856" w:rsidRDefault="00626856" w:rsidP="00030A44">
      <w:pPr>
        <w:numPr>
          <w:ilvl w:val="2"/>
          <w:numId w:val="3"/>
        </w:numPr>
        <w:tabs>
          <w:tab w:val="clear" w:pos="1800"/>
          <w:tab w:val="num" w:pos="1080"/>
        </w:tabs>
        <w:ind w:left="1080"/>
      </w:pPr>
      <w:r w:rsidRPr="00626856">
        <w:t>Holding Period: Stock must be held until at least 2 years from the date options were granted, and at least 1 year from the options were exercised</w:t>
      </w:r>
    </w:p>
    <w:p w14:paraId="7801B039" w14:textId="4202788E" w:rsidR="00626856" w:rsidRDefault="00626856" w:rsidP="00030A44">
      <w:pPr>
        <w:numPr>
          <w:ilvl w:val="1"/>
          <w:numId w:val="3"/>
        </w:numPr>
        <w:tabs>
          <w:tab w:val="clear" w:pos="1080"/>
          <w:tab w:val="num" w:pos="360"/>
        </w:tabs>
        <w:ind w:left="360"/>
      </w:pPr>
      <w:r w:rsidRPr="00626856">
        <w:t>Laundry list of requirements</w:t>
      </w:r>
      <w:r w:rsidR="00F94921">
        <w:t xml:space="preserve"> </w:t>
      </w:r>
      <w:proofErr w:type="gramStart"/>
      <w:r w:rsidR="00F94921">
        <w:t>are</w:t>
      </w:r>
      <w:proofErr w:type="gramEnd"/>
      <w:r w:rsidR="00F94921">
        <w:t xml:space="preserve"> contained in the statute</w:t>
      </w:r>
    </w:p>
    <w:p w14:paraId="381C234F" w14:textId="3480E9B1" w:rsidR="00F94921" w:rsidRDefault="00F94921" w:rsidP="00030A44">
      <w:pPr>
        <w:numPr>
          <w:ilvl w:val="1"/>
          <w:numId w:val="3"/>
        </w:numPr>
        <w:tabs>
          <w:tab w:val="clear" w:pos="1080"/>
          <w:tab w:val="num" w:pos="360"/>
        </w:tabs>
        <w:ind w:left="360"/>
      </w:pPr>
      <w:r>
        <w:t xml:space="preserve">A </w:t>
      </w:r>
      <w:r w:rsidRPr="00F94921">
        <w:rPr>
          <w:b/>
          <w:bCs/>
        </w:rPr>
        <w:t>Nonqualified Stock Option</w:t>
      </w:r>
      <w:r>
        <w:t xml:space="preserve"> is any stock option that is </w:t>
      </w:r>
      <w:r w:rsidRPr="00F94921">
        <w:rPr>
          <w:u w:val="single"/>
        </w:rPr>
        <w:t>not</w:t>
      </w:r>
      <w:r>
        <w:t xml:space="preserve"> an Incentive Stock Option, as defined by IRC </w:t>
      </w:r>
      <w:r>
        <w:rPr>
          <w:rFonts w:cs="Times New Roman"/>
        </w:rPr>
        <w:t>§</w:t>
      </w:r>
      <w:r>
        <w:t xml:space="preserve">422. </w:t>
      </w:r>
    </w:p>
    <w:p w14:paraId="7A0D17A9" w14:textId="77777777" w:rsidR="00626856" w:rsidRPr="00626856" w:rsidRDefault="00626856" w:rsidP="003E2399">
      <w:pPr>
        <w:ind w:left="360"/>
      </w:pPr>
    </w:p>
    <w:p w14:paraId="6A524A87" w14:textId="77777777" w:rsidR="00626856" w:rsidRPr="00626856" w:rsidRDefault="00626856" w:rsidP="0032596A">
      <w:pPr>
        <w:ind w:left="-360"/>
        <w:rPr>
          <w:b/>
          <w:bCs/>
        </w:rPr>
      </w:pPr>
      <w:r w:rsidRPr="00626856">
        <w:rPr>
          <w:b/>
          <w:bCs/>
        </w:rPr>
        <w:t>§280G – Golden Parachute Payments</w:t>
      </w:r>
    </w:p>
    <w:p w14:paraId="7202105B" w14:textId="7E87C03B" w:rsidR="00626856" w:rsidRDefault="00626856" w:rsidP="00030A44">
      <w:pPr>
        <w:numPr>
          <w:ilvl w:val="1"/>
          <w:numId w:val="3"/>
        </w:numPr>
        <w:tabs>
          <w:tab w:val="clear" w:pos="1080"/>
          <w:tab w:val="num" w:pos="360"/>
        </w:tabs>
        <w:ind w:left="360"/>
      </w:pPr>
      <w:r w:rsidRPr="00626856">
        <w:t xml:space="preserve">Denies </w:t>
      </w:r>
      <w:r w:rsidR="003E2399">
        <w:t xml:space="preserve">an income tax </w:t>
      </w:r>
      <w:r w:rsidRPr="00626856">
        <w:t>deduction to corporations for “excess parachute payments” made to “disqualified individuals” upon a change of control</w:t>
      </w:r>
      <w:r w:rsidR="003E2399">
        <w:t xml:space="preserve">. </w:t>
      </w:r>
    </w:p>
    <w:p w14:paraId="7E601BE5" w14:textId="147C4602" w:rsidR="003E2399" w:rsidRDefault="0032596A" w:rsidP="00030A44">
      <w:pPr>
        <w:numPr>
          <w:ilvl w:val="1"/>
          <w:numId w:val="3"/>
        </w:numPr>
        <w:tabs>
          <w:tab w:val="clear" w:pos="1080"/>
          <w:tab w:val="num" w:pos="360"/>
        </w:tabs>
        <w:ind w:left="360"/>
      </w:pPr>
      <w:r>
        <w:t>Generally, “disqualified individuals” (“</w:t>
      </w:r>
      <w:proofErr w:type="spellStart"/>
      <w:r>
        <w:t>DQIs</w:t>
      </w:r>
      <w:proofErr w:type="spellEnd"/>
      <w:r>
        <w:t xml:space="preserve">”) include significant shareholders, officers, and highly compensated employees. </w:t>
      </w:r>
    </w:p>
    <w:p w14:paraId="1D90F382" w14:textId="6225DFEA" w:rsidR="00626856" w:rsidRPr="00626856" w:rsidRDefault="0032596A" w:rsidP="0032596A">
      <w:pPr>
        <w:numPr>
          <w:ilvl w:val="1"/>
          <w:numId w:val="3"/>
        </w:numPr>
        <w:tabs>
          <w:tab w:val="clear" w:pos="1080"/>
          <w:tab w:val="num" w:pos="360"/>
        </w:tabs>
        <w:ind w:left="360"/>
      </w:pPr>
      <w:r>
        <w:t xml:space="preserve">“Excess Parachute Payment” is a payment greater than or equal to the </w:t>
      </w:r>
      <w:r w:rsidRPr="0032596A">
        <w:t xml:space="preserve">≥3× the </w:t>
      </w:r>
      <w:proofErr w:type="spellStart"/>
      <w:r w:rsidRPr="0032596A">
        <w:t>DQI’s</w:t>
      </w:r>
      <w:proofErr w:type="spellEnd"/>
      <w:r w:rsidRPr="0032596A">
        <w:t xml:space="preserve"> </w:t>
      </w:r>
      <w:r>
        <w:t>“</w:t>
      </w:r>
      <w:r w:rsidRPr="0032596A">
        <w:t>base amount</w:t>
      </w:r>
      <w:r>
        <w:t xml:space="preserve">” (generally the </w:t>
      </w:r>
      <w:proofErr w:type="spellStart"/>
      <w:r>
        <w:t>DQI’s</w:t>
      </w:r>
      <w:proofErr w:type="spellEnd"/>
      <w:r>
        <w:t xml:space="preserve"> </w:t>
      </w:r>
      <w:r w:rsidRPr="0032596A">
        <w:t xml:space="preserve">average annual taxable compensation over a specified </w:t>
      </w:r>
      <w:r>
        <w:t xml:space="preserve">number of years prior to the change of control). </w:t>
      </w:r>
    </w:p>
    <w:p w14:paraId="543A61CD" w14:textId="77777777" w:rsidR="00626856" w:rsidRPr="00626856" w:rsidRDefault="00626856" w:rsidP="00030A44">
      <w:pPr>
        <w:numPr>
          <w:ilvl w:val="1"/>
          <w:numId w:val="3"/>
        </w:numPr>
        <w:tabs>
          <w:tab w:val="clear" w:pos="1080"/>
          <w:tab w:val="num" w:pos="360"/>
        </w:tabs>
        <w:ind w:left="360"/>
      </w:pPr>
      <w:r w:rsidRPr="00626856">
        <w:t xml:space="preserve">Does </w:t>
      </w:r>
      <w:r w:rsidRPr="00626856">
        <w:rPr>
          <w:u w:val="single"/>
        </w:rPr>
        <w:t>not</w:t>
      </w:r>
      <w:r w:rsidRPr="00626856">
        <w:t xml:space="preserve"> apply to S corporations</w:t>
      </w:r>
    </w:p>
    <w:p w14:paraId="5EC6E14B" w14:textId="77777777" w:rsidR="00626856" w:rsidRPr="00626856" w:rsidRDefault="00626856" w:rsidP="00030A44">
      <w:pPr>
        <w:numPr>
          <w:ilvl w:val="1"/>
          <w:numId w:val="3"/>
        </w:numPr>
        <w:tabs>
          <w:tab w:val="clear" w:pos="1080"/>
          <w:tab w:val="num" w:pos="360"/>
        </w:tabs>
        <w:ind w:left="360"/>
      </w:pPr>
      <w:r w:rsidRPr="00626856">
        <w:t>Can be avoided in non-public corporations by meeting shareholder approval requirements</w:t>
      </w:r>
    </w:p>
    <w:p w14:paraId="23825192" w14:textId="77777777" w:rsidR="0032596A" w:rsidRDefault="00626856" w:rsidP="0032596A">
      <w:pPr>
        <w:numPr>
          <w:ilvl w:val="1"/>
          <w:numId w:val="3"/>
        </w:numPr>
        <w:tabs>
          <w:tab w:val="clear" w:pos="1080"/>
          <w:tab w:val="num" w:pos="360"/>
        </w:tabs>
        <w:ind w:left="360"/>
      </w:pPr>
      <w:r w:rsidRPr="00626856">
        <w:t>Numerous exceptions and workarounds</w:t>
      </w:r>
    </w:p>
    <w:p w14:paraId="1FDAEA36" w14:textId="77777777" w:rsidR="0032596A" w:rsidRDefault="0032596A" w:rsidP="0032596A">
      <w:pPr>
        <w:ind w:left="360"/>
      </w:pPr>
    </w:p>
    <w:p w14:paraId="25AEA873" w14:textId="31D71661" w:rsidR="00626856" w:rsidRPr="00626856" w:rsidRDefault="00626856" w:rsidP="0032596A">
      <w:pPr>
        <w:rPr>
          <w:b/>
          <w:bCs/>
        </w:rPr>
      </w:pPr>
      <w:r w:rsidRPr="00626856">
        <w:rPr>
          <w:b/>
          <w:bCs/>
        </w:rPr>
        <w:t>§4999 - Golden parachute payments</w:t>
      </w:r>
    </w:p>
    <w:p w14:paraId="3880F8D4" w14:textId="0028FE91" w:rsidR="00626856" w:rsidRDefault="00626856" w:rsidP="00030A44">
      <w:pPr>
        <w:numPr>
          <w:ilvl w:val="1"/>
          <w:numId w:val="3"/>
        </w:numPr>
        <w:tabs>
          <w:tab w:val="clear" w:pos="1080"/>
          <w:tab w:val="num" w:pos="360"/>
        </w:tabs>
        <w:ind w:left="360"/>
      </w:pPr>
      <w:r w:rsidRPr="00626856">
        <w:t>Excise tax of 20% imposed on the “disqualified individual” that receives an “excess parachute payment”</w:t>
      </w:r>
      <w:r w:rsidR="0032596A">
        <w:t xml:space="preserve">. </w:t>
      </w:r>
    </w:p>
    <w:p w14:paraId="78227366" w14:textId="3CB72F33" w:rsidR="00626856" w:rsidRDefault="0032596A" w:rsidP="00030A44">
      <w:pPr>
        <w:numPr>
          <w:ilvl w:val="1"/>
          <w:numId w:val="3"/>
        </w:numPr>
        <w:tabs>
          <w:tab w:val="clear" w:pos="1080"/>
          <w:tab w:val="num" w:pos="360"/>
        </w:tabs>
        <w:ind w:left="360"/>
      </w:pPr>
      <w:r>
        <w:t xml:space="preserve">In summary, if a </w:t>
      </w:r>
      <w:proofErr w:type="spellStart"/>
      <w:r>
        <w:t>DQI</w:t>
      </w:r>
      <w:proofErr w:type="spellEnd"/>
      <w:r>
        <w:t xml:space="preserve"> receives an “excess parachute payment”, the portion considered the “excess parachute payment” is (a) taxable to the employee as compensation (ordinary income), (b) subject to the </w:t>
      </w:r>
      <w:r w:rsidRPr="0032596A">
        <w:t>§4999</w:t>
      </w:r>
      <w:r>
        <w:t xml:space="preserve"> excise tax or 20%, and (c) not deductible by the corporation under </w:t>
      </w:r>
      <w:r>
        <w:rPr>
          <w:rFonts w:cs="Times New Roman"/>
        </w:rPr>
        <w:t>§</w:t>
      </w:r>
      <w:r>
        <w:t xml:space="preserve">280G. </w:t>
      </w:r>
    </w:p>
    <w:p w14:paraId="375F2D02" w14:textId="77777777" w:rsidR="004C7F53" w:rsidRDefault="004C7F53" w:rsidP="004C7F53"/>
    <w:p w14:paraId="30EE6CF7" w14:textId="15121D35" w:rsidR="004C7F53" w:rsidRDefault="004C7F53" w:rsidP="004C7F53">
      <w:pPr>
        <w:jc w:val="both"/>
      </w:pPr>
      <w:r>
        <w:t xml:space="preserve">The IRS Nonqualified Deferred Compensation Audit Technique Guide was updated by the Service March 20, 2024. It provides a wealth of information, including common mistakes the IRS looks for on audit, and is available for free (or included with your tax dollars) at </w:t>
      </w:r>
      <w:hyperlink r:id="rId8" w:history="1">
        <w:r w:rsidRPr="00FF311D">
          <w:rPr>
            <w:rStyle w:val="Hyperlink"/>
          </w:rPr>
          <w:t>www.irs.gov</w:t>
        </w:r>
      </w:hyperlink>
      <w:r>
        <w:t>.</w:t>
      </w:r>
    </w:p>
    <w:p w14:paraId="76A23680" w14:textId="77777777" w:rsidR="00626856" w:rsidRDefault="00626856" w:rsidP="004C7F53">
      <w:pPr>
        <w:jc w:val="both"/>
      </w:pPr>
    </w:p>
    <w:p w14:paraId="457930A3" w14:textId="24496E2A" w:rsidR="001F1FC0" w:rsidRPr="00E50F68" w:rsidRDefault="00E50F68" w:rsidP="001F1FC0">
      <w:pPr>
        <w:rPr>
          <w:b/>
          <w:bCs/>
        </w:rPr>
      </w:pPr>
      <w:r w:rsidRPr="00E50F68">
        <w:rPr>
          <w:b/>
          <w:bCs/>
        </w:rPr>
        <w:t xml:space="preserve">ERISA </w:t>
      </w:r>
      <w:r>
        <w:rPr>
          <w:b/>
          <w:bCs/>
        </w:rPr>
        <w:t>Application to Nonqualified Deferred Compensation Plans</w:t>
      </w:r>
    </w:p>
    <w:p w14:paraId="55725D7B" w14:textId="77777777" w:rsidR="001F1FC0" w:rsidRDefault="001F1FC0" w:rsidP="001F1FC0"/>
    <w:p w14:paraId="4E747EE1" w14:textId="0BC1C03C" w:rsidR="00E50F68" w:rsidRDefault="00E25EE9" w:rsidP="00B01C60">
      <w:pPr>
        <w:jc w:val="both"/>
      </w:pPr>
      <w:r>
        <w:t xml:space="preserve">ERISA </w:t>
      </w:r>
      <w:r w:rsidR="00E50F68" w:rsidRPr="00E50F68">
        <w:t>governs most employer-sponsored retirement and welfare benefit plans</w:t>
      </w:r>
      <w:r w:rsidR="00E50F68">
        <w:t xml:space="preserve">.  It imposes strict rules related to </w:t>
      </w:r>
      <w:r w:rsidR="00E50F68" w:rsidRPr="00E50F68">
        <w:t xml:space="preserve">participation, vesting, funding, fiduciary duties, and disclosure. </w:t>
      </w:r>
      <w:r w:rsidR="00E50F68">
        <w:t>Nonqualified deferred compensation plans are generally specifically designed to avoid most rules of ERISA.</w:t>
      </w:r>
      <w:r w:rsidR="004663CE">
        <w:t xml:space="preserve"> </w:t>
      </w:r>
      <w:r w:rsidR="00E50F68">
        <w:t xml:space="preserve">Typically, nonqualified deferred compensation plans are designed to qualify for the “Top Hat Exemption”.  </w:t>
      </w:r>
    </w:p>
    <w:p w14:paraId="2E0E68C9" w14:textId="77777777" w:rsidR="00E50F68" w:rsidRDefault="00E50F68" w:rsidP="00B01C60">
      <w:pPr>
        <w:jc w:val="both"/>
      </w:pPr>
    </w:p>
    <w:p w14:paraId="0444EAD1" w14:textId="77777777" w:rsidR="00B01C60" w:rsidRDefault="00E50F68" w:rsidP="00B01C60">
      <w:pPr>
        <w:tabs>
          <w:tab w:val="num" w:pos="720"/>
        </w:tabs>
        <w:jc w:val="both"/>
      </w:pPr>
      <w:r w:rsidRPr="00E50F68">
        <w:t xml:space="preserve">A </w:t>
      </w:r>
      <w:r>
        <w:t>“T</w:t>
      </w:r>
      <w:r w:rsidRPr="00E50F68">
        <w:t>op-</w:t>
      </w:r>
      <w:r>
        <w:t>H</w:t>
      </w:r>
      <w:r w:rsidRPr="00E50F68">
        <w:t>at plan</w:t>
      </w:r>
      <w:r>
        <w:t xml:space="preserve">” </w:t>
      </w:r>
      <w:r w:rsidRPr="00E50F68">
        <w:t xml:space="preserve">an </w:t>
      </w:r>
      <w:r w:rsidRPr="00E50F68">
        <w:rPr>
          <w:u w:val="single"/>
        </w:rPr>
        <w:t>unfunded</w:t>
      </w:r>
      <w:r w:rsidRPr="00E50F68">
        <w:t xml:space="preserve"> arrangement maintained primarily </w:t>
      </w:r>
      <w:r>
        <w:t>to provide benefits to a “</w:t>
      </w:r>
      <w:r w:rsidRPr="00B01C60">
        <w:rPr>
          <w:u w:val="single"/>
        </w:rPr>
        <w:t>select group of management or highly compensated personnel</w:t>
      </w:r>
      <w:r w:rsidR="00B01C60">
        <w:t>”</w:t>
      </w:r>
      <w:r>
        <w:t>.</w:t>
      </w:r>
    </w:p>
    <w:p w14:paraId="7164BA1D" w14:textId="77777777" w:rsidR="00B01C60" w:rsidRDefault="00B01C60" w:rsidP="00B01C60">
      <w:pPr>
        <w:tabs>
          <w:tab w:val="num" w:pos="720"/>
        </w:tabs>
        <w:jc w:val="both"/>
      </w:pPr>
    </w:p>
    <w:p w14:paraId="6F6EAF3B" w14:textId="77777777" w:rsidR="00B01C60" w:rsidRDefault="00B01C60" w:rsidP="00B01C60">
      <w:pPr>
        <w:pStyle w:val="ListParagraph"/>
        <w:numPr>
          <w:ilvl w:val="0"/>
          <w:numId w:val="4"/>
        </w:numPr>
        <w:tabs>
          <w:tab w:val="num" w:pos="720"/>
        </w:tabs>
        <w:jc w:val="both"/>
      </w:pPr>
      <w:r>
        <w:t>In this context, “</w:t>
      </w:r>
      <w:r w:rsidRPr="00B01C60">
        <w:rPr>
          <w:i/>
          <w:iCs/>
        </w:rPr>
        <w:t>unfunded</w:t>
      </w:r>
      <w:r>
        <w:t xml:space="preserve">” means that no assets are set aside by the employer to pay benefits under the plan. The participant’s benefits will be paid from the general assets of the corporation. However, nothing prevents employers from obtaining assets to “informally finance” payment of benefits under the plan.  Frequently, the employer will purchase life insurance contracts insuring the plan participants, using the cash value to pay benefits under the plan and eventually using the insurance proceeds received upon a participant’s death to recoup its costs of sponsoring the plan. </w:t>
      </w:r>
    </w:p>
    <w:p w14:paraId="182026DB" w14:textId="50188D2D" w:rsidR="00B01C60" w:rsidRDefault="00B01C60" w:rsidP="00B01C60">
      <w:pPr>
        <w:pStyle w:val="ListParagraph"/>
        <w:numPr>
          <w:ilvl w:val="0"/>
          <w:numId w:val="4"/>
        </w:numPr>
        <w:tabs>
          <w:tab w:val="num" w:pos="720"/>
        </w:tabs>
        <w:jc w:val="both"/>
      </w:pPr>
      <w:r>
        <w:t>The participants in a Top-Hat Plan are “</w:t>
      </w:r>
      <w:r w:rsidRPr="00B01C60">
        <w:rPr>
          <w:i/>
          <w:iCs/>
        </w:rPr>
        <w:t>unsecured creditors</w:t>
      </w:r>
      <w:r>
        <w:rPr>
          <w:i/>
          <w:iCs/>
        </w:rPr>
        <w:t>”</w:t>
      </w:r>
      <w:r>
        <w:t xml:space="preserve"> of the plan sponsor. This means that if the company declares bankruptcy, participants in a “Top-Hat Plan” stand in line with all the other unsecured creditors of the company.  </w:t>
      </w:r>
    </w:p>
    <w:p w14:paraId="6B9BA6F7" w14:textId="1DB7F9DB" w:rsidR="00E50F68" w:rsidRDefault="004663CE" w:rsidP="004663CE">
      <w:pPr>
        <w:pStyle w:val="ListParagraph"/>
        <w:numPr>
          <w:ilvl w:val="0"/>
          <w:numId w:val="4"/>
        </w:numPr>
        <w:tabs>
          <w:tab w:val="num" w:pos="720"/>
        </w:tabs>
        <w:jc w:val="both"/>
      </w:pPr>
      <w:r>
        <w:t>ERISA does not define a</w:t>
      </w:r>
      <w:r w:rsidR="00E50F68">
        <w:t xml:space="preserve"> “</w:t>
      </w:r>
      <w:r w:rsidRPr="004663CE">
        <w:rPr>
          <w:i/>
          <w:iCs/>
        </w:rPr>
        <w:t>s</w:t>
      </w:r>
      <w:r w:rsidR="00E50F68" w:rsidRPr="004663CE">
        <w:rPr>
          <w:i/>
          <w:iCs/>
        </w:rPr>
        <w:t xml:space="preserve">elect group of management or highly compensated </w:t>
      </w:r>
      <w:r w:rsidR="00B01C60" w:rsidRPr="004663CE">
        <w:rPr>
          <w:i/>
          <w:iCs/>
        </w:rPr>
        <w:t>person</w:t>
      </w:r>
      <w:r>
        <w:rPr>
          <w:i/>
          <w:iCs/>
        </w:rPr>
        <w:t>ne</w:t>
      </w:r>
      <w:r w:rsidR="00B01C60" w:rsidRPr="004663CE">
        <w:rPr>
          <w:i/>
          <w:iCs/>
        </w:rPr>
        <w:t>l</w:t>
      </w:r>
      <w:r w:rsidR="00B01C60">
        <w:t xml:space="preserve">” However, </w:t>
      </w:r>
      <w:r>
        <w:t xml:space="preserve">the general rules of thumb (developed through years of caselaw addressing this question) </w:t>
      </w:r>
      <w:proofErr w:type="gramStart"/>
      <w:r>
        <w:t>are:</w:t>
      </w:r>
      <w:proofErr w:type="gramEnd"/>
      <w:r>
        <w:t xml:space="preserve"> the participant should be a manager, no more than ten percent (10%) of the total number of employees should be included in the plan, and </w:t>
      </w:r>
    </w:p>
    <w:p w14:paraId="1B49E7BC" w14:textId="77777777" w:rsidR="00B01C60" w:rsidRDefault="00B01C60" w:rsidP="00B01C60">
      <w:pPr>
        <w:tabs>
          <w:tab w:val="num" w:pos="720"/>
        </w:tabs>
        <w:jc w:val="both"/>
      </w:pPr>
    </w:p>
    <w:p w14:paraId="5B56A86C" w14:textId="54E34638" w:rsidR="00E50F68" w:rsidRDefault="00B01C60" w:rsidP="00B01C60">
      <w:pPr>
        <w:tabs>
          <w:tab w:val="num" w:pos="720"/>
          <w:tab w:val="num" w:pos="1440"/>
        </w:tabs>
        <w:jc w:val="both"/>
      </w:pPr>
      <w:r>
        <w:t xml:space="preserve">Top Hat Plans are </w:t>
      </w:r>
      <w:r w:rsidRPr="00B01C60">
        <w:rPr>
          <w:u w:val="single"/>
        </w:rPr>
        <w:t>exempt from</w:t>
      </w:r>
      <w:r>
        <w:t xml:space="preserve"> ERISA’s p</w:t>
      </w:r>
      <w:r w:rsidR="00E50F68" w:rsidRPr="00E50F68">
        <w:t>articipation requirements</w:t>
      </w:r>
      <w:r>
        <w:t>, v</w:t>
      </w:r>
      <w:r w:rsidR="00E50F68" w:rsidRPr="00E50F68">
        <w:t>esting schedules</w:t>
      </w:r>
      <w:r>
        <w:t>, f</w:t>
      </w:r>
      <w:r w:rsidR="00E50F68" w:rsidRPr="00E50F68">
        <w:t>unding rules</w:t>
      </w:r>
      <w:r>
        <w:t xml:space="preserve">, and most fiduciary obligations.  </w:t>
      </w:r>
    </w:p>
    <w:p w14:paraId="47D9ADCF" w14:textId="77777777" w:rsidR="00B01C60" w:rsidRDefault="00B01C60" w:rsidP="00B01C60">
      <w:pPr>
        <w:tabs>
          <w:tab w:val="num" w:pos="720"/>
          <w:tab w:val="num" w:pos="1440"/>
        </w:tabs>
        <w:jc w:val="both"/>
      </w:pPr>
    </w:p>
    <w:p w14:paraId="214230A9" w14:textId="77777777" w:rsidR="004663CE" w:rsidRDefault="004663CE" w:rsidP="00B01C60">
      <w:pPr>
        <w:tabs>
          <w:tab w:val="num" w:pos="720"/>
          <w:tab w:val="num" w:pos="1440"/>
        </w:tabs>
        <w:jc w:val="both"/>
      </w:pPr>
      <w:r>
        <w:t xml:space="preserve">However, </w:t>
      </w:r>
      <w:r w:rsidR="00B01C60">
        <w:t xml:space="preserve">Top Hat Plans </w:t>
      </w:r>
      <w:r w:rsidR="00B01C60" w:rsidRPr="004663CE">
        <w:rPr>
          <w:b/>
          <w:bCs/>
        </w:rPr>
        <w:t>must</w:t>
      </w:r>
      <w:r>
        <w:t xml:space="preserve"> </w:t>
      </w:r>
      <w:r w:rsidR="00B01C60">
        <w:t xml:space="preserve">name a plan administrator and contain a claims procedure. </w:t>
      </w:r>
      <w:r>
        <w:t>Additionally, p</w:t>
      </w:r>
      <w:r w:rsidR="00B01C60">
        <w:t xml:space="preserve">lan sponsors (i.e. the employer) must file a Top-Hat Plan Statement with the Department of Labor within 120 days after the plan is established. See </w:t>
      </w:r>
      <w:r w:rsidR="00E50F68" w:rsidRPr="00E50F68">
        <w:t>29 C.F.R. § 2520.104</w:t>
      </w:r>
      <w:r w:rsidR="00E50F68" w:rsidRPr="00E50F68">
        <w:noBreakHyphen/>
        <w:t>23.</w:t>
      </w:r>
      <w:r>
        <w:t xml:space="preserve">  </w:t>
      </w:r>
    </w:p>
    <w:p w14:paraId="6B26EE31" w14:textId="77777777" w:rsidR="004663CE" w:rsidRDefault="004663CE" w:rsidP="00B01C60">
      <w:pPr>
        <w:tabs>
          <w:tab w:val="num" w:pos="720"/>
          <w:tab w:val="num" w:pos="1440"/>
        </w:tabs>
        <w:jc w:val="both"/>
      </w:pPr>
    </w:p>
    <w:p w14:paraId="756B1000" w14:textId="53081A3D" w:rsidR="00626856" w:rsidRDefault="004663CE" w:rsidP="00B01C60">
      <w:pPr>
        <w:tabs>
          <w:tab w:val="num" w:pos="720"/>
          <w:tab w:val="num" w:pos="1440"/>
        </w:tabs>
        <w:jc w:val="both"/>
      </w:pPr>
      <w:r>
        <w:t xml:space="preserve">As a rule, if a plan is </w:t>
      </w:r>
      <w:r w:rsidR="00E25EE9">
        <w:t xml:space="preserve">exempt from </w:t>
      </w:r>
      <w:r>
        <w:t xml:space="preserve">IRC </w:t>
      </w:r>
      <w:r>
        <w:rPr>
          <w:rFonts w:cs="Times New Roman"/>
        </w:rPr>
        <w:t>§</w:t>
      </w:r>
      <w:r>
        <w:t xml:space="preserve">409A, it is </w:t>
      </w:r>
      <w:r w:rsidR="00E25EE9">
        <w:t>generally</w:t>
      </w:r>
      <w:r>
        <w:t xml:space="preserve"> </w:t>
      </w:r>
      <w:r w:rsidRPr="004663CE">
        <w:rPr>
          <w:u w:val="single"/>
        </w:rPr>
        <w:t>not</w:t>
      </w:r>
      <w:r>
        <w:t xml:space="preserve"> subject to ERISA. For </w:t>
      </w:r>
      <w:r w:rsidR="00E25EE9">
        <w:t>example, incentive</w:t>
      </w:r>
      <w:r w:rsidR="000A72A3">
        <w:t xml:space="preserve"> stock option plans, </w:t>
      </w:r>
      <w:r>
        <w:t>nonqualified stock option plans</w:t>
      </w:r>
      <w:r w:rsidR="000A72A3">
        <w:t xml:space="preserve">, </w:t>
      </w:r>
      <w:r>
        <w:t xml:space="preserve">and restricted stock plans </w:t>
      </w:r>
      <w:r w:rsidRPr="000A72A3">
        <w:rPr>
          <w:u w:val="single"/>
        </w:rPr>
        <w:t>are not</w:t>
      </w:r>
      <w:r>
        <w:t xml:space="preserve"> </w:t>
      </w:r>
      <w:r w:rsidR="000A72A3">
        <w:t xml:space="preserve">generally </w:t>
      </w:r>
      <w:r>
        <w:t xml:space="preserve">subject to ERISA. However, </w:t>
      </w:r>
      <w:r w:rsidR="00E25EE9">
        <w:t xml:space="preserve">traditional nonqualified deferred compensation plans and phantom stock plans </w:t>
      </w:r>
      <w:r w:rsidR="00E25EE9" w:rsidRPr="000A72A3">
        <w:rPr>
          <w:u w:val="single"/>
        </w:rPr>
        <w:t>are</w:t>
      </w:r>
      <w:r w:rsidR="00E25EE9">
        <w:t xml:space="preserve"> generally subject to ERISA (and IRC </w:t>
      </w:r>
      <w:r w:rsidR="00E25EE9">
        <w:rPr>
          <w:rFonts w:cs="Times New Roman"/>
        </w:rPr>
        <w:t>§</w:t>
      </w:r>
      <w:r w:rsidR="00E25EE9">
        <w:t>409A).</w:t>
      </w:r>
    </w:p>
    <w:p w14:paraId="6C61B91E" w14:textId="77777777" w:rsidR="00626856" w:rsidRDefault="00626856" w:rsidP="00B01C60">
      <w:pPr>
        <w:tabs>
          <w:tab w:val="num" w:pos="720"/>
          <w:tab w:val="num" w:pos="1440"/>
        </w:tabs>
        <w:jc w:val="both"/>
      </w:pPr>
    </w:p>
    <w:p w14:paraId="4DCEC431" w14:textId="77777777" w:rsidR="00626856" w:rsidRPr="00626856" w:rsidRDefault="00626856" w:rsidP="00B01C60">
      <w:pPr>
        <w:tabs>
          <w:tab w:val="num" w:pos="720"/>
          <w:tab w:val="num" w:pos="1440"/>
        </w:tabs>
        <w:jc w:val="both"/>
      </w:pPr>
    </w:p>
    <w:p w14:paraId="35EEE784" w14:textId="77777777" w:rsidR="00D83475" w:rsidRDefault="00D83475" w:rsidP="00B01C60">
      <w:pPr>
        <w:jc w:val="both"/>
      </w:pPr>
    </w:p>
    <w:sectPr w:rsidR="00D83475">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81A3" w14:textId="77777777" w:rsidR="0065680C" w:rsidRDefault="0065680C" w:rsidP="0065680C">
      <w:r>
        <w:separator/>
      </w:r>
    </w:p>
  </w:endnote>
  <w:endnote w:type="continuationSeparator" w:id="0">
    <w:p w14:paraId="6492121F" w14:textId="77777777" w:rsidR="0065680C" w:rsidRDefault="0065680C" w:rsidP="0065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204c9fdf-50df-4dc1-bab7-2aed"/>
  <w:p w14:paraId="5C6AC33B" w14:textId="77777777" w:rsidR="00AE1DA4" w:rsidRDefault="00AE1DA4">
    <w:pPr>
      <w:pStyle w:val="DocID"/>
    </w:pPr>
    <w:r>
      <w:fldChar w:fldCharType="begin"/>
    </w:r>
    <w:r>
      <w:instrText xml:space="preserve">  DOCPROPERTY "CUS_DocIDChunk0" </w:instrText>
    </w:r>
    <w:r>
      <w:fldChar w:fldCharType="separate"/>
    </w:r>
    <w:r>
      <w:rPr>
        <w:noProof/>
      </w:rPr>
      <w:t>42131284.v1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9b56b72-ec45-4a34-92d3-eac1"/>
  <w:p w14:paraId="06519786" w14:textId="77777777" w:rsidR="00AE1DA4" w:rsidRDefault="00AE1DA4">
    <w:pPr>
      <w:pStyle w:val="DocID"/>
    </w:pPr>
    <w:r>
      <w:fldChar w:fldCharType="begin"/>
    </w:r>
    <w:r>
      <w:instrText xml:space="preserve">  DOCPROPERTY "CUS_DocIDChunk0" </w:instrText>
    </w:r>
    <w:r>
      <w:fldChar w:fldCharType="separate"/>
    </w:r>
    <w:r>
      <w:rPr>
        <w:noProof/>
      </w:rPr>
      <w:t>42131284.v1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3523220c-5559-4121-8350-2488"/>
  <w:p w14:paraId="16FE72AA" w14:textId="77777777" w:rsidR="00AE1DA4" w:rsidRDefault="00AE1DA4">
    <w:pPr>
      <w:pStyle w:val="DocID"/>
    </w:pPr>
    <w:r>
      <w:fldChar w:fldCharType="begin"/>
    </w:r>
    <w:r>
      <w:instrText xml:space="preserve">  DOCPROPERTY "CUS_DocIDChunk0" </w:instrText>
    </w:r>
    <w:r>
      <w:fldChar w:fldCharType="separate"/>
    </w:r>
    <w:r>
      <w:rPr>
        <w:noProof/>
      </w:rPr>
      <w:t>42131284.v1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A548" w14:textId="77777777" w:rsidR="0065680C" w:rsidRDefault="0065680C" w:rsidP="0065680C">
      <w:r>
        <w:separator/>
      </w:r>
    </w:p>
  </w:footnote>
  <w:footnote w:type="continuationSeparator" w:id="0">
    <w:p w14:paraId="3C646A96" w14:textId="77777777" w:rsidR="0065680C" w:rsidRDefault="0065680C" w:rsidP="0065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D68"/>
    <w:multiLevelType w:val="hybridMultilevel"/>
    <w:tmpl w:val="7D769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832B4"/>
    <w:multiLevelType w:val="multilevel"/>
    <w:tmpl w:val="A5D44D38"/>
    <w:lvl w:ilvl="0">
      <w:start w:val="1"/>
      <w:numFmt w:val="upperRoman"/>
      <w:pStyle w:val="Roman1"/>
      <w:lvlText w:val="%1."/>
      <w:lvlJc w:val="left"/>
      <w:pPr>
        <w:tabs>
          <w:tab w:val="num" w:pos="720"/>
        </w:tabs>
        <w:ind w:left="720" w:hanging="720"/>
      </w:pPr>
      <w:rPr>
        <w:rFonts w:hint="default"/>
      </w:rPr>
    </w:lvl>
    <w:lvl w:ilvl="1">
      <w:start w:val="1"/>
      <w:numFmt w:val="upperLetter"/>
      <w:pStyle w:val="Roman2"/>
      <w:lvlText w:val="%2."/>
      <w:lvlJc w:val="left"/>
      <w:pPr>
        <w:tabs>
          <w:tab w:val="num" w:pos="1440"/>
        </w:tabs>
        <w:ind w:left="1440" w:hanging="720"/>
      </w:pPr>
      <w:rPr>
        <w:rFonts w:hint="default"/>
      </w:rPr>
    </w:lvl>
    <w:lvl w:ilvl="2">
      <w:start w:val="1"/>
      <w:numFmt w:val="decimal"/>
      <w:pStyle w:val="Roman3"/>
      <w:lvlText w:val="%3."/>
      <w:lvlJc w:val="left"/>
      <w:pPr>
        <w:tabs>
          <w:tab w:val="num" w:pos="2160"/>
        </w:tabs>
        <w:ind w:left="2160" w:hanging="720"/>
      </w:pPr>
      <w:rPr>
        <w:rFonts w:hint="default"/>
      </w:rPr>
    </w:lvl>
    <w:lvl w:ilvl="3">
      <w:start w:val="1"/>
      <w:numFmt w:val="lowerLetter"/>
      <w:pStyle w:val="Roman4"/>
      <w:lvlText w:val="%4."/>
      <w:lvlJc w:val="left"/>
      <w:pPr>
        <w:tabs>
          <w:tab w:val="num" w:pos="2880"/>
        </w:tabs>
        <w:ind w:left="2880" w:hanging="720"/>
      </w:pPr>
      <w:rPr>
        <w:rFonts w:hint="default"/>
      </w:rPr>
    </w:lvl>
    <w:lvl w:ilvl="4">
      <w:start w:val="1"/>
      <w:numFmt w:val="decimal"/>
      <w:pStyle w:val="Roman5"/>
      <w:lvlText w:val="(%5)"/>
      <w:lvlJc w:val="left"/>
      <w:pPr>
        <w:tabs>
          <w:tab w:val="num" w:pos="3600"/>
        </w:tabs>
        <w:ind w:left="3600" w:hanging="720"/>
      </w:pPr>
      <w:rPr>
        <w:rFonts w:hint="default"/>
      </w:rPr>
    </w:lvl>
    <w:lvl w:ilvl="5">
      <w:start w:val="1"/>
      <w:numFmt w:val="lowerLetter"/>
      <w:pStyle w:val="Roman6"/>
      <w:lvlText w:val="(%6)"/>
      <w:lvlJc w:val="left"/>
      <w:pPr>
        <w:tabs>
          <w:tab w:val="num" w:pos="4320"/>
        </w:tabs>
        <w:ind w:left="4320" w:hanging="720"/>
      </w:pPr>
      <w:rPr>
        <w:rFonts w:hint="default"/>
      </w:rPr>
    </w:lvl>
    <w:lvl w:ilvl="6">
      <w:start w:val="1"/>
      <w:numFmt w:val="lowerRoman"/>
      <w:pStyle w:val="Roman7"/>
      <w:lvlText w:val="%7)"/>
      <w:lvlJc w:val="left"/>
      <w:pPr>
        <w:tabs>
          <w:tab w:val="num" w:pos="5040"/>
        </w:tabs>
        <w:ind w:left="5040" w:hanging="720"/>
      </w:pPr>
      <w:rPr>
        <w:rFonts w:hint="default"/>
      </w:rPr>
    </w:lvl>
    <w:lvl w:ilvl="7">
      <w:start w:val="1"/>
      <w:numFmt w:val="lowerLetter"/>
      <w:pStyle w:val="Roman8"/>
      <w:lvlText w:val="%8)"/>
      <w:lvlJc w:val="left"/>
      <w:pPr>
        <w:tabs>
          <w:tab w:val="num" w:pos="5760"/>
        </w:tabs>
        <w:ind w:left="5760" w:hanging="720"/>
      </w:pPr>
      <w:rPr>
        <w:rFonts w:hint="default"/>
      </w:rPr>
    </w:lvl>
    <w:lvl w:ilvl="8">
      <w:start w:val="1"/>
      <w:numFmt w:val="decimal"/>
      <w:pStyle w:val="Roman9"/>
      <w:lvlText w:val="%9)"/>
      <w:lvlJc w:val="left"/>
      <w:pPr>
        <w:tabs>
          <w:tab w:val="num" w:pos="6480"/>
        </w:tabs>
        <w:ind w:left="6480" w:hanging="720"/>
      </w:pPr>
      <w:rPr>
        <w:rFonts w:hint="default"/>
      </w:rPr>
    </w:lvl>
  </w:abstractNum>
  <w:abstractNum w:abstractNumId="2" w15:restartNumberingAfterBreak="0">
    <w:nsid w:val="2B830762"/>
    <w:multiLevelType w:val="hybridMultilevel"/>
    <w:tmpl w:val="F29E323A"/>
    <w:lvl w:ilvl="0" w:tplc="648849E4">
      <w:start w:val="1"/>
      <w:numFmt w:val="bullet"/>
      <w:lvlText w:val="•"/>
      <w:lvlJc w:val="left"/>
      <w:pPr>
        <w:tabs>
          <w:tab w:val="num" w:pos="360"/>
        </w:tabs>
        <w:ind w:left="360" w:hanging="360"/>
      </w:pPr>
      <w:rPr>
        <w:rFonts w:ascii="Arial" w:hAnsi="Arial" w:hint="default"/>
      </w:rPr>
    </w:lvl>
    <w:lvl w:ilvl="1" w:tplc="024A0EB2">
      <w:numFmt w:val="bullet"/>
      <w:lvlText w:val="•"/>
      <w:lvlJc w:val="left"/>
      <w:pPr>
        <w:tabs>
          <w:tab w:val="num" w:pos="1080"/>
        </w:tabs>
        <w:ind w:left="1080" w:hanging="360"/>
      </w:pPr>
      <w:rPr>
        <w:rFonts w:ascii="Arial" w:hAnsi="Arial" w:hint="default"/>
      </w:rPr>
    </w:lvl>
    <w:lvl w:ilvl="2" w:tplc="FE9EA050">
      <w:numFmt w:val="bullet"/>
      <w:lvlText w:val="•"/>
      <w:lvlJc w:val="left"/>
      <w:pPr>
        <w:tabs>
          <w:tab w:val="num" w:pos="1800"/>
        </w:tabs>
        <w:ind w:left="1800" w:hanging="360"/>
      </w:pPr>
      <w:rPr>
        <w:rFonts w:ascii="Arial" w:hAnsi="Arial" w:hint="default"/>
      </w:rPr>
    </w:lvl>
    <w:lvl w:ilvl="3" w:tplc="9D287346" w:tentative="1">
      <w:start w:val="1"/>
      <w:numFmt w:val="bullet"/>
      <w:lvlText w:val="•"/>
      <w:lvlJc w:val="left"/>
      <w:pPr>
        <w:tabs>
          <w:tab w:val="num" w:pos="2520"/>
        </w:tabs>
        <w:ind w:left="2520" w:hanging="360"/>
      </w:pPr>
      <w:rPr>
        <w:rFonts w:ascii="Arial" w:hAnsi="Arial" w:hint="default"/>
      </w:rPr>
    </w:lvl>
    <w:lvl w:ilvl="4" w:tplc="A13CE550" w:tentative="1">
      <w:start w:val="1"/>
      <w:numFmt w:val="bullet"/>
      <w:lvlText w:val="•"/>
      <w:lvlJc w:val="left"/>
      <w:pPr>
        <w:tabs>
          <w:tab w:val="num" w:pos="3240"/>
        </w:tabs>
        <w:ind w:left="3240" w:hanging="360"/>
      </w:pPr>
      <w:rPr>
        <w:rFonts w:ascii="Arial" w:hAnsi="Arial" w:hint="default"/>
      </w:rPr>
    </w:lvl>
    <w:lvl w:ilvl="5" w:tplc="DF207944" w:tentative="1">
      <w:start w:val="1"/>
      <w:numFmt w:val="bullet"/>
      <w:lvlText w:val="•"/>
      <w:lvlJc w:val="left"/>
      <w:pPr>
        <w:tabs>
          <w:tab w:val="num" w:pos="3960"/>
        </w:tabs>
        <w:ind w:left="3960" w:hanging="360"/>
      </w:pPr>
      <w:rPr>
        <w:rFonts w:ascii="Arial" w:hAnsi="Arial" w:hint="default"/>
      </w:rPr>
    </w:lvl>
    <w:lvl w:ilvl="6" w:tplc="AC721DF8" w:tentative="1">
      <w:start w:val="1"/>
      <w:numFmt w:val="bullet"/>
      <w:lvlText w:val="•"/>
      <w:lvlJc w:val="left"/>
      <w:pPr>
        <w:tabs>
          <w:tab w:val="num" w:pos="4680"/>
        </w:tabs>
        <w:ind w:left="4680" w:hanging="360"/>
      </w:pPr>
      <w:rPr>
        <w:rFonts w:ascii="Arial" w:hAnsi="Arial" w:hint="default"/>
      </w:rPr>
    </w:lvl>
    <w:lvl w:ilvl="7" w:tplc="0B4A542C" w:tentative="1">
      <w:start w:val="1"/>
      <w:numFmt w:val="bullet"/>
      <w:lvlText w:val="•"/>
      <w:lvlJc w:val="left"/>
      <w:pPr>
        <w:tabs>
          <w:tab w:val="num" w:pos="5400"/>
        </w:tabs>
        <w:ind w:left="5400" w:hanging="360"/>
      </w:pPr>
      <w:rPr>
        <w:rFonts w:ascii="Arial" w:hAnsi="Arial" w:hint="default"/>
      </w:rPr>
    </w:lvl>
    <w:lvl w:ilvl="8" w:tplc="7376F08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47A0AFF"/>
    <w:multiLevelType w:val="multilevel"/>
    <w:tmpl w:val="FC840162"/>
    <w:lvl w:ilvl="0">
      <w:start w:val="1"/>
      <w:numFmt w:val="decimal"/>
      <w:pStyle w:val="PLEAD1"/>
      <w:lvlText w:val="%1."/>
      <w:lvlJc w:val="left"/>
      <w:pPr>
        <w:ind w:left="0" w:firstLine="720"/>
      </w:pPr>
      <w:rPr>
        <w:rFonts w:hint="default"/>
      </w:rPr>
    </w:lvl>
    <w:lvl w:ilvl="1">
      <w:start w:val="1"/>
      <w:numFmt w:val="lowerLetter"/>
      <w:pStyle w:val="PLEAD2"/>
      <w:lvlText w:val="%2."/>
      <w:lvlJc w:val="left"/>
      <w:pPr>
        <w:ind w:left="2160" w:hanging="720"/>
      </w:pPr>
      <w:rPr>
        <w:rFonts w:hint="default"/>
      </w:rPr>
    </w:lvl>
    <w:lvl w:ilvl="2">
      <w:start w:val="1"/>
      <w:numFmt w:val="decimal"/>
      <w:pStyle w:val="PLEAD3"/>
      <w:lvlText w:val="(%3)"/>
      <w:lvlJc w:val="left"/>
      <w:pPr>
        <w:ind w:left="2880" w:hanging="720"/>
      </w:pPr>
      <w:rPr>
        <w:rFonts w:hint="default"/>
      </w:rPr>
    </w:lvl>
    <w:lvl w:ilvl="3">
      <w:start w:val="1"/>
      <w:numFmt w:val="lowerLetter"/>
      <w:pStyle w:val="PLEAD4"/>
      <w:lvlText w:val="(%4)"/>
      <w:lvlJc w:val="left"/>
      <w:pPr>
        <w:ind w:left="3600" w:hanging="720"/>
      </w:pPr>
      <w:rPr>
        <w:rFonts w:hint="default"/>
      </w:rPr>
    </w:lvl>
    <w:lvl w:ilvl="4">
      <w:start w:val="1"/>
      <w:numFmt w:val="lowerRoman"/>
      <w:pStyle w:val="PLEAD5"/>
      <w:lvlText w:val="(%5.)"/>
      <w:lvlJc w:val="left"/>
      <w:pPr>
        <w:ind w:left="4320" w:hanging="720"/>
      </w:pPr>
      <w:rPr>
        <w:rFonts w:hint="default"/>
      </w:rPr>
    </w:lvl>
    <w:lvl w:ilvl="5">
      <w:start w:val="1"/>
      <w:numFmt w:val="lowerLetter"/>
      <w:pStyle w:val="PLEAD6"/>
      <w:lvlText w:val="%6)"/>
      <w:lvlJc w:val="left"/>
      <w:pPr>
        <w:ind w:left="504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582E25B2"/>
    <w:multiLevelType w:val="multilevel"/>
    <w:tmpl w:val="BCC44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03E8D"/>
    <w:multiLevelType w:val="multilevel"/>
    <w:tmpl w:val="C29A4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151D1"/>
    <w:multiLevelType w:val="multilevel"/>
    <w:tmpl w:val="1DE6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297517">
    <w:abstractNumId w:val="1"/>
  </w:num>
  <w:num w:numId="2" w16cid:durableId="1393236693">
    <w:abstractNumId w:val="3"/>
  </w:num>
  <w:num w:numId="3" w16cid:durableId="1211115926">
    <w:abstractNumId w:val="2"/>
  </w:num>
  <w:num w:numId="4" w16cid:durableId="2027291694">
    <w:abstractNumId w:val="0"/>
  </w:num>
  <w:num w:numId="5" w16cid:durableId="1873376572">
    <w:abstractNumId w:val="6"/>
  </w:num>
  <w:num w:numId="6" w16cid:durableId="393049561">
    <w:abstractNumId w:val="5"/>
  </w:num>
  <w:num w:numId="7" w16cid:durableId="70583914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56"/>
    <w:rsid w:val="00030A44"/>
    <w:rsid w:val="00035D9B"/>
    <w:rsid w:val="000469E9"/>
    <w:rsid w:val="0007076B"/>
    <w:rsid w:val="00073511"/>
    <w:rsid w:val="00086BA0"/>
    <w:rsid w:val="000A72A3"/>
    <w:rsid w:val="000E30AB"/>
    <w:rsid w:val="001323E9"/>
    <w:rsid w:val="00143FCB"/>
    <w:rsid w:val="0016497B"/>
    <w:rsid w:val="00183A4A"/>
    <w:rsid w:val="00196797"/>
    <w:rsid w:val="001A7970"/>
    <w:rsid w:val="001B179C"/>
    <w:rsid w:val="001B5C6B"/>
    <w:rsid w:val="001C09DA"/>
    <w:rsid w:val="001D2173"/>
    <w:rsid w:val="001F172C"/>
    <w:rsid w:val="001F1FC0"/>
    <w:rsid w:val="00233E9F"/>
    <w:rsid w:val="00234195"/>
    <w:rsid w:val="00244FB0"/>
    <w:rsid w:val="00255B1E"/>
    <w:rsid w:val="0026534E"/>
    <w:rsid w:val="00273DF1"/>
    <w:rsid w:val="002740C5"/>
    <w:rsid w:val="00296D5F"/>
    <w:rsid w:val="002C7A59"/>
    <w:rsid w:val="002D4577"/>
    <w:rsid w:val="002D7815"/>
    <w:rsid w:val="00317C93"/>
    <w:rsid w:val="0032596A"/>
    <w:rsid w:val="003270DC"/>
    <w:rsid w:val="00333AD9"/>
    <w:rsid w:val="00353D8F"/>
    <w:rsid w:val="00367D91"/>
    <w:rsid w:val="00373613"/>
    <w:rsid w:val="003829A9"/>
    <w:rsid w:val="00384C7C"/>
    <w:rsid w:val="00391630"/>
    <w:rsid w:val="00395C64"/>
    <w:rsid w:val="003C0929"/>
    <w:rsid w:val="003C4C43"/>
    <w:rsid w:val="003E1018"/>
    <w:rsid w:val="003E2399"/>
    <w:rsid w:val="004004AA"/>
    <w:rsid w:val="0041444B"/>
    <w:rsid w:val="0043464E"/>
    <w:rsid w:val="004663CE"/>
    <w:rsid w:val="0047209D"/>
    <w:rsid w:val="00473EAC"/>
    <w:rsid w:val="004C7F53"/>
    <w:rsid w:val="004E18BB"/>
    <w:rsid w:val="00517B3F"/>
    <w:rsid w:val="005700F8"/>
    <w:rsid w:val="005B0555"/>
    <w:rsid w:val="005B2E58"/>
    <w:rsid w:val="005C45E7"/>
    <w:rsid w:val="00602FCB"/>
    <w:rsid w:val="00607908"/>
    <w:rsid w:val="00626856"/>
    <w:rsid w:val="0064104A"/>
    <w:rsid w:val="0065680C"/>
    <w:rsid w:val="00674648"/>
    <w:rsid w:val="00695B97"/>
    <w:rsid w:val="00727A1E"/>
    <w:rsid w:val="00732DE9"/>
    <w:rsid w:val="007610C9"/>
    <w:rsid w:val="00771F8B"/>
    <w:rsid w:val="00794A1F"/>
    <w:rsid w:val="007C39A1"/>
    <w:rsid w:val="007C41B1"/>
    <w:rsid w:val="007D2529"/>
    <w:rsid w:val="0082361F"/>
    <w:rsid w:val="0082370C"/>
    <w:rsid w:val="00826DE4"/>
    <w:rsid w:val="00837DBB"/>
    <w:rsid w:val="00856793"/>
    <w:rsid w:val="00857930"/>
    <w:rsid w:val="0086595A"/>
    <w:rsid w:val="008A20FB"/>
    <w:rsid w:val="008A39DC"/>
    <w:rsid w:val="008A60BD"/>
    <w:rsid w:val="008C3AF5"/>
    <w:rsid w:val="008D1749"/>
    <w:rsid w:val="008F074F"/>
    <w:rsid w:val="008F68A1"/>
    <w:rsid w:val="008F6D1A"/>
    <w:rsid w:val="00902CE5"/>
    <w:rsid w:val="00907ECC"/>
    <w:rsid w:val="0092033B"/>
    <w:rsid w:val="00985DD7"/>
    <w:rsid w:val="009A5666"/>
    <w:rsid w:val="009B1DE3"/>
    <w:rsid w:val="009D05A7"/>
    <w:rsid w:val="009D433A"/>
    <w:rsid w:val="009F102E"/>
    <w:rsid w:val="00A11875"/>
    <w:rsid w:val="00A37B94"/>
    <w:rsid w:val="00A52A91"/>
    <w:rsid w:val="00A66695"/>
    <w:rsid w:val="00A745DF"/>
    <w:rsid w:val="00AB4B1F"/>
    <w:rsid w:val="00AE1DA4"/>
    <w:rsid w:val="00B01C60"/>
    <w:rsid w:val="00B0204F"/>
    <w:rsid w:val="00B06055"/>
    <w:rsid w:val="00B50F02"/>
    <w:rsid w:val="00B57E71"/>
    <w:rsid w:val="00B769F4"/>
    <w:rsid w:val="00B833FC"/>
    <w:rsid w:val="00BA4B49"/>
    <w:rsid w:val="00BC54BD"/>
    <w:rsid w:val="00BD7EC4"/>
    <w:rsid w:val="00BE3918"/>
    <w:rsid w:val="00BF0014"/>
    <w:rsid w:val="00BF6094"/>
    <w:rsid w:val="00C00CBB"/>
    <w:rsid w:val="00C32D4D"/>
    <w:rsid w:val="00CB32F3"/>
    <w:rsid w:val="00CB44E3"/>
    <w:rsid w:val="00CE4213"/>
    <w:rsid w:val="00CF3FEF"/>
    <w:rsid w:val="00D230BF"/>
    <w:rsid w:val="00D50ACF"/>
    <w:rsid w:val="00D56136"/>
    <w:rsid w:val="00D76549"/>
    <w:rsid w:val="00D83475"/>
    <w:rsid w:val="00DC1588"/>
    <w:rsid w:val="00DC17DF"/>
    <w:rsid w:val="00DE2DB6"/>
    <w:rsid w:val="00DE7B1A"/>
    <w:rsid w:val="00DF6551"/>
    <w:rsid w:val="00E0037B"/>
    <w:rsid w:val="00E03BB4"/>
    <w:rsid w:val="00E25EE9"/>
    <w:rsid w:val="00E416B7"/>
    <w:rsid w:val="00E50F68"/>
    <w:rsid w:val="00E85E6D"/>
    <w:rsid w:val="00ED1E28"/>
    <w:rsid w:val="00ED1E4E"/>
    <w:rsid w:val="00ED27A1"/>
    <w:rsid w:val="00F5020C"/>
    <w:rsid w:val="00F70DF8"/>
    <w:rsid w:val="00F71DDE"/>
    <w:rsid w:val="00F73A8B"/>
    <w:rsid w:val="00F73F3C"/>
    <w:rsid w:val="00F83A20"/>
    <w:rsid w:val="00F85EA7"/>
    <w:rsid w:val="00F86E1F"/>
    <w:rsid w:val="00F94921"/>
    <w:rsid w:val="00FA4D79"/>
    <w:rsid w:val="00FA672B"/>
    <w:rsid w:val="00FB77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C6BE1"/>
  <w15:chartTrackingRefBased/>
  <w15:docId w15:val="{63B60B11-A292-4EF6-8483-98046FD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8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268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2685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685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685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268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68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68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68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1">
    <w:name w:val="PLEAD1"/>
    <w:basedOn w:val="Normal"/>
    <w:rsid w:val="008A20FB"/>
    <w:pPr>
      <w:numPr>
        <w:numId w:val="2"/>
      </w:numPr>
      <w:tabs>
        <w:tab w:val="num" w:pos="360"/>
      </w:tabs>
      <w:spacing w:line="480" w:lineRule="auto"/>
      <w:ind w:firstLine="0"/>
    </w:pPr>
    <w:rPr>
      <w:rFonts w:eastAsia="MS Mincho" w:cs="Times New Roman"/>
      <w:szCs w:val="24"/>
      <w:lang w:eastAsia="ja-JP"/>
    </w:rPr>
  </w:style>
  <w:style w:type="paragraph" w:customStyle="1" w:styleId="PLEAD2">
    <w:name w:val="PLEAD2"/>
    <w:basedOn w:val="PLEAD1"/>
    <w:rsid w:val="008A20FB"/>
    <w:pPr>
      <w:numPr>
        <w:ilvl w:val="1"/>
      </w:numPr>
      <w:tabs>
        <w:tab w:val="num" w:pos="360"/>
      </w:tabs>
      <w:ind w:left="0" w:firstLine="0"/>
    </w:pPr>
  </w:style>
  <w:style w:type="paragraph" w:customStyle="1" w:styleId="PLEAD3">
    <w:name w:val="PLEAD3"/>
    <w:basedOn w:val="Normal"/>
    <w:rsid w:val="008A20FB"/>
    <w:pPr>
      <w:numPr>
        <w:ilvl w:val="2"/>
        <w:numId w:val="2"/>
      </w:numPr>
      <w:spacing w:line="480" w:lineRule="auto"/>
    </w:pPr>
    <w:rPr>
      <w:rFonts w:eastAsia="MS Mincho" w:cs="Times New Roman"/>
      <w:szCs w:val="24"/>
      <w:lang w:eastAsia="ja-JP"/>
    </w:rPr>
  </w:style>
  <w:style w:type="paragraph" w:customStyle="1" w:styleId="PLEAD4">
    <w:name w:val="PLEAD4"/>
    <w:basedOn w:val="PLEAD3"/>
    <w:rsid w:val="008A20FB"/>
    <w:pPr>
      <w:numPr>
        <w:ilvl w:val="3"/>
      </w:numPr>
    </w:pPr>
  </w:style>
  <w:style w:type="paragraph" w:customStyle="1" w:styleId="PLEAD5">
    <w:name w:val="PLEAD5"/>
    <w:basedOn w:val="PLEAD4"/>
    <w:rsid w:val="008A20FB"/>
    <w:pPr>
      <w:numPr>
        <w:ilvl w:val="4"/>
      </w:numPr>
    </w:pPr>
  </w:style>
  <w:style w:type="paragraph" w:customStyle="1" w:styleId="PLEAD6">
    <w:name w:val="PLEAD6"/>
    <w:basedOn w:val="PLEAD5"/>
    <w:rsid w:val="008A20FB"/>
    <w:pPr>
      <w:numPr>
        <w:ilvl w:val="5"/>
      </w:numPr>
    </w:pPr>
  </w:style>
  <w:style w:type="paragraph" w:customStyle="1" w:styleId="Roman1">
    <w:name w:val="Roman1"/>
    <w:basedOn w:val="Normal"/>
    <w:rsid w:val="00FA4D79"/>
    <w:pPr>
      <w:numPr>
        <w:numId w:val="1"/>
      </w:numPr>
      <w:spacing w:after="240"/>
    </w:pPr>
    <w:rPr>
      <w:rFonts w:eastAsia="MS Mincho" w:cs="Times New Roman"/>
      <w:szCs w:val="24"/>
      <w:lang w:eastAsia="ja-JP"/>
    </w:rPr>
  </w:style>
  <w:style w:type="paragraph" w:customStyle="1" w:styleId="Roman2">
    <w:name w:val="Roman2"/>
    <w:basedOn w:val="Normal"/>
    <w:rsid w:val="00FA4D79"/>
    <w:pPr>
      <w:numPr>
        <w:ilvl w:val="1"/>
        <w:numId w:val="1"/>
      </w:numPr>
      <w:spacing w:after="240"/>
    </w:pPr>
    <w:rPr>
      <w:rFonts w:eastAsia="MS Mincho" w:cs="Times New Roman"/>
      <w:szCs w:val="24"/>
      <w:lang w:eastAsia="ja-JP"/>
    </w:rPr>
  </w:style>
  <w:style w:type="paragraph" w:customStyle="1" w:styleId="Roman3">
    <w:name w:val="Roman3"/>
    <w:basedOn w:val="Normal"/>
    <w:rsid w:val="00FA4D79"/>
    <w:pPr>
      <w:numPr>
        <w:ilvl w:val="2"/>
        <w:numId w:val="1"/>
      </w:numPr>
      <w:spacing w:after="240"/>
    </w:pPr>
    <w:rPr>
      <w:rFonts w:eastAsia="MS Mincho" w:cs="Times New Roman"/>
      <w:szCs w:val="24"/>
      <w:lang w:eastAsia="ja-JP"/>
    </w:rPr>
  </w:style>
  <w:style w:type="paragraph" w:customStyle="1" w:styleId="Roman4">
    <w:name w:val="Roman4"/>
    <w:basedOn w:val="Normal"/>
    <w:rsid w:val="00FA4D79"/>
    <w:pPr>
      <w:numPr>
        <w:ilvl w:val="3"/>
        <w:numId w:val="1"/>
      </w:numPr>
      <w:spacing w:after="240"/>
    </w:pPr>
    <w:rPr>
      <w:rFonts w:eastAsia="MS Mincho" w:cs="Times New Roman"/>
      <w:szCs w:val="24"/>
      <w:lang w:eastAsia="ja-JP"/>
    </w:rPr>
  </w:style>
  <w:style w:type="paragraph" w:customStyle="1" w:styleId="Roman5">
    <w:name w:val="Roman5"/>
    <w:basedOn w:val="Normal"/>
    <w:rsid w:val="00FA4D79"/>
    <w:pPr>
      <w:numPr>
        <w:ilvl w:val="4"/>
        <w:numId w:val="1"/>
      </w:numPr>
      <w:spacing w:after="240"/>
    </w:pPr>
    <w:rPr>
      <w:rFonts w:eastAsia="MS Mincho" w:cs="Times New Roman"/>
      <w:szCs w:val="24"/>
      <w:lang w:eastAsia="ja-JP"/>
    </w:rPr>
  </w:style>
  <w:style w:type="paragraph" w:customStyle="1" w:styleId="Roman6">
    <w:name w:val="Roman6"/>
    <w:basedOn w:val="Normal"/>
    <w:rsid w:val="00FA4D79"/>
    <w:pPr>
      <w:numPr>
        <w:ilvl w:val="5"/>
        <w:numId w:val="1"/>
      </w:numPr>
      <w:spacing w:after="240"/>
    </w:pPr>
    <w:rPr>
      <w:rFonts w:eastAsia="MS Mincho" w:cs="Times New Roman"/>
      <w:szCs w:val="24"/>
      <w:lang w:eastAsia="ja-JP"/>
    </w:rPr>
  </w:style>
  <w:style w:type="paragraph" w:customStyle="1" w:styleId="Roman7">
    <w:name w:val="Roman7"/>
    <w:basedOn w:val="Normal"/>
    <w:rsid w:val="00FA4D79"/>
    <w:pPr>
      <w:numPr>
        <w:ilvl w:val="6"/>
        <w:numId w:val="1"/>
      </w:numPr>
      <w:spacing w:after="240"/>
    </w:pPr>
    <w:rPr>
      <w:rFonts w:eastAsia="MS Mincho" w:cs="Times New Roman"/>
      <w:szCs w:val="24"/>
      <w:lang w:eastAsia="ja-JP"/>
    </w:rPr>
  </w:style>
  <w:style w:type="paragraph" w:customStyle="1" w:styleId="Roman8">
    <w:name w:val="Roman8"/>
    <w:basedOn w:val="Normal"/>
    <w:rsid w:val="00FA4D79"/>
    <w:pPr>
      <w:numPr>
        <w:ilvl w:val="7"/>
        <w:numId w:val="1"/>
      </w:numPr>
      <w:spacing w:after="240"/>
    </w:pPr>
    <w:rPr>
      <w:rFonts w:eastAsia="MS Mincho" w:cs="Times New Roman"/>
      <w:szCs w:val="24"/>
      <w:lang w:eastAsia="ja-JP"/>
    </w:rPr>
  </w:style>
  <w:style w:type="paragraph" w:customStyle="1" w:styleId="Roman9">
    <w:name w:val="Roman9"/>
    <w:basedOn w:val="Normal"/>
    <w:rsid w:val="00FA4D79"/>
    <w:pPr>
      <w:numPr>
        <w:ilvl w:val="8"/>
        <w:numId w:val="1"/>
      </w:numPr>
      <w:spacing w:after="240"/>
    </w:pPr>
    <w:rPr>
      <w:rFonts w:eastAsia="MS Mincho" w:cs="Times New Roman"/>
      <w:szCs w:val="24"/>
      <w:lang w:eastAsia="ja-JP"/>
    </w:rPr>
  </w:style>
  <w:style w:type="paragraph" w:customStyle="1" w:styleId="DocID">
    <w:name w:val="DocID"/>
    <w:basedOn w:val="Footer"/>
    <w:next w:val="Footer"/>
    <w:link w:val="DocIDChar"/>
    <w:qFormat/>
    <w:rsid w:val="00E0037B"/>
  </w:style>
  <w:style w:type="character" w:customStyle="1" w:styleId="DocIDChar">
    <w:name w:val="DocID Char"/>
    <w:basedOn w:val="FooterChar"/>
    <w:link w:val="DocID"/>
    <w:rsid w:val="00E0037B"/>
  </w:style>
  <w:style w:type="paragraph" w:styleId="Footer">
    <w:name w:val="footer"/>
    <w:basedOn w:val="Normal"/>
    <w:link w:val="FooterChar"/>
    <w:uiPriority w:val="99"/>
    <w:unhideWhenUsed/>
    <w:rsid w:val="00E0037B"/>
    <w:pPr>
      <w:tabs>
        <w:tab w:val="center" w:pos="4680"/>
        <w:tab w:val="right" w:pos="9360"/>
      </w:tabs>
    </w:pPr>
  </w:style>
  <w:style w:type="character" w:customStyle="1" w:styleId="FooterChar">
    <w:name w:val="Footer Char"/>
    <w:basedOn w:val="DefaultParagraphFont"/>
    <w:link w:val="Footer"/>
    <w:uiPriority w:val="99"/>
    <w:rsid w:val="00E0037B"/>
  </w:style>
  <w:style w:type="character" w:customStyle="1" w:styleId="Heading1Char">
    <w:name w:val="Heading 1 Char"/>
    <w:basedOn w:val="DefaultParagraphFont"/>
    <w:link w:val="Heading1"/>
    <w:uiPriority w:val="9"/>
    <w:rsid w:val="006268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268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2685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685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2685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268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68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68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68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6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8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8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68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856"/>
    <w:rPr>
      <w:i/>
      <w:iCs/>
      <w:color w:val="404040" w:themeColor="text1" w:themeTint="BF"/>
    </w:rPr>
  </w:style>
  <w:style w:type="paragraph" w:styleId="ListParagraph">
    <w:name w:val="List Paragraph"/>
    <w:basedOn w:val="Normal"/>
    <w:uiPriority w:val="34"/>
    <w:qFormat/>
    <w:rsid w:val="00626856"/>
    <w:pPr>
      <w:ind w:left="720"/>
      <w:contextualSpacing/>
    </w:pPr>
  </w:style>
  <w:style w:type="character" w:styleId="IntenseEmphasis">
    <w:name w:val="Intense Emphasis"/>
    <w:basedOn w:val="DefaultParagraphFont"/>
    <w:uiPriority w:val="21"/>
    <w:qFormat/>
    <w:rsid w:val="00626856"/>
    <w:rPr>
      <w:i/>
      <w:iCs/>
      <w:color w:val="365F91" w:themeColor="accent1" w:themeShade="BF"/>
    </w:rPr>
  </w:style>
  <w:style w:type="paragraph" w:styleId="IntenseQuote">
    <w:name w:val="Intense Quote"/>
    <w:basedOn w:val="Normal"/>
    <w:next w:val="Normal"/>
    <w:link w:val="IntenseQuoteChar"/>
    <w:uiPriority w:val="30"/>
    <w:qFormat/>
    <w:rsid w:val="006268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6856"/>
    <w:rPr>
      <w:i/>
      <w:iCs/>
      <w:color w:val="365F91" w:themeColor="accent1" w:themeShade="BF"/>
    </w:rPr>
  </w:style>
  <w:style w:type="character" w:styleId="IntenseReference">
    <w:name w:val="Intense Reference"/>
    <w:basedOn w:val="DefaultParagraphFont"/>
    <w:uiPriority w:val="32"/>
    <w:qFormat/>
    <w:rsid w:val="00626856"/>
    <w:rPr>
      <w:b/>
      <w:bCs/>
      <w:smallCaps/>
      <w:color w:val="365F91" w:themeColor="accent1" w:themeShade="BF"/>
      <w:spacing w:val="5"/>
    </w:rPr>
  </w:style>
  <w:style w:type="paragraph" w:styleId="Header">
    <w:name w:val="header"/>
    <w:basedOn w:val="Normal"/>
    <w:link w:val="HeaderChar"/>
    <w:uiPriority w:val="99"/>
    <w:unhideWhenUsed/>
    <w:rsid w:val="0065680C"/>
    <w:pPr>
      <w:tabs>
        <w:tab w:val="center" w:pos="4680"/>
        <w:tab w:val="right" w:pos="9360"/>
      </w:tabs>
    </w:pPr>
  </w:style>
  <w:style w:type="character" w:customStyle="1" w:styleId="HeaderChar">
    <w:name w:val="Header Char"/>
    <w:basedOn w:val="DefaultParagraphFont"/>
    <w:link w:val="Header"/>
    <w:uiPriority w:val="99"/>
    <w:rsid w:val="0065680C"/>
  </w:style>
  <w:style w:type="character" w:styleId="Hyperlink">
    <w:name w:val="Hyperlink"/>
    <w:basedOn w:val="DefaultParagraphFont"/>
    <w:uiPriority w:val="99"/>
    <w:unhideWhenUsed/>
    <w:rsid w:val="00E50F68"/>
    <w:rPr>
      <w:color w:val="0000FF" w:themeColor="hyperlink"/>
      <w:u w:val="single"/>
    </w:rPr>
  </w:style>
  <w:style w:type="character" w:styleId="UnresolvedMention">
    <w:name w:val="Unresolved Mention"/>
    <w:basedOn w:val="DefaultParagraphFont"/>
    <w:uiPriority w:val="99"/>
    <w:semiHidden/>
    <w:unhideWhenUsed/>
    <w:rsid w:val="00E50F68"/>
    <w:rPr>
      <w:color w:val="605E5C"/>
      <w:shd w:val="clear" w:color="auto" w:fill="E1DFDD"/>
    </w:rPr>
  </w:style>
  <w:style w:type="paragraph" w:styleId="Date">
    <w:name w:val="Date"/>
    <w:basedOn w:val="Normal"/>
    <w:next w:val="Normal"/>
    <w:link w:val="DateChar"/>
    <w:uiPriority w:val="99"/>
    <w:semiHidden/>
    <w:unhideWhenUsed/>
    <w:rsid w:val="00AE1DA4"/>
  </w:style>
  <w:style w:type="character" w:customStyle="1" w:styleId="DateChar">
    <w:name w:val="Date Char"/>
    <w:basedOn w:val="DefaultParagraphFont"/>
    <w:link w:val="Date"/>
    <w:uiPriority w:val="99"/>
    <w:semiHidden/>
    <w:rsid w:val="00AE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rs.gov"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kbilderback@sandbergphoenix.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LIB1!42131284.1</documentid>
  <senderid>KBILDERB</senderid>
  <senderemail>KBILDERBACK@SANDBERGPHOENIX.COM</senderemail>
  <lastmodified>2026-02-09T07:46:00.0000000-06:00</lastmodified>
  <database>LIB1</database>
</properties>
</file>

<file path=customXML/itemProps.xml><?xml version="1.0" encoding="utf-8"?>
<ds:datastoreItem xmlns:ds="http://schemas.openxmlformats.org/officeDocument/2006/customXml" ds:itemID="{D4BAB0B4-E6B8-49FC-9AF2-1D224737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1563</Words>
  <Characters>8471</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 Bilderback</dc:creator>
  <cp:keywords/>
  <dc:description/>
  <cp:lastModifiedBy>Kathleen W. Bilderback</cp:lastModifiedBy>
  <cp:revision>7</cp:revision>
  <dcterms:created xsi:type="dcterms:W3CDTF">2025-11-07T16:36:00Z</dcterms:created>
  <dcterms:modified xsi:type="dcterms:W3CDTF">2026-02-09T13:46:00Z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42131284.v1</vt:lpwstr>
  </property>
  <property fmtid="{D5CDD505-2E9C-101B-9397-08002B2CF9AE}" pid="3" name="CUS_DocIDChunk0">
    <vt:lpwstr>42131284.v1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