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F10B9" w14:textId="312E5C9A" w:rsidR="0048203F" w:rsidRPr="00D00BCB" w:rsidRDefault="0048203F" w:rsidP="00D00BCB">
      <w:pPr>
        <w:pStyle w:val="Heading1"/>
        <w:jc w:val="center"/>
        <w:rPr>
          <w:rFonts w:ascii="Times New Roman" w:hAnsi="Times New Roman" w:cs="Times New Roman"/>
        </w:rPr>
      </w:pPr>
      <w:r w:rsidRPr="00D00BCB">
        <w:rPr>
          <w:rFonts w:ascii="Times New Roman" w:hAnsi="Times New Roman" w:cs="Times New Roman"/>
        </w:rPr>
        <w:t xml:space="preserve">OBBBA: Inside the Toolbox: Advanced Ideas in Estate, </w:t>
      </w:r>
      <w:r w:rsidR="000A0CDA" w:rsidRPr="00D00BCB">
        <w:rPr>
          <w:rFonts w:ascii="Times New Roman" w:hAnsi="Times New Roman" w:cs="Times New Roman"/>
        </w:rPr>
        <w:t xml:space="preserve">Income </w:t>
      </w:r>
      <w:r w:rsidRPr="00D00BCB">
        <w:rPr>
          <w:rFonts w:ascii="Times New Roman" w:hAnsi="Times New Roman" w:cs="Times New Roman"/>
        </w:rPr>
        <w:t>Tax, and Charitable Planning</w:t>
      </w:r>
    </w:p>
    <w:p w14:paraId="714F9040" w14:textId="77777777" w:rsidR="00536115" w:rsidRDefault="00536115" w:rsidP="0048203F">
      <w:pPr>
        <w:pStyle w:val="ListParagraph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C5ED460" w14:textId="621E38E2" w:rsidR="00D00BCB" w:rsidRPr="007A7A2A" w:rsidRDefault="00D00BCB" w:rsidP="007A7A2A">
      <w:pPr>
        <w:pStyle w:val="ListParagraph"/>
        <w:rPr>
          <w:rFonts w:ascii="Times New Roman" w:hAnsi="Times New Roman" w:cs="Times New Roman"/>
          <w:smallCaps/>
          <w:color w:val="5A5A5A" w:themeColor="text1" w:themeTint="A5"/>
        </w:rPr>
      </w:pPr>
      <w:r>
        <w:rPr>
          <w:rStyle w:val="SubtleReference"/>
          <w:rFonts w:ascii="Times New Roman" w:hAnsi="Times New Roman" w:cs="Times New Roman"/>
        </w:rPr>
        <w:t xml:space="preserve">                                                         </w:t>
      </w:r>
      <w:r w:rsidR="00536115" w:rsidRPr="001A76B6">
        <w:rPr>
          <w:rStyle w:val="SubtleReference"/>
          <w:rFonts w:ascii="Times New Roman" w:hAnsi="Times New Roman" w:cs="Times New Roman"/>
        </w:rPr>
        <w:t>Gregory Gadarian and Herbert Hoffman</w:t>
      </w:r>
    </w:p>
    <w:p w14:paraId="70D98687" w14:textId="2015820B" w:rsidR="00536115" w:rsidRPr="00D00BCB" w:rsidRDefault="00E04639" w:rsidP="00D00BCB">
      <w:pPr>
        <w:pStyle w:val="IntenseQuote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D00BC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1. Upstream Planning </w:t>
      </w:r>
      <w:r w:rsidR="000A0CDA" w:rsidRPr="00D00BCB">
        <w:rPr>
          <w:rFonts w:ascii="Times New Roman" w:hAnsi="Times New Roman" w:cs="Times New Roman"/>
          <w:i w:val="0"/>
          <w:iCs w:val="0"/>
          <w:sz w:val="24"/>
          <w:szCs w:val="24"/>
        </w:rPr>
        <w:t>(Is death a tax loophole?)</w:t>
      </w:r>
    </w:p>
    <w:p w14:paraId="4BA64334" w14:textId="3D68999A" w:rsidR="0048203F" w:rsidRPr="000A2321" w:rsidRDefault="00E04639" w:rsidP="00D00BCB">
      <w:pPr>
        <w:pStyle w:val="ListParagraph"/>
        <w:ind w:left="864"/>
        <w:jc w:val="both"/>
        <w:rPr>
          <w:rFonts w:ascii="Times New Roman" w:hAnsi="Times New Roman" w:cs="Times New Roman"/>
          <w:sz w:val="24"/>
          <w:szCs w:val="24"/>
        </w:rPr>
      </w:pPr>
      <w:r w:rsidRPr="00D00BCB">
        <w:rPr>
          <w:rFonts w:ascii="Times New Roman" w:hAnsi="Times New Roman" w:cs="Times New Roman"/>
          <w:b/>
          <w:bCs/>
          <w:sz w:val="24"/>
          <w:szCs w:val="24"/>
          <w:u w:val="single"/>
        </w:rPr>
        <w:t>Concept:</w:t>
      </w:r>
      <w:r w:rsidRPr="001A76B6">
        <w:rPr>
          <w:rFonts w:ascii="Times New Roman" w:hAnsi="Times New Roman" w:cs="Times New Roman"/>
          <w:color w:val="156082" w:themeColor="accent1"/>
          <w:sz w:val="24"/>
          <w:szCs w:val="24"/>
        </w:rPr>
        <w:t xml:space="preserve"> </w:t>
      </w:r>
      <w:r w:rsidRPr="000A2321">
        <w:rPr>
          <w:rFonts w:ascii="Times New Roman" w:hAnsi="Times New Roman" w:cs="Times New Roman"/>
          <w:sz w:val="24"/>
          <w:szCs w:val="24"/>
        </w:rPr>
        <w:t>Transfer appreciated assets “up” to an older generation (e.g., parent) so the asset is included in that person’s estate and can receive a basis adjustment at death, then pass</w:t>
      </w:r>
      <w:r w:rsidR="0048203F" w:rsidRPr="000A2321">
        <w:rPr>
          <w:rFonts w:ascii="Times New Roman" w:hAnsi="Times New Roman" w:cs="Times New Roman"/>
          <w:sz w:val="24"/>
          <w:szCs w:val="24"/>
        </w:rPr>
        <w:t>es</w:t>
      </w:r>
      <w:r w:rsidRPr="000A2321">
        <w:rPr>
          <w:rFonts w:ascii="Times New Roman" w:hAnsi="Times New Roman" w:cs="Times New Roman"/>
          <w:sz w:val="24"/>
          <w:szCs w:val="24"/>
        </w:rPr>
        <w:t xml:space="preserve"> back down </w:t>
      </w:r>
      <w:r w:rsidR="0048203F" w:rsidRPr="000A2321">
        <w:rPr>
          <w:rFonts w:ascii="Times New Roman" w:hAnsi="Times New Roman" w:cs="Times New Roman"/>
          <w:sz w:val="24"/>
          <w:szCs w:val="24"/>
        </w:rPr>
        <w:t>to the donor</w:t>
      </w:r>
      <w:r w:rsidRPr="000A232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005611E" w14:textId="4AC6196B" w:rsidR="0048203F" w:rsidRPr="000A2321" w:rsidRDefault="0048203F" w:rsidP="00D00BCB">
      <w:pPr>
        <w:pStyle w:val="ListParagraph"/>
        <w:ind w:left="864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0A2321">
        <w:rPr>
          <w:rFonts w:ascii="Times New Roman" w:hAnsi="Times New Roman" w:cs="Times New Roman"/>
          <w:sz w:val="24"/>
          <w:szCs w:val="24"/>
        </w:rPr>
        <w:t>Best planning model is to transfer the assets to a grantor trust and granting the parent a general power of appointment (IRC §2041)</w:t>
      </w:r>
    </w:p>
    <w:p w14:paraId="268029E6" w14:textId="496B9E47" w:rsidR="0048203F" w:rsidRPr="000A2321" w:rsidRDefault="0048203F" w:rsidP="00D00BCB">
      <w:pPr>
        <w:pStyle w:val="ListParagraph"/>
        <w:ind w:left="864"/>
        <w:jc w:val="both"/>
        <w:rPr>
          <w:rFonts w:ascii="Times New Roman" w:hAnsi="Times New Roman" w:cs="Times New Roman"/>
          <w:sz w:val="24"/>
          <w:szCs w:val="24"/>
        </w:rPr>
      </w:pPr>
    </w:p>
    <w:p w14:paraId="43C57CB6" w14:textId="446D0C5D" w:rsidR="00E04639" w:rsidRPr="000A2321" w:rsidRDefault="00E04639" w:rsidP="00D00BCB">
      <w:pPr>
        <w:pStyle w:val="ListParagraph"/>
        <w:ind w:left="864"/>
        <w:jc w:val="both"/>
        <w:rPr>
          <w:rFonts w:ascii="Times New Roman" w:hAnsi="Times New Roman" w:cs="Times New Roman"/>
          <w:sz w:val="24"/>
          <w:szCs w:val="24"/>
        </w:rPr>
      </w:pPr>
      <w:r w:rsidRPr="000A2321">
        <w:rPr>
          <w:rFonts w:ascii="Times New Roman" w:hAnsi="Times New Roman" w:cs="Times New Roman"/>
          <w:sz w:val="24"/>
          <w:szCs w:val="24"/>
        </w:rPr>
        <w:t>The general basis rule for property acquired from a decedent is fair market value at death. (IRC §1014(a))</w:t>
      </w:r>
    </w:p>
    <w:p w14:paraId="5A5EFC3B" w14:textId="77777777" w:rsidR="0048203F" w:rsidRPr="000A2321" w:rsidRDefault="0048203F" w:rsidP="00D00BCB">
      <w:pPr>
        <w:pStyle w:val="ListParagraph"/>
        <w:ind w:left="864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5CF6DAEA" w14:textId="698AA5DF" w:rsidR="00E04639" w:rsidRPr="000A2321" w:rsidRDefault="00E04639" w:rsidP="00D00BCB">
      <w:pPr>
        <w:pStyle w:val="ListParagraph"/>
        <w:spacing w:line="256" w:lineRule="auto"/>
        <w:ind w:left="864"/>
        <w:contextualSpacing w:val="0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D00BCB">
        <w:rPr>
          <w:rFonts w:ascii="Times New Roman" w:hAnsi="Times New Roman" w:cs="Times New Roman"/>
          <w:b/>
          <w:bCs/>
          <w:sz w:val="24"/>
          <w:szCs w:val="24"/>
          <w:u w:val="single"/>
        </w:rPr>
        <w:t>When it works best:</w:t>
      </w:r>
      <w:r w:rsidRPr="000A2321">
        <w:rPr>
          <w:rFonts w:ascii="Times New Roman" w:hAnsi="Times New Roman" w:cs="Times New Roman"/>
          <w:sz w:val="24"/>
          <w:szCs w:val="24"/>
        </w:rPr>
        <w:t xml:space="preserve"> Highly appreciated assets; older family member with estate tax capacity</w:t>
      </w:r>
      <w:r w:rsidR="00EF6237" w:rsidRPr="000A2321">
        <w:rPr>
          <w:rFonts w:ascii="Times New Roman" w:hAnsi="Times New Roman" w:cs="Times New Roman"/>
          <w:sz w:val="24"/>
          <w:szCs w:val="24"/>
        </w:rPr>
        <w:t xml:space="preserve"> (</w:t>
      </w:r>
      <w:r w:rsidRPr="000A2321">
        <w:rPr>
          <w:rFonts w:ascii="Times New Roman" w:hAnsi="Times New Roman" w:cs="Times New Roman"/>
          <w:sz w:val="24"/>
          <w:szCs w:val="24"/>
        </w:rPr>
        <w:t>unused exemption</w:t>
      </w:r>
      <w:r w:rsidR="00EF6237" w:rsidRPr="000A2321">
        <w:rPr>
          <w:rFonts w:ascii="Times New Roman" w:hAnsi="Times New Roman" w:cs="Times New Roman"/>
          <w:sz w:val="24"/>
          <w:szCs w:val="24"/>
        </w:rPr>
        <w:t>)</w:t>
      </w:r>
      <w:r w:rsidRPr="000A2321">
        <w:rPr>
          <w:rFonts w:ascii="Times New Roman" w:hAnsi="Times New Roman" w:cs="Times New Roman"/>
          <w:sz w:val="24"/>
          <w:szCs w:val="24"/>
        </w:rPr>
        <w:t>.</w:t>
      </w:r>
    </w:p>
    <w:p w14:paraId="580480F5" w14:textId="578ED5E9" w:rsidR="00E04639" w:rsidRPr="000A2321" w:rsidRDefault="00E04639" w:rsidP="00D00BCB">
      <w:pPr>
        <w:pStyle w:val="ListParagraph"/>
        <w:spacing w:line="256" w:lineRule="auto"/>
        <w:ind w:left="864"/>
        <w:contextualSpacing w:val="0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D00BCB">
        <w:rPr>
          <w:rFonts w:ascii="Times New Roman" w:hAnsi="Times New Roman" w:cs="Times New Roman"/>
          <w:b/>
          <w:bCs/>
          <w:sz w:val="24"/>
          <w:szCs w:val="24"/>
          <w:u w:val="single"/>
        </w:rPr>
        <w:t>Key constraint (“</w:t>
      </w:r>
      <w:r w:rsidR="0048203F" w:rsidRPr="00D00BCB">
        <w:rPr>
          <w:rFonts w:ascii="Times New Roman" w:hAnsi="Times New Roman" w:cs="Times New Roman"/>
          <w:b/>
          <w:bCs/>
          <w:sz w:val="24"/>
          <w:szCs w:val="24"/>
          <w:u w:val="single"/>
        </w:rPr>
        <w:t>one-year</w:t>
      </w:r>
      <w:r w:rsidRPr="00D00BCB">
        <w:rPr>
          <w:rFonts w:ascii="Times New Roman" w:hAnsi="Times New Roman" w:cs="Times New Roman"/>
          <w:b/>
          <w:bCs/>
          <w:sz w:val="24"/>
          <w:szCs w:val="24"/>
          <w:u w:val="single"/>
        </w:rPr>
        <w:t>” rule):</w:t>
      </w:r>
      <w:r w:rsidRPr="000A2321">
        <w:rPr>
          <w:rFonts w:ascii="Times New Roman" w:hAnsi="Times New Roman" w:cs="Times New Roman"/>
          <w:sz w:val="24"/>
          <w:szCs w:val="24"/>
        </w:rPr>
        <w:t xml:space="preserve"> No step-up if (i) appreciated property is acquired by the decedent by</w:t>
      </w:r>
      <w:r w:rsidRPr="000A232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gift </w:t>
      </w:r>
      <w:r w:rsidRPr="000A2321">
        <w:rPr>
          <w:rFonts w:ascii="Times New Roman" w:hAnsi="Times New Roman" w:cs="Times New Roman"/>
          <w:sz w:val="24"/>
          <w:szCs w:val="24"/>
        </w:rPr>
        <w:t xml:space="preserve">from the donor within 1 year of death </w:t>
      </w:r>
      <w:r w:rsidRPr="000A2321">
        <w:rPr>
          <w:rFonts w:ascii="Times New Roman" w:hAnsi="Times New Roman" w:cs="Times New Roman"/>
          <w:i/>
          <w:iCs/>
          <w:sz w:val="24"/>
          <w:szCs w:val="24"/>
        </w:rPr>
        <w:t>and</w:t>
      </w:r>
      <w:r w:rsidRPr="000A2321">
        <w:rPr>
          <w:rFonts w:ascii="Times New Roman" w:hAnsi="Times New Roman" w:cs="Times New Roman"/>
          <w:sz w:val="24"/>
          <w:szCs w:val="24"/>
        </w:rPr>
        <w:t xml:space="preserve"> (ii) the property returns </w:t>
      </w:r>
      <w:r w:rsidRPr="000A2321">
        <w:rPr>
          <w:rFonts w:ascii="Times New Roman" w:hAnsi="Times New Roman" w:cs="Times New Roman"/>
          <w:b/>
          <w:bCs/>
          <w:i/>
          <w:iCs/>
          <w:sz w:val="24"/>
          <w:szCs w:val="24"/>
        </w:rPr>
        <w:t>to the donor (or donor’s spouse)</w:t>
      </w:r>
      <w:r w:rsidRPr="000A2321">
        <w:rPr>
          <w:rFonts w:ascii="Times New Roman" w:hAnsi="Times New Roman" w:cs="Times New Roman"/>
          <w:sz w:val="24"/>
          <w:szCs w:val="24"/>
        </w:rPr>
        <w:t xml:space="preserve"> as a bequest/devise/inheritance. (IRC §1014(e))</w:t>
      </w:r>
    </w:p>
    <w:p w14:paraId="195137AC" w14:textId="2449EECD" w:rsidR="00EF6237" w:rsidRPr="000A2321" w:rsidRDefault="00EF6237" w:rsidP="00D00BCB">
      <w:pPr>
        <w:pStyle w:val="ListParagraph"/>
        <w:spacing w:line="256" w:lineRule="auto"/>
        <w:ind w:left="864"/>
        <w:contextualSpacing w:val="0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D00BCB">
        <w:rPr>
          <w:rFonts w:ascii="Times New Roman" w:hAnsi="Times New Roman" w:cs="Times New Roman"/>
          <w:b/>
          <w:bCs/>
          <w:sz w:val="24"/>
          <w:szCs w:val="24"/>
          <w:u w:val="single"/>
        </w:rPr>
        <w:t>I</w:t>
      </w:r>
      <w:r w:rsidR="00E04639" w:rsidRPr="00D00BCB">
        <w:rPr>
          <w:rFonts w:ascii="Times New Roman" w:hAnsi="Times New Roman" w:cs="Times New Roman"/>
          <w:b/>
          <w:bCs/>
          <w:sz w:val="24"/>
          <w:szCs w:val="24"/>
          <w:u w:val="single"/>
        </w:rPr>
        <w:t>mplementation</w:t>
      </w:r>
      <w:r w:rsidR="00B43A51" w:rsidRPr="00D00BCB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 w:rsidR="00B43A51" w:rsidRPr="000A23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43A51" w:rsidRPr="000A2321">
        <w:rPr>
          <w:rFonts w:ascii="Times New Roman" w:hAnsi="Times New Roman" w:cs="Times New Roman"/>
          <w:sz w:val="24"/>
          <w:szCs w:val="24"/>
        </w:rPr>
        <w:t>Sell</w:t>
      </w:r>
      <w:r w:rsidR="0048203F" w:rsidRPr="000A2321">
        <w:rPr>
          <w:rFonts w:ascii="Times New Roman" w:hAnsi="Times New Roman" w:cs="Times New Roman"/>
          <w:sz w:val="24"/>
          <w:szCs w:val="24"/>
        </w:rPr>
        <w:t xml:space="preserve"> asset to the grantor trust and a</w:t>
      </w:r>
      <w:r w:rsidR="00E04639" w:rsidRPr="000A2321">
        <w:rPr>
          <w:rFonts w:ascii="Times New Roman" w:hAnsi="Times New Roman" w:cs="Times New Roman"/>
          <w:sz w:val="24"/>
          <w:szCs w:val="24"/>
        </w:rPr>
        <w:t>void a direct return to the original donor (or donor’s spouse) within the 1-year window; consider alternate beneficiaries</w:t>
      </w:r>
      <w:proofErr w:type="gramStart"/>
      <w:r w:rsidRPr="000A2321">
        <w:rPr>
          <w:rFonts w:ascii="Times New Roman" w:hAnsi="Times New Roman" w:cs="Times New Roman"/>
          <w:sz w:val="24"/>
          <w:szCs w:val="24"/>
        </w:rPr>
        <w:t xml:space="preserve">. </w:t>
      </w:r>
      <w:r w:rsidR="00E04639" w:rsidRPr="000A2321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14:paraId="789DAF2E" w14:textId="6E728E00" w:rsidR="005109A3" w:rsidRPr="00D00BCB" w:rsidRDefault="0048203F" w:rsidP="00D00BCB">
      <w:pPr>
        <w:pStyle w:val="ListParagraph"/>
        <w:spacing w:line="256" w:lineRule="auto"/>
        <w:ind w:left="864"/>
        <w:contextualSpacing w:val="0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0A2321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A sale of the assets to the grantor trust locks in the value of the assets which will be returned to the donor</w:t>
      </w:r>
      <w:proofErr w:type="gramStart"/>
      <w:r w:rsidRPr="000A2321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.  </w:t>
      </w:r>
      <w:proofErr w:type="gramEnd"/>
      <w:r w:rsidRPr="000A2321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Excess value goes to another family member as such as a child.</w:t>
      </w:r>
    </w:p>
    <w:p w14:paraId="1D0CF70E" w14:textId="1EE6FE87" w:rsidR="007D2F2A" w:rsidRPr="00D00BCB" w:rsidRDefault="00E04639" w:rsidP="00D00BCB">
      <w:pPr>
        <w:pStyle w:val="IntenseQuote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D00BCB">
        <w:rPr>
          <w:rFonts w:ascii="Times New Roman" w:hAnsi="Times New Roman" w:cs="Times New Roman"/>
          <w:i w:val="0"/>
          <w:iCs w:val="0"/>
          <w:sz w:val="24"/>
          <w:szCs w:val="24"/>
        </w:rPr>
        <w:t>2. Name a CRUT as Beneficiary of an IRA</w:t>
      </w:r>
      <w:r w:rsidR="00130193" w:rsidRPr="00D00BCB">
        <w:rPr>
          <w:rStyle w:val="FootnoteReference"/>
          <w:rFonts w:ascii="Times New Roman" w:hAnsi="Times New Roman" w:cs="Times New Roman"/>
          <w:b/>
          <w:bCs/>
          <w:i w:val="0"/>
          <w:iCs w:val="0"/>
          <w:sz w:val="24"/>
          <w:szCs w:val="24"/>
        </w:rPr>
        <w:footnoteReference w:id="1"/>
      </w:r>
    </w:p>
    <w:p w14:paraId="29D8245D" w14:textId="77777777" w:rsidR="007D2F2A" w:rsidRDefault="007D2F2A" w:rsidP="000A0CDA">
      <w:pPr>
        <w:pStyle w:val="ListParagraph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0A2321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The </w:t>
      </w:r>
      <w:r w:rsidRPr="000A2321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SECURE Act</w:t>
      </w:r>
      <w:r w:rsidRPr="000A2321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(2019) and </w:t>
      </w:r>
      <w:r w:rsidRPr="000A2321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SECURE 2.0</w:t>
      </w:r>
      <w:r w:rsidRPr="000A2321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(2022) significantly altered the rules for inherited IRAs, particularly for non-spouse beneficiaries. These changes </w:t>
      </w:r>
      <w:proofErr w:type="gramStart"/>
      <w:r w:rsidRPr="000A2321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largely eliminated</w:t>
      </w:r>
      <w:proofErr w:type="gramEnd"/>
      <w:r w:rsidRPr="000A2321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the "stretch IRA" strategy that existed before 2020.</w:t>
      </w:r>
    </w:p>
    <w:p w14:paraId="2BCF7BA4" w14:textId="77777777" w:rsidR="00D00BCB" w:rsidRPr="000A2321" w:rsidRDefault="00D00BCB" w:rsidP="000A0CDA">
      <w:pPr>
        <w:pStyle w:val="ListParagraph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7B766394" w14:textId="0ED4FAA7" w:rsidR="007D2F2A" w:rsidRDefault="007D2F2A" w:rsidP="000A0CDA">
      <w:pPr>
        <w:pStyle w:val="ListParagraph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79D9B15A" w14:textId="77777777" w:rsidR="007A7A2A" w:rsidRDefault="007A7A2A" w:rsidP="000A0CDA">
      <w:pPr>
        <w:pStyle w:val="ListParagraph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522EAC90" w14:textId="77777777" w:rsidR="007A7A2A" w:rsidRPr="000A2321" w:rsidRDefault="007A7A2A" w:rsidP="000A0CDA">
      <w:pPr>
        <w:pStyle w:val="ListParagraph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63F7CC9D" w14:textId="77777777" w:rsidR="007D2F2A" w:rsidRPr="00D00BCB" w:rsidRDefault="007D2F2A" w:rsidP="000A0CDA">
      <w:pPr>
        <w:pStyle w:val="ListParagraph"/>
        <w:jc w:val="both"/>
        <w:rPr>
          <w:rFonts w:ascii="Times New Roman" w:hAnsi="Times New Roman" w:cs="Times New Roman"/>
          <w:b/>
          <w:bCs/>
          <w:kern w:val="2"/>
          <w:sz w:val="24"/>
          <w:szCs w:val="24"/>
          <w:u w:val="single"/>
          <w14:ligatures w14:val="standardContextual"/>
        </w:rPr>
      </w:pPr>
      <w:r w:rsidRPr="00D00BCB">
        <w:rPr>
          <w:rFonts w:ascii="Times New Roman" w:hAnsi="Times New Roman" w:cs="Times New Roman"/>
          <w:b/>
          <w:bCs/>
          <w:kern w:val="2"/>
          <w:sz w:val="24"/>
          <w:szCs w:val="24"/>
          <w:u w:val="single"/>
          <w14:ligatures w14:val="standardContextual"/>
        </w:rPr>
        <w:lastRenderedPageBreak/>
        <w:t>Pre-SECURE Act Rules (for deaths before 2020)</w:t>
      </w:r>
    </w:p>
    <w:p w14:paraId="34719228" w14:textId="77777777" w:rsidR="007D2F2A" w:rsidRPr="000A2321" w:rsidRDefault="007D2F2A" w:rsidP="000A0CDA">
      <w:pPr>
        <w:pStyle w:val="ListParagraph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0A2321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Non-spouse beneficiaries (such as adult children) could generally "stretch" distributions over their own life expectancy. This allowed smaller annual required minimum distributions (RMDs), prolonged tax-deferred growth inside the IRA, and potentially lower overall income taxes by spreading withdrawals over decades.</w:t>
      </w:r>
    </w:p>
    <w:p w14:paraId="631F8D70" w14:textId="77777777" w:rsidR="007D2F2A" w:rsidRPr="000A2321" w:rsidRDefault="007D2F2A" w:rsidP="000A0CDA">
      <w:pPr>
        <w:pStyle w:val="ListParagraph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0400CA53" w14:textId="77777777" w:rsidR="007D2F2A" w:rsidRPr="00D00BCB" w:rsidRDefault="007D2F2A" w:rsidP="000A0CDA">
      <w:pPr>
        <w:pStyle w:val="ListParagraph"/>
        <w:jc w:val="both"/>
        <w:rPr>
          <w:rFonts w:ascii="Times New Roman" w:hAnsi="Times New Roman" w:cs="Times New Roman"/>
          <w:b/>
          <w:bCs/>
          <w:kern w:val="2"/>
          <w:sz w:val="24"/>
          <w:szCs w:val="24"/>
          <w:u w:val="single"/>
          <w14:ligatures w14:val="standardContextual"/>
        </w:rPr>
      </w:pPr>
      <w:r w:rsidRPr="00D00BCB">
        <w:rPr>
          <w:rFonts w:ascii="Times New Roman" w:hAnsi="Times New Roman" w:cs="Times New Roman"/>
          <w:b/>
          <w:bCs/>
          <w:kern w:val="2"/>
          <w:sz w:val="24"/>
          <w:szCs w:val="24"/>
          <w:u w:val="single"/>
          <w14:ligatures w14:val="standardContextual"/>
        </w:rPr>
        <w:t>Post-SECURE Act Rules (for deaths in 2020 or later)</w:t>
      </w:r>
    </w:p>
    <w:p w14:paraId="37D67A3F" w14:textId="77777777" w:rsidR="007D2F2A" w:rsidRPr="000A2321" w:rsidRDefault="007D2F2A" w:rsidP="000A0CDA">
      <w:pPr>
        <w:pStyle w:val="ListParagraph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0A2321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Most non-spouse beneficiaries are now classified as non-eligible designated beneficiaries.</w:t>
      </w:r>
    </w:p>
    <w:p w14:paraId="2D5E71B3" w14:textId="3A1C8905" w:rsidR="007D2F2A" w:rsidRPr="000A2321" w:rsidRDefault="007D2F2A" w:rsidP="000A0CDA">
      <w:pPr>
        <w:pStyle w:val="ListParagraph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0A2321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They must follow the </w:t>
      </w:r>
      <w:r w:rsidRPr="000A2321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10-year rule</w:t>
      </w:r>
      <w:r w:rsidRPr="000A2321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: the entire inherited IRA balance must be fully withdrawn by December 31 of the 10th year following the original owner's death.</w:t>
      </w:r>
    </w:p>
    <w:p w14:paraId="6F03DCF6" w14:textId="77777777" w:rsidR="00130193" w:rsidRPr="000A2321" w:rsidRDefault="00130193" w:rsidP="000A0CDA">
      <w:pPr>
        <w:pStyle w:val="ListParagraph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50DEAE31" w14:textId="77777777" w:rsidR="007D2F2A" w:rsidRPr="000A2321" w:rsidRDefault="007D2F2A" w:rsidP="000A0CDA">
      <w:pPr>
        <w:pStyle w:val="ListParagraph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0A2321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ab/>
        <w:t xml:space="preserve">If the original owner died </w:t>
      </w:r>
      <w:r w:rsidRPr="000A2321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before</w:t>
      </w:r>
      <w:r w:rsidRPr="000A2321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their required beginning date (RBD) for RMDs, no annual </w:t>
      </w:r>
      <w:r w:rsidRPr="000A2321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ab/>
        <w:t xml:space="preserve">RMDs are required during the 10 years (though the full depletion </w:t>
      </w:r>
      <w:proofErr w:type="gramStart"/>
      <w:r w:rsidRPr="000A2321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is still mandated</w:t>
      </w:r>
      <w:proofErr w:type="gramEnd"/>
      <w:r w:rsidRPr="000A2321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by year 1</w:t>
      </w:r>
      <w:r w:rsidRPr="000A2321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ab/>
        <w:t xml:space="preserve"> </w:t>
      </w:r>
      <w:r w:rsidRPr="000A2321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ab/>
      </w:r>
    </w:p>
    <w:p w14:paraId="1B3CA590" w14:textId="09CD76A1" w:rsidR="007D2F2A" w:rsidRPr="000A2321" w:rsidRDefault="007D2F2A" w:rsidP="000A0CDA">
      <w:pPr>
        <w:pStyle w:val="ListParagraph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0A2321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ab/>
        <w:t>Final IRS regulations (effective for distributions in 2025 and later) clarify these details.</w:t>
      </w:r>
    </w:p>
    <w:p w14:paraId="00A84E5F" w14:textId="6540CF95" w:rsidR="007D2F2A" w:rsidRPr="000A2321" w:rsidRDefault="007D2F2A" w:rsidP="000A0CDA">
      <w:pPr>
        <w:pStyle w:val="ListParagraph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0A2321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ab/>
        <w:t xml:space="preserve">If the original owner died </w:t>
      </w:r>
      <w:r w:rsidRPr="000A2321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after</w:t>
      </w:r>
      <w:r w:rsidRPr="000A2321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their RBD, annual RMDs based on the deceased's remaining </w:t>
      </w:r>
      <w:r w:rsidRPr="000A2321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ab/>
        <w:t>life expectancy may apply in years 1–9, with full depletion by year 10.</w:t>
      </w:r>
    </w:p>
    <w:p w14:paraId="10BFE5B0" w14:textId="77777777" w:rsidR="007D2F2A" w:rsidRPr="000A2321" w:rsidRDefault="007D2F2A" w:rsidP="000A0CDA">
      <w:pPr>
        <w:pStyle w:val="ListParagraph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29C0BB3D" w14:textId="171D72C0" w:rsidR="0048203F" w:rsidRPr="000A2321" w:rsidRDefault="00E04639" w:rsidP="000A0CDA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D00BCB">
        <w:rPr>
          <w:rFonts w:ascii="Times New Roman" w:hAnsi="Times New Roman" w:cs="Times New Roman"/>
          <w:b/>
          <w:bCs/>
          <w:sz w:val="24"/>
          <w:szCs w:val="24"/>
          <w:u w:val="single"/>
        </w:rPr>
        <w:t>Concept:</w:t>
      </w:r>
      <w:r w:rsidRPr="000A2321">
        <w:rPr>
          <w:rFonts w:ascii="Times New Roman" w:hAnsi="Times New Roman" w:cs="Times New Roman"/>
          <w:sz w:val="24"/>
          <w:szCs w:val="24"/>
        </w:rPr>
        <w:t xml:space="preserve"> Name a charitable remainder unitrust (CRUT) as the beneficiary of a traditional IRA so the IRA pays to the CRUT, which then pays a unitrust amount to individual beneficiaries over time, with remainder to charity</w:t>
      </w:r>
      <w:proofErr w:type="gramStart"/>
      <w:r w:rsidRPr="000A2321">
        <w:rPr>
          <w:rFonts w:ascii="Times New Roman" w:hAnsi="Times New Roman" w:cs="Times New Roman"/>
          <w:sz w:val="24"/>
          <w:szCs w:val="24"/>
        </w:rPr>
        <w:t>.</w:t>
      </w:r>
      <w:r w:rsidR="00130193" w:rsidRPr="000A2321">
        <w:rPr>
          <w:rFonts w:ascii="Times New Roman" w:hAnsi="Times New Roman" w:cs="Times New Roman"/>
          <w:sz w:val="24"/>
          <w:szCs w:val="24"/>
        </w:rPr>
        <w:t xml:space="preserve"> </w:t>
      </w:r>
      <w:r w:rsidRPr="000A2321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130193" w:rsidRPr="000A2321">
        <w:rPr>
          <w:rFonts w:ascii="Times New Roman" w:hAnsi="Times New Roman" w:cs="Times New Roman"/>
          <w:sz w:val="24"/>
          <w:szCs w:val="24"/>
        </w:rPr>
        <w:t>A CRUT is exempt from the income tax (IRC §664).</w:t>
      </w:r>
    </w:p>
    <w:p w14:paraId="60CADA25" w14:textId="77777777" w:rsidR="00130193" w:rsidRPr="000A2321" w:rsidRDefault="00130193" w:rsidP="000A0CDA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6BF6E6DC" w14:textId="4FE54AF2" w:rsidR="007D2F2A" w:rsidRPr="000A2321" w:rsidRDefault="00E04639" w:rsidP="000A0CDA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0A2321">
        <w:rPr>
          <w:rFonts w:ascii="Times New Roman" w:hAnsi="Times New Roman" w:cs="Times New Roman"/>
          <w:sz w:val="24"/>
          <w:szCs w:val="24"/>
        </w:rPr>
        <w:t xml:space="preserve">CRUT qualification and taxation </w:t>
      </w:r>
      <w:proofErr w:type="gramStart"/>
      <w:r w:rsidRPr="000A2321">
        <w:rPr>
          <w:rFonts w:ascii="Times New Roman" w:hAnsi="Times New Roman" w:cs="Times New Roman"/>
          <w:sz w:val="24"/>
          <w:szCs w:val="24"/>
        </w:rPr>
        <w:t>are governed</w:t>
      </w:r>
      <w:proofErr w:type="gramEnd"/>
      <w:r w:rsidRPr="000A2321">
        <w:rPr>
          <w:rFonts w:ascii="Times New Roman" w:hAnsi="Times New Roman" w:cs="Times New Roman"/>
          <w:sz w:val="24"/>
          <w:szCs w:val="24"/>
        </w:rPr>
        <w:t xml:space="preserve"> by IRC §664</w:t>
      </w:r>
      <w:r w:rsidR="00D0406A" w:rsidRPr="000A2321">
        <w:rPr>
          <w:rFonts w:ascii="Times New Roman" w:hAnsi="Times New Roman" w:cs="Times New Roman"/>
          <w:sz w:val="24"/>
          <w:szCs w:val="24"/>
        </w:rPr>
        <w:t>.</w:t>
      </w:r>
      <w:r w:rsidRPr="000A2321">
        <w:rPr>
          <w:rFonts w:ascii="Times New Roman" w:hAnsi="Times New Roman" w:cs="Times New Roman"/>
          <w:sz w:val="24"/>
          <w:szCs w:val="24"/>
        </w:rPr>
        <w:t xml:space="preserve"> </w:t>
      </w:r>
      <w:r w:rsidR="007D2F2A" w:rsidRPr="000A2321">
        <w:rPr>
          <w:rFonts w:ascii="Times New Roman" w:hAnsi="Times New Roman" w:cs="Times New Roman"/>
          <w:sz w:val="24"/>
          <w:szCs w:val="24"/>
        </w:rPr>
        <w:t>The CRUT itself (as a non-person, tax-exempt entity) is not subject to the SECURE Act's 10-year rule for individuals. The full pre-tax IRA balance transfers directly to the CRUT without immediate income tax. Assets continue growing tax-deferred inside the CRUT</w:t>
      </w:r>
      <w:proofErr w:type="gramStart"/>
      <w:r w:rsidR="007D2F2A" w:rsidRPr="000A2321">
        <w:rPr>
          <w:rFonts w:ascii="Times New Roman" w:hAnsi="Times New Roman" w:cs="Times New Roman"/>
          <w:sz w:val="24"/>
          <w:szCs w:val="24"/>
        </w:rPr>
        <w:t xml:space="preserve">. </w:t>
      </w:r>
      <w:r w:rsidR="00D0406A" w:rsidRPr="000A2321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7D2F2A" w:rsidRPr="000A2321">
        <w:rPr>
          <w:rFonts w:ascii="Times New Roman" w:hAnsi="Times New Roman" w:cs="Times New Roman"/>
          <w:sz w:val="24"/>
          <w:szCs w:val="24"/>
        </w:rPr>
        <w:t>Payouts to your child (the income beneficiary) can then occur over their lifetime or a fixed term (</w:t>
      </w:r>
      <w:r w:rsidR="00130193" w:rsidRPr="000A2321">
        <w:rPr>
          <w:rFonts w:ascii="Times New Roman" w:hAnsi="Times New Roman" w:cs="Times New Roman"/>
          <w:sz w:val="24"/>
          <w:szCs w:val="24"/>
        </w:rPr>
        <w:t>maximum of</w:t>
      </w:r>
      <w:r w:rsidR="007D2F2A" w:rsidRPr="000A2321">
        <w:rPr>
          <w:rFonts w:ascii="Times New Roman" w:hAnsi="Times New Roman" w:cs="Times New Roman"/>
          <w:sz w:val="24"/>
          <w:szCs w:val="24"/>
        </w:rPr>
        <w:t xml:space="preserve"> 20 years). This spreads taxable income recognition over more years, potentially keeping your child in lower tax brackets and allowing more compounding.</w:t>
      </w:r>
    </w:p>
    <w:p w14:paraId="71F71995" w14:textId="77777777" w:rsidR="00D0406A" w:rsidRPr="000A2321" w:rsidRDefault="00D0406A" w:rsidP="000A0CDA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451DF0C8" w14:textId="68C31C94" w:rsidR="00D0406A" w:rsidRPr="000A2321" w:rsidRDefault="00D0406A" w:rsidP="000A0CDA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0A2321">
        <w:rPr>
          <w:rFonts w:ascii="Times New Roman" w:hAnsi="Times New Roman" w:cs="Times New Roman"/>
          <w:sz w:val="24"/>
          <w:szCs w:val="24"/>
        </w:rPr>
        <w:t>Present value of remainder interest passing to charity must exceed 10% of the value of the assets going into the CRUT</w:t>
      </w:r>
      <w:proofErr w:type="gramStart"/>
      <w:r w:rsidR="001F60C1" w:rsidRPr="000A2321">
        <w:rPr>
          <w:rFonts w:ascii="Times New Roman" w:hAnsi="Times New Roman" w:cs="Times New Roman"/>
          <w:sz w:val="24"/>
          <w:szCs w:val="24"/>
        </w:rPr>
        <w:t xml:space="preserve">.  </w:t>
      </w:r>
      <w:proofErr w:type="gramEnd"/>
      <w:r w:rsidR="001F60C1" w:rsidRPr="000A2321">
        <w:rPr>
          <w:rFonts w:ascii="Times New Roman" w:hAnsi="Times New Roman" w:cs="Times New Roman"/>
          <w:sz w:val="24"/>
          <w:szCs w:val="24"/>
        </w:rPr>
        <w:t>Present value based on the age of the CRUT beneficiary and payout percentage.</w:t>
      </w:r>
    </w:p>
    <w:p w14:paraId="720A1CA2" w14:textId="77777777" w:rsidR="00130193" w:rsidRPr="000A2321" w:rsidRDefault="00130193" w:rsidP="000A0CDA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61CC6F61" w14:textId="7751C69B" w:rsidR="007D2F2A" w:rsidRPr="000A2321" w:rsidRDefault="00130193" w:rsidP="000A0CDA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0A2321">
        <w:rPr>
          <w:rFonts w:ascii="Times New Roman" w:hAnsi="Times New Roman" w:cs="Times New Roman"/>
          <w:sz w:val="24"/>
          <w:szCs w:val="24"/>
        </w:rPr>
        <w:t xml:space="preserve">In practice it is difficult to establish a CRT that lasts for the life of a beneficiary under age 27 or for the lives of multiple beneficiaries under age 38. For </w:t>
      </w:r>
      <w:proofErr w:type="gramStart"/>
      <w:r w:rsidRPr="000A2321">
        <w:rPr>
          <w:rFonts w:ascii="Times New Roman" w:hAnsi="Times New Roman" w:cs="Times New Roman"/>
          <w:sz w:val="24"/>
          <w:szCs w:val="24"/>
        </w:rPr>
        <w:t>very young</w:t>
      </w:r>
      <w:proofErr w:type="gramEnd"/>
      <w:r w:rsidRPr="000A2321">
        <w:rPr>
          <w:rFonts w:ascii="Times New Roman" w:hAnsi="Times New Roman" w:cs="Times New Roman"/>
          <w:sz w:val="24"/>
          <w:szCs w:val="24"/>
        </w:rPr>
        <w:t xml:space="preserve"> beneficiaries, a CRT for a term of years is the only option.</w:t>
      </w:r>
    </w:p>
    <w:p w14:paraId="21A6B71A" w14:textId="77777777" w:rsidR="00130193" w:rsidRPr="000A2321" w:rsidRDefault="00130193" w:rsidP="000A0CDA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70FEB3F2" w14:textId="22A138BA" w:rsidR="00130193" w:rsidRPr="000A2321" w:rsidRDefault="00130193" w:rsidP="000A0CDA">
      <w:pPr>
        <w:pStyle w:val="ListParagraph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proofErr w:type="gramStart"/>
      <w:r w:rsidRPr="000A2321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Some</w:t>
      </w:r>
      <w:proofErr w:type="gramEnd"/>
      <w:r w:rsidRPr="000A2321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estate planners have suggested using a NICRUT or a NIMCRUT that holds its assets in an LLC that distributes smaller amounts of income in earlier years and larger amounts in later years.</w:t>
      </w:r>
    </w:p>
    <w:p w14:paraId="4FD111B5" w14:textId="77777777" w:rsidR="00130193" w:rsidRPr="000A2321" w:rsidRDefault="00130193" w:rsidP="000A0CDA">
      <w:pPr>
        <w:pStyle w:val="ListParagraph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368F5EDE" w14:textId="5B91E976" w:rsidR="00E04639" w:rsidRPr="000A2321" w:rsidRDefault="00D0406A" w:rsidP="000A0CDA">
      <w:pPr>
        <w:pStyle w:val="ListParagraph"/>
        <w:spacing w:line="256" w:lineRule="auto"/>
        <w:contextualSpacing w:val="0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D00BCB">
        <w:rPr>
          <w:rFonts w:ascii="Times New Roman" w:hAnsi="Times New Roman" w:cs="Times New Roman"/>
          <w:b/>
          <w:bCs/>
          <w:sz w:val="24"/>
          <w:szCs w:val="24"/>
          <w:u w:val="single"/>
        </w:rPr>
        <w:t>When it works Best</w:t>
      </w:r>
      <w:r w:rsidR="00D00BCB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E04639" w:rsidRPr="000A2321">
        <w:rPr>
          <w:rFonts w:ascii="Times New Roman" w:hAnsi="Times New Roman" w:cs="Times New Roman"/>
          <w:sz w:val="24"/>
          <w:szCs w:val="24"/>
        </w:rPr>
        <w:t xml:space="preserve"> Large pre-tax IRAs</w:t>
      </w:r>
      <w:r w:rsidRPr="000A2321">
        <w:rPr>
          <w:rFonts w:ascii="Times New Roman" w:hAnsi="Times New Roman" w:cs="Times New Roman"/>
          <w:sz w:val="24"/>
          <w:szCs w:val="24"/>
        </w:rPr>
        <w:t xml:space="preserve"> and estate </w:t>
      </w:r>
      <w:r w:rsidR="006B4511" w:rsidRPr="000A2321">
        <w:rPr>
          <w:rFonts w:ascii="Times New Roman" w:hAnsi="Times New Roman" w:cs="Times New Roman"/>
          <w:sz w:val="24"/>
          <w:szCs w:val="24"/>
        </w:rPr>
        <w:t>is</w:t>
      </w:r>
      <w:r w:rsidRPr="000A2321">
        <w:rPr>
          <w:rFonts w:ascii="Times New Roman" w:hAnsi="Times New Roman" w:cs="Times New Roman"/>
          <w:sz w:val="24"/>
          <w:szCs w:val="24"/>
        </w:rPr>
        <w:t xml:space="preserve"> otherwise taxable</w:t>
      </w:r>
      <w:r w:rsidR="00E04639" w:rsidRPr="000A2321">
        <w:rPr>
          <w:rFonts w:ascii="Times New Roman" w:hAnsi="Times New Roman" w:cs="Times New Roman"/>
          <w:sz w:val="24"/>
          <w:szCs w:val="24"/>
        </w:rPr>
        <w:t>; charitably inclined clients; heirs in high brackets; clients who prefer an income stream rather than an outright distribution.</w:t>
      </w:r>
    </w:p>
    <w:p w14:paraId="3F9135D0" w14:textId="4BAF000A" w:rsidR="001F60C1" w:rsidRPr="000A2321" w:rsidRDefault="001F60C1" w:rsidP="000A0CDA">
      <w:pPr>
        <w:pStyle w:val="ListParagraph"/>
        <w:spacing w:line="256" w:lineRule="auto"/>
        <w:contextualSpacing w:val="0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D00BCB">
        <w:rPr>
          <w:rFonts w:ascii="Times New Roman" w:hAnsi="Times New Roman" w:cs="Times New Roman"/>
          <w:b/>
          <w:bCs/>
          <w:sz w:val="24"/>
          <w:szCs w:val="24"/>
          <w:u w:val="single"/>
        </w:rPr>
        <w:t>Implementation:</w:t>
      </w:r>
      <w:r w:rsidRPr="000A23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A2321">
        <w:rPr>
          <w:rFonts w:ascii="Times New Roman" w:hAnsi="Times New Roman" w:cs="Times New Roman"/>
          <w:sz w:val="24"/>
          <w:szCs w:val="24"/>
        </w:rPr>
        <w:t>Name the CRUT as the beneficiary of the IRA</w:t>
      </w:r>
      <w:r w:rsidR="000A2321">
        <w:rPr>
          <w:rFonts w:ascii="Times New Roman" w:hAnsi="Times New Roman" w:cs="Times New Roman"/>
          <w:sz w:val="24"/>
          <w:szCs w:val="24"/>
        </w:rPr>
        <w:t>.</w:t>
      </w:r>
    </w:p>
    <w:p w14:paraId="4ED6D578" w14:textId="77777777" w:rsidR="000A0CDA" w:rsidRDefault="000A0CDA" w:rsidP="000A0CD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B0FB94D" w14:textId="03C2DE83" w:rsidR="005109A3" w:rsidRPr="000A2321" w:rsidRDefault="005109A3" w:rsidP="000A0CDA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42918363" w14:textId="2E371F80" w:rsidR="00BE0085" w:rsidRPr="00DE72AA" w:rsidRDefault="005606E9" w:rsidP="00DE72AA">
      <w:pPr>
        <w:pStyle w:val="IntenseQuote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D00BCB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E04639" w:rsidRPr="00D00BCB">
        <w:rPr>
          <w:rFonts w:ascii="Times New Roman" w:hAnsi="Times New Roman" w:cs="Times New Roman"/>
          <w:i w:val="0"/>
          <w:iCs w:val="0"/>
          <w:sz w:val="24"/>
          <w:szCs w:val="24"/>
        </w:rPr>
        <w:t>. Maximize PTE (Pass-Through Entity) Elections for Operating Businesses</w:t>
      </w:r>
    </w:p>
    <w:p w14:paraId="3267A6C7" w14:textId="0C2EA5A5" w:rsidR="00BE0085" w:rsidRPr="000A2321" w:rsidRDefault="00BE0085" w:rsidP="000A0CDA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D00BCB">
        <w:rPr>
          <w:rFonts w:ascii="Times New Roman" w:hAnsi="Times New Roman" w:cs="Times New Roman"/>
          <w:b/>
          <w:bCs/>
          <w:sz w:val="24"/>
          <w:szCs w:val="24"/>
          <w:u w:val="single"/>
        </w:rPr>
        <w:t>Sal</w:t>
      </w:r>
      <w:r w:rsidR="005D76F0" w:rsidRPr="00D00BCB">
        <w:rPr>
          <w:rFonts w:ascii="Times New Roman" w:hAnsi="Times New Roman" w:cs="Times New Roman"/>
          <w:b/>
          <w:bCs/>
          <w:sz w:val="24"/>
          <w:szCs w:val="24"/>
          <w:u w:val="single"/>
        </w:rPr>
        <w:t>t</w:t>
      </w:r>
      <w:r w:rsidRPr="00D00BC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Limitation.</w:t>
      </w:r>
      <w:r w:rsidRPr="000A23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A2321">
        <w:rPr>
          <w:rFonts w:ascii="Times New Roman" w:hAnsi="Times New Roman" w:cs="Times New Roman"/>
          <w:sz w:val="24"/>
          <w:szCs w:val="24"/>
        </w:rPr>
        <w:t xml:space="preserve">The Tax Cuts and Jobs Act included a $10,000 SALT deduction limitation on individuals (IRC §164(b)(6)). §164(a) </w:t>
      </w:r>
      <w:proofErr w:type="gramStart"/>
      <w:r w:rsidRPr="000A2321">
        <w:rPr>
          <w:rFonts w:ascii="Times New Roman" w:hAnsi="Times New Roman" w:cs="Times New Roman"/>
          <w:sz w:val="24"/>
          <w:szCs w:val="24"/>
        </w:rPr>
        <w:t>generally allows</w:t>
      </w:r>
      <w:proofErr w:type="gramEnd"/>
      <w:r w:rsidRPr="000A2321">
        <w:rPr>
          <w:rFonts w:ascii="Times New Roman" w:hAnsi="Times New Roman" w:cs="Times New Roman"/>
          <w:sz w:val="24"/>
          <w:szCs w:val="24"/>
        </w:rPr>
        <w:t xml:space="preserve"> deduction for all state and local taxes</w:t>
      </w:r>
      <w:proofErr w:type="gramStart"/>
      <w:r w:rsidRPr="000A2321">
        <w:rPr>
          <w:rFonts w:ascii="Times New Roman" w:hAnsi="Times New Roman" w:cs="Times New Roman"/>
          <w:sz w:val="24"/>
          <w:szCs w:val="24"/>
        </w:rPr>
        <w:t xml:space="preserve">.  </w:t>
      </w:r>
      <w:proofErr w:type="gramEnd"/>
    </w:p>
    <w:p w14:paraId="0F3A3AB2" w14:textId="77777777" w:rsidR="00BE0085" w:rsidRPr="000A2321" w:rsidRDefault="00BE0085" w:rsidP="000A0CDA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3D14BD6D" w14:textId="6ED0228A" w:rsidR="00BE0085" w:rsidRPr="000A2321" w:rsidRDefault="00BE0085" w:rsidP="000A0CDA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0A2321">
        <w:rPr>
          <w:rFonts w:ascii="Times New Roman" w:hAnsi="Times New Roman" w:cs="Times New Roman"/>
          <w:sz w:val="24"/>
          <w:szCs w:val="24"/>
        </w:rPr>
        <w:t xml:space="preserve">OB3 increased the limitation to $40,400 but the allowable SALT deduction </w:t>
      </w:r>
      <w:proofErr w:type="gramStart"/>
      <w:r w:rsidRPr="000A2321">
        <w:rPr>
          <w:rFonts w:ascii="Times New Roman" w:hAnsi="Times New Roman" w:cs="Times New Roman"/>
          <w:sz w:val="24"/>
          <w:szCs w:val="24"/>
        </w:rPr>
        <w:t>is reduced</w:t>
      </w:r>
      <w:proofErr w:type="gramEnd"/>
      <w:r w:rsidRPr="000A2321">
        <w:rPr>
          <w:rFonts w:ascii="Times New Roman" w:hAnsi="Times New Roman" w:cs="Times New Roman"/>
          <w:sz w:val="24"/>
          <w:szCs w:val="24"/>
        </w:rPr>
        <w:t xml:space="preserve"> by 30% of the amount by which modified gross income exceeds $500,000 for a married couple.</w:t>
      </w:r>
    </w:p>
    <w:p w14:paraId="7E893EBE" w14:textId="77777777" w:rsidR="00BE0085" w:rsidRPr="000A2321" w:rsidRDefault="00BE0085" w:rsidP="000A0CDA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4271375E" w14:textId="4E1D3C4E" w:rsidR="00BE0085" w:rsidRPr="000A2321" w:rsidRDefault="00BE0085" w:rsidP="000A0CDA">
      <w:pPr>
        <w:pStyle w:val="ListParagraph"/>
        <w:numPr>
          <w:ilvl w:val="0"/>
          <w:numId w:val="101"/>
        </w:numPr>
        <w:tabs>
          <w:tab w:val="num" w:pos="1080"/>
        </w:tabs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0A2321">
        <w:rPr>
          <w:rFonts w:ascii="Times New Roman" w:hAnsi="Times New Roman" w:cs="Times New Roman"/>
          <w:sz w:val="24"/>
          <w:szCs w:val="24"/>
        </w:rPr>
        <w:t>Rev. Rul. 58-25 involved a Cincinnati, Ohio tax imposed upon and paid by a partnership on the net profits of the partnership's business conducted in Cincinnati</w:t>
      </w:r>
      <w:proofErr w:type="gramStart"/>
      <w:r w:rsidRPr="000A2321">
        <w:rPr>
          <w:rFonts w:ascii="Times New Roman" w:hAnsi="Times New Roman" w:cs="Times New Roman"/>
          <w:sz w:val="24"/>
          <w:szCs w:val="24"/>
        </w:rPr>
        <w:t xml:space="preserve">.  </w:t>
      </w:r>
      <w:proofErr w:type="gramEnd"/>
      <w:r w:rsidRPr="000A2321">
        <w:rPr>
          <w:rFonts w:ascii="Times New Roman" w:hAnsi="Times New Roman" w:cs="Times New Roman"/>
          <w:sz w:val="24"/>
          <w:szCs w:val="24"/>
        </w:rPr>
        <w:t xml:space="preserve"> Rev. Rul. 58-25 ruled that the tax was deductible in computing the taxable income or loss of the partnership. The Ruling also </w:t>
      </w:r>
      <w:r w:rsidR="00B43A51" w:rsidRPr="000A2321">
        <w:rPr>
          <w:rFonts w:ascii="Times New Roman" w:hAnsi="Times New Roman" w:cs="Times New Roman"/>
          <w:sz w:val="24"/>
          <w:szCs w:val="24"/>
        </w:rPr>
        <w:t>stated,</w:t>
      </w:r>
      <w:r w:rsidR="00B43A51">
        <w:rPr>
          <w:rFonts w:ascii="Times New Roman" w:hAnsi="Times New Roman" w:cs="Times New Roman"/>
          <w:sz w:val="24"/>
          <w:szCs w:val="24"/>
        </w:rPr>
        <w:t xml:space="preserve"> “</w:t>
      </w:r>
      <w:r w:rsidRPr="000A2321">
        <w:rPr>
          <w:rFonts w:ascii="Times New Roman" w:hAnsi="Times New Roman" w:cs="Times New Roman"/>
          <w:sz w:val="24"/>
          <w:szCs w:val="24"/>
        </w:rPr>
        <w:t>the partners are not precluded from claiming the standard deduction.”</w:t>
      </w:r>
    </w:p>
    <w:p w14:paraId="3A3F9F42" w14:textId="77777777" w:rsidR="00BE0085" w:rsidRPr="000A2321" w:rsidRDefault="00BE0085" w:rsidP="000A0CDA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33FAABCB" w14:textId="3B574B0A" w:rsidR="000852A7" w:rsidRPr="000A2321" w:rsidRDefault="00BE0085" w:rsidP="000A0CDA">
      <w:pPr>
        <w:pStyle w:val="ListParagraph"/>
        <w:numPr>
          <w:ilvl w:val="0"/>
          <w:numId w:val="103"/>
        </w:numPr>
        <w:tabs>
          <w:tab w:val="clear" w:pos="720"/>
          <w:tab w:val="num" w:pos="1080"/>
        </w:tabs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0A2321">
        <w:rPr>
          <w:rFonts w:ascii="Times New Roman" w:hAnsi="Times New Roman" w:cs="Times New Roman"/>
          <w:sz w:val="24"/>
          <w:szCs w:val="24"/>
        </w:rPr>
        <w:t xml:space="preserve">On November 9, 2020, the IRS issued Notice 2020-75 </w:t>
      </w:r>
      <w:r w:rsidR="000852A7" w:rsidRPr="000A2321">
        <w:rPr>
          <w:rFonts w:ascii="Times New Roman" w:hAnsi="Times New Roman" w:cs="Times New Roman"/>
          <w:sz w:val="24"/>
          <w:szCs w:val="24"/>
        </w:rPr>
        <w:t xml:space="preserve">which states that any “Specified Income Tax Payment” made by a partnership, or an S corporation is </w:t>
      </w:r>
      <w:r w:rsidR="000852A7" w:rsidRPr="000A2321">
        <w:rPr>
          <w:rFonts w:ascii="Times New Roman" w:hAnsi="Times New Roman" w:cs="Times New Roman"/>
          <w:sz w:val="24"/>
          <w:szCs w:val="24"/>
          <w:u w:val="single"/>
        </w:rPr>
        <w:t>not taken into account in applying the SALT deduction limitation</w:t>
      </w:r>
      <w:r w:rsidR="000852A7" w:rsidRPr="000A2321">
        <w:rPr>
          <w:rFonts w:ascii="Times New Roman" w:hAnsi="Times New Roman" w:cs="Times New Roman"/>
          <w:sz w:val="24"/>
          <w:szCs w:val="24"/>
        </w:rPr>
        <w:t xml:space="preserve"> to any individual who is a partner in the partnership or a shareholder of the S corporation.</w:t>
      </w:r>
    </w:p>
    <w:p w14:paraId="0CDF0961" w14:textId="77777777" w:rsidR="000852A7" w:rsidRPr="000A2321" w:rsidRDefault="000852A7" w:rsidP="000A0CDA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329D6795" w14:textId="1020B018" w:rsidR="000852A7" w:rsidRPr="000A2321" w:rsidRDefault="000852A7" w:rsidP="000A0CDA">
      <w:pPr>
        <w:pStyle w:val="ListParagraph"/>
        <w:numPr>
          <w:ilvl w:val="0"/>
          <w:numId w:val="103"/>
        </w:numPr>
        <w:tabs>
          <w:tab w:val="clear" w:pos="720"/>
          <w:tab w:val="num" w:pos="1080"/>
        </w:tabs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0A2321">
        <w:rPr>
          <w:rFonts w:ascii="Times New Roman" w:hAnsi="Times New Roman" w:cs="Times New Roman"/>
          <w:sz w:val="24"/>
          <w:szCs w:val="24"/>
        </w:rPr>
        <w:t xml:space="preserve">The Notice also states that any “Specified Income Tax Payment” made by a partnership or an S corporation during a taxable year does not constitute an item of deduction that a partner or an S corporation shareholder takes into account separately under IRC §702 or IRC §1366 in determining the partner’s or S corporation shareholder’s own Federal income tax liability for the taxable year. Instead, Specified Income Tax Payments will </w:t>
      </w:r>
      <w:proofErr w:type="gramStart"/>
      <w:r w:rsidRPr="000A2321">
        <w:rPr>
          <w:rFonts w:ascii="Times New Roman" w:hAnsi="Times New Roman" w:cs="Times New Roman"/>
          <w:sz w:val="24"/>
          <w:szCs w:val="24"/>
        </w:rPr>
        <w:t>be reflected</w:t>
      </w:r>
      <w:proofErr w:type="gramEnd"/>
      <w:r w:rsidRPr="000A2321">
        <w:rPr>
          <w:rFonts w:ascii="Times New Roman" w:hAnsi="Times New Roman" w:cs="Times New Roman"/>
          <w:sz w:val="24"/>
          <w:szCs w:val="24"/>
        </w:rPr>
        <w:t xml:space="preserve"> in a partner’s or an S corporation shareholder’s distributive or pro-rata share of </w:t>
      </w:r>
      <w:r w:rsidRPr="000A2321">
        <w:rPr>
          <w:rFonts w:ascii="Times New Roman" w:hAnsi="Times New Roman" w:cs="Times New Roman"/>
          <w:sz w:val="24"/>
          <w:szCs w:val="24"/>
          <w:u w:val="single"/>
        </w:rPr>
        <w:t xml:space="preserve">non-separately stated income or loss reported on </w:t>
      </w:r>
      <w:r w:rsidR="00B43A51" w:rsidRPr="000A2321">
        <w:rPr>
          <w:rFonts w:ascii="Times New Roman" w:hAnsi="Times New Roman" w:cs="Times New Roman"/>
          <w:sz w:val="24"/>
          <w:szCs w:val="24"/>
          <w:u w:val="single"/>
        </w:rPr>
        <w:t>Schedule</w:t>
      </w:r>
      <w:r w:rsidRPr="000A2321">
        <w:rPr>
          <w:rFonts w:ascii="Times New Roman" w:hAnsi="Times New Roman" w:cs="Times New Roman"/>
          <w:sz w:val="24"/>
          <w:szCs w:val="24"/>
          <w:u w:val="single"/>
        </w:rPr>
        <w:t xml:space="preserve"> K-1</w:t>
      </w:r>
      <w:r w:rsidRPr="000A2321">
        <w:rPr>
          <w:rFonts w:ascii="Times New Roman" w:hAnsi="Times New Roman" w:cs="Times New Roman"/>
          <w:sz w:val="24"/>
          <w:szCs w:val="24"/>
        </w:rPr>
        <w:t>.</w:t>
      </w:r>
    </w:p>
    <w:p w14:paraId="510DF99D" w14:textId="77777777" w:rsidR="000852A7" w:rsidRPr="000A2321" w:rsidRDefault="000852A7" w:rsidP="000A0CDA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281CB96E" w14:textId="1116E593" w:rsidR="000852A7" w:rsidRPr="000A2321" w:rsidRDefault="000852A7" w:rsidP="000A0CDA">
      <w:pPr>
        <w:pStyle w:val="ListParagraph"/>
        <w:numPr>
          <w:ilvl w:val="0"/>
          <w:numId w:val="103"/>
        </w:numPr>
        <w:tabs>
          <w:tab w:val="clear" w:pos="720"/>
          <w:tab w:val="num" w:pos="1080"/>
        </w:tabs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0A2321">
        <w:rPr>
          <w:rFonts w:ascii="Times New Roman" w:hAnsi="Times New Roman" w:cs="Times New Roman"/>
          <w:sz w:val="24"/>
          <w:szCs w:val="24"/>
        </w:rPr>
        <w:t xml:space="preserve">Arizona enacted a PTE tax </w:t>
      </w:r>
      <w:proofErr w:type="gramStart"/>
      <w:r w:rsidRPr="000A2321">
        <w:rPr>
          <w:rFonts w:ascii="Times New Roman" w:hAnsi="Times New Roman" w:cs="Times New Roman"/>
          <w:sz w:val="24"/>
          <w:szCs w:val="24"/>
        </w:rPr>
        <w:t>in order to</w:t>
      </w:r>
      <w:proofErr w:type="gramEnd"/>
      <w:r w:rsidRPr="000A2321">
        <w:rPr>
          <w:rFonts w:ascii="Times New Roman" w:hAnsi="Times New Roman" w:cs="Times New Roman"/>
          <w:sz w:val="24"/>
          <w:szCs w:val="24"/>
        </w:rPr>
        <w:t xml:space="preserve"> allow partnership and S corporation to pay the state income tax. The legislation makes the Arizona state income tax an entity-level deduction in computing the partnership/S corporation’s taxable income,</w:t>
      </w:r>
    </w:p>
    <w:p w14:paraId="52A1593E" w14:textId="77777777" w:rsidR="000852A7" w:rsidRPr="000A2321" w:rsidRDefault="000852A7" w:rsidP="000A0CDA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40BEAC99" w14:textId="25F7A25E" w:rsidR="000852A7" w:rsidRPr="000A2321" w:rsidRDefault="000852A7" w:rsidP="000A0CDA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952C84">
        <w:rPr>
          <w:rFonts w:ascii="Times New Roman" w:hAnsi="Times New Roman" w:cs="Times New Roman"/>
          <w:sz w:val="24"/>
          <w:szCs w:val="24"/>
        </w:rPr>
        <w:t>A.R.S. § 43-1014 A p</w:t>
      </w:r>
      <w:r w:rsidRPr="000A2321">
        <w:rPr>
          <w:rFonts w:ascii="Times New Roman" w:hAnsi="Times New Roman" w:cs="Times New Roman"/>
          <w:sz w:val="24"/>
          <w:szCs w:val="24"/>
        </w:rPr>
        <w:t xml:space="preserve">rovides that “[f]or taxable years beginning from and after December 31, 2021, the partners or shareholders of a business that </w:t>
      </w:r>
      <w:proofErr w:type="gramStart"/>
      <w:r w:rsidRPr="000A2321">
        <w:rPr>
          <w:rFonts w:ascii="Times New Roman" w:hAnsi="Times New Roman" w:cs="Times New Roman"/>
          <w:sz w:val="24"/>
          <w:szCs w:val="24"/>
        </w:rPr>
        <w:t>is treated</w:t>
      </w:r>
      <w:proofErr w:type="gramEnd"/>
      <w:r w:rsidRPr="000A2321">
        <w:rPr>
          <w:rFonts w:ascii="Times New Roman" w:hAnsi="Times New Roman" w:cs="Times New Roman"/>
          <w:sz w:val="24"/>
          <w:szCs w:val="24"/>
        </w:rPr>
        <w:t xml:space="preserve"> as a partnership or S corporation for federal income tax purposes may </w:t>
      </w:r>
      <w:r w:rsidRPr="000A2321">
        <w:rPr>
          <w:rFonts w:ascii="Times New Roman" w:hAnsi="Times New Roman" w:cs="Times New Roman"/>
          <w:sz w:val="24"/>
          <w:szCs w:val="24"/>
          <w:u w:val="single"/>
        </w:rPr>
        <w:t>consent</w:t>
      </w:r>
      <w:r w:rsidRPr="000A2321">
        <w:rPr>
          <w:rFonts w:ascii="Times New Roman" w:hAnsi="Times New Roman" w:cs="Times New Roman"/>
          <w:sz w:val="24"/>
          <w:szCs w:val="24"/>
        </w:rPr>
        <w:t xml:space="preserve"> to </w:t>
      </w:r>
      <w:proofErr w:type="gramStart"/>
      <w:r w:rsidRPr="000A2321">
        <w:rPr>
          <w:rFonts w:ascii="Times New Roman" w:hAnsi="Times New Roman" w:cs="Times New Roman"/>
          <w:sz w:val="24"/>
          <w:szCs w:val="24"/>
        </w:rPr>
        <w:t>be taxed</w:t>
      </w:r>
      <w:proofErr w:type="gramEnd"/>
      <w:r w:rsidRPr="000A2321">
        <w:rPr>
          <w:rFonts w:ascii="Times New Roman" w:hAnsi="Times New Roman" w:cs="Times New Roman"/>
          <w:sz w:val="24"/>
          <w:szCs w:val="24"/>
        </w:rPr>
        <w:t xml:space="preserve"> at the entity level … for </w:t>
      </w:r>
    </w:p>
    <w:p w14:paraId="369F092A" w14:textId="6ABF7A14" w:rsidR="000852A7" w:rsidRPr="00D00BCB" w:rsidRDefault="000852A7" w:rsidP="00D00BCB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0A2321">
        <w:rPr>
          <w:rFonts w:ascii="Times New Roman" w:hAnsi="Times New Roman" w:cs="Times New Roman"/>
          <w:sz w:val="24"/>
          <w:szCs w:val="24"/>
        </w:rPr>
        <w:t xml:space="preserve">entire </w:t>
      </w:r>
      <w:r w:rsidRPr="000A2321">
        <w:rPr>
          <w:rFonts w:ascii="Times New Roman" w:hAnsi="Times New Roman" w:cs="Times New Roman"/>
          <w:sz w:val="24"/>
          <w:szCs w:val="24"/>
          <w:u w:val="single"/>
        </w:rPr>
        <w:t xml:space="preserve">portion of its taxable income that is attributable to its resident partners </w:t>
      </w:r>
      <w:r w:rsidRPr="000A2321">
        <w:rPr>
          <w:rFonts w:ascii="Times New Roman" w:hAnsi="Times New Roman" w:cs="Times New Roman"/>
          <w:sz w:val="24"/>
          <w:szCs w:val="24"/>
        </w:rPr>
        <w:t xml:space="preserve">or shareholders [who do not opt out]; and </w:t>
      </w:r>
      <w:r w:rsidRPr="00D00BCB">
        <w:rPr>
          <w:rFonts w:ascii="Times New Roman" w:hAnsi="Times New Roman" w:cs="Times New Roman"/>
          <w:sz w:val="24"/>
          <w:szCs w:val="24"/>
        </w:rPr>
        <w:t xml:space="preserve">the </w:t>
      </w:r>
      <w:r w:rsidRPr="00D00BCB">
        <w:rPr>
          <w:rFonts w:ascii="Times New Roman" w:hAnsi="Times New Roman" w:cs="Times New Roman"/>
          <w:sz w:val="24"/>
          <w:szCs w:val="24"/>
          <w:u w:val="single"/>
        </w:rPr>
        <w:t>portion of its taxable income derived from sources within this state</w:t>
      </w:r>
      <w:r w:rsidRPr="00D00BCB">
        <w:rPr>
          <w:rFonts w:ascii="Times New Roman" w:hAnsi="Times New Roman" w:cs="Times New Roman"/>
          <w:sz w:val="24"/>
          <w:szCs w:val="24"/>
        </w:rPr>
        <w:t xml:space="preserve"> that is                         </w:t>
      </w:r>
      <w:r w:rsidRPr="00D00BCB">
        <w:rPr>
          <w:rFonts w:ascii="Times New Roman" w:hAnsi="Times New Roman" w:cs="Times New Roman"/>
          <w:sz w:val="24"/>
          <w:szCs w:val="24"/>
          <w:u w:val="single"/>
        </w:rPr>
        <w:t xml:space="preserve">attributable to its nonresident partners </w:t>
      </w:r>
      <w:r w:rsidRPr="00D00BCB">
        <w:rPr>
          <w:rFonts w:ascii="Times New Roman" w:hAnsi="Times New Roman" w:cs="Times New Roman"/>
          <w:sz w:val="24"/>
          <w:szCs w:val="24"/>
        </w:rPr>
        <w:t>or shareholders” [who do not opt out]</w:t>
      </w:r>
    </w:p>
    <w:p w14:paraId="0E2F6036" w14:textId="77777777" w:rsidR="000852A7" w:rsidRPr="000A2321" w:rsidRDefault="000852A7" w:rsidP="000A0CDA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0A232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B30155" w14:textId="77777777" w:rsidR="00DE72AA" w:rsidRDefault="00DE72AA" w:rsidP="000A0CDA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3C790F10" w14:textId="77777777" w:rsidR="00DE72AA" w:rsidRDefault="00DE72AA" w:rsidP="000A0CDA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4A8AA3D3" w14:textId="21470434" w:rsidR="000852A7" w:rsidRPr="000A2321" w:rsidRDefault="000852A7" w:rsidP="000A0CDA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0A2321">
        <w:rPr>
          <w:rFonts w:ascii="Times New Roman" w:hAnsi="Times New Roman" w:cs="Times New Roman"/>
          <w:sz w:val="24"/>
          <w:szCs w:val="24"/>
        </w:rPr>
        <w:lastRenderedPageBreak/>
        <w:t>“The election under this subsection must be made on or before the due date or extended due date of the business's return under this title.”</w:t>
      </w:r>
    </w:p>
    <w:p w14:paraId="76B4A84B" w14:textId="77777777" w:rsidR="000A0CDA" w:rsidRDefault="000A0CDA" w:rsidP="000A0CDA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4F4CDC0D" w14:textId="22C83C0E" w:rsidR="000852A7" w:rsidRPr="000A2321" w:rsidRDefault="000852A7" w:rsidP="000A0CDA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0A2321">
        <w:rPr>
          <w:rFonts w:ascii="Times New Roman" w:hAnsi="Times New Roman" w:cs="Times New Roman"/>
          <w:sz w:val="24"/>
          <w:szCs w:val="24"/>
        </w:rPr>
        <w:t xml:space="preserve">The PTE payment is better than the itemized deduction because the member of the entity </w:t>
      </w:r>
      <w:proofErr w:type="gramStart"/>
      <w:r w:rsidRPr="000A2321">
        <w:rPr>
          <w:rFonts w:ascii="Times New Roman" w:hAnsi="Times New Roman" w:cs="Times New Roman"/>
          <w:sz w:val="24"/>
          <w:szCs w:val="24"/>
        </w:rPr>
        <w:t>is able to</w:t>
      </w:r>
      <w:proofErr w:type="gramEnd"/>
      <w:r w:rsidRPr="000A2321">
        <w:rPr>
          <w:rFonts w:ascii="Times New Roman" w:hAnsi="Times New Roman" w:cs="Times New Roman"/>
          <w:sz w:val="24"/>
          <w:szCs w:val="24"/>
        </w:rPr>
        <w:t xml:space="preserve"> claim an above the line deduction for the state income tax </w:t>
      </w:r>
      <w:r w:rsidRPr="000A2321">
        <w:rPr>
          <w:rFonts w:ascii="Times New Roman" w:hAnsi="Times New Roman" w:cs="Times New Roman"/>
          <w:sz w:val="24"/>
          <w:szCs w:val="24"/>
          <w:u w:val="single"/>
        </w:rPr>
        <w:t>and</w:t>
      </w:r>
      <w:r w:rsidRPr="000A2321">
        <w:rPr>
          <w:rFonts w:ascii="Times New Roman" w:hAnsi="Times New Roman" w:cs="Times New Roman"/>
          <w:sz w:val="24"/>
          <w:szCs w:val="24"/>
        </w:rPr>
        <w:t xml:space="preserve"> claim a standard deduction</w:t>
      </w:r>
      <w:r w:rsidR="005D76F0" w:rsidRPr="000A2321">
        <w:rPr>
          <w:rFonts w:ascii="Times New Roman" w:hAnsi="Times New Roman" w:cs="Times New Roman"/>
          <w:sz w:val="24"/>
          <w:szCs w:val="24"/>
        </w:rPr>
        <w:t>.</w:t>
      </w:r>
    </w:p>
    <w:p w14:paraId="4AC64571" w14:textId="77777777" w:rsidR="005D76F0" w:rsidRPr="000A2321" w:rsidRDefault="005D76F0" w:rsidP="000A0CDA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3B9450E6" w14:textId="49ED0866" w:rsidR="005109A3" w:rsidRPr="00DE72AA" w:rsidRDefault="005D76F0" w:rsidP="00DE72AA">
      <w:pPr>
        <w:pStyle w:val="ListParagraph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gramStart"/>
      <w:r w:rsidRPr="00536115">
        <w:rPr>
          <w:rFonts w:ascii="Times New Roman" w:hAnsi="Times New Roman" w:cs="Times New Roman"/>
          <w:i/>
          <w:iCs/>
          <w:sz w:val="24"/>
          <w:szCs w:val="24"/>
        </w:rPr>
        <w:t>Some</w:t>
      </w:r>
      <w:proofErr w:type="gramEnd"/>
      <w:r w:rsidRPr="00536115">
        <w:rPr>
          <w:rFonts w:ascii="Times New Roman" w:hAnsi="Times New Roman" w:cs="Times New Roman"/>
          <w:i/>
          <w:iCs/>
          <w:sz w:val="24"/>
          <w:szCs w:val="24"/>
        </w:rPr>
        <w:t xml:space="preserve"> tax return preparers are </w:t>
      </w:r>
      <w:r w:rsidR="00536115" w:rsidRPr="00536115">
        <w:rPr>
          <w:rFonts w:ascii="Times New Roman" w:hAnsi="Times New Roman" w:cs="Times New Roman"/>
          <w:i/>
          <w:iCs/>
          <w:sz w:val="24"/>
          <w:szCs w:val="24"/>
        </w:rPr>
        <w:t xml:space="preserve">still </w:t>
      </w:r>
      <w:r w:rsidRPr="00536115">
        <w:rPr>
          <w:rFonts w:ascii="Times New Roman" w:hAnsi="Times New Roman" w:cs="Times New Roman"/>
          <w:i/>
          <w:iCs/>
          <w:sz w:val="24"/>
          <w:szCs w:val="24"/>
        </w:rPr>
        <w:t>not making the PTE Election on Arizona income tax returns.</w:t>
      </w:r>
    </w:p>
    <w:p w14:paraId="71D2F581" w14:textId="5A43E8A8" w:rsidR="004C4881" w:rsidRPr="00DE72AA" w:rsidRDefault="005606E9" w:rsidP="00DE72AA">
      <w:pPr>
        <w:pStyle w:val="IntenseQuote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251E4A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E04639" w:rsidRPr="00251E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PTE Strategy for Investment Entities (Stocks </w:t>
      </w:r>
      <w:r w:rsidR="005D76F0" w:rsidRPr="00251E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and Investment </w:t>
      </w:r>
      <w:r w:rsidR="00E04639" w:rsidRPr="00251E4A">
        <w:rPr>
          <w:rFonts w:ascii="Times New Roman" w:hAnsi="Times New Roman" w:cs="Times New Roman"/>
          <w:i w:val="0"/>
          <w:iCs w:val="0"/>
          <w:sz w:val="24"/>
          <w:szCs w:val="24"/>
        </w:rPr>
        <w:t>Portfolios)</w:t>
      </w:r>
    </w:p>
    <w:p w14:paraId="20BEB08E" w14:textId="5D28AFF1" w:rsidR="004C4881" w:rsidRPr="000A2321" w:rsidRDefault="000A2321" w:rsidP="000A0CDA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DE72AA">
        <w:rPr>
          <w:rFonts w:ascii="Times New Roman" w:hAnsi="Times New Roman" w:cs="Times New Roman"/>
          <w:b/>
          <w:bCs/>
          <w:sz w:val="24"/>
          <w:szCs w:val="24"/>
          <w:u w:val="single"/>
        </w:rPr>
        <w:t>Arizona Law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4C4881" w:rsidRPr="000A2321">
        <w:rPr>
          <w:rFonts w:ascii="Times New Roman" w:hAnsi="Times New Roman" w:cs="Times New Roman"/>
          <w:sz w:val="24"/>
          <w:szCs w:val="24"/>
        </w:rPr>
        <w:t xml:space="preserve">Under Arizona law </w:t>
      </w:r>
      <w:r w:rsidR="0081090C" w:rsidRPr="000A2321">
        <w:rPr>
          <w:rFonts w:ascii="Times New Roman" w:hAnsi="Times New Roman" w:cs="Times New Roman"/>
          <w:sz w:val="24"/>
          <w:szCs w:val="24"/>
        </w:rPr>
        <w:t xml:space="preserve">an LLC/partnership holding marketable securities </w:t>
      </w:r>
      <w:r w:rsidR="004C4881" w:rsidRPr="000A2321">
        <w:rPr>
          <w:rFonts w:ascii="Times New Roman" w:hAnsi="Times New Roman" w:cs="Times New Roman"/>
          <w:sz w:val="24"/>
          <w:szCs w:val="24"/>
        </w:rPr>
        <w:t>is</w:t>
      </w:r>
      <w:r w:rsidR="0081090C" w:rsidRPr="000A2321">
        <w:rPr>
          <w:rFonts w:ascii="Times New Roman" w:hAnsi="Times New Roman" w:cs="Times New Roman"/>
          <w:sz w:val="24"/>
          <w:szCs w:val="24"/>
        </w:rPr>
        <w:t xml:space="preserve"> eligible for a PTE tax election</w:t>
      </w:r>
      <w:r w:rsidR="004C4881" w:rsidRPr="000A2321">
        <w:rPr>
          <w:rFonts w:ascii="Times New Roman" w:hAnsi="Times New Roman" w:cs="Times New Roman"/>
          <w:sz w:val="24"/>
          <w:szCs w:val="24"/>
        </w:rPr>
        <w:t>. ARS § 43</w:t>
      </w:r>
      <w:r w:rsidR="004C4881" w:rsidRPr="000A2321">
        <w:rPr>
          <w:rFonts w:ascii="Times New Roman" w:hAnsi="Times New Roman" w:cs="Times New Roman"/>
          <w:sz w:val="24"/>
          <w:szCs w:val="24"/>
        </w:rPr>
        <w:noBreakHyphen/>
        <w:t>1014 B.1 (a)(ii).</w:t>
      </w:r>
    </w:p>
    <w:p w14:paraId="4BFA28B5" w14:textId="7BB9C4C5" w:rsidR="0081090C" w:rsidRPr="000A2321" w:rsidRDefault="0081090C" w:rsidP="000A0CDA">
      <w:pPr>
        <w:pStyle w:val="ListParagraph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0A2321">
        <w:rPr>
          <w:rFonts w:ascii="Times New Roman" w:hAnsi="Times New Roman" w:cs="Times New Roman"/>
          <w:sz w:val="24"/>
          <w:szCs w:val="24"/>
        </w:rPr>
        <w:t>.</w:t>
      </w:r>
    </w:p>
    <w:p w14:paraId="3684324C" w14:textId="76668165" w:rsidR="00DE72AA" w:rsidRPr="00DE72AA" w:rsidRDefault="005D76F0" w:rsidP="00DE72AA">
      <w:pPr>
        <w:pStyle w:val="ListParagraph"/>
        <w:spacing w:line="25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E72AA">
        <w:rPr>
          <w:rFonts w:ascii="Times New Roman" w:hAnsi="Times New Roman" w:cs="Times New Roman"/>
          <w:b/>
          <w:bCs/>
          <w:sz w:val="24"/>
          <w:szCs w:val="24"/>
          <w:u w:val="single"/>
        </w:rPr>
        <w:t>Concept</w:t>
      </w:r>
      <w:r w:rsidR="0081090C" w:rsidRPr="00DE72AA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 w:rsidR="0081090C" w:rsidRPr="000A2321">
        <w:rPr>
          <w:rFonts w:ascii="Times New Roman" w:hAnsi="Times New Roman" w:cs="Times New Roman"/>
          <w:sz w:val="24"/>
          <w:szCs w:val="24"/>
        </w:rPr>
        <w:t xml:space="preserve"> </w:t>
      </w:r>
      <w:r w:rsidR="004C4881" w:rsidRPr="000A2321">
        <w:rPr>
          <w:rFonts w:ascii="Times New Roman" w:hAnsi="Times New Roman" w:cs="Times New Roman"/>
          <w:sz w:val="24"/>
          <w:szCs w:val="24"/>
        </w:rPr>
        <w:t>Create a tax p</w:t>
      </w:r>
      <w:r w:rsidR="0081090C" w:rsidRPr="000A2321">
        <w:rPr>
          <w:rFonts w:ascii="Times New Roman" w:hAnsi="Times New Roman" w:cs="Times New Roman"/>
          <w:sz w:val="24"/>
          <w:szCs w:val="24"/>
        </w:rPr>
        <w:t>artnership</w:t>
      </w:r>
      <w:r w:rsidR="004C4881" w:rsidRPr="000A2321">
        <w:rPr>
          <w:rFonts w:ascii="Times New Roman" w:hAnsi="Times New Roman" w:cs="Times New Roman"/>
          <w:sz w:val="24"/>
          <w:szCs w:val="24"/>
        </w:rPr>
        <w:t xml:space="preserve"> (an </w:t>
      </w:r>
      <w:r w:rsidR="0081090C" w:rsidRPr="000A2321">
        <w:rPr>
          <w:rFonts w:ascii="Times New Roman" w:hAnsi="Times New Roman" w:cs="Times New Roman"/>
          <w:sz w:val="24"/>
          <w:szCs w:val="24"/>
        </w:rPr>
        <w:t>LLC</w:t>
      </w:r>
      <w:r w:rsidR="004C4881" w:rsidRPr="000A2321">
        <w:rPr>
          <w:rFonts w:ascii="Times New Roman" w:hAnsi="Times New Roman" w:cs="Times New Roman"/>
          <w:sz w:val="24"/>
          <w:szCs w:val="24"/>
        </w:rPr>
        <w:t>) to</w:t>
      </w:r>
      <w:r w:rsidR="0081090C" w:rsidRPr="000A2321">
        <w:rPr>
          <w:rFonts w:ascii="Times New Roman" w:hAnsi="Times New Roman" w:cs="Times New Roman"/>
          <w:sz w:val="24"/>
          <w:szCs w:val="24"/>
        </w:rPr>
        <w:t xml:space="preserve"> </w:t>
      </w:r>
      <w:r w:rsidR="00B43A51" w:rsidRPr="000A2321">
        <w:rPr>
          <w:rFonts w:ascii="Times New Roman" w:hAnsi="Times New Roman" w:cs="Times New Roman"/>
          <w:sz w:val="24"/>
          <w:szCs w:val="24"/>
        </w:rPr>
        <w:t>hold</w:t>
      </w:r>
      <w:r w:rsidR="0081090C" w:rsidRPr="000A2321">
        <w:rPr>
          <w:rFonts w:ascii="Times New Roman" w:hAnsi="Times New Roman" w:cs="Times New Roman"/>
          <w:sz w:val="24"/>
          <w:szCs w:val="24"/>
        </w:rPr>
        <w:t xml:space="preserve"> securities</w:t>
      </w:r>
      <w:r w:rsidR="004C4881" w:rsidRPr="000A2321">
        <w:rPr>
          <w:rFonts w:ascii="Times New Roman" w:hAnsi="Times New Roman" w:cs="Times New Roman"/>
          <w:sz w:val="24"/>
          <w:szCs w:val="24"/>
        </w:rPr>
        <w:t xml:space="preserve"> and real estate</w:t>
      </w:r>
      <w:proofErr w:type="gramStart"/>
      <w:r w:rsidR="0081090C" w:rsidRPr="000A2321">
        <w:rPr>
          <w:rFonts w:ascii="Times New Roman" w:hAnsi="Times New Roman" w:cs="Times New Roman"/>
          <w:sz w:val="24"/>
          <w:szCs w:val="24"/>
        </w:rPr>
        <w:t>.</w:t>
      </w:r>
      <w:r w:rsidR="004C4881" w:rsidRPr="000A2321">
        <w:rPr>
          <w:rFonts w:ascii="Times New Roman" w:hAnsi="Times New Roman" w:cs="Times New Roman"/>
          <w:sz w:val="24"/>
          <w:szCs w:val="24"/>
        </w:rPr>
        <w:t xml:space="preserve">  Possible structure</w:t>
      </w:r>
      <w:proofErr w:type="gramEnd"/>
      <w:r w:rsidR="004C4881" w:rsidRPr="000A2321">
        <w:rPr>
          <w:rFonts w:ascii="Times New Roman" w:hAnsi="Times New Roman" w:cs="Times New Roman"/>
          <w:sz w:val="24"/>
          <w:szCs w:val="24"/>
        </w:rPr>
        <w:t xml:space="preserve"> as a holding company.</w:t>
      </w:r>
    </w:p>
    <w:p w14:paraId="17E13229" w14:textId="505D5E75" w:rsidR="005606E9" w:rsidRPr="00DE72AA" w:rsidRDefault="005D76F0" w:rsidP="00DE72AA">
      <w:pPr>
        <w:pStyle w:val="IntenseQuote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DE72AA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5606E9" w:rsidRPr="00DE72AA">
        <w:rPr>
          <w:rFonts w:ascii="Times New Roman" w:hAnsi="Times New Roman" w:cs="Times New Roman"/>
          <w:i w:val="0"/>
          <w:iCs w:val="0"/>
          <w:sz w:val="24"/>
          <w:szCs w:val="24"/>
        </w:rPr>
        <w:t>. Gifting Low-Basis Stock to a CRUT</w:t>
      </w:r>
    </w:p>
    <w:p w14:paraId="354E0CDC" w14:textId="01EA0003" w:rsidR="005606E9" w:rsidRPr="000A2321" w:rsidRDefault="005606E9" w:rsidP="000A0CDA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DE72AA">
        <w:rPr>
          <w:rFonts w:ascii="Times New Roman" w:hAnsi="Times New Roman" w:cs="Times New Roman"/>
          <w:b/>
          <w:bCs/>
          <w:sz w:val="24"/>
          <w:szCs w:val="24"/>
          <w:u w:val="single"/>
        </w:rPr>
        <w:t>Concept:</w:t>
      </w:r>
      <w:r w:rsidRPr="000A2321">
        <w:rPr>
          <w:rFonts w:ascii="Times New Roman" w:hAnsi="Times New Roman" w:cs="Times New Roman"/>
          <w:sz w:val="24"/>
          <w:szCs w:val="24"/>
        </w:rPr>
        <w:t xml:space="preserve"> Contribute appreciated securities to a CRUT before sale to diversify and defer recognition of gain. </w:t>
      </w:r>
      <w:r w:rsidR="00B43A51" w:rsidRPr="000A2321">
        <w:rPr>
          <w:rFonts w:ascii="Times New Roman" w:hAnsi="Times New Roman" w:cs="Times New Roman"/>
          <w:sz w:val="24"/>
          <w:szCs w:val="24"/>
        </w:rPr>
        <w:t>CRUT</w:t>
      </w:r>
      <w:r w:rsidRPr="000A2321">
        <w:rPr>
          <w:rFonts w:ascii="Times New Roman" w:hAnsi="Times New Roman" w:cs="Times New Roman"/>
          <w:sz w:val="24"/>
          <w:szCs w:val="24"/>
        </w:rPr>
        <w:t xml:space="preserve"> is </w:t>
      </w:r>
      <w:proofErr w:type="gramStart"/>
      <w:r w:rsidRPr="000A2321">
        <w:rPr>
          <w:rFonts w:ascii="Times New Roman" w:hAnsi="Times New Roman" w:cs="Times New Roman"/>
          <w:sz w:val="24"/>
          <w:szCs w:val="24"/>
        </w:rPr>
        <w:t>generally exempt</w:t>
      </w:r>
      <w:proofErr w:type="gramEnd"/>
      <w:r w:rsidRPr="000A2321">
        <w:rPr>
          <w:rFonts w:ascii="Times New Roman" w:hAnsi="Times New Roman" w:cs="Times New Roman"/>
          <w:sz w:val="24"/>
          <w:szCs w:val="24"/>
        </w:rPr>
        <w:t xml:space="preserve"> from income tax at the trust level, and distributions to the noncharitable beneficiary </w:t>
      </w:r>
      <w:proofErr w:type="gramStart"/>
      <w:r w:rsidRPr="000A2321">
        <w:rPr>
          <w:rFonts w:ascii="Times New Roman" w:hAnsi="Times New Roman" w:cs="Times New Roman"/>
          <w:sz w:val="24"/>
          <w:szCs w:val="24"/>
        </w:rPr>
        <w:t>carry out</w:t>
      </w:r>
      <w:proofErr w:type="gramEnd"/>
      <w:r w:rsidRPr="000A2321">
        <w:rPr>
          <w:rFonts w:ascii="Times New Roman" w:hAnsi="Times New Roman" w:cs="Times New Roman"/>
          <w:sz w:val="24"/>
          <w:szCs w:val="24"/>
        </w:rPr>
        <w:t xml:space="preserve"> income under the CRT tier rules. (IRC §664(c); §664(b))</w:t>
      </w:r>
      <w:proofErr w:type="gramStart"/>
      <w:r w:rsidRPr="000A2321">
        <w:rPr>
          <w:rFonts w:ascii="Times New Roman" w:hAnsi="Times New Roman" w:cs="Times New Roman"/>
          <w:sz w:val="24"/>
          <w:szCs w:val="24"/>
        </w:rPr>
        <w:t xml:space="preserve">.  </w:t>
      </w:r>
      <w:proofErr w:type="gramEnd"/>
    </w:p>
    <w:p w14:paraId="0E503615" w14:textId="77777777" w:rsidR="005606E9" w:rsidRPr="000A2321" w:rsidRDefault="005606E9" w:rsidP="000A0CDA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36377528" w14:textId="24F3FE1A" w:rsidR="005606E9" w:rsidRPr="000A2321" w:rsidRDefault="005606E9" w:rsidP="000A0CDA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DE72AA">
        <w:rPr>
          <w:rFonts w:ascii="Times New Roman" w:hAnsi="Times New Roman" w:cs="Times New Roman"/>
          <w:b/>
          <w:bCs/>
          <w:sz w:val="24"/>
          <w:szCs w:val="24"/>
          <w:u w:val="single"/>
        </w:rPr>
        <w:t>Tax result:</w:t>
      </w:r>
      <w:r w:rsidRPr="000A2321">
        <w:rPr>
          <w:rFonts w:ascii="Times New Roman" w:hAnsi="Times New Roman" w:cs="Times New Roman"/>
          <w:sz w:val="24"/>
          <w:szCs w:val="24"/>
        </w:rPr>
        <w:t xml:space="preserve"> The CRUT is exempt from the income tax (IRC §664) can sell the assets without payment of income tax and reinvest and reinvest the </w:t>
      </w:r>
      <w:r w:rsidR="00B43A51" w:rsidRPr="000A2321">
        <w:rPr>
          <w:rFonts w:ascii="Times New Roman" w:hAnsi="Times New Roman" w:cs="Times New Roman"/>
          <w:sz w:val="24"/>
          <w:szCs w:val="24"/>
        </w:rPr>
        <w:t>proceeds, The</w:t>
      </w:r>
      <w:r w:rsidRPr="000A2321">
        <w:rPr>
          <w:rFonts w:ascii="Times New Roman" w:hAnsi="Times New Roman" w:cs="Times New Roman"/>
          <w:sz w:val="24"/>
          <w:szCs w:val="24"/>
        </w:rPr>
        <w:t xml:space="preserve"> beneficiaries </w:t>
      </w:r>
      <w:proofErr w:type="gramStart"/>
      <w:r w:rsidRPr="000A2321">
        <w:rPr>
          <w:rFonts w:ascii="Times New Roman" w:hAnsi="Times New Roman" w:cs="Times New Roman"/>
          <w:sz w:val="24"/>
          <w:szCs w:val="24"/>
        </w:rPr>
        <w:t>are taxed</w:t>
      </w:r>
      <w:proofErr w:type="gramEnd"/>
      <w:r w:rsidRPr="000A2321">
        <w:rPr>
          <w:rFonts w:ascii="Times New Roman" w:hAnsi="Times New Roman" w:cs="Times New Roman"/>
          <w:sz w:val="24"/>
          <w:szCs w:val="24"/>
        </w:rPr>
        <w:t xml:space="preserve"> as amounts </w:t>
      </w:r>
      <w:proofErr w:type="gramStart"/>
      <w:r w:rsidRPr="000A2321">
        <w:rPr>
          <w:rFonts w:ascii="Times New Roman" w:hAnsi="Times New Roman" w:cs="Times New Roman"/>
          <w:sz w:val="24"/>
          <w:szCs w:val="24"/>
        </w:rPr>
        <w:t>are distributed</w:t>
      </w:r>
      <w:proofErr w:type="gramEnd"/>
      <w:r w:rsidRPr="000A2321">
        <w:rPr>
          <w:rFonts w:ascii="Times New Roman" w:hAnsi="Times New Roman" w:cs="Times New Roman"/>
          <w:sz w:val="24"/>
          <w:szCs w:val="24"/>
        </w:rPr>
        <w:t xml:space="preserve"> under the tier rules. (IRC §664(c); §664(b))</w:t>
      </w:r>
    </w:p>
    <w:p w14:paraId="08965BD9" w14:textId="77777777" w:rsidR="005606E9" w:rsidRPr="000A2321" w:rsidRDefault="005606E9" w:rsidP="000A0CDA">
      <w:pPr>
        <w:pStyle w:val="ListParagraph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0B4E3EEB" w14:textId="41474798" w:rsidR="005606E9" w:rsidRPr="000A2321" w:rsidRDefault="005606E9" w:rsidP="000A0CDA">
      <w:pPr>
        <w:pStyle w:val="ListParagraph"/>
        <w:spacing w:line="256" w:lineRule="auto"/>
        <w:contextualSpacing w:val="0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DE72AA">
        <w:rPr>
          <w:rFonts w:ascii="Times New Roman" w:hAnsi="Times New Roman" w:cs="Times New Roman"/>
          <w:b/>
          <w:bCs/>
          <w:sz w:val="24"/>
          <w:szCs w:val="24"/>
          <w:u w:val="single"/>
        </w:rPr>
        <w:t>Charitable deduction:</w:t>
      </w:r>
      <w:r w:rsidRPr="000A2321">
        <w:rPr>
          <w:rFonts w:ascii="Times New Roman" w:hAnsi="Times New Roman" w:cs="Times New Roman"/>
          <w:sz w:val="24"/>
          <w:szCs w:val="24"/>
        </w:rPr>
        <w:t xml:space="preserve"> The donor receives an income tax charitable contribution deduction equal to the present value of the charitable remainder interest, subject to applicable percentage limitations. (IRC §170)  Excess deduction carries-over for 5 </w:t>
      </w:r>
      <w:r w:rsidR="00B43A51" w:rsidRPr="000A2321">
        <w:rPr>
          <w:rFonts w:ascii="Times New Roman" w:hAnsi="Times New Roman" w:cs="Times New Roman"/>
          <w:sz w:val="24"/>
          <w:szCs w:val="24"/>
        </w:rPr>
        <w:t>years.</w:t>
      </w:r>
    </w:p>
    <w:p w14:paraId="53D081DB" w14:textId="77777777" w:rsidR="005606E9" w:rsidRPr="000A2321" w:rsidRDefault="005606E9" w:rsidP="000A0CDA">
      <w:pPr>
        <w:pStyle w:val="ListParagraph"/>
        <w:spacing w:line="256" w:lineRule="auto"/>
        <w:contextualSpacing w:val="0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DE72AA">
        <w:rPr>
          <w:rFonts w:ascii="Times New Roman" w:hAnsi="Times New Roman" w:cs="Times New Roman"/>
          <w:b/>
          <w:bCs/>
          <w:sz w:val="24"/>
          <w:szCs w:val="24"/>
          <w:u w:val="single"/>
        </w:rPr>
        <w:t>When it works Best:</w:t>
      </w:r>
      <w:r w:rsidRPr="000A2321">
        <w:rPr>
          <w:rFonts w:ascii="Times New Roman" w:hAnsi="Times New Roman" w:cs="Times New Roman"/>
          <w:sz w:val="24"/>
          <w:szCs w:val="24"/>
        </w:rPr>
        <w:t xml:space="preserve"> Concentrated low-basis stock; desire for lifetime (or term) income; charitable intent; desire to diversify without an immediate personal capital gains event.</w:t>
      </w:r>
    </w:p>
    <w:p w14:paraId="75BC425E" w14:textId="02F0692E" w:rsidR="00DE72AA" w:rsidRDefault="005606E9" w:rsidP="00DE72AA">
      <w:pPr>
        <w:pStyle w:val="ListParagraph"/>
        <w:spacing w:line="25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E72AA">
        <w:rPr>
          <w:rFonts w:ascii="Times New Roman" w:hAnsi="Times New Roman" w:cs="Times New Roman"/>
          <w:b/>
          <w:bCs/>
          <w:sz w:val="24"/>
          <w:szCs w:val="24"/>
          <w:u w:val="single"/>
        </w:rPr>
        <w:t>Implementation:</w:t>
      </w:r>
      <w:r w:rsidRPr="000A2321">
        <w:rPr>
          <w:rFonts w:ascii="Times New Roman" w:hAnsi="Times New Roman" w:cs="Times New Roman"/>
          <w:sz w:val="24"/>
          <w:szCs w:val="24"/>
        </w:rPr>
        <w:t xml:space="preserve"> Transfer stock to the CRUT prior to sale of stock</w:t>
      </w:r>
      <w:proofErr w:type="gramStart"/>
      <w:r w:rsidRPr="000A2321">
        <w:rPr>
          <w:rFonts w:ascii="Times New Roman" w:hAnsi="Times New Roman" w:cs="Times New Roman"/>
          <w:sz w:val="24"/>
          <w:szCs w:val="24"/>
        </w:rPr>
        <w:t xml:space="preserve">.  </w:t>
      </w:r>
      <w:proofErr w:type="gramEnd"/>
      <w:r w:rsidRPr="000A2321">
        <w:rPr>
          <w:rFonts w:ascii="Times New Roman" w:hAnsi="Times New Roman" w:cs="Times New Roman"/>
          <w:sz w:val="24"/>
          <w:szCs w:val="24"/>
        </w:rPr>
        <w:t xml:space="preserve">Does not work for an </w:t>
      </w:r>
      <w:r w:rsidR="00B43A51" w:rsidRPr="000A2321">
        <w:rPr>
          <w:rFonts w:ascii="Times New Roman" w:hAnsi="Times New Roman" w:cs="Times New Roman"/>
          <w:sz w:val="24"/>
          <w:szCs w:val="24"/>
        </w:rPr>
        <w:t>S corporation</w:t>
      </w:r>
      <w:proofErr w:type="gramStart"/>
      <w:r w:rsidRPr="000A2321">
        <w:rPr>
          <w:rFonts w:ascii="Times New Roman" w:hAnsi="Times New Roman" w:cs="Times New Roman"/>
          <w:sz w:val="24"/>
          <w:szCs w:val="24"/>
        </w:rPr>
        <w:t xml:space="preserve">.  </w:t>
      </w:r>
      <w:proofErr w:type="gramEnd"/>
      <w:r w:rsidRPr="000A2321">
        <w:rPr>
          <w:rFonts w:ascii="Times New Roman" w:hAnsi="Times New Roman" w:cs="Times New Roman"/>
          <w:sz w:val="24"/>
          <w:szCs w:val="24"/>
        </w:rPr>
        <w:t xml:space="preserve">However, </w:t>
      </w:r>
      <w:r w:rsidR="00B43A51" w:rsidRPr="000A2321">
        <w:rPr>
          <w:rFonts w:ascii="Times New Roman" w:hAnsi="Times New Roman" w:cs="Times New Roman"/>
          <w:sz w:val="24"/>
          <w:szCs w:val="24"/>
        </w:rPr>
        <w:t>the</w:t>
      </w:r>
      <w:r w:rsidRPr="000A2321">
        <w:rPr>
          <w:rFonts w:ascii="Times New Roman" w:hAnsi="Times New Roman" w:cs="Times New Roman"/>
          <w:sz w:val="24"/>
          <w:szCs w:val="24"/>
        </w:rPr>
        <w:t xml:space="preserve"> S corporation can create a CRUT by means of the transfer of the corporation’s </w:t>
      </w:r>
      <w:r w:rsidR="00B43A51" w:rsidRPr="000A2321">
        <w:rPr>
          <w:rFonts w:ascii="Times New Roman" w:hAnsi="Times New Roman" w:cs="Times New Roman"/>
          <w:sz w:val="24"/>
          <w:szCs w:val="24"/>
        </w:rPr>
        <w:t>assets.</w:t>
      </w:r>
    </w:p>
    <w:p w14:paraId="7944DBD9" w14:textId="77777777" w:rsidR="00DE72AA" w:rsidRDefault="00DE72AA" w:rsidP="00DE72AA">
      <w:pPr>
        <w:pStyle w:val="ListParagraph"/>
        <w:spacing w:line="256" w:lineRule="auto"/>
        <w:contextualSpacing w:val="0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2E8D3520" w14:textId="77777777" w:rsidR="00DE72AA" w:rsidRPr="00DE72AA" w:rsidRDefault="00DE72AA" w:rsidP="00DE72AA">
      <w:pPr>
        <w:pStyle w:val="ListParagraph"/>
        <w:spacing w:line="256" w:lineRule="auto"/>
        <w:contextualSpacing w:val="0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64A1F5B5" w14:textId="19B94402" w:rsidR="005D76F0" w:rsidRPr="00DE72AA" w:rsidRDefault="005D76F0" w:rsidP="00DE72AA">
      <w:pPr>
        <w:pStyle w:val="IntenseQuote"/>
        <w:rPr>
          <w:rFonts w:ascii="Times New Roman" w:hAnsi="Times New Roman" w:cs="Times New Roman"/>
          <w:i w:val="0"/>
          <w:iCs w:val="0"/>
          <w:kern w:val="2"/>
          <w:sz w:val="24"/>
          <w:szCs w:val="24"/>
          <w14:ligatures w14:val="standardContextual"/>
        </w:rPr>
      </w:pPr>
      <w:r w:rsidRPr="00DE72AA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6</w:t>
      </w:r>
      <w:r w:rsidR="0081090C" w:rsidRPr="00DE72AA">
        <w:rPr>
          <w:rFonts w:ascii="Times New Roman" w:hAnsi="Times New Roman" w:cs="Times New Roman"/>
          <w:i w:val="0"/>
          <w:iCs w:val="0"/>
          <w:sz w:val="24"/>
          <w:szCs w:val="24"/>
        </w:rPr>
        <w:t>. Swap Assets Out of an Irrevocable Trust (Grantor Trust Swap Power)</w:t>
      </w:r>
    </w:p>
    <w:p w14:paraId="579A0154" w14:textId="3CF6D6F9" w:rsidR="0081090C" w:rsidRPr="000A2321" w:rsidRDefault="0081090C" w:rsidP="000A0CDA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DE72AA">
        <w:rPr>
          <w:rFonts w:ascii="Times New Roman" w:hAnsi="Times New Roman" w:cs="Times New Roman"/>
          <w:b/>
          <w:bCs/>
          <w:sz w:val="24"/>
          <w:szCs w:val="24"/>
          <w:u w:val="single"/>
        </w:rPr>
        <w:t>Concept:</w:t>
      </w:r>
      <w:r w:rsidRPr="000A2321">
        <w:rPr>
          <w:rFonts w:ascii="Times New Roman" w:hAnsi="Times New Roman" w:cs="Times New Roman"/>
          <w:sz w:val="24"/>
          <w:szCs w:val="24"/>
        </w:rPr>
        <w:t xml:space="preserve"> Use a grantor trust substitution power to exchange assets between the grantor and the trust, commonly to move high-basis assets into the trust and pull low-basis assets back to the grantor before death so the low-basis assets may be eligible for basis adjustment at death. (IRC §675(4)(C); IRC §1014(a))</w:t>
      </w:r>
    </w:p>
    <w:p w14:paraId="0486A865" w14:textId="77777777" w:rsidR="005D76F0" w:rsidRPr="000A2321" w:rsidRDefault="005D76F0" w:rsidP="000A0CDA">
      <w:pPr>
        <w:pStyle w:val="ListParagraph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3487A294" w14:textId="77777777" w:rsidR="0081090C" w:rsidRPr="000A2321" w:rsidRDefault="0081090C" w:rsidP="000A0CDA">
      <w:pPr>
        <w:pStyle w:val="ListParagraph"/>
        <w:spacing w:line="256" w:lineRule="auto"/>
        <w:contextualSpacing w:val="0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DE72AA">
        <w:rPr>
          <w:rFonts w:ascii="Times New Roman" w:hAnsi="Times New Roman" w:cs="Times New Roman"/>
          <w:b/>
          <w:bCs/>
          <w:sz w:val="24"/>
          <w:szCs w:val="24"/>
          <w:u w:val="single"/>
        </w:rPr>
        <w:t>Authority:</w:t>
      </w:r>
      <w:r w:rsidRPr="00DE72AA">
        <w:rPr>
          <w:rFonts w:ascii="Times New Roman" w:hAnsi="Times New Roman" w:cs="Times New Roman"/>
          <w:sz w:val="24"/>
          <w:szCs w:val="24"/>
        </w:rPr>
        <w:t xml:space="preserve"> </w:t>
      </w:r>
      <w:r w:rsidRPr="000A2321">
        <w:rPr>
          <w:rFonts w:ascii="Times New Roman" w:hAnsi="Times New Roman" w:cs="Times New Roman"/>
          <w:sz w:val="24"/>
          <w:szCs w:val="24"/>
        </w:rPr>
        <w:t>Grantor treated as owner where there is a power to reacquire trust corpus by substituting other property of equivalent value. (IRC §675(4)(C))</w:t>
      </w:r>
    </w:p>
    <w:p w14:paraId="6F66B56E" w14:textId="77777777" w:rsidR="0081090C" w:rsidRPr="000A2321" w:rsidRDefault="0081090C" w:rsidP="000A0CDA">
      <w:pPr>
        <w:pStyle w:val="ListParagraph"/>
        <w:spacing w:line="256" w:lineRule="auto"/>
        <w:contextualSpacing w:val="0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DE72AA">
        <w:rPr>
          <w:rFonts w:ascii="Times New Roman" w:hAnsi="Times New Roman" w:cs="Times New Roman"/>
          <w:b/>
          <w:bCs/>
          <w:sz w:val="24"/>
          <w:szCs w:val="24"/>
          <w:u w:val="single"/>
        </w:rPr>
        <w:t>Mechanics:</w:t>
      </w:r>
      <w:r w:rsidRPr="000A2321">
        <w:rPr>
          <w:rFonts w:ascii="Times New Roman" w:hAnsi="Times New Roman" w:cs="Times New Roman"/>
          <w:sz w:val="24"/>
          <w:szCs w:val="24"/>
        </w:rPr>
        <w:t xml:space="preserve"> Swap low-basis/rapidly appreciating assets out of the trust and substitute high-basis assets in—ensuring equivalent value and appropriate fiduciary/valuation process. (IRC §675(4)(C))</w:t>
      </w:r>
    </w:p>
    <w:p w14:paraId="1C0CB221" w14:textId="77777777" w:rsidR="0081090C" w:rsidRPr="000A2321" w:rsidRDefault="0081090C" w:rsidP="000A0CDA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DE72AA">
        <w:rPr>
          <w:rFonts w:ascii="Times New Roman" w:hAnsi="Times New Roman" w:cs="Times New Roman"/>
          <w:b/>
          <w:bCs/>
          <w:sz w:val="24"/>
          <w:szCs w:val="24"/>
          <w:u w:val="single"/>
        </w:rPr>
        <w:t>Planning goal:</w:t>
      </w:r>
      <w:r w:rsidRPr="000A2321">
        <w:rPr>
          <w:rFonts w:ascii="Times New Roman" w:hAnsi="Times New Roman" w:cs="Times New Roman"/>
          <w:sz w:val="24"/>
          <w:szCs w:val="24"/>
        </w:rPr>
        <w:t xml:space="preserve"> Hold low-basis assets in the grantor’s estate at death so they can receive a basis adjustment. (IRC §1014(a))</w:t>
      </w:r>
    </w:p>
    <w:p w14:paraId="496416F9" w14:textId="77777777" w:rsidR="005D76F0" w:rsidRPr="000A2321" w:rsidRDefault="005D76F0" w:rsidP="000A0CDA">
      <w:pPr>
        <w:pStyle w:val="ListParagraph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04BE092A" w14:textId="77777777" w:rsidR="0081090C" w:rsidRPr="000A2321" w:rsidRDefault="0081090C" w:rsidP="000A0CDA">
      <w:pPr>
        <w:pStyle w:val="ListParagraph"/>
        <w:spacing w:line="256" w:lineRule="auto"/>
        <w:contextualSpacing w:val="0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DE72AA">
        <w:rPr>
          <w:rFonts w:ascii="Times New Roman" w:hAnsi="Times New Roman" w:cs="Times New Roman"/>
          <w:b/>
          <w:bCs/>
          <w:sz w:val="24"/>
          <w:szCs w:val="24"/>
          <w:u w:val="single"/>
        </w:rPr>
        <w:t>Best for:</w:t>
      </w:r>
      <w:r w:rsidRPr="000A2321">
        <w:rPr>
          <w:rFonts w:ascii="Times New Roman" w:hAnsi="Times New Roman" w:cs="Times New Roman"/>
          <w:sz w:val="24"/>
          <w:szCs w:val="24"/>
        </w:rPr>
        <w:t xml:space="preserve"> IDGTs/grantor trusts holding highly appreciated assets where a future basis step-up is valuable.</w:t>
      </w:r>
    </w:p>
    <w:p w14:paraId="30D55F1D" w14:textId="19595414" w:rsidR="005109A3" w:rsidRPr="00DE72AA" w:rsidRDefault="0081090C" w:rsidP="00DE72AA">
      <w:pPr>
        <w:pStyle w:val="ListParagraph"/>
        <w:spacing w:line="256" w:lineRule="auto"/>
        <w:contextualSpacing w:val="0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DE72AA">
        <w:rPr>
          <w:rFonts w:ascii="Times New Roman" w:hAnsi="Times New Roman" w:cs="Times New Roman"/>
          <w:b/>
          <w:bCs/>
          <w:sz w:val="24"/>
          <w:szCs w:val="24"/>
          <w:u w:val="single"/>
        </w:rPr>
        <w:t>Critical:</w:t>
      </w:r>
      <w:r w:rsidRPr="000A2321">
        <w:rPr>
          <w:rFonts w:ascii="Times New Roman" w:hAnsi="Times New Roman" w:cs="Times New Roman"/>
          <w:sz w:val="24"/>
          <w:szCs w:val="24"/>
        </w:rPr>
        <w:t xml:space="preserve"> Equivalent value exchange and good valuation hygiene; consider documenting valuations and trustee consent to reduce challenge risk. (IRC §675(4)(C))</w:t>
      </w:r>
    </w:p>
    <w:p w14:paraId="5B5ED350" w14:textId="776F5A2F" w:rsidR="005D76F0" w:rsidRPr="00DE72AA" w:rsidRDefault="005D76F0" w:rsidP="00DE72AA">
      <w:pPr>
        <w:pStyle w:val="IntenseQuote"/>
        <w:rPr>
          <w:rFonts w:ascii="Times New Roman" w:hAnsi="Times New Roman" w:cs="Times New Roman"/>
          <w:i w:val="0"/>
          <w:iCs w:val="0"/>
          <w:kern w:val="2"/>
          <w:sz w:val="24"/>
          <w:szCs w:val="24"/>
          <w14:ligatures w14:val="standardContextual"/>
        </w:rPr>
      </w:pPr>
      <w:r w:rsidRPr="00DE72AA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81090C" w:rsidRPr="00DE72AA">
        <w:rPr>
          <w:rFonts w:ascii="Times New Roman" w:hAnsi="Times New Roman" w:cs="Times New Roman"/>
          <w:i w:val="0"/>
          <w:iCs w:val="0"/>
          <w:sz w:val="24"/>
          <w:szCs w:val="24"/>
        </w:rPr>
        <w:t>. Charitable Lead Trust (CLAT) in Low Interest Environments</w:t>
      </w:r>
    </w:p>
    <w:p w14:paraId="1E027111" w14:textId="3D009B9E" w:rsidR="0081090C" w:rsidRDefault="0081090C" w:rsidP="000A0CDA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DE72AA">
        <w:rPr>
          <w:rFonts w:ascii="Times New Roman" w:hAnsi="Times New Roman" w:cs="Times New Roman"/>
          <w:b/>
          <w:bCs/>
          <w:sz w:val="24"/>
          <w:szCs w:val="24"/>
          <w:u w:val="single"/>
        </w:rPr>
        <w:t>Concept:</w:t>
      </w:r>
      <w:r w:rsidRPr="000A2321">
        <w:rPr>
          <w:rFonts w:ascii="Times New Roman" w:hAnsi="Times New Roman" w:cs="Times New Roman"/>
          <w:sz w:val="24"/>
          <w:szCs w:val="24"/>
        </w:rPr>
        <w:t xml:space="preserve"> A charitable lead annuity trust (CLAT) pays an annuity stream to charity for a term, with the remainder passing to family. In lower interest-rate environments, the present value calculation using the §7520 rate can reduce the taxable gift value of the remainder, especially if actual asset growth exceeds the assumed rate. (IRC §7520)</w:t>
      </w:r>
    </w:p>
    <w:p w14:paraId="04543AB9" w14:textId="77777777" w:rsidR="000A2321" w:rsidRDefault="000A2321" w:rsidP="000A0CDA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524AE2D5" w14:textId="26A48590" w:rsidR="000A2321" w:rsidRPr="000A2321" w:rsidRDefault="000A2321" w:rsidP="000A0CDA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Also works well for testamentary bequests to reduce estate taxes.</w:t>
      </w:r>
    </w:p>
    <w:p w14:paraId="533EAA08" w14:textId="77777777" w:rsidR="005D76F0" w:rsidRPr="000A2321" w:rsidRDefault="005D76F0" w:rsidP="000A0CDA">
      <w:pPr>
        <w:pStyle w:val="ListParagraph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2AE61A24" w14:textId="10A4B171" w:rsidR="0081090C" w:rsidRPr="000A2321" w:rsidRDefault="0081090C" w:rsidP="000A0CDA">
      <w:pPr>
        <w:pStyle w:val="ListParagraph"/>
        <w:spacing w:line="256" w:lineRule="auto"/>
        <w:contextualSpacing w:val="0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DE72AA">
        <w:rPr>
          <w:rFonts w:ascii="Times New Roman" w:hAnsi="Times New Roman" w:cs="Times New Roman"/>
          <w:b/>
          <w:bCs/>
          <w:sz w:val="24"/>
          <w:szCs w:val="24"/>
          <w:u w:val="single"/>
        </w:rPr>
        <w:t>Planning idea:</w:t>
      </w:r>
      <w:r w:rsidRPr="000A2321">
        <w:rPr>
          <w:rFonts w:ascii="Times New Roman" w:hAnsi="Times New Roman" w:cs="Times New Roman"/>
          <w:sz w:val="24"/>
          <w:szCs w:val="24"/>
        </w:rPr>
        <w:t xml:space="preserve"> Structure annuity and term so the actuarial remainder value (gift) </w:t>
      </w:r>
      <w:proofErr w:type="gramStart"/>
      <w:r w:rsidRPr="000A2321">
        <w:rPr>
          <w:rFonts w:ascii="Times New Roman" w:hAnsi="Times New Roman" w:cs="Times New Roman"/>
          <w:sz w:val="24"/>
          <w:szCs w:val="24"/>
        </w:rPr>
        <w:t>is reduced</w:t>
      </w:r>
      <w:proofErr w:type="gramEnd"/>
      <w:r w:rsidRPr="000A2321">
        <w:rPr>
          <w:rFonts w:ascii="Times New Roman" w:hAnsi="Times New Roman" w:cs="Times New Roman"/>
          <w:sz w:val="24"/>
          <w:szCs w:val="24"/>
        </w:rPr>
        <w:t>, with upside to family if assets outperform the assumed rate. (IRC §7520)</w:t>
      </w:r>
      <w:r w:rsidR="000A2321">
        <w:rPr>
          <w:rFonts w:ascii="Times New Roman" w:hAnsi="Times New Roman" w:cs="Times New Roman"/>
          <w:sz w:val="24"/>
          <w:szCs w:val="24"/>
        </w:rPr>
        <w:t>.</w:t>
      </w:r>
    </w:p>
    <w:p w14:paraId="1511BB82" w14:textId="68A72A90" w:rsidR="000A2321" w:rsidRPr="000A2321" w:rsidRDefault="000A2321" w:rsidP="00B43A51">
      <w:pPr>
        <w:spacing w:line="256" w:lineRule="auto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ab/>
        <w:t xml:space="preserve">If the CLAT </w:t>
      </w:r>
      <w:proofErr w:type="gramStart"/>
      <w:r w:rsidR="00536115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is </w:t>
      </w: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created</w:t>
      </w:r>
      <w:proofErr w:type="gramEnd"/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during the donor’s lifetime it can </w:t>
      </w:r>
      <w:proofErr w:type="gramStart"/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be structured</w:t>
      </w:r>
      <w:proofErr w:type="gramEnd"/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as a grantor trust or as a</w:t>
      </w:r>
      <w:r w:rsidR="00B43A51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non-</w:t>
      </w:r>
      <w:r w:rsidR="000A0CDA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ab/>
      </w: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grantor trust</w:t>
      </w:r>
      <w:proofErr w:type="gramStart"/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.  </w:t>
      </w:r>
      <w:proofErr w:type="gramEnd"/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The grantor trust CLAT generates a current income tax deduction for the </w:t>
      </w:r>
      <w:r w:rsidR="00B43A51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donor.</w:t>
      </w:r>
    </w:p>
    <w:p w14:paraId="61229C99" w14:textId="77777777" w:rsidR="0081090C" w:rsidRPr="000A2321" w:rsidRDefault="0081090C" w:rsidP="000A0CDA">
      <w:pPr>
        <w:pStyle w:val="ListParagraph"/>
        <w:spacing w:line="256" w:lineRule="auto"/>
        <w:contextualSpacing w:val="0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DE72AA">
        <w:rPr>
          <w:rFonts w:ascii="Times New Roman" w:hAnsi="Times New Roman" w:cs="Times New Roman"/>
          <w:b/>
          <w:bCs/>
          <w:sz w:val="24"/>
          <w:szCs w:val="24"/>
          <w:u w:val="single"/>
        </w:rPr>
        <w:t>Best case:</w:t>
      </w:r>
      <w:r w:rsidRPr="000A2321">
        <w:rPr>
          <w:rFonts w:ascii="Times New Roman" w:hAnsi="Times New Roman" w:cs="Times New Roman"/>
          <w:sz w:val="24"/>
          <w:szCs w:val="24"/>
        </w:rPr>
        <w:t xml:space="preserve"> Trust asset growth exceeds the §7520 rate used for valuation. (IRC §7520)</w:t>
      </w:r>
    </w:p>
    <w:p w14:paraId="4FAF3E41" w14:textId="55D04278" w:rsidR="005D76F0" w:rsidRDefault="005D76F0" w:rsidP="000A0CD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34A0E88" w14:textId="7E72AB04" w:rsidR="005109A3" w:rsidRPr="00DE72AA" w:rsidRDefault="005109A3" w:rsidP="00DE72A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C92F21B" w14:textId="55835DA7" w:rsidR="005D76F0" w:rsidRPr="00DE72AA" w:rsidRDefault="00217E40" w:rsidP="00DE72AA">
      <w:pPr>
        <w:pStyle w:val="IntenseQuote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DE72AA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8</w:t>
      </w:r>
      <w:r w:rsidR="0081090C" w:rsidRPr="00DE72AA">
        <w:rPr>
          <w:rFonts w:ascii="Times New Roman" w:hAnsi="Times New Roman" w:cs="Times New Roman"/>
          <w:i w:val="0"/>
          <w:iCs w:val="0"/>
          <w:sz w:val="24"/>
          <w:szCs w:val="24"/>
        </w:rPr>
        <w:t>. QSBS Stacking (Section 1202)</w:t>
      </w:r>
    </w:p>
    <w:p w14:paraId="31017C36" w14:textId="08207BDB" w:rsidR="0081090C" w:rsidRPr="000A2321" w:rsidRDefault="0081090C" w:rsidP="000A0CDA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DE72AA">
        <w:rPr>
          <w:rFonts w:ascii="Times New Roman" w:hAnsi="Times New Roman" w:cs="Times New Roman"/>
          <w:b/>
          <w:bCs/>
          <w:sz w:val="24"/>
          <w:szCs w:val="24"/>
          <w:u w:val="single"/>
        </w:rPr>
        <w:t>Concept:</w:t>
      </w:r>
      <w:r w:rsidRPr="000A2321">
        <w:rPr>
          <w:rFonts w:ascii="Times New Roman" w:hAnsi="Times New Roman" w:cs="Times New Roman"/>
          <w:sz w:val="24"/>
          <w:szCs w:val="24"/>
        </w:rPr>
        <w:t xml:space="preserve"> Qualified small business stock (QSBS) can allow eligible noncorporate taxpayers to exclude gain </w:t>
      </w:r>
      <w:proofErr w:type="gramStart"/>
      <w:r w:rsidR="005D76F0" w:rsidRPr="000A2321">
        <w:rPr>
          <w:rFonts w:ascii="Times New Roman" w:hAnsi="Times New Roman" w:cs="Times New Roman"/>
          <w:sz w:val="24"/>
          <w:szCs w:val="24"/>
        </w:rPr>
        <w:t xml:space="preserve">generally </w:t>
      </w:r>
      <w:r w:rsidRPr="000A2321">
        <w:rPr>
          <w:rFonts w:ascii="Times New Roman" w:hAnsi="Times New Roman" w:cs="Times New Roman"/>
          <w:sz w:val="24"/>
          <w:szCs w:val="24"/>
        </w:rPr>
        <w:t>on</w:t>
      </w:r>
      <w:proofErr w:type="gramEnd"/>
      <w:r w:rsidRPr="000A2321">
        <w:rPr>
          <w:rFonts w:ascii="Times New Roman" w:hAnsi="Times New Roman" w:cs="Times New Roman"/>
          <w:sz w:val="24"/>
          <w:szCs w:val="24"/>
        </w:rPr>
        <w:t xml:space="preserve"> sale</w:t>
      </w:r>
      <w:r w:rsidR="005D76F0" w:rsidRPr="000A2321">
        <w:rPr>
          <w:rFonts w:ascii="Times New Roman" w:hAnsi="Times New Roman" w:cs="Times New Roman"/>
          <w:sz w:val="24"/>
          <w:szCs w:val="24"/>
        </w:rPr>
        <w:t xml:space="preserve"> up to $10,000,000 ($15,000,000 for stock issued after 2026)</w:t>
      </w:r>
      <w:r w:rsidRPr="000A2321">
        <w:rPr>
          <w:rFonts w:ascii="Times New Roman" w:hAnsi="Times New Roman" w:cs="Times New Roman"/>
          <w:sz w:val="24"/>
          <w:szCs w:val="24"/>
        </w:rPr>
        <w:t>, subject to detailed requirements and per-issuer limitations. (IRC §1202)</w:t>
      </w:r>
    </w:p>
    <w:p w14:paraId="7FC7608F" w14:textId="77777777" w:rsidR="005D76F0" w:rsidRPr="000A2321" w:rsidRDefault="005D76F0" w:rsidP="000A0CDA">
      <w:pPr>
        <w:pStyle w:val="ListParagraph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230BFA49" w14:textId="596AE543" w:rsidR="0081090C" w:rsidRPr="000A2321" w:rsidRDefault="0081090C" w:rsidP="000A0CDA">
      <w:pPr>
        <w:pStyle w:val="ListParagraph"/>
        <w:spacing w:line="256" w:lineRule="auto"/>
        <w:contextualSpacing w:val="0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DE72AA">
        <w:rPr>
          <w:rFonts w:ascii="Times New Roman" w:hAnsi="Times New Roman" w:cs="Times New Roman"/>
          <w:b/>
          <w:bCs/>
          <w:sz w:val="24"/>
          <w:szCs w:val="24"/>
          <w:u w:val="single"/>
        </w:rPr>
        <w:t>Stacking idea:</w:t>
      </w:r>
      <w:r w:rsidRPr="000A2321">
        <w:rPr>
          <w:rFonts w:ascii="Times New Roman" w:hAnsi="Times New Roman" w:cs="Times New Roman"/>
          <w:sz w:val="24"/>
          <w:szCs w:val="24"/>
        </w:rPr>
        <w:t xml:space="preserve"> Use multiple eligible taxpayers (e.g., certain trusts and/or family members) </w:t>
      </w:r>
      <w:r w:rsidR="005D76F0" w:rsidRPr="000A2321">
        <w:rPr>
          <w:rFonts w:ascii="Times New Roman" w:hAnsi="Times New Roman" w:cs="Times New Roman"/>
          <w:sz w:val="24"/>
          <w:szCs w:val="24"/>
        </w:rPr>
        <w:t xml:space="preserve">through gifting </w:t>
      </w:r>
      <w:r w:rsidRPr="000A2321">
        <w:rPr>
          <w:rFonts w:ascii="Times New Roman" w:hAnsi="Times New Roman" w:cs="Times New Roman"/>
          <w:sz w:val="24"/>
          <w:szCs w:val="24"/>
        </w:rPr>
        <w:t xml:space="preserve">so each may </w:t>
      </w:r>
      <w:r w:rsidR="005D76F0" w:rsidRPr="000A2321">
        <w:rPr>
          <w:rFonts w:ascii="Times New Roman" w:hAnsi="Times New Roman" w:cs="Times New Roman"/>
          <w:sz w:val="24"/>
          <w:szCs w:val="24"/>
        </w:rPr>
        <w:t xml:space="preserve">take advantage of the </w:t>
      </w:r>
      <w:r w:rsidRPr="000A2321">
        <w:rPr>
          <w:rFonts w:ascii="Times New Roman" w:hAnsi="Times New Roman" w:cs="Times New Roman"/>
          <w:sz w:val="24"/>
          <w:szCs w:val="24"/>
        </w:rPr>
        <w:t>1202</w:t>
      </w:r>
      <w:r w:rsidR="005D76F0" w:rsidRPr="000A2321">
        <w:rPr>
          <w:rFonts w:ascii="Times New Roman" w:hAnsi="Times New Roman" w:cs="Times New Roman"/>
          <w:sz w:val="24"/>
          <w:szCs w:val="24"/>
        </w:rPr>
        <w:t xml:space="preserve"> </w:t>
      </w:r>
      <w:r w:rsidR="00217E40" w:rsidRPr="000A2321">
        <w:rPr>
          <w:rFonts w:ascii="Times New Roman" w:hAnsi="Times New Roman" w:cs="Times New Roman"/>
          <w:sz w:val="24"/>
          <w:szCs w:val="24"/>
        </w:rPr>
        <w:t>exclusion</w:t>
      </w:r>
      <w:r w:rsidRPr="000A2321">
        <w:rPr>
          <w:rFonts w:ascii="Times New Roman" w:hAnsi="Times New Roman" w:cs="Times New Roman"/>
          <w:sz w:val="24"/>
          <w:szCs w:val="24"/>
        </w:rPr>
        <w:t>)</w:t>
      </w:r>
      <w:r w:rsidR="00536115">
        <w:rPr>
          <w:rStyle w:val="FootnoteReference"/>
          <w:rFonts w:ascii="Times New Roman" w:hAnsi="Times New Roman" w:cs="Times New Roman"/>
          <w:sz w:val="24"/>
          <w:szCs w:val="24"/>
        </w:rPr>
        <w:footnoteReference w:id="2"/>
      </w:r>
    </w:p>
    <w:p w14:paraId="54F5184F" w14:textId="297C1EA0" w:rsidR="0081090C" w:rsidRPr="000A2321" w:rsidRDefault="005D76F0" w:rsidP="000A0CDA">
      <w:pPr>
        <w:pStyle w:val="ListParagraph"/>
        <w:spacing w:line="256" w:lineRule="auto"/>
        <w:contextualSpacing w:val="0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DE72AA">
        <w:rPr>
          <w:rFonts w:ascii="Times New Roman" w:hAnsi="Times New Roman" w:cs="Times New Roman"/>
          <w:b/>
          <w:bCs/>
          <w:sz w:val="24"/>
          <w:szCs w:val="24"/>
          <w:u w:val="single"/>
        </w:rPr>
        <w:t>Limitation</w:t>
      </w:r>
      <w:r w:rsidR="00B43A51" w:rsidRPr="00DE72AA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 w:rsidR="00B43A51" w:rsidRPr="000A2321">
        <w:rPr>
          <w:rFonts w:ascii="Times New Roman" w:hAnsi="Times New Roman" w:cs="Times New Roman"/>
          <w:sz w:val="24"/>
          <w:szCs w:val="24"/>
        </w:rPr>
        <w:t xml:space="preserve"> The</w:t>
      </w:r>
      <w:r w:rsidRPr="000A2321">
        <w:rPr>
          <w:rFonts w:ascii="Times New Roman" w:hAnsi="Times New Roman" w:cs="Times New Roman"/>
          <w:sz w:val="24"/>
          <w:szCs w:val="24"/>
        </w:rPr>
        <w:t xml:space="preserve"> e</w:t>
      </w:r>
      <w:r w:rsidR="0081090C" w:rsidRPr="000A2321">
        <w:rPr>
          <w:rFonts w:ascii="Times New Roman" w:hAnsi="Times New Roman" w:cs="Times New Roman"/>
          <w:sz w:val="24"/>
          <w:szCs w:val="24"/>
        </w:rPr>
        <w:t xml:space="preserve">xclusion </w:t>
      </w:r>
      <w:proofErr w:type="gramStart"/>
      <w:r w:rsidR="0081090C" w:rsidRPr="000A2321">
        <w:rPr>
          <w:rFonts w:ascii="Times New Roman" w:hAnsi="Times New Roman" w:cs="Times New Roman"/>
          <w:sz w:val="24"/>
          <w:szCs w:val="24"/>
        </w:rPr>
        <w:t>generally limited</w:t>
      </w:r>
      <w:proofErr w:type="gramEnd"/>
      <w:r w:rsidR="0081090C" w:rsidRPr="000A2321">
        <w:rPr>
          <w:rFonts w:ascii="Times New Roman" w:hAnsi="Times New Roman" w:cs="Times New Roman"/>
          <w:sz w:val="24"/>
          <w:szCs w:val="24"/>
        </w:rPr>
        <w:t xml:space="preserve"> to the greater of $10,000,000 </w:t>
      </w:r>
      <w:r w:rsidR="00217E40" w:rsidRPr="000A2321">
        <w:rPr>
          <w:rFonts w:ascii="Times New Roman" w:hAnsi="Times New Roman" w:cs="Times New Roman"/>
          <w:sz w:val="24"/>
          <w:szCs w:val="24"/>
        </w:rPr>
        <w:t xml:space="preserve">($15,000,000 for post 2025) </w:t>
      </w:r>
      <w:r w:rsidR="0081090C" w:rsidRPr="000A2321">
        <w:rPr>
          <w:rFonts w:ascii="Times New Roman" w:hAnsi="Times New Roman" w:cs="Times New Roman"/>
          <w:sz w:val="24"/>
          <w:szCs w:val="24"/>
        </w:rPr>
        <w:t>of gain or 10× basis. (IRC §1202(b)(1))</w:t>
      </w:r>
    </w:p>
    <w:p w14:paraId="6C185D91" w14:textId="41B625AB" w:rsidR="005109A3" w:rsidRPr="00DE72AA" w:rsidRDefault="0081090C" w:rsidP="00DE72AA">
      <w:pPr>
        <w:pStyle w:val="ListParagraph"/>
        <w:spacing w:line="256" w:lineRule="auto"/>
        <w:contextualSpacing w:val="0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DE72AA">
        <w:rPr>
          <w:rFonts w:ascii="Times New Roman" w:hAnsi="Times New Roman" w:cs="Times New Roman"/>
          <w:b/>
          <w:bCs/>
          <w:sz w:val="24"/>
          <w:szCs w:val="24"/>
          <w:u w:val="single"/>
        </w:rPr>
        <w:t>Planning note:</w:t>
      </w:r>
      <w:r w:rsidRPr="000A2321">
        <w:rPr>
          <w:rFonts w:ascii="Times New Roman" w:hAnsi="Times New Roman" w:cs="Times New Roman"/>
          <w:sz w:val="24"/>
          <w:szCs w:val="24"/>
        </w:rPr>
        <w:t xml:space="preserve"> </w:t>
      </w:r>
      <w:r w:rsidR="005D76F0" w:rsidRPr="000A2321">
        <w:rPr>
          <w:rFonts w:ascii="Times New Roman" w:hAnsi="Times New Roman" w:cs="Times New Roman"/>
          <w:sz w:val="24"/>
          <w:szCs w:val="24"/>
        </w:rPr>
        <w:t xml:space="preserve">If stock is </w:t>
      </w:r>
      <w:r w:rsidR="00B43A51" w:rsidRPr="000A2321">
        <w:rPr>
          <w:rFonts w:ascii="Times New Roman" w:hAnsi="Times New Roman" w:cs="Times New Roman"/>
          <w:sz w:val="24"/>
          <w:szCs w:val="24"/>
        </w:rPr>
        <w:t>acquired</w:t>
      </w:r>
      <w:r w:rsidR="005D76F0" w:rsidRPr="000A2321">
        <w:rPr>
          <w:rFonts w:ascii="Times New Roman" w:hAnsi="Times New Roman" w:cs="Times New Roman"/>
          <w:sz w:val="24"/>
          <w:szCs w:val="24"/>
        </w:rPr>
        <w:t xml:space="preserve"> originally by a </w:t>
      </w:r>
      <w:r w:rsidR="00B43A51" w:rsidRPr="000A2321">
        <w:rPr>
          <w:rFonts w:ascii="Times New Roman" w:hAnsi="Times New Roman" w:cs="Times New Roman"/>
          <w:sz w:val="24"/>
          <w:szCs w:val="24"/>
        </w:rPr>
        <w:t>partnership,</w:t>
      </w:r>
      <w:r w:rsidR="005D76F0" w:rsidRPr="000A2321">
        <w:rPr>
          <w:rFonts w:ascii="Times New Roman" w:hAnsi="Times New Roman" w:cs="Times New Roman"/>
          <w:sz w:val="24"/>
          <w:szCs w:val="24"/>
        </w:rPr>
        <w:t xml:space="preserve"> it is eligible for the exclusion</w:t>
      </w:r>
      <w:proofErr w:type="gramStart"/>
      <w:r w:rsidR="005D76F0" w:rsidRPr="000A2321">
        <w:rPr>
          <w:rFonts w:ascii="Times New Roman" w:hAnsi="Times New Roman" w:cs="Times New Roman"/>
          <w:sz w:val="24"/>
          <w:szCs w:val="24"/>
        </w:rPr>
        <w:t>.  However</w:t>
      </w:r>
      <w:proofErr w:type="gramEnd"/>
      <w:r w:rsidR="005D76F0" w:rsidRPr="000A2321">
        <w:rPr>
          <w:rFonts w:ascii="Times New Roman" w:hAnsi="Times New Roman" w:cs="Times New Roman"/>
          <w:sz w:val="24"/>
          <w:szCs w:val="24"/>
        </w:rPr>
        <w:t xml:space="preserve"> stock which is transferred to a partnership lo</w:t>
      </w:r>
      <w:r w:rsidR="00217E40" w:rsidRPr="000A2321">
        <w:rPr>
          <w:rFonts w:ascii="Times New Roman" w:hAnsi="Times New Roman" w:cs="Times New Roman"/>
          <w:sz w:val="24"/>
          <w:szCs w:val="24"/>
        </w:rPr>
        <w:t>ses its eligibility.</w:t>
      </w:r>
    </w:p>
    <w:p w14:paraId="5E7A9708" w14:textId="139E7F15" w:rsidR="00217E40" w:rsidRPr="00DE72AA" w:rsidRDefault="00217E40" w:rsidP="00DE72AA">
      <w:pPr>
        <w:pStyle w:val="IntenseQuote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DE72AA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81090C" w:rsidRPr="00DE72AA">
        <w:rPr>
          <w:rFonts w:ascii="Times New Roman" w:hAnsi="Times New Roman" w:cs="Times New Roman"/>
          <w:i w:val="0"/>
          <w:iCs w:val="0"/>
          <w:sz w:val="24"/>
          <w:szCs w:val="24"/>
        </w:rPr>
        <w:t>. Charitable Bunching + Donor-Advised Fund (DAF)</w:t>
      </w:r>
    </w:p>
    <w:p w14:paraId="355258FF" w14:textId="77777777" w:rsidR="0081090C" w:rsidRPr="000A2321" w:rsidRDefault="0081090C" w:rsidP="000A0CDA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DE72AA">
        <w:rPr>
          <w:rFonts w:ascii="Times New Roman" w:hAnsi="Times New Roman" w:cs="Times New Roman"/>
          <w:b/>
          <w:bCs/>
          <w:sz w:val="24"/>
          <w:szCs w:val="24"/>
          <w:u w:val="single"/>
        </w:rPr>
        <w:t>Concept:</w:t>
      </w:r>
      <w:r w:rsidRPr="000A2321">
        <w:rPr>
          <w:rFonts w:ascii="Times New Roman" w:hAnsi="Times New Roman" w:cs="Times New Roman"/>
          <w:sz w:val="24"/>
          <w:szCs w:val="24"/>
        </w:rPr>
        <w:t xml:space="preserve"> “Bunch” </w:t>
      </w:r>
      <w:proofErr w:type="gramStart"/>
      <w:r w:rsidRPr="000A2321">
        <w:rPr>
          <w:rFonts w:ascii="Times New Roman" w:hAnsi="Times New Roman" w:cs="Times New Roman"/>
          <w:sz w:val="24"/>
          <w:szCs w:val="24"/>
        </w:rPr>
        <w:t>several</w:t>
      </w:r>
      <w:proofErr w:type="gramEnd"/>
      <w:r w:rsidRPr="000A2321">
        <w:rPr>
          <w:rFonts w:ascii="Times New Roman" w:hAnsi="Times New Roman" w:cs="Times New Roman"/>
          <w:sz w:val="24"/>
          <w:szCs w:val="24"/>
        </w:rPr>
        <w:t xml:space="preserve"> years of charitable giving into one tax year to increase itemized deductions in a high-income year, often by funding a donor-advised fund (DAF) and making grants over time. Deductibility and limitations are governed by the charitable contribution rules. (IRC §170)</w:t>
      </w:r>
    </w:p>
    <w:p w14:paraId="5EEF6EBD" w14:textId="77777777" w:rsidR="00217E40" w:rsidRPr="000A2321" w:rsidRDefault="00217E40" w:rsidP="000A0CDA">
      <w:pPr>
        <w:pStyle w:val="ListParagraph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4718F78C" w14:textId="22781F94" w:rsidR="0081090C" w:rsidRPr="000A2321" w:rsidRDefault="0081090C" w:rsidP="000A0CDA">
      <w:pPr>
        <w:pStyle w:val="ListParagraph"/>
        <w:spacing w:line="256" w:lineRule="auto"/>
        <w:contextualSpacing w:val="0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0A2321">
        <w:rPr>
          <w:rFonts w:ascii="Times New Roman" w:hAnsi="Times New Roman" w:cs="Times New Roman"/>
          <w:sz w:val="24"/>
          <w:szCs w:val="24"/>
        </w:rPr>
        <w:t>Larger single-year giving can push itemized deductions above the standard deduction and improve marginal-rate efficiency. (IRC §170)</w:t>
      </w:r>
    </w:p>
    <w:p w14:paraId="0CFA773A" w14:textId="09BA3B12" w:rsidR="0081090C" w:rsidRPr="000A2321" w:rsidRDefault="0081090C" w:rsidP="000A0CDA">
      <w:pPr>
        <w:pStyle w:val="ListParagraph"/>
        <w:spacing w:line="256" w:lineRule="auto"/>
        <w:contextualSpacing w:val="0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DE72AA">
        <w:rPr>
          <w:rFonts w:ascii="Times New Roman" w:hAnsi="Times New Roman" w:cs="Times New Roman"/>
          <w:b/>
          <w:bCs/>
          <w:sz w:val="24"/>
          <w:szCs w:val="24"/>
          <w:u w:val="single"/>
        </w:rPr>
        <w:t>DAF</w:t>
      </w:r>
      <w:r w:rsidR="00B43A51" w:rsidRPr="00DE72AA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 w:rsidR="00B43A51" w:rsidRPr="00DE72A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43A51" w:rsidRPr="000A2321">
        <w:rPr>
          <w:rFonts w:ascii="Times New Roman" w:hAnsi="Times New Roman" w:cs="Times New Roman"/>
          <w:sz w:val="24"/>
          <w:szCs w:val="24"/>
        </w:rPr>
        <w:t>DAFs</w:t>
      </w:r>
      <w:r w:rsidR="00217E40" w:rsidRPr="000A2321">
        <w:rPr>
          <w:rFonts w:ascii="Times New Roman" w:hAnsi="Times New Roman" w:cs="Times New Roman"/>
          <w:sz w:val="24"/>
          <w:szCs w:val="24"/>
        </w:rPr>
        <w:t xml:space="preserve"> allow the donor to</w:t>
      </w:r>
      <w:r w:rsidRPr="000A2321">
        <w:rPr>
          <w:rFonts w:ascii="Times New Roman" w:hAnsi="Times New Roman" w:cs="Times New Roman"/>
          <w:sz w:val="24"/>
          <w:szCs w:val="24"/>
        </w:rPr>
        <w:t xml:space="preserve"> recommend grants to operating charities over time.</w:t>
      </w:r>
    </w:p>
    <w:p w14:paraId="24DC70CA" w14:textId="3D6F3789" w:rsidR="0081090C" w:rsidRPr="000A2321" w:rsidRDefault="00952C84" w:rsidP="000A0CDA">
      <w:pPr>
        <w:pStyle w:val="ListParagraph"/>
        <w:spacing w:line="256" w:lineRule="auto"/>
        <w:contextualSpacing w:val="0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Planning Note</w:t>
      </w:r>
      <w:r w:rsidR="0081090C" w:rsidRPr="00DE72AA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 w:rsidR="0081090C" w:rsidRPr="000A2321">
        <w:rPr>
          <w:rFonts w:ascii="Times New Roman" w:hAnsi="Times New Roman" w:cs="Times New Roman"/>
          <w:sz w:val="24"/>
          <w:szCs w:val="24"/>
        </w:rPr>
        <w:t xml:space="preserve"> Liquidity events, high-income years, and/or Roth conversion years where a deduction can offset additional income. (IRC §170)</w:t>
      </w:r>
    </w:p>
    <w:p w14:paraId="75124CF5" w14:textId="77777777" w:rsidR="00DE72AA" w:rsidRDefault="00DE72AA" w:rsidP="00DE72A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73C01C2" w14:textId="77777777" w:rsidR="00DE72AA" w:rsidRDefault="00DE72AA" w:rsidP="00DE72A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FD5F053" w14:textId="77777777" w:rsidR="00DE72AA" w:rsidRDefault="00DE72AA" w:rsidP="00DE72A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4E5ED58" w14:textId="77777777" w:rsidR="00DE72AA" w:rsidRPr="00DE72AA" w:rsidRDefault="00DE72AA" w:rsidP="00DE72A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D7D8F20" w14:textId="54B919BF" w:rsidR="00217E40" w:rsidRPr="00DE72AA" w:rsidRDefault="0081090C" w:rsidP="00DE72AA">
      <w:pPr>
        <w:pStyle w:val="IntenseQuote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DE72AA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1</w:t>
      </w:r>
      <w:r w:rsidR="00217E40" w:rsidRPr="00DE72AA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Pr="00DE72A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Roth Conversion + Charitable </w:t>
      </w:r>
      <w:r w:rsidR="00217E40" w:rsidRPr="00DE72AA">
        <w:rPr>
          <w:rFonts w:ascii="Times New Roman" w:hAnsi="Times New Roman" w:cs="Times New Roman"/>
          <w:i w:val="0"/>
          <w:iCs w:val="0"/>
          <w:sz w:val="24"/>
          <w:szCs w:val="24"/>
        </w:rPr>
        <w:t>Giving</w:t>
      </w:r>
    </w:p>
    <w:p w14:paraId="061FCD68" w14:textId="187134D9" w:rsidR="0081090C" w:rsidRPr="000A2321" w:rsidRDefault="0081090C" w:rsidP="00B43A51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DE72AA">
        <w:rPr>
          <w:rFonts w:ascii="Times New Roman" w:hAnsi="Times New Roman" w:cs="Times New Roman"/>
          <w:b/>
          <w:bCs/>
          <w:sz w:val="24"/>
          <w:szCs w:val="24"/>
          <w:u w:val="single"/>
        </w:rPr>
        <w:t>Concept:</w:t>
      </w:r>
      <w:r w:rsidRPr="000A2321">
        <w:rPr>
          <w:rFonts w:ascii="Times New Roman" w:hAnsi="Times New Roman" w:cs="Times New Roman"/>
          <w:sz w:val="24"/>
          <w:szCs w:val="24"/>
        </w:rPr>
        <w:t xml:space="preserve"> Execute Roth conversions in a year when large charitable deductions can offset income inclusion, improving after-tax results while shifting future growth to Roth treatment. (Charitable deductions: IRC §170)</w:t>
      </w:r>
    </w:p>
    <w:p w14:paraId="6D5B5A73" w14:textId="77777777" w:rsidR="00217E40" w:rsidRPr="000A2321" w:rsidRDefault="00217E40" w:rsidP="000A0CDA">
      <w:pPr>
        <w:pStyle w:val="ListParagraph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77BA86B0" w14:textId="0BDCD81D" w:rsidR="0081090C" w:rsidRPr="000A2321" w:rsidRDefault="0081090C" w:rsidP="000A0CDA">
      <w:pPr>
        <w:pStyle w:val="ListParagraph"/>
        <w:spacing w:line="256" w:lineRule="auto"/>
        <w:contextualSpacing w:val="0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DE72AA">
        <w:rPr>
          <w:rFonts w:ascii="Times New Roman" w:hAnsi="Times New Roman" w:cs="Times New Roman"/>
          <w:b/>
          <w:bCs/>
          <w:sz w:val="24"/>
          <w:szCs w:val="24"/>
          <w:u w:val="single"/>
        </w:rPr>
        <w:t>Offset:</w:t>
      </w:r>
      <w:r w:rsidRPr="000A2321">
        <w:rPr>
          <w:rFonts w:ascii="Times New Roman" w:hAnsi="Times New Roman" w:cs="Times New Roman"/>
          <w:sz w:val="24"/>
          <w:szCs w:val="24"/>
        </w:rPr>
        <w:t xml:space="preserve"> Increase charitable giving </w:t>
      </w:r>
      <w:r w:rsidR="00217E40" w:rsidRPr="000A2321">
        <w:rPr>
          <w:rFonts w:ascii="Times New Roman" w:hAnsi="Times New Roman" w:cs="Times New Roman"/>
          <w:sz w:val="24"/>
          <w:szCs w:val="24"/>
        </w:rPr>
        <w:t xml:space="preserve">through bunching of DAF funding or CRT-related planning </w:t>
      </w:r>
      <w:r w:rsidRPr="000A2321">
        <w:rPr>
          <w:rFonts w:ascii="Times New Roman" w:hAnsi="Times New Roman" w:cs="Times New Roman"/>
          <w:sz w:val="24"/>
          <w:szCs w:val="24"/>
        </w:rPr>
        <w:t xml:space="preserve">in the conversion year to offset </w:t>
      </w:r>
      <w:proofErr w:type="gramStart"/>
      <w:r w:rsidRPr="000A2321">
        <w:rPr>
          <w:rFonts w:ascii="Times New Roman" w:hAnsi="Times New Roman" w:cs="Times New Roman"/>
          <w:sz w:val="24"/>
          <w:szCs w:val="24"/>
        </w:rPr>
        <w:t>some</w:t>
      </w:r>
      <w:proofErr w:type="gramEnd"/>
      <w:r w:rsidRPr="000A2321">
        <w:rPr>
          <w:rFonts w:ascii="Times New Roman" w:hAnsi="Times New Roman" w:cs="Times New Roman"/>
          <w:sz w:val="24"/>
          <w:szCs w:val="24"/>
        </w:rPr>
        <w:t xml:space="preserve"> or </w:t>
      </w:r>
      <w:proofErr w:type="gramStart"/>
      <w:r w:rsidRPr="000A2321">
        <w:rPr>
          <w:rFonts w:ascii="Times New Roman" w:hAnsi="Times New Roman" w:cs="Times New Roman"/>
          <w:sz w:val="24"/>
          <w:szCs w:val="24"/>
        </w:rPr>
        <w:t>all of</w:t>
      </w:r>
      <w:proofErr w:type="gramEnd"/>
      <w:r w:rsidRPr="000A2321">
        <w:rPr>
          <w:rFonts w:ascii="Times New Roman" w:hAnsi="Times New Roman" w:cs="Times New Roman"/>
          <w:sz w:val="24"/>
          <w:szCs w:val="24"/>
        </w:rPr>
        <w:t xml:space="preserve"> the added taxable income (subject to limitation rules). (IRC §170)</w:t>
      </w:r>
    </w:p>
    <w:p w14:paraId="108EEB52" w14:textId="78B5276C" w:rsidR="00D03832" w:rsidRDefault="0081090C" w:rsidP="00DE72AA">
      <w:pPr>
        <w:pStyle w:val="ListParagraph"/>
        <w:spacing w:line="25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E72AA">
        <w:rPr>
          <w:rFonts w:ascii="Times New Roman" w:hAnsi="Times New Roman" w:cs="Times New Roman"/>
          <w:b/>
          <w:bCs/>
          <w:sz w:val="24"/>
          <w:szCs w:val="24"/>
          <w:u w:val="single"/>
        </w:rPr>
        <w:t>Planning note:</w:t>
      </w:r>
      <w:r w:rsidRPr="000A2321">
        <w:rPr>
          <w:rFonts w:ascii="Times New Roman" w:hAnsi="Times New Roman" w:cs="Times New Roman"/>
          <w:sz w:val="24"/>
          <w:szCs w:val="24"/>
        </w:rPr>
        <w:t xml:space="preserve"> Model bracket impact, phaseouts, and state taxes; coordinate timing so the deduction year aligns with the income inclusion year; maintain substantiation. (IRC §170)</w:t>
      </w:r>
    </w:p>
    <w:p w14:paraId="42B5B494" w14:textId="77777777" w:rsidR="007A7A2A" w:rsidRPr="000A2321" w:rsidRDefault="007A7A2A" w:rsidP="00DE72AA">
      <w:pPr>
        <w:pStyle w:val="ListParagraph"/>
        <w:spacing w:line="256" w:lineRule="auto"/>
        <w:contextualSpacing w:val="0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78BA9015" w14:textId="5E310977" w:rsidR="008F6391" w:rsidRPr="00DE72AA" w:rsidRDefault="0081090C" w:rsidP="00DE72AA">
      <w:pPr>
        <w:pStyle w:val="IntenseQuote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DE72AA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217E40" w:rsidRPr="00DE72AA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Pr="00DE72A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“No Tax on Social Security” </w:t>
      </w:r>
      <w:r w:rsidR="000A0CDA" w:rsidRPr="00DE72A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(there are lies and then there are </w:t>
      </w:r>
      <w:proofErr w:type="gramStart"/>
      <w:r w:rsidR="000A0CDA" w:rsidRPr="00DE72AA">
        <w:rPr>
          <w:rFonts w:ascii="Times New Roman" w:hAnsi="Times New Roman" w:cs="Times New Roman"/>
          <w:i w:val="0"/>
          <w:iCs w:val="0"/>
          <w:sz w:val="24"/>
          <w:szCs w:val="24"/>
        </w:rPr>
        <w:t>damned</w:t>
      </w:r>
      <w:proofErr w:type="gramEnd"/>
      <w:r w:rsidR="000A0CDA" w:rsidRPr="00DE72A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lies)</w:t>
      </w:r>
    </w:p>
    <w:p w14:paraId="184E5A79" w14:textId="76673522" w:rsidR="0081090C" w:rsidRPr="000A2321" w:rsidRDefault="0081090C" w:rsidP="000A0CDA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0A2321">
        <w:rPr>
          <w:rFonts w:ascii="Times New Roman" w:hAnsi="Times New Roman" w:cs="Times New Roman"/>
          <w:sz w:val="24"/>
          <w:szCs w:val="24"/>
        </w:rPr>
        <w:t xml:space="preserve">Current </w:t>
      </w:r>
      <w:r w:rsidR="008F6391" w:rsidRPr="000A2321">
        <w:rPr>
          <w:rFonts w:ascii="Times New Roman" w:hAnsi="Times New Roman" w:cs="Times New Roman"/>
          <w:sz w:val="24"/>
          <w:szCs w:val="24"/>
        </w:rPr>
        <w:t xml:space="preserve">Law: </w:t>
      </w:r>
      <w:r w:rsidRPr="000A2321">
        <w:rPr>
          <w:rFonts w:ascii="Times New Roman" w:hAnsi="Times New Roman" w:cs="Times New Roman"/>
          <w:sz w:val="24"/>
          <w:szCs w:val="24"/>
        </w:rPr>
        <w:t xml:space="preserve">Depending on combined income, up to 50% (general rule) and up to 85% (additional amount rule) of </w:t>
      </w:r>
      <w:r w:rsidR="00217E40" w:rsidRPr="000A2321">
        <w:rPr>
          <w:rFonts w:ascii="Times New Roman" w:hAnsi="Times New Roman" w:cs="Times New Roman"/>
          <w:sz w:val="24"/>
          <w:szCs w:val="24"/>
        </w:rPr>
        <w:t xml:space="preserve">social security </w:t>
      </w:r>
      <w:r w:rsidRPr="000A2321">
        <w:rPr>
          <w:rFonts w:ascii="Times New Roman" w:hAnsi="Times New Roman" w:cs="Times New Roman"/>
          <w:sz w:val="24"/>
          <w:szCs w:val="24"/>
        </w:rPr>
        <w:t>benefits may be included in gross income. (IRC §86(a))</w:t>
      </w:r>
    </w:p>
    <w:p w14:paraId="2190AAAC" w14:textId="77777777" w:rsidR="00217E40" w:rsidRPr="000A2321" w:rsidRDefault="00217E40" w:rsidP="000A0CDA">
      <w:pPr>
        <w:pStyle w:val="ListParagraph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164019BB" w14:textId="7F9FBE9B" w:rsidR="008F6391" w:rsidRPr="000A2321" w:rsidRDefault="008F6391" w:rsidP="000A0CDA">
      <w:pPr>
        <w:pStyle w:val="ListParagraph"/>
        <w:spacing w:after="0" w:line="254" w:lineRule="auto"/>
        <w:contextualSpacing w:val="0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0A2321">
        <w:rPr>
          <w:rFonts w:ascii="Times New Roman" w:hAnsi="Times New Roman" w:cs="Times New Roman"/>
          <w:sz w:val="24"/>
          <w:szCs w:val="24"/>
        </w:rPr>
        <w:t>Proponents of OBBBA claimed that seniors would pay “no tax on Social Security.” However, the law does not repeal federal taxation of Social Security benefits. Instead, it introduces a new age</w:t>
      </w:r>
      <w:r w:rsidRPr="000A2321">
        <w:rPr>
          <w:rFonts w:ascii="Times New Roman" w:hAnsi="Times New Roman" w:cs="Times New Roman"/>
          <w:sz w:val="24"/>
          <w:szCs w:val="24"/>
        </w:rPr>
        <w:noBreakHyphen/>
        <w:t>based deduction that lowers taxable income for most seniors, which in turn reduces or eliminates the portion of Social Security benefits subject to tax.</w:t>
      </w:r>
    </w:p>
    <w:p w14:paraId="29EEFFD3" w14:textId="77777777" w:rsidR="008F6391" w:rsidRPr="000A2321" w:rsidRDefault="008F6391" w:rsidP="000A0CDA">
      <w:pPr>
        <w:pStyle w:val="ListParagraph"/>
        <w:spacing w:after="0" w:line="254" w:lineRule="auto"/>
        <w:contextualSpacing w:val="0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024E3235" w14:textId="50EF139D" w:rsidR="008F6391" w:rsidRPr="000A2321" w:rsidRDefault="008F6391" w:rsidP="000A0CDA">
      <w:pPr>
        <w:pStyle w:val="ListParagraph"/>
        <w:spacing w:after="0" w:line="254" w:lineRule="auto"/>
        <w:contextualSpacing w:val="0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DE72A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Deduction amount:</w:t>
      </w:r>
      <w:r w:rsidRPr="000A2321">
        <w:rPr>
          <w:rFonts w:ascii="Times New Roman" w:eastAsia="Times New Roman" w:hAnsi="Times New Roman" w:cs="Times New Roman"/>
          <w:sz w:val="24"/>
          <w:szCs w:val="24"/>
        </w:rPr>
        <w:t xml:space="preserve"> Up to </w:t>
      </w:r>
      <w:r w:rsidRPr="000A2321">
        <w:rPr>
          <w:rFonts w:ascii="Times New Roman" w:eastAsia="Times New Roman" w:hAnsi="Times New Roman" w:cs="Times New Roman"/>
          <w:b/>
          <w:bCs/>
          <w:sz w:val="24"/>
          <w:szCs w:val="24"/>
        </w:rPr>
        <w:t>$6,000 per person age 65+</w:t>
      </w:r>
      <w:r w:rsidRPr="000A2321">
        <w:rPr>
          <w:rFonts w:ascii="Times New Roman" w:eastAsia="Times New Roman" w:hAnsi="Times New Roman" w:cs="Times New Roman"/>
          <w:sz w:val="24"/>
          <w:szCs w:val="24"/>
        </w:rPr>
        <w:t xml:space="preserve">, or </w:t>
      </w:r>
      <w:r w:rsidRPr="000A2321">
        <w:rPr>
          <w:rFonts w:ascii="Times New Roman" w:eastAsia="Times New Roman" w:hAnsi="Times New Roman" w:cs="Times New Roman"/>
          <w:b/>
          <w:bCs/>
          <w:sz w:val="24"/>
          <w:szCs w:val="24"/>
        </w:rPr>
        <w:t>$12,000 for married couples</w:t>
      </w:r>
      <w:r w:rsidRPr="000A2321">
        <w:rPr>
          <w:rFonts w:ascii="Times New Roman" w:eastAsia="Times New Roman" w:hAnsi="Times New Roman" w:cs="Times New Roman"/>
          <w:sz w:val="24"/>
          <w:szCs w:val="24"/>
        </w:rPr>
        <w:t xml:space="preserve"> where both spouses qualify. </w:t>
      </w:r>
    </w:p>
    <w:p w14:paraId="53CAD50C" w14:textId="77777777" w:rsidR="008F6391" w:rsidRPr="000A2321" w:rsidRDefault="008F6391" w:rsidP="000A0CDA">
      <w:pPr>
        <w:pStyle w:val="ListParagraph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0CE8D2EE" w14:textId="73928667" w:rsidR="008F6391" w:rsidRPr="000A2321" w:rsidRDefault="008F6391" w:rsidP="000A0CDA">
      <w:pPr>
        <w:pStyle w:val="ListParagraph"/>
        <w:spacing w:after="0" w:line="254" w:lineRule="auto"/>
        <w:contextualSpacing w:val="0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DE72A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Eligibility:</w:t>
      </w:r>
      <w:r w:rsidRPr="000A2321">
        <w:rPr>
          <w:rFonts w:ascii="Times New Roman" w:eastAsia="Times New Roman" w:hAnsi="Times New Roman" w:cs="Times New Roman"/>
          <w:sz w:val="24"/>
          <w:szCs w:val="24"/>
        </w:rPr>
        <w:t xml:space="preserve"> Must be </w:t>
      </w:r>
      <w:r w:rsidRPr="000A2321">
        <w:rPr>
          <w:rFonts w:ascii="Times New Roman" w:eastAsia="Times New Roman" w:hAnsi="Times New Roman" w:cs="Times New Roman"/>
          <w:b/>
          <w:bCs/>
          <w:sz w:val="24"/>
          <w:szCs w:val="24"/>
        </w:rPr>
        <w:t>age 65 or older</w:t>
      </w:r>
      <w:r w:rsidRPr="000A2321">
        <w:rPr>
          <w:rFonts w:ascii="Times New Roman" w:eastAsia="Times New Roman" w:hAnsi="Times New Roman" w:cs="Times New Roman"/>
          <w:sz w:val="24"/>
          <w:szCs w:val="24"/>
        </w:rPr>
        <w:t xml:space="preserve"> by the end of the tax year and include the qualifying individual’s Social Security number. Married couples must file jointly to claim the full deduction. </w:t>
      </w:r>
    </w:p>
    <w:p w14:paraId="7FE7AE47" w14:textId="77777777" w:rsidR="008F6391" w:rsidRPr="000A2321" w:rsidRDefault="008F6391" w:rsidP="000A0CDA">
      <w:pPr>
        <w:pStyle w:val="ListParagraph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5AF0A65D" w14:textId="15CFBB3F" w:rsidR="008F6391" w:rsidRPr="00DE72AA" w:rsidRDefault="008F6391" w:rsidP="000A0CDA">
      <w:pPr>
        <w:pStyle w:val="ListParagraph"/>
        <w:spacing w:after="0" w:line="254" w:lineRule="auto"/>
        <w:contextualSpacing w:val="0"/>
        <w:jc w:val="both"/>
        <w:rPr>
          <w:rFonts w:ascii="Times New Roman" w:hAnsi="Times New Roman" w:cs="Times New Roman"/>
          <w:kern w:val="2"/>
          <w:sz w:val="24"/>
          <w:szCs w:val="24"/>
          <w:u w:val="single"/>
          <w14:ligatures w14:val="standardContextual"/>
        </w:rPr>
      </w:pPr>
      <w:r w:rsidRPr="00DE72A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Phase</w:t>
      </w:r>
      <w:r w:rsidRPr="00DE72A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noBreakHyphen/>
        <w:t>out:</w:t>
      </w:r>
    </w:p>
    <w:p w14:paraId="5D2B2D91" w14:textId="77777777" w:rsidR="008F6391" w:rsidRPr="000A2321" w:rsidRDefault="008F6391" w:rsidP="000A0CDA">
      <w:pPr>
        <w:numPr>
          <w:ilvl w:val="0"/>
          <w:numId w:val="106"/>
        </w:numPr>
        <w:tabs>
          <w:tab w:val="num" w:pos="72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2321">
        <w:rPr>
          <w:rFonts w:ascii="Times New Roman" w:eastAsia="Times New Roman" w:hAnsi="Times New Roman" w:cs="Times New Roman"/>
          <w:sz w:val="24"/>
          <w:szCs w:val="24"/>
        </w:rPr>
        <w:t xml:space="preserve">Begins at </w:t>
      </w:r>
      <w:r w:rsidRPr="000A2321">
        <w:rPr>
          <w:rFonts w:ascii="Times New Roman" w:eastAsia="Times New Roman" w:hAnsi="Times New Roman" w:cs="Times New Roman"/>
          <w:b/>
          <w:bCs/>
          <w:sz w:val="24"/>
          <w:szCs w:val="24"/>
        </w:rPr>
        <w:t>$75,000</w:t>
      </w:r>
      <w:r w:rsidRPr="000A2321">
        <w:rPr>
          <w:rFonts w:ascii="Times New Roman" w:eastAsia="Times New Roman" w:hAnsi="Times New Roman" w:cs="Times New Roman"/>
          <w:sz w:val="24"/>
          <w:szCs w:val="24"/>
        </w:rPr>
        <w:t xml:space="preserve"> income for single filers and </w:t>
      </w:r>
      <w:r w:rsidRPr="000A2321">
        <w:rPr>
          <w:rFonts w:ascii="Times New Roman" w:eastAsia="Times New Roman" w:hAnsi="Times New Roman" w:cs="Times New Roman"/>
          <w:b/>
          <w:bCs/>
          <w:sz w:val="24"/>
          <w:szCs w:val="24"/>
        </w:rPr>
        <w:t>$150,000</w:t>
      </w:r>
      <w:r w:rsidRPr="000A2321">
        <w:rPr>
          <w:rFonts w:ascii="Times New Roman" w:eastAsia="Times New Roman" w:hAnsi="Times New Roman" w:cs="Times New Roman"/>
          <w:sz w:val="24"/>
          <w:szCs w:val="24"/>
        </w:rPr>
        <w:t xml:space="preserve"> for joint filers.</w:t>
      </w:r>
    </w:p>
    <w:p w14:paraId="5C8004E4" w14:textId="77777777" w:rsidR="008F6391" w:rsidRPr="000A2321" w:rsidRDefault="008F6391" w:rsidP="000A0CDA">
      <w:pPr>
        <w:numPr>
          <w:ilvl w:val="0"/>
          <w:numId w:val="106"/>
        </w:numPr>
        <w:tabs>
          <w:tab w:val="num" w:pos="72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2321">
        <w:rPr>
          <w:rFonts w:ascii="Times New Roman" w:eastAsia="Times New Roman" w:hAnsi="Times New Roman" w:cs="Times New Roman"/>
          <w:sz w:val="24"/>
          <w:szCs w:val="24"/>
        </w:rPr>
        <w:t xml:space="preserve">Deduction decreases at </w:t>
      </w:r>
      <w:r w:rsidRPr="000A2321">
        <w:rPr>
          <w:rFonts w:ascii="Times New Roman" w:eastAsia="Times New Roman" w:hAnsi="Times New Roman" w:cs="Times New Roman"/>
          <w:b/>
          <w:bCs/>
          <w:sz w:val="24"/>
          <w:szCs w:val="24"/>
        </w:rPr>
        <w:t>6%</w:t>
      </w:r>
      <w:r w:rsidRPr="000A2321">
        <w:rPr>
          <w:rFonts w:ascii="Times New Roman" w:eastAsia="Times New Roman" w:hAnsi="Times New Roman" w:cs="Times New Roman"/>
          <w:sz w:val="24"/>
          <w:szCs w:val="24"/>
        </w:rPr>
        <w:t xml:space="preserve"> for each $1,000 above the threshold.</w:t>
      </w:r>
    </w:p>
    <w:p w14:paraId="36488A47" w14:textId="77777777" w:rsidR="008F6391" w:rsidRPr="000A2321" w:rsidRDefault="008F6391" w:rsidP="000A0CDA">
      <w:pPr>
        <w:numPr>
          <w:ilvl w:val="0"/>
          <w:numId w:val="106"/>
        </w:numPr>
        <w:tabs>
          <w:tab w:val="num" w:pos="72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2321">
        <w:rPr>
          <w:rFonts w:ascii="Times New Roman" w:eastAsia="Times New Roman" w:hAnsi="Times New Roman" w:cs="Times New Roman"/>
          <w:sz w:val="24"/>
          <w:szCs w:val="24"/>
        </w:rPr>
        <w:t xml:space="preserve">Fully phased out at </w:t>
      </w:r>
      <w:r w:rsidRPr="000A2321">
        <w:rPr>
          <w:rFonts w:ascii="Times New Roman" w:eastAsia="Times New Roman" w:hAnsi="Times New Roman" w:cs="Times New Roman"/>
          <w:b/>
          <w:bCs/>
          <w:sz w:val="24"/>
          <w:szCs w:val="24"/>
        </w:rPr>
        <w:t>$175,000</w:t>
      </w:r>
      <w:r w:rsidRPr="000A2321">
        <w:rPr>
          <w:rFonts w:ascii="Times New Roman" w:eastAsia="Times New Roman" w:hAnsi="Times New Roman" w:cs="Times New Roman"/>
          <w:sz w:val="24"/>
          <w:szCs w:val="24"/>
        </w:rPr>
        <w:t xml:space="preserve"> (single) and </w:t>
      </w:r>
      <w:r w:rsidRPr="000A2321">
        <w:rPr>
          <w:rFonts w:ascii="Times New Roman" w:eastAsia="Times New Roman" w:hAnsi="Times New Roman" w:cs="Times New Roman"/>
          <w:b/>
          <w:bCs/>
          <w:sz w:val="24"/>
          <w:szCs w:val="24"/>
        </w:rPr>
        <w:t>$250,000</w:t>
      </w:r>
      <w:r w:rsidRPr="000A2321">
        <w:rPr>
          <w:rFonts w:ascii="Times New Roman" w:eastAsia="Times New Roman" w:hAnsi="Times New Roman" w:cs="Times New Roman"/>
          <w:sz w:val="24"/>
          <w:szCs w:val="24"/>
        </w:rPr>
        <w:t xml:space="preserve"> (joint). </w:t>
      </w:r>
    </w:p>
    <w:p w14:paraId="17ED8B67" w14:textId="59D50FC1" w:rsidR="008F6391" w:rsidRPr="000A2321" w:rsidRDefault="00536115" w:rsidP="000A0C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8F6391" w:rsidRPr="00DE72A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Duration:</w:t>
      </w:r>
      <w:r w:rsidR="008F6391" w:rsidRPr="000A2321">
        <w:rPr>
          <w:rFonts w:ascii="Times New Roman" w:eastAsia="Times New Roman" w:hAnsi="Times New Roman" w:cs="Times New Roman"/>
          <w:sz w:val="24"/>
          <w:szCs w:val="24"/>
        </w:rPr>
        <w:t xml:space="preserve"> Applies to tax years </w:t>
      </w:r>
      <w:r w:rsidR="008F6391" w:rsidRPr="000A2321">
        <w:rPr>
          <w:rFonts w:ascii="Times New Roman" w:eastAsia="Times New Roman" w:hAnsi="Times New Roman" w:cs="Times New Roman"/>
          <w:b/>
          <w:bCs/>
          <w:sz w:val="24"/>
          <w:szCs w:val="24"/>
        </w:rPr>
        <w:t>2025 through 2028</w:t>
      </w:r>
      <w:r w:rsidR="008F6391" w:rsidRPr="000A232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F8165DC" w14:textId="2973EC30" w:rsidR="0081090C" w:rsidRDefault="0081090C" w:rsidP="000A0CDA">
      <w:pPr>
        <w:pStyle w:val="ListParagraph"/>
        <w:spacing w:after="0" w:line="254" w:lineRule="auto"/>
        <w:contextualSpacing w:val="0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41053562" w14:textId="77777777" w:rsidR="00DE72AA" w:rsidRDefault="00DE72AA" w:rsidP="000A0CDA">
      <w:pPr>
        <w:pStyle w:val="ListParagraph"/>
        <w:spacing w:after="0" w:line="254" w:lineRule="auto"/>
        <w:contextualSpacing w:val="0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79D76C4A" w14:textId="77777777" w:rsidR="00DE72AA" w:rsidRPr="000A2321" w:rsidRDefault="00DE72AA" w:rsidP="000A0CDA">
      <w:pPr>
        <w:pStyle w:val="ListParagraph"/>
        <w:spacing w:after="0" w:line="254" w:lineRule="auto"/>
        <w:contextualSpacing w:val="0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342DE1B1" w14:textId="5377F9CD" w:rsidR="008F6391" w:rsidRPr="00DE72AA" w:rsidRDefault="0081090C" w:rsidP="00DE72AA">
      <w:pPr>
        <w:pStyle w:val="IntenseQuote"/>
        <w:rPr>
          <w:rFonts w:ascii="Times New Roman" w:hAnsi="Times New Roman" w:cs="Times New Roman"/>
          <w:i w:val="0"/>
          <w:iCs w:val="0"/>
          <w:kern w:val="2"/>
          <w:sz w:val="24"/>
          <w:szCs w:val="24"/>
          <w14:ligatures w14:val="standardContextual"/>
        </w:rPr>
      </w:pPr>
      <w:r w:rsidRPr="00DE72AA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1</w:t>
      </w:r>
      <w:r w:rsidR="000A2321" w:rsidRPr="00DE72AA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Pr="00DE72AA">
        <w:rPr>
          <w:rFonts w:ascii="Times New Roman" w:hAnsi="Times New Roman" w:cs="Times New Roman"/>
          <w:i w:val="0"/>
          <w:iCs w:val="0"/>
          <w:sz w:val="24"/>
          <w:szCs w:val="24"/>
        </w:rPr>
        <w:t>. “No Tax on Tips” (Above-the-line Deduction for Qualified Tips)</w:t>
      </w:r>
    </w:p>
    <w:p w14:paraId="1EC5C71E" w14:textId="24749654" w:rsidR="008F6391" w:rsidRPr="000A2321" w:rsidRDefault="0081090C" w:rsidP="000A0CDA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DE72AA">
        <w:rPr>
          <w:rFonts w:ascii="Times New Roman" w:hAnsi="Times New Roman" w:cs="Times New Roman"/>
          <w:b/>
          <w:bCs/>
          <w:sz w:val="24"/>
          <w:szCs w:val="24"/>
          <w:u w:val="single"/>
        </w:rPr>
        <w:t>Concept:</w:t>
      </w:r>
      <w:r w:rsidRPr="000A2321">
        <w:rPr>
          <w:rFonts w:ascii="Times New Roman" w:hAnsi="Times New Roman" w:cs="Times New Roman"/>
          <w:sz w:val="24"/>
          <w:szCs w:val="24"/>
        </w:rPr>
        <w:t xml:space="preserve"> </w:t>
      </w:r>
      <w:r w:rsidR="008F6391" w:rsidRPr="000A2321">
        <w:rPr>
          <w:rFonts w:ascii="Times New Roman" w:hAnsi="Times New Roman" w:cs="Times New Roman"/>
          <w:sz w:val="24"/>
          <w:szCs w:val="24"/>
        </w:rPr>
        <w:t xml:space="preserve">The “No Tax on Tips” provision in the OBBB creates a </w:t>
      </w:r>
      <w:r w:rsidR="008F6391" w:rsidRPr="000A2321">
        <w:rPr>
          <w:rFonts w:ascii="Times New Roman" w:hAnsi="Times New Roman" w:cs="Times New Roman"/>
          <w:i/>
          <w:iCs/>
          <w:sz w:val="24"/>
          <w:szCs w:val="24"/>
        </w:rPr>
        <w:t>new federal income</w:t>
      </w:r>
      <w:r w:rsidR="008F6391" w:rsidRPr="000A2321">
        <w:rPr>
          <w:rFonts w:ascii="Times New Roman" w:hAnsi="Times New Roman" w:cs="Times New Roman"/>
          <w:i/>
          <w:iCs/>
          <w:sz w:val="24"/>
          <w:szCs w:val="24"/>
        </w:rPr>
        <w:noBreakHyphen/>
        <w:t>tax deduction</w:t>
      </w:r>
      <w:r w:rsidR="008F6391" w:rsidRPr="000A2321">
        <w:rPr>
          <w:rFonts w:ascii="Times New Roman" w:hAnsi="Times New Roman" w:cs="Times New Roman"/>
          <w:sz w:val="24"/>
          <w:szCs w:val="24"/>
        </w:rPr>
        <w:t xml:space="preserve"> of up to $25,000 in qualified tip income per year (2025–2028). It does </w:t>
      </w:r>
      <w:r w:rsidR="008F6391" w:rsidRPr="000A2321">
        <w:rPr>
          <w:rFonts w:ascii="Times New Roman" w:hAnsi="Times New Roman" w:cs="Times New Roman"/>
          <w:i/>
          <w:iCs/>
          <w:sz w:val="24"/>
          <w:szCs w:val="24"/>
        </w:rPr>
        <w:t>not</w:t>
      </w:r>
      <w:r w:rsidR="008F6391" w:rsidRPr="000A2321">
        <w:rPr>
          <w:rFonts w:ascii="Times New Roman" w:hAnsi="Times New Roman" w:cs="Times New Roman"/>
          <w:sz w:val="24"/>
          <w:szCs w:val="24"/>
        </w:rPr>
        <w:t xml:space="preserve"> eliminate all taxes on tips—payroll taxes still apply.</w:t>
      </w:r>
    </w:p>
    <w:p w14:paraId="52129AD7" w14:textId="77777777" w:rsidR="008F6391" w:rsidRPr="000A2321" w:rsidRDefault="008F6391" w:rsidP="000A0CDA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610CF443" w14:textId="77777777" w:rsidR="008F6391" w:rsidRPr="000A2321" w:rsidRDefault="008F6391" w:rsidP="000A0CDA">
      <w:pPr>
        <w:pStyle w:val="ListParagraph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A2321">
        <w:rPr>
          <w:rFonts w:ascii="Times New Roman" w:hAnsi="Times New Roman" w:cs="Times New Roman"/>
          <w:b/>
          <w:bCs/>
          <w:sz w:val="24"/>
          <w:szCs w:val="24"/>
        </w:rPr>
        <w:t>Income Phase</w:t>
      </w:r>
      <w:r w:rsidRPr="000A2321">
        <w:rPr>
          <w:rFonts w:ascii="Times New Roman" w:hAnsi="Times New Roman" w:cs="Times New Roman"/>
          <w:b/>
          <w:bCs/>
          <w:sz w:val="24"/>
          <w:szCs w:val="24"/>
        </w:rPr>
        <w:noBreakHyphen/>
        <w:t>Out</w:t>
      </w:r>
    </w:p>
    <w:p w14:paraId="490394D8" w14:textId="77777777" w:rsidR="008F6391" w:rsidRPr="000A2321" w:rsidRDefault="008F6391" w:rsidP="000A0CDA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0A2321">
        <w:rPr>
          <w:rFonts w:ascii="Times New Roman" w:hAnsi="Times New Roman" w:cs="Times New Roman"/>
          <w:sz w:val="24"/>
          <w:szCs w:val="24"/>
        </w:rPr>
        <w:t>Begins at $150,000 MAGI (single) or $300,000 (married filing jointly).</w:t>
      </w:r>
    </w:p>
    <w:p w14:paraId="2971F3FE" w14:textId="77777777" w:rsidR="008F6391" w:rsidRPr="000A2321" w:rsidRDefault="008F6391" w:rsidP="000A0CDA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0A2321">
        <w:rPr>
          <w:rFonts w:ascii="Times New Roman" w:hAnsi="Times New Roman" w:cs="Times New Roman"/>
          <w:sz w:val="24"/>
          <w:szCs w:val="24"/>
        </w:rPr>
        <w:t>Deduction reduces by $100 for every $1,000 above the threshold.</w:t>
      </w:r>
    </w:p>
    <w:p w14:paraId="13AA22BB" w14:textId="77777777" w:rsidR="008F6391" w:rsidRPr="000A2321" w:rsidRDefault="008F6391" w:rsidP="000A0CDA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0A2321">
        <w:rPr>
          <w:rFonts w:ascii="Times New Roman" w:hAnsi="Times New Roman" w:cs="Times New Roman"/>
          <w:sz w:val="24"/>
          <w:szCs w:val="24"/>
        </w:rPr>
        <w:t xml:space="preserve">Fully phased out at $400,000 (single) / $550,000 (joint). </w:t>
      </w:r>
    </w:p>
    <w:p w14:paraId="62D7493D" w14:textId="77777777" w:rsidR="008F6391" w:rsidRPr="000A2321" w:rsidRDefault="008F6391" w:rsidP="000A0CDA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0103100B" w14:textId="77777777" w:rsidR="008F6391" w:rsidRPr="000A2321" w:rsidRDefault="008F6391" w:rsidP="000A0CDA">
      <w:pPr>
        <w:pStyle w:val="ListParagraph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A2321">
        <w:rPr>
          <w:rFonts w:ascii="Times New Roman" w:hAnsi="Times New Roman" w:cs="Times New Roman"/>
          <w:b/>
          <w:bCs/>
          <w:sz w:val="24"/>
          <w:szCs w:val="24"/>
        </w:rPr>
        <w:t>What Counts as a “Qualified Tip”</w:t>
      </w:r>
    </w:p>
    <w:p w14:paraId="6D8B1AA2" w14:textId="77777777" w:rsidR="008F6391" w:rsidRPr="000A2321" w:rsidRDefault="008F6391" w:rsidP="000A0CDA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0A2321">
        <w:rPr>
          <w:rFonts w:ascii="Times New Roman" w:hAnsi="Times New Roman" w:cs="Times New Roman"/>
          <w:sz w:val="24"/>
          <w:szCs w:val="24"/>
          <w:u w:val="single"/>
        </w:rPr>
        <w:t>To be deductible, tips must be</w:t>
      </w:r>
      <w:r w:rsidRPr="000A2321">
        <w:rPr>
          <w:rFonts w:ascii="Times New Roman" w:hAnsi="Times New Roman" w:cs="Times New Roman"/>
          <w:sz w:val="24"/>
          <w:szCs w:val="24"/>
        </w:rPr>
        <w:t>:</w:t>
      </w:r>
    </w:p>
    <w:p w14:paraId="0C89B23D" w14:textId="77777777" w:rsidR="008F6391" w:rsidRPr="000A2321" w:rsidRDefault="008F6391" w:rsidP="000A0CDA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0A2321">
        <w:rPr>
          <w:rFonts w:ascii="Times New Roman" w:hAnsi="Times New Roman" w:cs="Times New Roman"/>
          <w:sz w:val="24"/>
          <w:szCs w:val="24"/>
        </w:rPr>
        <w:t>Voluntary</w:t>
      </w:r>
    </w:p>
    <w:p w14:paraId="19879711" w14:textId="77777777" w:rsidR="008F6391" w:rsidRPr="000A2321" w:rsidRDefault="008F6391" w:rsidP="000A0CDA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0A2321">
        <w:rPr>
          <w:rFonts w:ascii="Times New Roman" w:hAnsi="Times New Roman" w:cs="Times New Roman"/>
          <w:sz w:val="24"/>
          <w:szCs w:val="24"/>
        </w:rPr>
        <w:t>Paid by customers</w:t>
      </w:r>
    </w:p>
    <w:p w14:paraId="01BB36E7" w14:textId="77777777" w:rsidR="008F6391" w:rsidRPr="000A2321" w:rsidRDefault="008F6391" w:rsidP="000A0CDA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0A2321">
        <w:rPr>
          <w:rFonts w:ascii="Times New Roman" w:hAnsi="Times New Roman" w:cs="Times New Roman"/>
          <w:sz w:val="24"/>
          <w:szCs w:val="24"/>
        </w:rPr>
        <w:t>Cash or charged (credit/debit)</w:t>
      </w:r>
    </w:p>
    <w:p w14:paraId="68F2762B" w14:textId="77777777" w:rsidR="00C5785B" w:rsidRPr="000A2321" w:rsidRDefault="008F6391" w:rsidP="000A0CDA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0A2321">
        <w:rPr>
          <w:rFonts w:ascii="Times New Roman" w:hAnsi="Times New Roman" w:cs="Times New Roman"/>
          <w:sz w:val="24"/>
          <w:szCs w:val="24"/>
        </w:rPr>
        <w:t>Not negotiated or mandatory</w:t>
      </w:r>
    </w:p>
    <w:p w14:paraId="45AA4162" w14:textId="77777777" w:rsidR="00C5785B" w:rsidRPr="000A2321" w:rsidRDefault="00C5785B" w:rsidP="000A0CDA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4D61B036" w14:textId="38AC50F3" w:rsidR="008F6391" w:rsidRPr="000A2321" w:rsidRDefault="008F6391" w:rsidP="000A0CDA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0A2321">
        <w:rPr>
          <w:rFonts w:ascii="Times New Roman" w:hAnsi="Times New Roman" w:cs="Times New Roman"/>
          <w:sz w:val="24"/>
          <w:szCs w:val="24"/>
          <w:u w:val="single"/>
        </w:rPr>
        <w:t>Not eligible</w:t>
      </w:r>
      <w:r w:rsidRPr="000A2321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7B1EC19" w14:textId="77777777" w:rsidR="008F6391" w:rsidRPr="000A2321" w:rsidRDefault="008F6391" w:rsidP="000A0CDA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0A2321">
        <w:rPr>
          <w:rFonts w:ascii="Times New Roman" w:hAnsi="Times New Roman" w:cs="Times New Roman"/>
          <w:sz w:val="24"/>
          <w:szCs w:val="24"/>
        </w:rPr>
        <w:t>Automatic gratuities (e.g., 18% added for large parties)</w:t>
      </w:r>
    </w:p>
    <w:p w14:paraId="3FBB44D0" w14:textId="77777777" w:rsidR="008F6391" w:rsidRPr="000A2321" w:rsidRDefault="008F6391" w:rsidP="000A0CDA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0A2321">
        <w:rPr>
          <w:rFonts w:ascii="Times New Roman" w:hAnsi="Times New Roman" w:cs="Times New Roman"/>
          <w:sz w:val="24"/>
          <w:szCs w:val="24"/>
        </w:rPr>
        <w:t>Service charges</w:t>
      </w:r>
    </w:p>
    <w:p w14:paraId="6F5DA6CB" w14:textId="77777777" w:rsidR="008F6391" w:rsidRPr="000A2321" w:rsidRDefault="008F6391" w:rsidP="000A0CDA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0A2321">
        <w:rPr>
          <w:rFonts w:ascii="Times New Roman" w:hAnsi="Times New Roman" w:cs="Times New Roman"/>
          <w:sz w:val="24"/>
          <w:szCs w:val="24"/>
        </w:rPr>
        <w:t>Mandatory fees</w:t>
      </w:r>
    </w:p>
    <w:p w14:paraId="028D2BF6" w14:textId="7CDC311D" w:rsidR="00536115" w:rsidRDefault="008F6391" w:rsidP="000A0CDA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0A2321">
        <w:rPr>
          <w:rFonts w:ascii="Times New Roman" w:hAnsi="Times New Roman" w:cs="Times New Roman"/>
          <w:sz w:val="24"/>
          <w:szCs w:val="24"/>
        </w:rPr>
        <w:t>Tips from illegal activities</w:t>
      </w:r>
    </w:p>
    <w:p w14:paraId="2ADDB49D" w14:textId="77777777" w:rsidR="00536115" w:rsidRPr="000A2321" w:rsidRDefault="00536115" w:rsidP="000A0CDA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23C81FDD" w14:textId="1E265D79" w:rsidR="0081090C" w:rsidRDefault="00536115" w:rsidP="00DE72AA">
      <w:pPr>
        <w:pStyle w:val="ListParagraph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72A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Duration:</w:t>
      </w:r>
      <w:r w:rsidRPr="000A2321">
        <w:rPr>
          <w:rFonts w:ascii="Times New Roman" w:eastAsia="Times New Roman" w:hAnsi="Times New Roman" w:cs="Times New Roman"/>
          <w:sz w:val="24"/>
          <w:szCs w:val="24"/>
        </w:rPr>
        <w:t xml:space="preserve"> Applies to tax years </w:t>
      </w:r>
      <w:r w:rsidRPr="000A2321">
        <w:rPr>
          <w:rFonts w:ascii="Times New Roman" w:eastAsia="Times New Roman" w:hAnsi="Times New Roman" w:cs="Times New Roman"/>
          <w:b/>
          <w:bCs/>
          <w:sz w:val="24"/>
          <w:szCs w:val="24"/>
        </w:rPr>
        <w:t>2025 through 2028</w:t>
      </w:r>
      <w:r w:rsidRPr="000A232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FBEA00E" w14:textId="77777777" w:rsidR="00DE72AA" w:rsidRDefault="00DE72AA" w:rsidP="00DE72AA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054C66B0" w14:textId="77777777" w:rsidR="00DE72AA" w:rsidRDefault="00DE72AA" w:rsidP="00DE72AA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6DA4859C" w14:textId="77777777" w:rsidR="00DE72AA" w:rsidRDefault="00DE72AA" w:rsidP="00DE72AA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24C932B6" w14:textId="77777777" w:rsidR="00DE72AA" w:rsidRDefault="00DE72AA" w:rsidP="00DE72AA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2355DAD0" w14:textId="77777777" w:rsidR="00DE72AA" w:rsidRDefault="00DE72AA" w:rsidP="00DE72AA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4632BE9F" w14:textId="77777777" w:rsidR="00DE72AA" w:rsidRDefault="00DE72AA" w:rsidP="00DE72AA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3D5C2279" w14:textId="77777777" w:rsidR="00DE72AA" w:rsidRDefault="00DE72AA" w:rsidP="00DE72AA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1FF11B58" w14:textId="77777777" w:rsidR="00DE72AA" w:rsidRDefault="00DE72AA" w:rsidP="00DE72AA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064C2764" w14:textId="77777777" w:rsidR="00DE72AA" w:rsidRDefault="00DE72AA" w:rsidP="00DE72AA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536826E7" w14:textId="77777777" w:rsidR="00DE72AA" w:rsidRDefault="00DE72AA" w:rsidP="00DE72AA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4594CABB" w14:textId="77777777" w:rsidR="00DE72AA" w:rsidRDefault="00DE72AA" w:rsidP="00DE72AA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39A7EAE6" w14:textId="77777777" w:rsidR="00DE72AA" w:rsidRDefault="00DE72AA" w:rsidP="00DE72AA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512DBAEB" w14:textId="77777777" w:rsidR="00DE72AA" w:rsidRDefault="00DE72AA" w:rsidP="00DE72AA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647512D6" w14:textId="77777777" w:rsidR="00DE72AA" w:rsidRPr="00DE72AA" w:rsidRDefault="00DE72AA" w:rsidP="00DE72AA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5965739E" w14:textId="13C90333" w:rsidR="0081090C" w:rsidRPr="00DE72AA" w:rsidRDefault="0081090C" w:rsidP="00DE72AA">
      <w:pPr>
        <w:pStyle w:val="IntenseQuote"/>
        <w:rPr>
          <w:rFonts w:ascii="Times New Roman" w:hAnsi="Times New Roman" w:cs="Times New Roman"/>
          <w:i w:val="0"/>
          <w:iCs w:val="0"/>
          <w:kern w:val="2"/>
          <w:sz w:val="24"/>
          <w:szCs w:val="24"/>
          <w14:ligatures w14:val="standardContextual"/>
        </w:rPr>
      </w:pPr>
      <w:r w:rsidRPr="00DE72AA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1</w:t>
      </w:r>
      <w:r w:rsidR="000A2321" w:rsidRPr="00DE72AA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Pr="00DE72AA">
        <w:rPr>
          <w:rFonts w:ascii="Times New Roman" w:hAnsi="Times New Roman" w:cs="Times New Roman"/>
          <w:i w:val="0"/>
          <w:iCs w:val="0"/>
          <w:sz w:val="24"/>
          <w:szCs w:val="24"/>
        </w:rPr>
        <w:t>. “No Tax on Overtime” (Deduction for Qualified Overtime Premium)</w:t>
      </w:r>
    </w:p>
    <w:p w14:paraId="486BFD7F" w14:textId="77777777" w:rsidR="00C5785B" w:rsidRPr="000A2321" w:rsidRDefault="00C5785B" w:rsidP="000A0CDA">
      <w:pPr>
        <w:pStyle w:val="ListParagraph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7B24CB7" w14:textId="77777777" w:rsidR="00C5785B" w:rsidRPr="000A2321" w:rsidRDefault="0081090C" w:rsidP="000A0CDA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7A7A2A">
        <w:rPr>
          <w:rFonts w:ascii="Times New Roman" w:hAnsi="Times New Roman" w:cs="Times New Roman"/>
          <w:b/>
          <w:bCs/>
          <w:sz w:val="24"/>
          <w:szCs w:val="24"/>
          <w:u w:val="single"/>
        </w:rPr>
        <w:t>Concept:</w:t>
      </w:r>
      <w:r w:rsidRPr="000A2321">
        <w:rPr>
          <w:rFonts w:ascii="Times New Roman" w:hAnsi="Times New Roman" w:cs="Times New Roman"/>
          <w:sz w:val="24"/>
          <w:szCs w:val="24"/>
        </w:rPr>
        <w:t xml:space="preserve"> The “No Tax on Overtime” provision is implemented as a temporary deduction (tax years 2025–2028) for “qualified overtime compensation,” generally defined as the portion of overtime pay that exceeds the worker’s regular rate—i.e., the “half” portion of “time-and-a-half” required under the FLSA for covered, non-exempt employees. </w:t>
      </w:r>
    </w:p>
    <w:p w14:paraId="7083A023" w14:textId="77777777" w:rsidR="00C5785B" w:rsidRPr="000A2321" w:rsidRDefault="00C5785B" w:rsidP="000A0CDA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23ACCC7F" w14:textId="0741545E" w:rsidR="00C5785B" w:rsidRPr="000A2321" w:rsidRDefault="00C5785B" w:rsidP="000A0CDA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0A2321">
        <w:rPr>
          <w:rFonts w:ascii="Times New Roman" w:hAnsi="Times New Roman" w:cs="Times New Roman"/>
          <w:sz w:val="24"/>
          <w:szCs w:val="24"/>
        </w:rPr>
        <w:t xml:space="preserve">If regular rate is $20/hr and overtime is $30/hr, only the $10/hr premium is deductible. </w:t>
      </w:r>
    </w:p>
    <w:p w14:paraId="74A7145A" w14:textId="77777777" w:rsidR="00C5785B" w:rsidRPr="000A2321" w:rsidRDefault="00C5785B" w:rsidP="000A0CDA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4AE00230" w14:textId="511B138A" w:rsidR="00C5785B" w:rsidRPr="000A2321" w:rsidRDefault="0081090C" w:rsidP="000A0CDA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7A7A2A">
        <w:rPr>
          <w:rFonts w:ascii="Times New Roman" w:hAnsi="Times New Roman" w:cs="Times New Roman"/>
          <w:b/>
          <w:bCs/>
          <w:sz w:val="24"/>
          <w:szCs w:val="24"/>
          <w:u w:val="single"/>
        </w:rPr>
        <w:t>Deduction amount:</w:t>
      </w:r>
      <w:r w:rsidRPr="000A2321">
        <w:rPr>
          <w:rFonts w:ascii="Times New Roman" w:hAnsi="Times New Roman" w:cs="Times New Roman"/>
          <w:sz w:val="24"/>
          <w:szCs w:val="24"/>
        </w:rPr>
        <w:t xml:space="preserve"> Deduction </w:t>
      </w:r>
      <w:r w:rsidR="00C5785B" w:rsidRPr="000A2321">
        <w:rPr>
          <w:rFonts w:ascii="Times New Roman" w:hAnsi="Times New Roman" w:cs="Times New Roman"/>
          <w:sz w:val="24"/>
          <w:szCs w:val="24"/>
        </w:rPr>
        <w:t xml:space="preserve">is capped at $12,500 of qualified overtime compensation for a for an unmarried person, and $25,000 for </w:t>
      </w:r>
      <w:r w:rsidR="000A2321" w:rsidRPr="000A2321">
        <w:rPr>
          <w:rFonts w:ascii="Times New Roman" w:hAnsi="Times New Roman" w:cs="Times New Roman"/>
          <w:sz w:val="24"/>
          <w:szCs w:val="24"/>
        </w:rPr>
        <w:t xml:space="preserve">a </w:t>
      </w:r>
      <w:r w:rsidR="00C5785B" w:rsidRPr="000A2321">
        <w:rPr>
          <w:rFonts w:ascii="Times New Roman" w:hAnsi="Times New Roman" w:cs="Times New Roman"/>
          <w:sz w:val="24"/>
          <w:szCs w:val="24"/>
        </w:rPr>
        <w:t>married person filing a joint return.</w:t>
      </w:r>
    </w:p>
    <w:p w14:paraId="13155536" w14:textId="77777777" w:rsidR="00C5785B" w:rsidRPr="000A2321" w:rsidRDefault="00C5785B" w:rsidP="000A0CDA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7D768FBF" w14:textId="77777777" w:rsidR="00536115" w:rsidRDefault="000A2321" w:rsidP="000A0CDA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7A7A2A">
        <w:rPr>
          <w:rFonts w:ascii="Times New Roman" w:hAnsi="Times New Roman" w:cs="Times New Roman"/>
          <w:b/>
          <w:bCs/>
          <w:sz w:val="24"/>
          <w:szCs w:val="24"/>
          <w:u w:val="single"/>
        </w:rPr>
        <w:t>Phase Out</w:t>
      </w:r>
      <w:r w:rsidR="00D03832" w:rsidRPr="007A7A2A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 w:rsidR="00D03832" w:rsidRPr="000A2321">
        <w:rPr>
          <w:rFonts w:ascii="Times New Roman" w:hAnsi="Times New Roman" w:cs="Times New Roman"/>
          <w:sz w:val="24"/>
          <w:szCs w:val="24"/>
        </w:rPr>
        <w:t xml:space="preserve"> O</w:t>
      </w:r>
      <w:r w:rsidRPr="000A2321">
        <w:rPr>
          <w:rFonts w:ascii="Times New Roman" w:hAnsi="Times New Roman" w:cs="Times New Roman"/>
          <w:sz w:val="24"/>
          <w:szCs w:val="24"/>
        </w:rPr>
        <w:t>he overtime deduction is gradually phased out – potentially to $0 – if your modified adjusted gross income exceeds $150,000 ($300,000 for joint filers).</w:t>
      </w:r>
    </w:p>
    <w:p w14:paraId="5EAE3D65" w14:textId="77777777" w:rsidR="00536115" w:rsidRDefault="00536115" w:rsidP="000A0CDA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69FB3FAC" w14:textId="4912545C" w:rsidR="00CA76AD" w:rsidRPr="000A2321" w:rsidRDefault="00536115" w:rsidP="000A0CDA">
      <w:pPr>
        <w:pStyle w:val="ListParagraph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7A7A2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Duration:</w:t>
      </w:r>
      <w:r w:rsidRPr="000A2321">
        <w:rPr>
          <w:rFonts w:ascii="Times New Roman" w:eastAsia="Times New Roman" w:hAnsi="Times New Roman" w:cs="Times New Roman"/>
          <w:sz w:val="24"/>
          <w:szCs w:val="24"/>
        </w:rPr>
        <w:t xml:space="preserve"> Applies to tax years </w:t>
      </w:r>
      <w:r w:rsidRPr="000A2321">
        <w:rPr>
          <w:rFonts w:ascii="Times New Roman" w:eastAsia="Times New Roman" w:hAnsi="Times New Roman" w:cs="Times New Roman"/>
          <w:b/>
          <w:bCs/>
          <w:sz w:val="24"/>
          <w:szCs w:val="24"/>
        </w:rPr>
        <w:t>2025 through 2028</w:t>
      </w:r>
      <w:r w:rsidRPr="000A2321"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CA76AD" w:rsidRPr="000A2321" w:rsidSect="000A0CDA">
      <w:footerReference w:type="default" r:id="rId8"/>
      <w:pgSz w:w="12240" w:h="15840"/>
      <w:pgMar w:top="720" w:right="720" w:bottom="720" w:left="720" w:header="0" w:footer="14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6EFFF8" w14:textId="77777777" w:rsidR="000B0999" w:rsidRDefault="000B0999" w:rsidP="00834F66">
      <w:pPr>
        <w:spacing w:after="0" w:line="240" w:lineRule="auto"/>
      </w:pPr>
      <w:r>
        <w:separator/>
      </w:r>
    </w:p>
  </w:endnote>
  <w:endnote w:type="continuationSeparator" w:id="0">
    <w:p w14:paraId="1EF0C32F" w14:textId="77777777" w:rsidR="000B0999" w:rsidRDefault="000B0999" w:rsidP="00834F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696484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6B237B" w14:textId="19A74D76" w:rsidR="00834F66" w:rsidRDefault="00251E4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0D93E72" w14:textId="77777777" w:rsidR="00834F66" w:rsidRDefault="00834F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ED787" w14:textId="77777777" w:rsidR="000B0999" w:rsidRDefault="000B0999" w:rsidP="00834F66">
      <w:pPr>
        <w:spacing w:after="0" w:line="240" w:lineRule="auto"/>
      </w:pPr>
      <w:r>
        <w:separator/>
      </w:r>
    </w:p>
  </w:footnote>
  <w:footnote w:type="continuationSeparator" w:id="0">
    <w:p w14:paraId="47C12C96" w14:textId="77777777" w:rsidR="000B0999" w:rsidRDefault="000B0999" w:rsidP="00834F66">
      <w:pPr>
        <w:spacing w:after="0" w:line="240" w:lineRule="auto"/>
      </w:pPr>
      <w:r>
        <w:continuationSeparator/>
      </w:r>
    </w:p>
  </w:footnote>
  <w:footnote w:id="1">
    <w:p w14:paraId="6B16AA80" w14:textId="261121E7" w:rsidR="00130193" w:rsidRPr="000A0CDA" w:rsidRDefault="00130193">
      <w:pPr>
        <w:pStyle w:val="FootnoteText"/>
        <w:rPr>
          <w:rFonts w:ascii="Times New Roman" w:hAnsi="Times New Roman" w:cs="Times New Roman"/>
          <w:sz w:val="22"/>
          <w:szCs w:val="22"/>
        </w:rPr>
      </w:pPr>
      <w:r>
        <w:rPr>
          <w:rStyle w:val="FootnoteReference"/>
        </w:rPr>
        <w:footnoteRef/>
      </w:r>
      <w:r>
        <w:t xml:space="preserve"> </w:t>
      </w:r>
      <w:r w:rsidRPr="000A0CDA">
        <w:rPr>
          <w:rFonts w:ascii="Times New Roman" w:hAnsi="Times New Roman" w:cs="Times New Roman"/>
          <w:sz w:val="22"/>
          <w:szCs w:val="22"/>
        </w:rPr>
        <w:t xml:space="preserve">See “Can a CRT Stretch an Inherited IRA?” by Christopher R. Hoyt, for a </w:t>
      </w:r>
      <w:r w:rsidR="00B43A51" w:rsidRPr="000A0CDA">
        <w:rPr>
          <w:rFonts w:ascii="Times New Roman" w:hAnsi="Times New Roman" w:cs="Times New Roman"/>
          <w:sz w:val="22"/>
          <w:szCs w:val="22"/>
        </w:rPr>
        <w:t>deep dive</w:t>
      </w:r>
      <w:r w:rsidRPr="000A0CDA">
        <w:rPr>
          <w:rFonts w:ascii="Times New Roman" w:hAnsi="Times New Roman" w:cs="Times New Roman"/>
          <w:sz w:val="22"/>
          <w:szCs w:val="22"/>
        </w:rPr>
        <w:t xml:space="preserve"> </w:t>
      </w:r>
      <w:r w:rsidR="00B43A51" w:rsidRPr="000A0CDA">
        <w:rPr>
          <w:rFonts w:ascii="Times New Roman" w:hAnsi="Times New Roman" w:cs="Times New Roman"/>
          <w:sz w:val="22"/>
          <w:szCs w:val="22"/>
        </w:rPr>
        <w:t>into</w:t>
      </w:r>
      <w:r w:rsidRPr="000A0CDA">
        <w:rPr>
          <w:rFonts w:ascii="Times New Roman" w:hAnsi="Times New Roman" w:cs="Times New Roman"/>
          <w:sz w:val="22"/>
          <w:szCs w:val="22"/>
        </w:rPr>
        <w:t xml:space="preserve"> the use of a CRT as an IRA beneficiary.</w:t>
      </w:r>
    </w:p>
  </w:footnote>
  <w:footnote w:id="2">
    <w:p w14:paraId="47E2A962" w14:textId="1B548976" w:rsidR="00536115" w:rsidRPr="00536115" w:rsidRDefault="00536115" w:rsidP="00536115">
      <w:pPr>
        <w:widowControl w:val="0"/>
        <w:suppressAutoHyphens/>
        <w:autoSpaceDE w:val="0"/>
        <w:autoSpaceDN w:val="0"/>
        <w:adjustRightInd w:val="0"/>
        <w:spacing w:before="100" w:after="100" w:line="396" w:lineRule="auto"/>
        <w:ind w:left="300"/>
        <w:rPr>
          <w:rFonts w:ascii="Times New Roman" w:hAnsi="Times New Roman" w:cs="Times New Roman"/>
          <w:color w:val="252525"/>
        </w:rPr>
      </w:pPr>
      <w:r w:rsidRPr="00536115">
        <w:rPr>
          <w:rStyle w:val="FootnoteReference"/>
          <w:rFonts w:ascii="Times New Roman" w:hAnsi="Times New Roman" w:cs="Times New Roman"/>
        </w:rPr>
        <w:footnoteRef/>
      </w:r>
      <w:r w:rsidRPr="00536115">
        <w:rPr>
          <w:rFonts w:ascii="Times New Roman" w:hAnsi="Times New Roman" w:cs="Times New Roman"/>
        </w:rPr>
        <w:t xml:space="preserve"> </w:t>
      </w:r>
      <w:r w:rsidR="00B43A51" w:rsidRPr="00536115">
        <w:rPr>
          <w:rFonts w:ascii="Times New Roman" w:hAnsi="Times New Roman" w:cs="Times New Roman"/>
        </w:rPr>
        <w:t xml:space="preserve">See </w:t>
      </w:r>
      <w:r w:rsidR="00B43A51" w:rsidRPr="00536115">
        <w:rPr>
          <w:rFonts w:ascii="Times New Roman" w:hAnsi="Times New Roman" w:cs="Times New Roman"/>
          <w:color w:val="252525"/>
        </w:rPr>
        <w:t>“</w:t>
      </w:r>
      <w:r w:rsidRPr="00536115">
        <w:rPr>
          <w:rFonts w:ascii="Times New Roman" w:hAnsi="Times New Roman" w:cs="Times New Roman"/>
          <w:color w:val="252525"/>
        </w:rPr>
        <w:t xml:space="preserve">Optimized Gift Trusts &amp; Funding Designs," </w:t>
      </w:r>
      <w:bookmarkStart w:id="0" w:name="ETPL:15349.23-1"/>
      <w:bookmarkEnd w:id="0"/>
      <w:r w:rsidRPr="00536115">
        <w:rPr>
          <w:rFonts w:ascii="Times New Roman" w:hAnsi="Times New Roman" w:cs="Times New Roman"/>
          <w:color w:val="252525"/>
        </w:rPr>
        <w:t>51 ETPL 1 (May 2024) by Jonathon M. Morrison</w:t>
      </w:r>
    </w:p>
    <w:p w14:paraId="74EA2942" w14:textId="5D88F87B" w:rsidR="00536115" w:rsidRDefault="00536115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E10E0"/>
    <w:multiLevelType w:val="multilevel"/>
    <w:tmpl w:val="34C4C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61623E"/>
    <w:multiLevelType w:val="multilevel"/>
    <w:tmpl w:val="67189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D730B8"/>
    <w:multiLevelType w:val="multilevel"/>
    <w:tmpl w:val="86E6C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017B20"/>
    <w:multiLevelType w:val="multilevel"/>
    <w:tmpl w:val="86563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3A44C5D"/>
    <w:multiLevelType w:val="multilevel"/>
    <w:tmpl w:val="BACCA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581626C"/>
    <w:multiLevelType w:val="multilevel"/>
    <w:tmpl w:val="1D407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5DC6C6D"/>
    <w:multiLevelType w:val="multilevel"/>
    <w:tmpl w:val="AD10D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65A6604"/>
    <w:multiLevelType w:val="multilevel"/>
    <w:tmpl w:val="DD98B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72B304F"/>
    <w:multiLevelType w:val="multilevel"/>
    <w:tmpl w:val="E7066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824014F"/>
    <w:multiLevelType w:val="multilevel"/>
    <w:tmpl w:val="D6868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98153A9"/>
    <w:multiLevelType w:val="multilevel"/>
    <w:tmpl w:val="94AAB12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A3E1B19"/>
    <w:multiLevelType w:val="multilevel"/>
    <w:tmpl w:val="79621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AC83D92"/>
    <w:multiLevelType w:val="multilevel"/>
    <w:tmpl w:val="88BE5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EB61231"/>
    <w:multiLevelType w:val="multilevel"/>
    <w:tmpl w:val="0FCEC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EBA161D"/>
    <w:multiLevelType w:val="hybridMultilevel"/>
    <w:tmpl w:val="08422114"/>
    <w:lvl w:ilvl="0" w:tplc="87F423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A349850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492957E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A88D5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A4A75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C2ECF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2C863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2694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5E02B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0F044706"/>
    <w:multiLevelType w:val="multilevel"/>
    <w:tmpl w:val="DEB45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04562A4"/>
    <w:multiLevelType w:val="multilevel"/>
    <w:tmpl w:val="ECE0F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0CB6D96"/>
    <w:multiLevelType w:val="multilevel"/>
    <w:tmpl w:val="B0CE4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13838B0"/>
    <w:multiLevelType w:val="multilevel"/>
    <w:tmpl w:val="D2C0C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33E7386"/>
    <w:multiLevelType w:val="multilevel"/>
    <w:tmpl w:val="62ACC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3420CED"/>
    <w:multiLevelType w:val="multilevel"/>
    <w:tmpl w:val="235A8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3D44E8A"/>
    <w:multiLevelType w:val="multilevel"/>
    <w:tmpl w:val="A566A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55B0839"/>
    <w:multiLevelType w:val="multilevel"/>
    <w:tmpl w:val="2A4AA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827437D"/>
    <w:multiLevelType w:val="multilevel"/>
    <w:tmpl w:val="BE8C9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82E4172"/>
    <w:multiLevelType w:val="multilevel"/>
    <w:tmpl w:val="F3A22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8830053"/>
    <w:multiLevelType w:val="multilevel"/>
    <w:tmpl w:val="3A285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8E30137"/>
    <w:multiLevelType w:val="multilevel"/>
    <w:tmpl w:val="9A622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191736DF"/>
    <w:multiLevelType w:val="multilevel"/>
    <w:tmpl w:val="6DD60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1A0A2418"/>
    <w:multiLevelType w:val="multilevel"/>
    <w:tmpl w:val="A5CE4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1A3F21D5"/>
    <w:multiLevelType w:val="multilevel"/>
    <w:tmpl w:val="47166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1C133119"/>
    <w:multiLevelType w:val="multilevel"/>
    <w:tmpl w:val="A8706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1C982D29"/>
    <w:multiLevelType w:val="multilevel"/>
    <w:tmpl w:val="85163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1CD0117B"/>
    <w:multiLevelType w:val="multilevel"/>
    <w:tmpl w:val="9956F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1D2B3380"/>
    <w:multiLevelType w:val="multilevel"/>
    <w:tmpl w:val="C0E6D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21BB2EA0"/>
    <w:multiLevelType w:val="multilevel"/>
    <w:tmpl w:val="F3A8F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2306439F"/>
    <w:multiLevelType w:val="multilevel"/>
    <w:tmpl w:val="B8148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23A81C4E"/>
    <w:multiLevelType w:val="multilevel"/>
    <w:tmpl w:val="3026A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23E96B9B"/>
    <w:multiLevelType w:val="multilevel"/>
    <w:tmpl w:val="BCBA9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24A924A5"/>
    <w:multiLevelType w:val="multilevel"/>
    <w:tmpl w:val="19681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25375E0E"/>
    <w:multiLevelType w:val="multilevel"/>
    <w:tmpl w:val="21E46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261E0C5D"/>
    <w:multiLevelType w:val="multilevel"/>
    <w:tmpl w:val="E2822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262B7663"/>
    <w:multiLevelType w:val="multilevel"/>
    <w:tmpl w:val="0D70F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264557D8"/>
    <w:multiLevelType w:val="multilevel"/>
    <w:tmpl w:val="5E5ED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29887BDF"/>
    <w:multiLevelType w:val="multilevel"/>
    <w:tmpl w:val="DB027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2A5D7052"/>
    <w:multiLevelType w:val="multilevel"/>
    <w:tmpl w:val="9D88D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2B646649"/>
    <w:multiLevelType w:val="multilevel"/>
    <w:tmpl w:val="80E2B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2C2D7987"/>
    <w:multiLevelType w:val="multilevel"/>
    <w:tmpl w:val="F3A49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2C520993"/>
    <w:multiLevelType w:val="multilevel"/>
    <w:tmpl w:val="F0628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2CBF4CF9"/>
    <w:multiLevelType w:val="multilevel"/>
    <w:tmpl w:val="7C0A2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2CD34EE9"/>
    <w:multiLevelType w:val="multilevel"/>
    <w:tmpl w:val="0C7E8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2D8B7754"/>
    <w:multiLevelType w:val="multilevel"/>
    <w:tmpl w:val="4774B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306C69EA"/>
    <w:multiLevelType w:val="multilevel"/>
    <w:tmpl w:val="10587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30F01733"/>
    <w:multiLevelType w:val="multilevel"/>
    <w:tmpl w:val="63B48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329F34E2"/>
    <w:multiLevelType w:val="multilevel"/>
    <w:tmpl w:val="DB40C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3449130D"/>
    <w:multiLevelType w:val="multilevel"/>
    <w:tmpl w:val="1F9AB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38DF1176"/>
    <w:multiLevelType w:val="multilevel"/>
    <w:tmpl w:val="0914A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390F3F2D"/>
    <w:multiLevelType w:val="hybridMultilevel"/>
    <w:tmpl w:val="C3EA89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A7130CD"/>
    <w:multiLevelType w:val="multilevel"/>
    <w:tmpl w:val="CC080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3C636DA7"/>
    <w:multiLevelType w:val="multilevel"/>
    <w:tmpl w:val="C28AB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3C8039C6"/>
    <w:multiLevelType w:val="multilevel"/>
    <w:tmpl w:val="2E18A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3CAE1C7A"/>
    <w:multiLevelType w:val="multilevel"/>
    <w:tmpl w:val="4B58C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3E29696D"/>
    <w:multiLevelType w:val="hybridMultilevel"/>
    <w:tmpl w:val="7D6E6B98"/>
    <w:lvl w:ilvl="0" w:tplc="058E6B7E">
      <w:start w:val="1"/>
      <w:numFmt w:val="bullet"/>
      <w:lvlText w:val="•"/>
      <w:lvlJc w:val="left"/>
      <w:pPr>
        <w:tabs>
          <w:tab w:val="num" w:pos="1170"/>
        </w:tabs>
        <w:ind w:left="1170" w:hanging="360"/>
      </w:pPr>
      <w:rPr>
        <w:rFonts w:ascii="Arial" w:hAnsi="Arial" w:hint="default"/>
      </w:rPr>
    </w:lvl>
    <w:lvl w:ilvl="1" w:tplc="4664F33A">
      <w:start w:val="1"/>
      <w:numFmt w:val="bullet"/>
      <w:lvlText w:val="•"/>
      <w:lvlJc w:val="left"/>
      <w:pPr>
        <w:tabs>
          <w:tab w:val="num" w:pos="1890"/>
        </w:tabs>
        <w:ind w:left="1890" w:hanging="360"/>
      </w:pPr>
      <w:rPr>
        <w:rFonts w:ascii="Arial" w:hAnsi="Arial" w:hint="default"/>
      </w:rPr>
    </w:lvl>
    <w:lvl w:ilvl="2" w:tplc="90BCE5F6" w:tentative="1">
      <w:start w:val="1"/>
      <w:numFmt w:val="bullet"/>
      <w:lvlText w:val="•"/>
      <w:lvlJc w:val="left"/>
      <w:pPr>
        <w:tabs>
          <w:tab w:val="num" w:pos="2610"/>
        </w:tabs>
        <w:ind w:left="2610" w:hanging="360"/>
      </w:pPr>
      <w:rPr>
        <w:rFonts w:ascii="Arial" w:hAnsi="Arial" w:hint="default"/>
      </w:rPr>
    </w:lvl>
    <w:lvl w:ilvl="3" w:tplc="CE448536" w:tentative="1">
      <w:start w:val="1"/>
      <w:numFmt w:val="bullet"/>
      <w:lvlText w:val="•"/>
      <w:lvlJc w:val="left"/>
      <w:pPr>
        <w:tabs>
          <w:tab w:val="num" w:pos="3330"/>
        </w:tabs>
        <w:ind w:left="3330" w:hanging="360"/>
      </w:pPr>
      <w:rPr>
        <w:rFonts w:ascii="Arial" w:hAnsi="Arial" w:hint="default"/>
      </w:rPr>
    </w:lvl>
    <w:lvl w:ilvl="4" w:tplc="121C3E68" w:tentative="1">
      <w:start w:val="1"/>
      <w:numFmt w:val="bullet"/>
      <w:lvlText w:val="•"/>
      <w:lvlJc w:val="left"/>
      <w:pPr>
        <w:tabs>
          <w:tab w:val="num" w:pos="4050"/>
        </w:tabs>
        <w:ind w:left="4050" w:hanging="360"/>
      </w:pPr>
      <w:rPr>
        <w:rFonts w:ascii="Arial" w:hAnsi="Arial" w:hint="default"/>
      </w:rPr>
    </w:lvl>
    <w:lvl w:ilvl="5" w:tplc="A44C8894" w:tentative="1">
      <w:start w:val="1"/>
      <w:numFmt w:val="bullet"/>
      <w:lvlText w:val="•"/>
      <w:lvlJc w:val="left"/>
      <w:pPr>
        <w:tabs>
          <w:tab w:val="num" w:pos="4770"/>
        </w:tabs>
        <w:ind w:left="4770" w:hanging="360"/>
      </w:pPr>
      <w:rPr>
        <w:rFonts w:ascii="Arial" w:hAnsi="Arial" w:hint="default"/>
      </w:rPr>
    </w:lvl>
    <w:lvl w:ilvl="6" w:tplc="12606DCA" w:tentative="1">
      <w:start w:val="1"/>
      <w:numFmt w:val="bullet"/>
      <w:lvlText w:val="•"/>
      <w:lvlJc w:val="left"/>
      <w:pPr>
        <w:tabs>
          <w:tab w:val="num" w:pos="5490"/>
        </w:tabs>
        <w:ind w:left="5490" w:hanging="360"/>
      </w:pPr>
      <w:rPr>
        <w:rFonts w:ascii="Arial" w:hAnsi="Arial" w:hint="default"/>
      </w:rPr>
    </w:lvl>
    <w:lvl w:ilvl="7" w:tplc="36CA3CC6" w:tentative="1">
      <w:start w:val="1"/>
      <w:numFmt w:val="bullet"/>
      <w:lvlText w:val="•"/>
      <w:lvlJc w:val="left"/>
      <w:pPr>
        <w:tabs>
          <w:tab w:val="num" w:pos="6210"/>
        </w:tabs>
        <w:ind w:left="6210" w:hanging="360"/>
      </w:pPr>
      <w:rPr>
        <w:rFonts w:ascii="Arial" w:hAnsi="Arial" w:hint="default"/>
      </w:rPr>
    </w:lvl>
    <w:lvl w:ilvl="8" w:tplc="C8C498A2" w:tentative="1">
      <w:start w:val="1"/>
      <w:numFmt w:val="bullet"/>
      <w:lvlText w:val="•"/>
      <w:lvlJc w:val="left"/>
      <w:pPr>
        <w:tabs>
          <w:tab w:val="num" w:pos="6930"/>
        </w:tabs>
        <w:ind w:left="6930" w:hanging="360"/>
      </w:pPr>
      <w:rPr>
        <w:rFonts w:ascii="Arial" w:hAnsi="Arial" w:hint="default"/>
      </w:rPr>
    </w:lvl>
  </w:abstractNum>
  <w:abstractNum w:abstractNumId="62" w15:restartNumberingAfterBreak="0">
    <w:nsid w:val="3EE80530"/>
    <w:multiLevelType w:val="multilevel"/>
    <w:tmpl w:val="5DB08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408F6F99"/>
    <w:multiLevelType w:val="multilevel"/>
    <w:tmpl w:val="399EB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41163576"/>
    <w:multiLevelType w:val="multilevel"/>
    <w:tmpl w:val="67BE7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42BD1669"/>
    <w:multiLevelType w:val="multilevel"/>
    <w:tmpl w:val="E8046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430423B4"/>
    <w:multiLevelType w:val="multilevel"/>
    <w:tmpl w:val="F8B4C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4445526B"/>
    <w:multiLevelType w:val="multilevel"/>
    <w:tmpl w:val="4CB64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45534ED3"/>
    <w:multiLevelType w:val="multilevel"/>
    <w:tmpl w:val="8514D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461B37DB"/>
    <w:multiLevelType w:val="multilevel"/>
    <w:tmpl w:val="12D01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46FE33D0"/>
    <w:multiLevelType w:val="multilevel"/>
    <w:tmpl w:val="E5742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4BA25DAD"/>
    <w:multiLevelType w:val="multilevel"/>
    <w:tmpl w:val="EEC8F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4C94160B"/>
    <w:multiLevelType w:val="multilevel"/>
    <w:tmpl w:val="BF2A5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4D2536A9"/>
    <w:multiLevelType w:val="multilevel"/>
    <w:tmpl w:val="55D06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51836333"/>
    <w:multiLevelType w:val="multilevel"/>
    <w:tmpl w:val="DC8C6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529E2FA2"/>
    <w:multiLevelType w:val="multilevel"/>
    <w:tmpl w:val="26A6F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52AA0640"/>
    <w:multiLevelType w:val="multilevel"/>
    <w:tmpl w:val="D9566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54643ED6"/>
    <w:multiLevelType w:val="hybridMultilevel"/>
    <w:tmpl w:val="8CEE08C4"/>
    <w:lvl w:ilvl="0" w:tplc="801407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22E04B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A3AB9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C3EF6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82EFF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63238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5B258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FE6E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770C9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8" w15:restartNumberingAfterBreak="0">
    <w:nsid w:val="55FF6605"/>
    <w:multiLevelType w:val="multilevel"/>
    <w:tmpl w:val="2BEE9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5608278C"/>
    <w:multiLevelType w:val="multilevel"/>
    <w:tmpl w:val="DD26B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561E105C"/>
    <w:multiLevelType w:val="multilevel"/>
    <w:tmpl w:val="A87E6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5870020E"/>
    <w:multiLevelType w:val="multilevel"/>
    <w:tmpl w:val="DF28A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5C4E59A1"/>
    <w:multiLevelType w:val="multilevel"/>
    <w:tmpl w:val="98B28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5C921929"/>
    <w:multiLevelType w:val="multilevel"/>
    <w:tmpl w:val="D3D05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5E4672E9"/>
    <w:multiLevelType w:val="multilevel"/>
    <w:tmpl w:val="5628A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60002691"/>
    <w:multiLevelType w:val="multilevel"/>
    <w:tmpl w:val="7494D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603A4DB9"/>
    <w:multiLevelType w:val="multilevel"/>
    <w:tmpl w:val="CD9C4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606370B3"/>
    <w:multiLevelType w:val="multilevel"/>
    <w:tmpl w:val="A9ACD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62DB2B43"/>
    <w:multiLevelType w:val="multilevel"/>
    <w:tmpl w:val="EB825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6436432C"/>
    <w:multiLevelType w:val="multilevel"/>
    <w:tmpl w:val="6556E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64E57F73"/>
    <w:multiLevelType w:val="multilevel"/>
    <w:tmpl w:val="6156B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656113B9"/>
    <w:multiLevelType w:val="multilevel"/>
    <w:tmpl w:val="98B25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66871B63"/>
    <w:multiLevelType w:val="multilevel"/>
    <w:tmpl w:val="D8E69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67921A54"/>
    <w:multiLevelType w:val="multilevel"/>
    <w:tmpl w:val="A1B08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69A11984"/>
    <w:multiLevelType w:val="multilevel"/>
    <w:tmpl w:val="03008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69A418CD"/>
    <w:multiLevelType w:val="multilevel"/>
    <w:tmpl w:val="57C208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6B160C2C"/>
    <w:multiLevelType w:val="multilevel"/>
    <w:tmpl w:val="55143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6BA86B6C"/>
    <w:multiLevelType w:val="hybridMultilevel"/>
    <w:tmpl w:val="BDE0BFFC"/>
    <w:lvl w:ilvl="0" w:tplc="BEC071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07E813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56E80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AF8D7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6CECC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322F8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81413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6B659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2203B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8" w15:restartNumberingAfterBreak="0">
    <w:nsid w:val="6C2C1AAA"/>
    <w:multiLevelType w:val="multilevel"/>
    <w:tmpl w:val="67B86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6C524C85"/>
    <w:multiLevelType w:val="multilevel"/>
    <w:tmpl w:val="97900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6C584B1A"/>
    <w:multiLevelType w:val="multilevel"/>
    <w:tmpl w:val="CC4E7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6C65314C"/>
    <w:multiLevelType w:val="multilevel"/>
    <w:tmpl w:val="C6762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6EC426D6"/>
    <w:multiLevelType w:val="multilevel"/>
    <w:tmpl w:val="27426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6FE16557"/>
    <w:multiLevelType w:val="multilevel"/>
    <w:tmpl w:val="021EA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70275CD9"/>
    <w:multiLevelType w:val="multilevel"/>
    <w:tmpl w:val="69460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704141B0"/>
    <w:multiLevelType w:val="multilevel"/>
    <w:tmpl w:val="81369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728707E2"/>
    <w:multiLevelType w:val="multilevel"/>
    <w:tmpl w:val="1B54E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73473548"/>
    <w:multiLevelType w:val="multilevel"/>
    <w:tmpl w:val="910A8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74CA4289"/>
    <w:multiLevelType w:val="multilevel"/>
    <w:tmpl w:val="AA82C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74FD6F98"/>
    <w:multiLevelType w:val="multilevel"/>
    <w:tmpl w:val="B448C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7640564C"/>
    <w:multiLevelType w:val="multilevel"/>
    <w:tmpl w:val="D1AE9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78BC15D5"/>
    <w:multiLevelType w:val="multilevel"/>
    <w:tmpl w:val="9148E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79307679"/>
    <w:multiLevelType w:val="multilevel"/>
    <w:tmpl w:val="81F89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79341AC1"/>
    <w:multiLevelType w:val="multilevel"/>
    <w:tmpl w:val="0E7E6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79476C21"/>
    <w:multiLevelType w:val="multilevel"/>
    <w:tmpl w:val="DDEAD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794F25CA"/>
    <w:multiLevelType w:val="multilevel"/>
    <w:tmpl w:val="F3DE1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79CB22A3"/>
    <w:multiLevelType w:val="hybridMultilevel"/>
    <w:tmpl w:val="DF4C14C2"/>
    <w:lvl w:ilvl="0" w:tplc="BE9E5A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C70E8E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1A4F1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8C6BD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8D410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7D0C5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ED22A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3DCC3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594B8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7" w15:restartNumberingAfterBreak="0">
    <w:nsid w:val="7A166950"/>
    <w:multiLevelType w:val="multilevel"/>
    <w:tmpl w:val="C5F84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7A293EDD"/>
    <w:multiLevelType w:val="multilevel"/>
    <w:tmpl w:val="CAB03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7B18268B"/>
    <w:multiLevelType w:val="multilevel"/>
    <w:tmpl w:val="CD501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7C3137D5"/>
    <w:multiLevelType w:val="multilevel"/>
    <w:tmpl w:val="6B5AE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7C4118B7"/>
    <w:multiLevelType w:val="multilevel"/>
    <w:tmpl w:val="9E742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7E6375CB"/>
    <w:multiLevelType w:val="multilevel"/>
    <w:tmpl w:val="9E606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26084731">
    <w:abstractNumId w:val="56"/>
  </w:num>
  <w:num w:numId="2" w16cid:durableId="159928526">
    <w:abstractNumId w:val="103"/>
  </w:num>
  <w:num w:numId="3" w16cid:durableId="1528832334">
    <w:abstractNumId w:val="60"/>
  </w:num>
  <w:num w:numId="4" w16cid:durableId="363868702">
    <w:abstractNumId w:val="75"/>
  </w:num>
  <w:num w:numId="5" w16cid:durableId="949749077">
    <w:abstractNumId w:val="102"/>
  </w:num>
  <w:num w:numId="6" w16cid:durableId="1512794584">
    <w:abstractNumId w:val="68"/>
  </w:num>
  <w:num w:numId="7" w16cid:durableId="966163978">
    <w:abstractNumId w:val="62"/>
  </w:num>
  <w:num w:numId="8" w16cid:durableId="1324896261">
    <w:abstractNumId w:val="22"/>
  </w:num>
  <w:num w:numId="9" w16cid:durableId="73862058">
    <w:abstractNumId w:val="4"/>
  </w:num>
  <w:num w:numId="10" w16cid:durableId="894195114">
    <w:abstractNumId w:val="31"/>
  </w:num>
  <w:num w:numId="11" w16cid:durableId="1819764492">
    <w:abstractNumId w:val="35"/>
  </w:num>
  <w:num w:numId="12" w16cid:durableId="526256421">
    <w:abstractNumId w:val="121"/>
  </w:num>
  <w:num w:numId="13" w16cid:durableId="1002975620">
    <w:abstractNumId w:val="105"/>
  </w:num>
  <w:num w:numId="14" w16cid:durableId="889725856">
    <w:abstractNumId w:val="82"/>
  </w:num>
  <w:num w:numId="15" w16cid:durableId="1675648167">
    <w:abstractNumId w:val="114"/>
  </w:num>
  <w:num w:numId="16" w16cid:durableId="617956360">
    <w:abstractNumId w:val="55"/>
  </w:num>
  <w:num w:numId="17" w16cid:durableId="415173730">
    <w:abstractNumId w:val="48"/>
  </w:num>
  <w:num w:numId="18" w16cid:durableId="201670584">
    <w:abstractNumId w:val="47"/>
  </w:num>
  <w:num w:numId="19" w16cid:durableId="542864798">
    <w:abstractNumId w:val="78"/>
  </w:num>
  <w:num w:numId="20" w16cid:durableId="237522096">
    <w:abstractNumId w:val="38"/>
  </w:num>
  <w:num w:numId="21" w16cid:durableId="1729960653">
    <w:abstractNumId w:val="109"/>
  </w:num>
  <w:num w:numId="22" w16cid:durableId="1990209715">
    <w:abstractNumId w:val="54"/>
  </w:num>
  <w:num w:numId="23" w16cid:durableId="92019153">
    <w:abstractNumId w:val="26"/>
  </w:num>
  <w:num w:numId="24" w16cid:durableId="1916551975">
    <w:abstractNumId w:val="69"/>
  </w:num>
  <w:num w:numId="25" w16cid:durableId="623922373">
    <w:abstractNumId w:val="52"/>
  </w:num>
  <w:num w:numId="26" w16cid:durableId="909772167">
    <w:abstractNumId w:val="21"/>
  </w:num>
  <w:num w:numId="27" w16cid:durableId="548539828">
    <w:abstractNumId w:val="88"/>
  </w:num>
  <w:num w:numId="28" w16cid:durableId="1721707983">
    <w:abstractNumId w:val="90"/>
  </w:num>
  <w:num w:numId="29" w16cid:durableId="29039915">
    <w:abstractNumId w:val="100"/>
  </w:num>
  <w:num w:numId="30" w16cid:durableId="1833134984">
    <w:abstractNumId w:val="2"/>
  </w:num>
  <w:num w:numId="31" w16cid:durableId="739716391">
    <w:abstractNumId w:val="17"/>
  </w:num>
  <w:num w:numId="32" w16cid:durableId="903954040">
    <w:abstractNumId w:val="8"/>
  </w:num>
  <w:num w:numId="33" w16cid:durableId="253514283">
    <w:abstractNumId w:val="92"/>
  </w:num>
  <w:num w:numId="34" w16cid:durableId="1509129254">
    <w:abstractNumId w:val="9"/>
  </w:num>
  <w:num w:numId="35" w16cid:durableId="1291352586">
    <w:abstractNumId w:val="39"/>
  </w:num>
  <w:num w:numId="36" w16cid:durableId="246110787">
    <w:abstractNumId w:val="91"/>
  </w:num>
  <w:num w:numId="37" w16cid:durableId="1807889226">
    <w:abstractNumId w:val="74"/>
  </w:num>
  <w:num w:numId="38" w16cid:durableId="250168471">
    <w:abstractNumId w:val="57"/>
  </w:num>
  <w:num w:numId="39" w16cid:durableId="794720355">
    <w:abstractNumId w:val="79"/>
  </w:num>
  <w:num w:numId="40" w16cid:durableId="1792286234">
    <w:abstractNumId w:val="20"/>
  </w:num>
  <w:num w:numId="41" w16cid:durableId="853887120">
    <w:abstractNumId w:val="73"/>
  </w:num>
  <w:num w:numId="42" w16cid:durableId="1501971835">
    <w:abstractNumId w:val="70"/>
  </w:num>
  <w:num w:numId="43" w16cid:durableId="1659533842">
    <w:abstractNumId w:val="37"/>
  </w:num>
  <w:num w:numId="44" w16cid:durableId="465246997">
    <w:abstractNumId w:val="65"/>
  </w:num>
  <w:num w:numId="45" w16cid:durableId="1092747286">
    <w:abstractNumId w:val="83"/>
  </w:num>
  <w:num w:numId="46" w16cid:durableId="457337857">
    <w:abstractNumId w:val="7"/>
  </w:num>
  <w:num w:numId="47" w16cid:durableId="2043360394">
    <w:abstractNumId w:val="28"/>
  </w:num>
  <w:num w:numId="48" w16cid:durableId="1002928508">
    <w:abstractNumId w:val="24"/>
  </w:num>
  <w:num w:numId="49" w16cid:durableId="1756973906">
    <w:abstractNumId w:val="19"/>
  </w:num>
  <w:num w:numId="50" w16cid:durableId="1954239440">
    <w:abstractNumId w:val="72"/>
  </w:num>
  <w:num w:numId="51" w16cid:durableId="1301764342">
    <w:abstractNumId w:val="86"/>
  </w:num>
  <w:num w:numId="52" w16cid:durableId="1378317063">
    <w:abstractNumId w:val="13"/>
  </w:num>
  <w:num w:numId="53" w16cid:durableId="763771412">
    <w:abstractNumId w:val="94"/>
  </w:num>
  <w:num w:numId="54" w16cid:durableId="1680740190">
    <w:abstractNumId w:val="25"/>
  </w:num>
  <w:num w:numId="55" w16cid:durableId="1154758509">
    <w:abstractNumId w:val="120"/>
  </w:num>
  <w:num w:numId="56" w16cid:durableId="829716274">
    <w:abstractNumId w:val="67"/>
  </w:num>
  <w:num w:numId="57" w16cid:durableId="696853288">
    <w:abstractNumId w:val="29"/>
  </w:num>
  <w:num w:numId="58" w16cid:durableId="1212577728">
    <w:abstractNumId w:val="33"/>
  </w:num>
  <w:num w:numId="59" w16cid:durableId="1256984273">
    <w:abstractNumId w:val="40"/>
  </w:num>
  <w:num w:numId="60" w16cid:durableId="1568955757">
    <w:abstractNumId w:val="30"/>
  </w:num>
  <w:num w:numId="61" w16cid:durableId="48579594">
    <w:abstractNumId w:val="11"/>
  </w:num>
  <w:num w:numId="62" w16cid:durableId="1038239647">
    <w:abstractNumId w:val="41"/>
  </w:num>
  <w:num w:numId="63" w16cid:durableId="1469086835">
    <w:abstractNumId w:val="15"/>
  </w:num>
  <w:num w:numId="64" w16cid:durableId="1956593089">
    <w:abstractNumId w:val="113"/>
  </w:num>
  <w:num w:numId="65" w16cid:durableId="723453669">
    <w:abstractNumId w:val="27"/>
  </w:num>
  <w:num w:numId="66" w16cid:durableId="665281237">
    <w:abstractNumId w:val="45"/>
  </w:num>
  <w:num w:numId="67" w16cid:durableId="913121837">
    <w:abstractNumId w:val="101"/>
  </w:num>
  <w:num w:numId="68" w16cid:durableId="349646994">
    <w:abstractNumId w:val="16"/>
  </w:num>
  <w:num w:numId="69" w16cid:durableId="1090849667">
    <w:abstractNumId w:val="32"/>
  </w:num>
  <w:num w:numId="70" w16cid:durableId="1841695715">
    <w:abstractNumId w:val="49"/>
  </w:num>
  <w:num w:numId="71" w16cid:durableId="662515923">
    <w:abstractNumId w:val="1"/>
  </w:num>
  <w:num w:numId="72" w16cid:durableId="32464674">
    <w:abstractNumId w:val="104"/>
  </w:num>
  <w:num w:numId="73" w16cid:durableId="766580149">
    <w:abstractNumId w:val="6"/>
  </w:num>
  <w:num w:numId="74" w16cid:durableId="2038462305">
    <w:abstractNumId w:val="50"/>
  </w:num>
  <w:num w:numId="75" w16cid:durableId="2048992633">
    <w:abstractNumId w:val="110"/>
  </w:num>
  <w:num w:numId="76" w16cid:durableId="1486163707">
    <w:abstractNumId w:val="85"/>
  </w:num>
  <w:num w:numId="77" w16cid:durableId="571432382">
    <w:abstractNumId w:val="71"/>
  </w:num>
  <w:num w:numId="78" w16cid:durableId="1729307202">
    <w:abstractNumId w:val="111"/>
  </w:num>
  <w:num w:numId="79" w16cid:durableId="1548175088">
    <w:abstractNumId w:val="118"/>
  </w:num>
  <w:num w:numId="80" w16cid:durableId="1578712027">
    <w:abstractNumId w:val="107"/>
  </w:num>
  <w:num w:numId="81" w16cid:durableId="1523396779">
    <w:abstractNumId w:val="64"/>
  </w:num>
  <w:num w:numId="82" w16cid:durableId="1176043869">
    <w:abstractNumId w:val="59"/>
  </w:num>
  <w:num w:numId="83" w16cid:durableId="1490903465">
    <w:abstractNumId w:val="112"/>
  </w:num>
  <w:num w:numId="84" w16cid:durableId="919867647">
    <w:abstractNumId w:val="46"/>
  </w:num>
  <w:num w:numId="85" w16cid:durableId="1854609894">
    <w:abstractNumId w:val="117"/>
  </w:num>
  <w:num w:numId="86" w16cid:durableId="949581262">
    <w:abstractNumId w:val="119"/>
  </w:num>
  <w:num w:numId="87" w16cid:durableId="1694531565">
    <w:abstractNumId w:val="58"/>
  </w:num>
  <w:num w:numId="88" w16cid:durableId="197087421">
    <w:abstractNumId w:val="84"/>
  </w:num>
  <w:num w:numId="89" w16cid:durableId="1957714311">
    <w:abstractNumId w:val="12"/>
  </w:num>
  <w:num w:numId="90" w16cid:durableId="2052414115">
    <w:abstractNumId w:val="98"/>
  </w:num>
  <w:num w:numId="91" w16cid:durableId="111436882">
    <w:abstractNumId w:val="63"/>
  </w:num>
  <w:num w:numId="92" w16cid:durableId="242690982">
    <w:abstractNumId w:val="18"/>
  </w:num>
  <w:num w:numId="93" w16cid:durableId="188375238">
    <w:abstractNumId w:val="89"/>
  </w:num>
  <w:num w:numId="94" w16cid:durableId="918488521">
    <w:abstractNumId w:val="34"/>
  </w:num>
  <w:num w:numId="95" w16cid:durableId="166291793">
    <w:abstractNumId w:val="36"/>
  </w:num>
  <w:num w:numId="96" w16cid:durableId="863401211">
    <w:abstractNumId w:val="76"/>
  </w:num>
  <w:num w:numId="97" w16cid:durableId="1762678310">
    <w:abstractNumId w:val="106"/>
  </w:num>
  <w:num w:numId="98" w16cid:durableId="986586626">
    <w:abstractNumId w:val="87"/>
  </w:num>
  <w:num w:numId="99" w16cid:durableId="1789623638">
    <w:abstractNumId w:val="3"/>
  </w:num>
  <w:num w:numId="100" w16cid:durableId="151533578">
    <w:abstractNumId w:val="108"/>
  </w:num>
  <w:num w:numId="101" w16cid:durableId="224684729">
    <w:abstractNumId w:val="61"/>
  </w:num>
  <w:num w:numId="102" w16cid:durableId="439372711">
    <w:abstractNumId w:val="97"/>
  </w:num>
  <w:num w:numId="103" w16cid:durableId="1936398770">
    <w:abstractNumId w:val="116"/>
  </w:num>
  <w:num w:numId="104" w16cid:durableId="604272477">
    <w:abstractNumId w:val="14"/>
  </w:num>
  <w:num w:numId="105" w16cid:durableId="453596114">
    <w:abstractNumId w:val="77"/>
  </w:num>
  <w:num w:numId="106" w16cid:durableId="1648898742">
    <w:abstractNumId w:val="95"/>
  </w:num>
  <w:num w:numId="107" w16cid:durableId="835806865">
    <w:abstractNumId w:val="0"/>
  </w:num>
  <w:num w:numId="108" w16cid:durableId="859780767">
    <w:abstractNumId w:val="10"/>
  </w:num>
  <w:num w:numId="109" w16cid:durableId="774406110">
    <w:abstractNumId w:val="43"/>
  </w:num>
  <w:num w:numId="110" w16cid:durableId="558327756">
    <w:abstractNumId w:val="44"/>
  </w:num>
  <w:num w:numId="111" w16cid:durableId="1845827409">
    <w:abstractNumId w:val="51"/>
  </w:num>
  <w:num w:numId="112" w16cid:durableId="2000499080">
    <w:abstractNumId w:val="96"/>
  </w:num>
  <w:num w:numId="113" w16cid:durableId="177545995">
    <w:abstractNumId w:val="115"/>
  </w:num>
  <w:num w:numId="114" w16cid:durableId="406458085">
    <w:abstractNumId w:val="53"/>
  </w:num>
  <w:num w:numId="115" w16cid:durableId="751198439">
    <w:abstractNumId w:val="80"/>
  </w:num>
  <w:num w:numId="116" w16cid:durableId="948046758">
    <w:abstractNumId w:val="81"/>
  </w:num>
  <w:num w:numId="117" w16cid:durableId="1053237208">
    <w:abstractNumId w:val="66"/>
  </w:num>
  <w:num w:numId="118" w16cid:durableId="716513987">
    <w:abstractNumId w:val="5"/>
  </w:num>
  <w:num w:numId="119" w16cid:durableId="2095006786">
    <w:abstractNumId w:val="122"/>
  </w:num>
  <w:num w:numId="120" w16cid:durableId="1620448042">
    <w:abstractNumId w:val="42"/>
  </w:num>
  <w:num w:numId="121" w16cid:durableId="939533447">
    <w:abstractNumId w:val="99"/>
  </w:num>
  <w:num w:numId="122" w16cid:durableId="721094775">
    <w:abstractNumId w:val="23"/>
  </w:num>
  <w:num w:numId="123" w16cid:durableId="1839269516">
    <w:abstractNumId w:val="9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6AD"/>
    <w:rsid w:val="000852A7"/>
    <w:rsid w:val="000A0CDA"/>
    <w:rsid w:val="000A2321"/>
    <w:rsid w:val="000B0999"/>
    <w:rsid w:val="000C2E57"/>
    <w:rsid w:val="00130193"/>
    <w:rsid w:val="001A76B6"/>
    <w:rsid w:val="001B3034"/>
    <w:rsid w:val="001F60C1"/>
    <w:rsid w:val="00217E40"/>
    <w:rsid w:val="00251E4A"/>
    <w:rsid w:val="003B2AB2"/>
    <w:rsid w:val="00410BE6"/>
    <w:rsid w:val="0048203F"/>
    <w:rsid w:val="004C4881"/>
    <w:rsid w:val="005109A3"/>
    <w:rsid w:val="00536115"/>
    <w:rsid w:val="00544E4E"/>
    <w:rsid w:val="005606E9"/>
    <w:rsid w:val="00586C76"/>
    <w:rsid w:val="005D76F0"/>
    <w:rsid w:val="00660AFC"/>
    <w:rsid w:val="006B4511"/>
    <w:rsid w:val="00752AB6"/>
    <w:rsid w:val="007A7A2A"/>
    <w:rsid w:val="007D2F2A"/>
    <w:rsid w:val="0081090C"/>
    <w:rsid w:val="00834F66"/>
    <w:rsid w:val="008A3D04"/>
    <w:rsid w:val="008F6391"/>
    <w:rsid w:val="00952C84"/>
    <w:rsid w:val="00AA5B12"/>
    <w:rsid w:val="00AB7D1E"/>
    <w:rsid w:val="00B12263"/>
    <w:rsid w:val="00B35A69"/>
    <w:rsid w:val="00B43A51"/>
    <w:rsid w:val="00B95D8B"/>
    <w:rsid w:val="00BC6156"/>
    <w:rsid w:val="00BE0085"/>
    <w:rsid w:val="00C5785B"/>
    <w:rsid w:val="00CA76AD"/>
    <w:rsid w:val="00CB11A9"/>
    <w:rsid w:val="00D00BCB"/>
    <w:rsid w:val="00D03832"/>
    <w:rsid w:val="00D0406A"/>
    <w:rsid w:val="00DB0F68"/>
    <w:rsid w:val="00DE4B83"/>
    <w:rsid w:val="00DE72AA"/>
    <w:rsid w:val="00E04262"/>
    <w:rsid w:val="00E04639"/>
    <w:rsid w:val="00E52CC9"/>
    <w:rsid w:val="00EA7E03"/>
    <w:rsid w:val="00EE6E89"/>
    <w:rsid w:val="00EF6237"/>
    <w:rsid w:val="00F25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86407A"/>
  <w15:chartTrackingRefBased/>
  <w15:docId w15:val="{39A6C166-28CC-4409-9328-B249D8F39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0AFC"/>
  </w:style>
  <w:style w:type="paragraph" w:styleId="Heading1">
    <w:name w:val="heading 1"/>
    <w:basedOn w:val="Normal"/>
    <w:next w:val="Normal"/>
    <w:link w:val="Heading1Char"/>
    <w:uiPriority w:val="9"/>
    <w:qFormat/>
    <w:rsid w:val="00CA76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A76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76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76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76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76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76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76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76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0AF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A76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A76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76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76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76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76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76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76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76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76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76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76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76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76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76AD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CA76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76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76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76A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34F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4F66"/>
  </w:style>
  <w:style w:type="paragraph" w:styleId="Footer">
    <w:name w:val="footer"/>
    <w:basedOn w:val="Normal"/>
    <w:link w:val="FooterChar"/>
    <w:uiPriority w:val="99"/>
    <w:unhideWhenUsed/>
    <w:rsid w:val="00834F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4F66"/>
  </w:style>
  <w:style w:type="paragraph" w:styleId="NormalWeb">
    <w:name w:val="Normal (Web)"/>
    <w:basedOn w:val="Normal"/>
    <w:uiPriority w:val="99"/>
    <w:semiHidden/>
    <w:unhideWhenUsed/>
    <w:rsid w:val="007D2F2A"/>
    <w:rPr>
      <w:rFonts w:ascii="Times New Roman" w:hAnsi="Times New Roman" w:cs="Times New Roman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30193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30193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30193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3019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3019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30193"/>
    <w:rPr>
      <w:vertAlign w:val="superscript"/>
    </w:rPr>
  </w:style>
  <w:style w:type="character" w:styleId="SubtleReference">
    <w:name w:val="Subtle Reference"/>
    <w:basedOn w:val="DefaultParagraphFont"/>
    <w:uiPriority w:val="31"/>
    <w:qFormat/>
    <w:rsid w:val="001A76B6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844419">
      <w:marLeft w:val="720"/>
      <w:marRight w:val="0"/>
      <w:marTop w:val="0"/>
      <w:marBottom w:val="1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3985">
      <w:marLeft w:val="720"/>
      <w:marRight w:val="0"/>
      <w:marTop w:val="0"/>
      <w:marBottom w:val="1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1933">
      <w:marLeft w:val="720"/>
      <w:marRight w:val="0"/>
      <w:marTop w:val="0"/>
      <w:marBottom w:val="1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7307">
      <w:marLeft w:val="720"/>
      <w:marRight w:val="0"/>
      <w:marTop w:val="0"/>
      <w:marBottom w:val="1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C4B60D9152DC4882A5F96F02111C0E" ma:contentTypeVersion="22" ma:contentTypeDescription="Create a new document." ma:contentTypeScope="" ma:versionID="a5b07cc0f844b4a0ccf16e4d8e6d1ee4">
  <xsd:schema xmlns:xsd="http://www.w3.org/2001/XMLSchema" xmlns:xs="http://www.w3.org/2001/XMLSchema" xmlns:p="http://schemas.microsoft.com/office/2006/metadata/properties" xmlns:ns2="10e0560a-c955-4c64-b65f-5b8cfe5b4422" xmlns:ns3="2daea115-2199-429a-8b86-b3998f5bfc8e" targetNamespace="http://schemas.microsoft.com/office/2006/metadata/properties" ma:root="true" ma:fieldsID="35cfaa5155d9b80aa257335fb858da0a" ns2:_="" ns3:_="">
    <xsd:import namespace="10e0560a-c955-4c64-b65f-5b8cfe5b4422"/>
    <xsd:import namespace="2daea115-2199-429a-8b86-b3998f5bfc8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e0560a-c955-4c64-b65f-5b8cfe5b442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793465fd-c3a5-4846-bcf7-3aba98e7d3c3}" ma:internalName="TaxCatchAll" ma:showField="CatchAllData" ma:web="10e0560a-c955-4c64-b65f-5b8cfe5b44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aea115-2199-429a-8b86-b3998f5bfc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85b67c38-9b92-4c89-983f-e15b4398df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0e0560a-c955-4c64-b65f-5b8cfe5b4422" xsi:nil="true"/>
    <lcf76f155ced4ddcb4097134ff3c332f xmlns="2daea115-2199-429a-8b86-b3998f5bfc8e">
      <Terms xmlns="http://schemas.microsoft.com/office/infopath/2007/PartnerControls"/>
    </lcf76f155ced4ddcb4097134ff3c332f>
    <_dlc_DocId xmlns="10e0560a-c955-4c64-b65f-5b8cfe5b4422">VDMRER5D5HUY-1811668827-583723</_dlc_DocId>
    <_dlc_DocIdUrl xmlns="10e0560a-c955-4c64-b65f-5b8cfe5b4422">
      <Url>https://jewishfederationsa.sharepoint.com/sites/SharedDrives/_layouts/15/DocIdRedir.aspx?ID=VDMRER5D5HUY-1811668827-583723</Url>
      <Description>VDMRER5D5HUY-1811668827-583723</Description>
    </_dlc_DocIdUrl>
  </documentManagement>
</p:properties>
</file>

<file path=customXml/itemProps1.xml><?xml version="1.0" encoding="utf-8"?>
<ds:datastoreItem xmlns:ds="http://schemas.openxmlformats.org/officeDocument/2006/customXml" ds:itemID="{365F9A1D-16AD-4074-A9BB-07C143C1FB2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98EF018-22BE-4E0D-973D-07DEF530FC11}"/>
</file>

<file path=customXml/itemProps3.xml><?xml version="1.0" encoding="utf-8"?>
<ds:datastoreItem xmlns:ds="http://schemas.openxmlformats.org/officeDocument/2006/customXml" ds:itemID="{014BEA43-FF28-4210-8CA8-92FCA4D0DC1B}"/>
</file>

<file path=customXml/itemProps4.xml><?xml version="1.0" encoding="utf-8"?>
<ds:datastoreItem xmlns:ds="http://schemas.openxmlformats.org/officeDocument/2006/customXml" ds:itemID="{164ABBFF-C0BC-427A-BF0F-06ABABF710DC}"/>
</file>

<file path=customXml/itemProps5.xml><?xml version="1.0" encoding="utf-8"?>
<ds:datastoreItem xmlns:ds="http://schemas.openxmlformats.org/officeDocument/2006/customXml" ds:itemID="{E1BE28BB-5200-4964-8A77-334F161CE24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9</Pages>
  <Words>2534</Words>
  <Characters>13611</Characters>
  <Application>Microsoft Office Word</Application>
  <DocSecurity>4</DocSecurity>
  <Lines>289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Gadarian</dc:creator>
  <cp:keywords/>
  <dc:description/>
  <cp:lastModifiedBy>Brenda Landau</cp:lastModifiedBy>
  <cp:revision>2</cp:revision>
  <dcterms:created xsi:type="dcterms:W3CDTF">2026-05-07T17:25:00Z</dcterms:created>
  <dcterms:modified xsi:type="dcterms:W3CDTF">2026-05-07T17:25:00Z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0x0101005DC4B60D9152DC4882A5F96F02111C0E</vt:lpwstr>
  </property>
  <property fmtid="{D5CDD505-2E9C-101B-9397-08002B2CF9AE}" pid="3" name="_dlc_DocIdItemGuid">
    <vt:lpwstr>4b6ba304-16d9-42c8-8491-0aeebd3490f7</vt:lpwstr>
  </property>
</Properties>
</file>