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FF84F" w14:textId="5067A863" w:rsidR="006E2860" w:rsidRPr="00CD0E76" w:rsidRDefault="00CD0E7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E76">
        <w:rPr>
          <w:rFonts w:ascii="Times New Roman" w:hAnsi="Times New Roman" w:cs="Times New Roman"/>
          <w:b/>
          <w:bCs/>
          <w:sz w:val="32"/>
          <w:szCs w:val="32"/>
        </w:rPr>
        <w:t>CORPORATE TRANSPARENCY ACT UPDATE</w:t>
      </w:r>
    </w:p>
    <w:p w14:paraId="33B3BDF3" w14:textId="2C34515B" w:rsidR="00CD0E76" w:rsidRPr="00CD0E76" w:rsidRDefault="00CD0E7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E76">
        <w:rPr>
          <w:rFonts w:ascii="Times New Roman" w:hAnsi="Times New Roman" w:cs="Times New Roman"/>
          <w:b/>
          <w:bCs/>
          <w:sz w:val="32"/>
          <w:szCs w:val="32"/>
        </w:rPr>
        <w:t>FINAL FINCEN RULE</w:t>
      </w:r>
    </w:p>
    <w:p w14:paraId="6E21CCF9" w14:textId="56AA1BBB" w:rsidR="00CD0E76" w:rsidRPr="00CD0E76" w:rsidRDefault="00CD0E7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E76">
        <w:rPr>
          <w:rFonts w:ascii="Times New Roman" w:hAnsi="Times New Roman" w:cs="Times New Roman"/>
          <w:b/>
          <w:bCs/>
          <w:sz w:val="32"/>
          <w:szCs w:val="32"/>
        </w:rPr>
        <w:t>RELEASED SEPTEMBER 29, 2022</w:t>
      </w:r>
    </w:p>
    <w:p w14:paraId="56F6A927" w14:textId="2D720D22" w:rsidR="00CD0E76" w:rsidRDefault="00CD0E7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0E76">
        <w:rPr>
          <w:rFonts w:ascii="Times New Roman" w:hAnsi="Times New Roman" w:cs="Times New Roman"/>
          <w:b/>
          <w:bCs/>
          <w:sz w:val="32"/>
          <w:szCs w:val="32"/>
        </w:rPr>
        <w:t>PUBLISHED IN THE FEDERAL REGISTER SEPTEMBER 30, 2022</w:t>
      </w:r>
    </w:p>
    <w:p w14:paraId="0B6E96D0" w14:textId="77777777" w:rsidR="000F773B" w:rsidRDefault="000F773B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F6C3A0C" w14:textId="4970AA08" w:rsidR="00CD0E76" w:rsidRDefault="00485FBE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SAEPC</w:t>
      </w:r>
    </w:p>
    <w:p w14:paraId="0D10A3AC" w14:textId="326AC267" w:rsidR="00CD0E76" w:rsidRDefault="00F1039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November 1</w:t>
      </w:r>
      <w:r w:rsidR="00485FBE">
        <w:rPr>
          <w:rFonts w:ascii="Times New Roman" w:hAnsi="Times New Roman" w:cs="Times New Roman"/>
          <w:b/>
          <w:bCs/>
          <w:sz w:val="32"/>
          <w:szCs w:val="32"/>
        </w:rPr>
        <w:t>6</w:t>
      </w:r>
      <w:r w:rsidR="00CD0E76">
        <w:rPr>
          <w:rFonts w:ascii="Times New Roman" w:hAnsi="Times New Roman" w:cs="Times New Roman"/>
          <w:b/>
          <w:bCs/>
          <w:sz w:val="32"/>
          <w:szCs w:val="32"/>
        </w:rPr>
        <w:t>, 2022</w:t>
      </w:r>
    </w:p>
    <w:p w14:paraId="08C22EB0" w14:textId="081EC24B" w:rsidR="00CD0E76" w:rsidRDefault="00CD0E7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Gary Fletcher</w:t>
      </w:r>
    </w:p>
    <w:p w14:paraId="1F107344" w14:textId="15A88AB9" w:rsidR="000F773B" w:rsidRDefault="000F773B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NYSTEDT &amp; FLETCHER PLLC</w:t>
      </w:r>
    </w:p>
    <w:p w14:paraId="7DDE877C" w14:textId="26804C28" w:rsidR="000F773B" w:rsidRDefault="000F773B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gfletcher@nflegal.com</w:t>
      </w:r>
    </w:p>
    <w:p w14:paraId="65C1E2A6" w14:textId="56324380" w:rsidR="00CD0E76" w:rsidRDefault="00CD0E76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15475D1" w14:textId="0038B77C" w:rsidR="000F773B" w:rsidRDefault="000F773B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AE3BA62" w14:textId="77777777" w:rsidR="000F773B" w:rsidRDefault="000F773B" w:rsidP="00CD0E7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32C9E3" w14:textId="77777777" w:rsidR="00CD0E76" w:rsidRPr="00CD0E76" w:rsidRDefault="00CD0E76" w:rsidP="00CD0E7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D0E76">
        <w:rPr>
          <w:rFonts w:ascii="Times New Roman" w:hAnsi="Times New Roman" w:cs="Times New Roman"/>
          <w:b/>
          <w:bCs/>
          <w:sz w:val="32"/>
          <w:szCs w:val="32"/>
        </w:rPr>
        <w:t xml:space="preserve">REFRESH:  </w:t>
      </w:r>
    </w:p>
    <w:p w14:paraId="610CE559" w14:textId="77777777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3A5A4B63" w14:textId="6C973027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CTA enacted January 1, 2021</w:t>
      </w:r>
    </w:p>
    <w:p w14:paraId="7F1F3B41" w14:textId="6C312CD0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35911FAC" w14:textId="3706E09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Latest of a series of attempted legislation over several years (not new, or a surprise); pressure on Congress to bring the United States up to date with the rest of the Globe</w:t>
      </w:r>
    </w:p>
    <w:p w14:paraId="37EAE550" w14:textId="496C0ECB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77504E5E" w14:textId="1DE20DFF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Target:  Money Laundering and Funding of Terrorism</w:t>
      </w:r>
    </w:p>
    <w:p w14:paraId="6DB33AF1" w14:textId="0FE92378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7E026611" w14:textId="043FA8A9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Enacted as part of the National Defense Authorization Act of 2021</w:t>
      </w:r>
    </w:p>
    <w:p w14:paraId="193617A4" w14:textId="4B35A38D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63D0422B" w14:textId="378D24CA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Since it was embedded deep in a Defense Bill, wasn’t, and to this day, isn’t, on the radar of many attorneys, CPAs, Financial Advisors and other planners involved with clients and their entities; most of all – not on the radar of our clients – this impacts everyone in this group, everyone in SAEPC and any planner who forms entities, has formed entities or has clients with entities – so pretty much EVERYONE.</w:t>
      </w:r>
    </w:p>
    <w:p w14:paraId="3CC91972" w14:textId="09E20FD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7DAA117" w14:textId="77777777" w:rsidR="000F773B" w:rsidRDefault="000F773B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849F457" w14:textId="77777777" w:rsidR="000F773B" w:rsidRDefault="000F773B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B226604" w14:textId="77777777" w:rsidR="000F773B" w:rsidRDefault="000F773B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F6A9D3C" w14:textId="77777777" w:rsidR="000F773B" w:rsidRDefault="000F773B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0878F3D" w14:textId="21B09C58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Materials </w:t>
      </w:r>
      <w:r w:rsidR="00F10396">
        <w:rPr>
          <w:rFonts w:ascii="Times New Roman" w:hAnsi="Times New Roman" w:cs="Times New Roman"/>
          <w:sz w:val="32"/>
          <w:szCs w:val="32"/>
        </w:rPr>
        <w:t>available</w:t>
      </w:r>
      <w:r>
        <w:rPr>
          <w:rFonts w:ascii="Times New Roman" w:hAnsi="Times New Roman" w:cs="Times New Roman"/>
          <w:sz w:val="32"/>
          <w:szCs w:val="32"/>
        </w:rPr>
        <w:t>:</w:t>
      </w:r>
    </w:p>
    <w:p w14:paraId="4D88BD9C" w14:textId="11DEE55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F0FE729" w14:textId="5FC2CA1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My power point from my </w:t>
      </w:r>
      <w:r w:rsidR="00C66A43">
        <w:rPr>
          <w:rFonts w:ascii="Times New Roman" w:hAnsi="Times New Roman" w:cs="Times New Roman"/>
          <w:sz w:val="32"/>
          <w:szCs w:val="32"/>
        </w:rPr>
        <w:t>June</w:t>
      </w:r>
      <w:r>
        <w:rPr>
          <w:rFonts w:ascii="Times New Roman" w:hAnsi="Times New Roman" w:cs="Times New Roman"/>
          <w:sz w:val="32"/>
          <w:szCs w:val="32"/>
        </w:rPr>
        <w:t xml:space="preserve"> 2022 ACTEC presentation before the Asset Protection Committee in Banff, Alberta; nearly all the information remains on point following issuance of final FinCen </w:t>
      </w:r>
      <w:r w:rsidR="00C66A43">
        <w:rPr>
          <w:rFonts w:ascii="Times New Roman" w:hAnsi="Times New Roman" w:cs="Times New Roman"/>
          <w:sz w:val="32"/>
          <w:szCs w:val="32"/>
        </w:rPr>
        <w:t>Rule.</w:t>
      </w:r>
    </w:p>
    <w:p w14:paraId="575F740B" w14:textId="03F3A37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4D2BB10" w14:textId="116B998E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ACTEC Comments on the Proposed Rule issued in </w:t>
      </w:r>
      <w:r w:rsidR="00C66A43">
        <w:rPr>
          <w:rFonts w:ascii="Times New Roman" w:hAnsi="Times New Roman" w:cs="Times New Roman"/>
          <w:sz w:val="32"/>
          <w:szCs w:val="32"/>
        </w:rPr>
        <w:t>December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66A43">
        <w:rPr>
          <w:rFonts w:ascii="Times New Roman" w:hAnsi="Times New Roman" w:cs="Times New Roman"/>
          <w:sz w:val="32"/>
          <w:szCs w:val="32"/>
        </w:rPr>
        <w:t>2021.</w:t>
      </w:r>
    </w:p>
    <w:p w14:paraId="4D73B770" w14:textId="6B512BF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4115CC2" w14:textId="148EF55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FinCen News Release &amp; Fact Sheet on Final </w:t>
      </w:r>
      <w:r w:rsidR="00C66A43">
        <w:rPr>
          <w:rFonts w:ascii="Times New Roman" w:hAnsi="Times New Roman" w:cs="Times New Roman"/>
          <w:sz w:val="32"/>
          <w:szCs w:val="32"/>
        </w:rPr>
        <w:t>Rule.</w:t>
      </w:r>
    </w:p>
    <w:p w14:paraId="6E228CB9" w14:textId="3E7D990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363A8AE" w14:textId="1123767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FinCen Final Rule, Annotated </w:t>
      </w:r>
      <w:r w:rsidR="00C66A43">
        <w:rPr>
          <w:rFonts w:ascii="Times New Roman" w:hAnsi="Times New Roman" w:cs="Times New Roman"/>
          <w:sz w:val="32"/>
          <w:szCs w:val="32"/>
        </w:rPr>
        <w:t>Form.</w:t>
      </w:r>
    </w:p>
    <w:p w14:paraId="2706B696" w14:textId="4797613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57A960A" w14:textId="19588A9D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Federal Register; official published Final Rule.</w:t>
      </w:r>
    </w:p>
    <w:p w14:paraId="74CA6A38" w14:textId="1459E799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81698CB" w14:textId="36FB5E6D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 plain English summary of the CTA and its requirements (good for clients) can be found in my </w:t>
      </w:r>
      <w:r w:rsidR="00C66A43">
        <w:rPr>
          <w:rFonts w:ascii="Times New Roman" w:hAnsi="Times New Roman" w:cs="Times New Roman"/>
          <w:sz w:val="32"/>
          <w:szCs w:val="32"/>
        </w:rPr>
        <w:t>October</w:t>
      </w:r>
      <w:r>
        <w:rPr>
          <w:rFonts w:ascii="Times New Roman" w:hAnsi="Times New Roman" w:cs="Times New Roman"/>
          <w:sz w:val="32"/>
          <w:szCs w:val="32"/>
        </w:rPr>
        <w:t xml:space="preserve"> 2022 article in the Desert Leaf (published and circulated the day before release of the Final Rule).</w:t>
      </w:r>
    </w:p>
    <w:p w14:paraId="51630277" w14:textId="5E626D44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106A1F9" w14:textId="7D5908F3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KEY TERMS</w:t>
      </w:r>
    </w:p>
    <w:p w14:paraId="5BB94883" w14:textId="6E1FBBB4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270DABB" w14:textId="68A0368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key terms remain the same following issuance of the Final Rule:</w:t>
      </w:r>
    </w:p>
    <w:p w14:paraId="6557FE15" w14:textId="7BBB48D6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AE63872" w14:textId="75317E6B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REPORTING COMPANY</w:t>
      </w:r>
    </w:p>
    <w:p w14:paraId="06CBD61F" w14:textId="77777777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B29A394" w14:textId="54E2117E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INCLUDES DOMESTIC AND FOREIGN</w:t>
      </w:r>
    </w:p>
    <w:p w14:paraId="7FC5EB62" w14:textId="7777777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1B9F97F" w14:textId="6905B174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Use of the term “CORPORATE” is misleading; a Domestic Reporting Company includes any corporation, limited liability company or similar entity created by the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filing </w:t>
      </w:r>
      <w:r>
        <w:rPr>
          <w:rFonts w:ascii="Times New Roman" w:hAnsi="Times New Roman" w:cs="Times New Roman"/>
          <w:sz w:val="32"/>
          <w:szCs w:val="32"/>
        </w:rPr>
        <w:t>of a document with a secretary of state or similar state office or an Indian tribe.  Given this definition, a Trust will NOT be a Reporting Company, but many, or most, trusts will be Beneficial Owners about which reporting is required.</w:t>
      </w:r>
    </w:p>
    <w:p w14:paraId="1A759426" w14:textId="2BC12396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B7F0AA9" w14:textId="4863992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A Foreign Reporting Company is a corporation, LLC or other entity formed in a foreign country and registered to do business in a US state or tribal jurisdiction by the filing of a document with a secretary of state or similar state office.</w:t>
      </w:r>
    </w:p>
    <w:p w14:paraId="2FF649C0" w14:textId="16781E86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937B101" w14:textId="06AC6C4F" w:rsidR="00CD0E76" w:rsidRP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 Exemptions (most notable discussed below).</w:t>
      </w:r>
    </w:p>
    <w:p w14:paraId="7682ED95" w14:textId="17E16611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E4F0CF3" w14:textId="77777777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B6DE8DE" w14:textId="77777777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D15543F" w14:textId="328B66DD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BENEFICIAL OWNER</w:t>
      </w:r>
    </w:p>
    <w:p w14:paraId="28F5FA70" w14:textId="7F955F78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07C750F" w14:textId="7EE40E8A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Any individual who, directly or indirectly:</w:t>
      </w:r>
    </w:p>
    <w:p w14:paraId="0E0EBF3E" w14:textId="66CB71C8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5D8F1B4" w14:textId="0EC5EAE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-exercises substantial control over a Reporting Company (basically anyone able to make important decisions on behalf of the Reporting Company); or</w:t>
      </w:r>
    </w:p>
    <w:p w14:paraId="59D2870C" w14:textId="602A9081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-owns or controls at least 25 percent of the ownership interests of a reporting company.</w:t>
      </w:r>
    </w:p>
    <w:p w14:paraId="3A8F585C" w14:textId="0676D822" w:rsidR="00CD0E76" w:rsidRP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Either of these have the potential to cause a trust to be a Beneficial Owner for CTA reporting.</w:t>
      </w:r>
    </w:p>
    <w:p w14:paraId="5BE4F28E" w14:textId="793A1B62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5396AB9" w14:textId="46D4DE1D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COMPANY APPLICANT</w:t>
      </w:r>
    </w:p>
    <w:p w14:paraId="6F59CD82" w14:textId="632DDF4C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1DC562D" w14:textId="2AA8648B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Individual who files the document that creates the </w:t>
      </w:r>
      <w:r w:rsidR="00C66A43">
        <w:rPr>
          <w:rFonts w:ascii="Times New Roman" w:hAnsi="Times New Roman" w:cs="Times New Roman"/>
          <w:sz w:val="32"/>
          <w:szCs w:val="32"/>
        </w:rPr>
        <w:t>entity.</w:t>
      </w:r>
    </w:p>
    <w:p w14:paraId="550B41A3" w14:textId="2BE1E601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4417B66" w14:textId="6E430D7B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Individual who is primarily responsible for directing or controlling the filing by another.</w:t>
      </w:r>
    </w:p>
    <w:p w14:paraId="1D6921AB" w14:textId="653D6BDE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60202F" w14:textId="40315197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BOI REPORTS</w:t>
      </w:r>
    </w:p>
    <w:p w14:paraId="3F13D842" w14:textId="775C43F9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9A8AC28" w14:textId="35DAA19B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Reporting obligation rests with the Reporting Company.</w:t>
      </w:r>
    </w:p>
    <w:p w14:paraId="1F768A7B" w14:textId="21AB5BFD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5F4C171" w14:textId="2CB41781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Report identifies the Reporting Company (company name, address, jurisdiction of formation, TIN) and:</w:t>
      </w:r>
    </w:p>
    <w:p w14:paraId="0BC29A47" w14:textId="43A55735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90F55AF" w14:textId="346063F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For each Beneficial Owner and Company Applicant:  Name, birthdate, address (residential) and unique identifying number and issuing jurisdiction (generally a </w:t>
      </w:r>
      <w:r w:rsidR="00C66A43">
        <w:rPr>
          <w:rFonts w:ascii="Times New Roman" w:hAnsi="Times New Roman" w:cs="Times New Roman"/>
          <w:sz w:val="32"/>
          <w:szCs w:val="32"/>
        </w:rPr>
        <w:t>driver’s</w:t>
      </w:r>
      <w:r>
        <w:rPr>
          <w:rFonts w:ascii="Times New Roman" w:hAnsi="Times New Roman" w:cs="Times New Roman"/>
          <w:sz w:val="32"/>
          <w:szCs w:val="32"/>
        </w:rPr>
        <w:t xml:space="preserve"> license including an image of the identifying document).</w:t>
      </w:r>
    </w:p>
    <w:p w14:paraId="0E2107D5" w14:textId="24364189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07CDF5D" w14:textId="0415BE9A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EXEMPTIONS</w:t>
      </w:r>
    </w:p>
    <w:p w14:paraId="513DC374" w14:textId="49802B1B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5028F36" w14:textId="1CB50DEF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REPORTING COMPANY EXEMPTIONS</w:t>
      </w:r>
    </w:p>
    <w:p w14:paraId="68E458DF" w14:textId="60036ED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EC0CD9A" w14:textId="49C0714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23 Listed</w:t>
      </w:r>
    </w:p>
    <w:p w14:paraId="76C74247" w14:textId="5AD83F33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Primarily large operating companies (at least 20 employees and 5million revenue) public accounting firms and similar large entities already subject to regulatory reporting such as Sarbanes Oxley……</w:t>
      </w:r>
    </w:p>
    <w:p w14:paraId="34FD8149" w14:textId="0F995F66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--note that family offices will often have less than 20 employees even though revenue exceeds the 5 million level</w:t>
      </w:r>
    </w:p>
    <w:p w14:paraId="09ED7C50" w14:textId="76C6BBA3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1194D5B" w14:textId="7FE26945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Dormant entities – the definition has NOT been expanded – if the entity has had any ownership change within 12 months, has </w:t>
      </w:r>
      <w:proofErr w:type="gramStart"/>
      <w:r>
        <w:rPr>
          <w:rFonts w:ascii="Times New Roman" w:hAnsi="Times New Roman" w:cs="Times New Roman"/>
          <w:sz w:val="32"/>
          <w:szCs w:val="32"/>
        </w:rPr>
        <w:t>sent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or received at least $1000 in funds in the last 12 months OR has ANY assets, it is NOT an exempt dormant entity…….so shelf entities sitting with a nominal bank account are Reporting Companies.</w:t>
      </w:r>
    </w:p>
    <w:p w14:paraId="2BED7680" w14:textId="4FE7DED8" w:rsidR="000924B5" w:rsidRDefault="000924B5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5CF637" w14:textId="24FFE563" w:rsidR="000924B5" w:rsidRPr="000924B5" w:rsidRDefault="000924B5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NOTE – PROBABLY APPLIES TO YOUR OWN LAW FIRM</w:t>
      </w:r>
    </w:p>
    <w:p w14:paraId="6F5931C0" w14:textId="4BD67B2A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E3FC568" w14:textId="140F292D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BENEFICIAL OWNER EXEMPTIONS</w:t>
      </w:r>
    </w:p>
    <w:p w14:paraId="24AB703A" w14:textId="5FFD227B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D20B87B" w14:textId="4BCE8EA9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Minor Children</w:t>
      </w:r>
    </w:p>
    <w:p w14:paraId="4E43C269" w14:textId="49044F0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Nominees, Intermediaries, Custodians, Agents</w:t>
      </w:r>
    </w:p>
    <w:p w14:paraId="45596B2E" w14:textId="1866D58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Employees</w:t>
      </w:r>
    </w:p>
    <w:p w14:paraId="3C198FED" w14:textId="5D5C229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Inheritance</w:t>
      </w:r>
    </w:p>
    <w:p w14:paraId="32A6DAE2" w14:textId="5AF7E692" w:rsidR="00CD0E76" w:rsidRP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Creditors</w:t>
      </w:r>
    </w:p>
    <w:p w14:paraId="0CE4B190" w14:textId="3C7C866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03CF3E3" w14:textId="536B4B99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FINAL RULE/EFFECTIVE DATE/DUE DATES/CHANGES TO PROPOSED RULE</w:t>
      </w:r>
    </w:p>
    <w:p w14:paraId="564011CD" w14:textId="72F7BF3C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257051DE" w14:textId="71C0CA45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CTA required issuance of regs/rules within one year and prescribed an effective date of the effective date of Final Regs.  That didn’t happen, Proposed Rule issued in </w:t>
      </w:r>
      <w:r w:rsidR="00C66A43">
        <w:rPr>
          <w:rFonts w:ascii="Times New Roman" w:hAnsi="Times New Roman" w:cs="Times New Roman"/>
          <w:sz w:val="32"/>
          <w:szCs w:val="32"/>
        </w:rPr>
        <w:t>December</w:t>
      </w:r>
      <w:r>
        <w:rPr>
          <w:rFonts w:ascii="Times New Roman" w:hAnsi="Times New Roman" w:cs="Times New Roman"/>
          <w:sz w:val="32"/>
          <w:szCs w:val="32"/>
        </w:rPr>
        <w:t xml:space="preserve"> 2021.  Voluminous comments were submitted.  Final Rule released </w:t>
      </w:r>
      <w:r w:rsidR="00C66A43">
        <w:rPr>
          <w:rFonts w:ascii="Times New Roman" w:hAnsi="Times New Roman" w:cs="Times New Roman"/>
          <w:sz w:val="32"/>
          <w:szCs w:val="32"/>
        </w:rPr>
        <w:t>Sept 29, 2022 and</w:t>
      </w:r>
      <w:r>
        <w:rPr>
          <w:rFonts w:ascii="Times New Roman" w:hAnsi="Times New Roman" w:cs="Times New Roman"/>
          <w:sz w:val="32"/>
          <w:szCs w:val="32"/>
        </w:rPr>
        <w:t xml:space="preserve"> published in the Federal Register on September 30, 2022.</w:t>
      </w:r>
    </w:p>
    <w:p w14:paraId="42491608" w14:textId="08DEFAB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44EEBB" w14:textId="4694707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Vast majority of the Proposed Rule adopted as is by the Final Rule.</w:t>
      </w:r>
    </w:p>
    <w:p w14:paraId="47ACA109" w14:textId="44AABB7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4E7E02F" w14:textId="45834F1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Notable differences:</w:t>
      </w:r>
    </w:p>
    <w:p w14:paraId="597EC77A" w14:textId="6FB77925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CAF7ADF" w14:textId="0EC5A12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Effective Date January 1, 2024.</w:t>
      </w:r>
    </w:p>
    <w:p w14:paraId="4EC536E7" w14:textId="55D3C40A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 entities existing as of January 1, 2024, first report due one year from effective date (so January 1, 2025).</w:t>
      </w:r>
    </w:p>
    <w:p w14:paraId="38148AA0" w14:textId="0716F18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63D3E09" w14:textId="04CAE9B8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For entities formed on or after January 1, 2024, first report due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30 </w:t>
      </w:r>
      <w:r>
        <w:rPr>
          <w:rFonts w:ascii="Times New Roman" w:hAnsi="Times New Roman" w:cs="Times New Roman"/>
          <w:sz w:val="32"/>
          <w:szCs w:val="32"/>
        </w:rPr>
        <w:t xml:space="preserve">days from the date of formation (the Proposed Rule had a </w:t>
      </w:r>
      <w:r w:rsidR="00C66A43">
        <w:rPr>
          <w:rFonts w:ascii="Times New Roman" w:hAnsi="Times New Roman" w:cs="Times New Roman"/>
          <w:b/>
          <w:bCs/>
          <w:sz w:val="32"/>
          <w:szCs w:val="32"/>
        </w:rPr>
        <w:t>14</w:t>
      </w:r>
      <w:r w:rsidR="00C66A43">
        <w:rPr>
          <w:rFonts w:ascii="Times New Roman" w:hAnsi="Times New Roman" w:cs="Times New Roman"/>
          <w:sz w:val="32"/>
          <w:szCs w:val="32"/>
        </w:rPr>
        <w:t>-day</w:t>
      </w:r>
      <w:r>
        <w:rPr>
          <w:rFonts w:ascii="Times New Roman" w:hAnsi="Times New Roman" w:cs="Times New Roman"/>
          <w:sz w:val="32"/>
          <w:szCs w:val="32"/>
        </w:rPr>
        <w:t xml:space="preserve"> requirement – a whole 16 days of relief provided by the Final Rule).</w:t>
      </w:r>
    </w:p>
    <w:p w14:paraId="0059B8A3" w14:textId="0D0D079B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7E9763D" w14:textId="3E1C70C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Due Date for reporting changes remains at 30 days from the date of the change.</w:t>
      </w:r>
    </w:p>
    <w:p w14:paraId="641EA0A9" w14:textId="0606599A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CA81321" w14:textId="7A5EAA2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most significant relief provided by the Final Rule – existing entities (now estimated in the Final Rule to be 32 million) will NOT have to include Company Applicant information – newly formed entities will have to include such in its BOI Report.</w:t>
      </w:r>
    </w:p>
    <w:p w14:paraId="1CB174CE" w14:textId="5EDAC67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9FDD0CE" w14:textId="75432BA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NOTES AND THOUGHTS:</w:t>
      </w:r>
    </w:p>
    <w:p w14:paraId="2CEE8919" w14:textId="560E5F6B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06F75D3" w14:textId="5B2E9383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FinCen to develop the Beneficial Ownership Secure System (BOSS) to handle and secure the filings.</w:t>
      </w:r>
    </w:p>
    <w:p w14:paraId="24DDEB0C" w14:textId="708EF8C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7EA1CAB" w14:textId="7BC706C8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Access to the information is to be limited to authorized law enforcement/government entities BUT remember, someone will be generating these reports and, presumably, maintaining a copy in some </w:t>
      </w:r>
      <w:r>
        <w:rPr>
          <w:rFonts w:ascii="Times New Roman" w:hAnsi="Times New Roman" w:cs="Times New Roman"/>
          <w:sz w:val="32"/>
          <w:szCs w:val="32"/>
        </w:rPr>
        <w:lastRenderedPageBreak/>
        <w:t>form – this now becomes another document subject to discovery, whether by Subpoena or otherwise, in a suit.</w:t>
      </w:r>
    </w:p>
    <w:p w14:paraId="1D5C0F55" w14:textId="6FC50046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73A879CF" w14:textId="5FF0515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notice are you providing to clients?  </w:t>
      </w:r>
      <w:r w:rsidR="00C66A43">
        <w:rPr>
          <w:rFonts w:ascii="Times New Roman" w:hAnsi="Times New Roman" w:cs="Times New Roman"/>
          <w:sz w:val="32"/>
          <w:szCs w:val="32"/>
        </w:rPr>
        <w:t>Jan 1, 2024</w:t>
      </w:r>
      <w:r>
        <w:rPr>
          <w:rFonts w:ascii="Times New Roman" w:hAnsi="Times New Roman" w:cs="Times New Roman"/>
          <w:sz w:val="32"/>
          <w:szCs w:val="32"/>
        </w:rPr>
        <w:t xml:space="preserve"> will get here quickly.</w:t>
      </w:r>
    </w:p>
    <w:p w14:paraId="41F31225" w14:textId="250BEC0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556BD463" w14:textId="4A3E3CF2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What needs to be included in an engagement agreement to address CTA reporting obligations?</w:t>
      </w:r>
    </w:p>
    <w:p w14:paraId="50B4E82E" w14:textId="473C058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4ABE2B4" w14:textId="65729AE9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What provisions need to be in an Operating Agreement or Shareholders Agreement to require members to provide the entity, via its </w:t>
      </w:r>
      <w:r w:rsidR="00C66A43">
        <w:rPr>
          <w:rFonts w:ascii="Times New Roman" w:hAnsi="Times New Roman" w:cs="Times New Roman"/>
          <w:sz w:val="32"/>
          <w:szCs w:val="32"/>
        </w:rPr>
        <w:t>manager</w:t>
      </w:r>
      <w:r>
        <w:rPr>
          <w:rFonts w:ascii="Times New Roman" w:hAnsi="Times New Roman" w:cs="Times New Roman"/>
          <w:sz w:val="32"/>
          <w:szCs w:val="32"/>
        </w:rPr>
        <w:t xml:space="preserve"> or Partnership Representative, BOI sufficient to report?</w:t>
      </w:r>
    </w:p>
    <w:p w14:paraId="399D1F41" w14:textId="57443A75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FinCen increased its estimate of the cost to prepare the BOI Report to $85 (up from $50 in the Proposed Rule).</w:t>
      </w:r>
    </w:p>
    <w:p w14:paraId="6F8385F3" w14:textId="23B6A740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313B1259" w14:textId="4212B07C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Monetary and criminal penalties remain intact</w:t>
      </w:r>
      <w:r w:rsidR="00F10396">
        <w:rPr>
          <w:rFonts w:ascii="Times New Roman" w:hAnsi="Times New Roman" w:cs="Times New Roman"/>
          <w:sz w:val="32"/>
          <w:szCs w:val="32"/>
        </w:rPr>
        <w:t xml:space="preserve"> 500/day up to 10,000 – two years imprisonment.</w:t>
      </w:r>
    </w:p>
    <w:p w14:paraId="79EBA7EE" w14:textId="609653DD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21C2F9D" w14:textId="367D70DB" w:rsidR="00CD0E76" w:rsidRP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concept and analysis of willfulness utilized in the FBAR </w:t>
      </w:r>
      <w:r w:rsidR="00C66A43">
        <w:rPr>
          <w:rFonts w:ascii="Times New Roman" w:hAnsi="Times New Roman" w:cs="Times New Roman"/>
          <w:sz w:val="32"/>
          <w:szCs w:val="32"/>
        </w:rPr>
        <w:t>arena</w:t>
      </w:r>
      <w:r>
        <w:rPr>
          <w:rFonts w:ascii="Times New Roman" w:hAnsi="Times New Roman" w:cs="Times New Roman"/>
          <w:sz w:val="32"/>
          <w:szCs w:val="32"/>
        </w:rPr>
        <w:t xml:space="preserve"> will now be applicable to CTA reporting.</w:t>
      </w:r>
    </w:p>
    <w:p w14:paraId="0B1C0636" w14:textId="4D270681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31683D" w14:textId="7777777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D5EACAB" w14:textId="64130EAF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A274570" w14:textId="77777777" w:rsidR="00CD0E76" w:rsidRP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CEBF4EF" w14:textId="456D684D" w:rsid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CA364" w14:textId="77777777" w:rsidR="00CD0E76" w:rsidRPr="00CD0E76" w:rsidRDefault="00CD0E76" w:rsidP="00CD0E76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975CA99" w14:textId="7777777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49668A06" w14:textId="77777777" w:rsidR="00CD0E76" w:rsidRDefault="00CD0E76" w:rsidP="00CD0E76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795AE3C" w14:textId="744A12BA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58BD6F17" w14:textId="77777777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574A7320" w14:textId="5E2F8125" w:rsid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5F7A3F35" w14:textId="77777777" w:rsidR="00CD0E76" w:rsidRPr="00CD0E76" w:rsidRDefault="00CD0E76" w:rsidP="00CD0E76">
      <w:pPr>
        <w:rPr>
          <w:rFonts w:ascii="Times New Roman" w:hAnsi="Times New Roman" w:cs="Times New Roman"/>
          <w:sz w:val="32"/>
          <w:szCs w:val="32"/>
        </w:rPr>
      </w:pPr>
    </w:p>
    <w:p w14:paraId="29717087" w14:textId="7FF6BE82" w:rsidR="00CD0E76" w:rsidRDefault="00CD0E76" w:rsidP="00CD0E7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7F78EC4" w14:textId="77777777" w:rsidR="00CD0E76" w:rsidRPr="00CD0E76" w:rsidRDefault="00CD0E76" w:rsidP="00CD0E7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53F445E" w14:textId="4ABD1BD2" w:rsidR="00CD0E76" w:rsidRPr="00CD0E76" w:rsidRDefault="00CD0E76" w:rsidP="00CD0E76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CD0E76" w:rsidRPr="00CD0E76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58B64" w14:textId="77777777" w:rsidR="00EB38EA" w:rsidRDefault="00EB38EA" w:rsidP="00B75C42">
      <w:r>
        <w:separator/>
      </w:r>
    </w:p>
  </w:endnote>
  <w:endnote w:type="continuationSeparator" w:id="0">
    <w:p w14:paraId="324D9A86" w14:textId="77777777" w:rsidR="00EB38EA" w:rsidRDefault="00EB38EA" w:rsidP="00B7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2813006"/>
      <w:docPartObj>
        <w:docPartGallery w:val="Page Numbers (Bottom of Page)"/>
        <w:docPartUnique/>
      </w:docPartObj>
    </w:sdtPr>
    <w:sdtContent>
      <w:p w14:paraId="1D993FD8" w14:textId="106F711C" w:rsidR="00B75C42" w:rsidRDefault="00B75C42" w:rsidP="000C23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8EC7F1" w14:textId="77777777" w:rsidR="00B75C42" w:rsidRDefault="00B75C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978494309"/>
      <w:docPartObj>
        <w:docPartGallery w:val="Page Numbers (Bottom of Page)"/>
        <w:docPartUnique/>
      </w:docPartObj>
    </w:sdtPr>
    <w:sdtContent>
      <w:p w14:paraId="01131725" w14:textId="5A0C3906" w:rsidR="00B75C42" w:rsidRDefault="00B75C42" w:rsidP="000C231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76C4EAD" w14:textId="77777777" w:rsidR="00B75C42" w:rsidRDefault="00B75C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4E970" w14:textId="77777777" w:rsidR="00EB38EA" w:rsidRDefault="00EB38EA" w:rsidP="00B75C42">
      <w:r>
        <w:separator/>
      </w:r>
    </w:p>
  </w:footnote>
  <w:footnote w:type="continuationSeparator" w:id="0">
    <w:p w14:paraId="16D41F29" w14:textId="77777777" w:rsidR="00EB38EA" w:rsidRDefault="00EB38EA" w:rsidP="00B7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E76"/>
    <w:rsid w:val="000924B5"/>
    <w:rsid w:val="000F773B"/>
    <w:rsid w:val="00485FBE"/>
    <w:rsid w:val="006D40C9"/>
    <w:rsid w:val="006E2860"/>
    <w:rsid w:val="00B75C42"/>
    <w:rsid w:val="00BD1122"/>
    <w:rsid w:val="00C66A43"/>
    <w:rsid w:val="00CD0E76"/>
    <w:rsid w:val="00EB38EA"/>
    <w:rsid w:val="00F1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B77489"/>
  <w15:chartTrackingRefBased/>
  <w15:docId w15:val="{2C84EC55-E993-754D-83FE-95826E7BD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75C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C42"/>
  </w:style>
  <w:style w:type="character" w:styleId="PageNumber">
    <w:name w:val="page number"/>
    <w:basedOn w:val="DefaultParagraphFont"/>
    <w:uiPriority w:val="99"/>
    <w:semiHidden/>
    <w:unhideWhenUsed/>
    <w:rsid w:val="00B75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969</Words>
  <Characters>5524</Characters>
  <Application>Microsoft Office Word</Application>
  <DocSecurity>0</DocSecurity>
  <Lines>46</Lines>
  <Paragraphs>12</Paragraphs>
  <ScaleCrop>false</ScaleCrop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Fletcher</dc:creator>
  <cp:keywords/>
  <dc:description/>
  <cp:lastModifiedBy>Gary Fletcher</cp:lastModifiedBy>
  <cp:revision>2</cp:revision>
  <cp:lastPrinted>2022-11-11T19:58:00Z</cp:lastPrinted>
  <dcterms:created xsi:type="dcterms:W3CDTF">2022-11-16T22:43:00Z</dcterms:created>
  <dcterms:modified xsi:type="dcterms:W3CDTF">2022-11-16T22:43:00Z</dcterms:modified>
</cp:coreProperties>
</file>