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0014" w14:textId="324B47E1" w:rsidR="00345638" w:rsidRPr="002373C8" w:rsidRDefault="00C31488" w:rsidP="00866398">
      <w:pPr>
        <w:jc w:val="center"/>
        <w:rPr>
          <w:rFonts w:ascii="Arial" w:hAnsi="Arial" w:cs="Arial"/>
          <w:b/>
          <w:sz w:val="26"/>
          <w:szCs w:val="26"/>
        </w:rPr>
      </w:pPr>
      <w:r>
        <w:rPr>
          <w:rFonts w:ascii="Arial" w:hAnsi="Arial" w:cs="Arial"/>
          <w:b/>
          <w:sz w:val="28"/>
          <w:szCs w:val="28"/>
        </w:rPr>
        <w:t xml:space="preserve"> </w:t>
      </w:r>
      <w:r w:rsidR="00990E0F" w:rsidRPr="002373C8">
        <w:rPr>
          <w:rFonts w:ascii="Arial" w:hAnsi="Arial" w:cs="Arial"/>
          <w:b/>
          <w:sz w:val="26"/>
          <w:szCs w:val="26"/>
        </w:rPr>
        <w:t xml:space="preserve">The Optimal Basis Increase </w:t>
      </w:r>
      <w:r w:rsidR="006B1562" w:rsidRPr="002373C8">
        <w:rPr>
          <w:rFonts w:ascii="Arial" w:hAnsi="Arial" w:cs="Arial"/>
          <w:b/>
          <w:sz w:val="26"/>
          <w:szCs w:val="26"/>
        </w:rPr>
        <w:t xml:space="preserve">and </w:t>
      </w:r>
      <w:r w:rsidR="00843A8C" w:rsidRPr="002373C8">
        <w:rPr>
          <w:rFonts w:ascii="Arial" w:hAnsi="Arial" w:cs="Arial"/>
          <w:b/>
          <w:sz w:val="26"/>
          <w:szCs w:val="26"/>
        </w:rPr>
        <w:t xml:space="preserve">Income </w:t>
      </w:r>
      <w:r w:rsidR="006B1562" w:rsidRPr="002373C8">
        <w:rPr>
          <w:rFonts w:ascii="Arial" w:hAnsi="Arial" w:cs="Arial"/>
          <w:b/>
          <w:sz w:val="26"/>
          <w:szCs w:val="26"/>
        </w:rPr>
        <w:t xml:space="preserve">Tax Efficiency </w:t>
      </w:r>
      <w:r w:rsidR="00455F4D" w:rsidRPr="002373C8">
        <w:rPr>
          <w:rFonts w:ascii="Arial" w:hAnsi="Arial" w:cs="Arial"/>
          <w:b/>
          <w:sz w:val="26"/>
          <w:szCs w:val="26"/>
        </w:rPr>
        <w:t>Trust</w:t>
      </w:r>
    </w:p>
    <w:p w14:paraId="0EDCEAA4" w14:textId="77777777" w:rsidR="00FB7705" w:rsidRPr="00842C2A" w:rsidRDefault="00FB7705" w:rsidP="00866398">
      <w:pPr>
        <w:jc w:val="center"/>
        <w:rPr>
          <w:rFonts w:ascii="Arial" w:hAnsi="Arial" w:cs="Arial"/>
          <w:i/>
          <w:sz w:val="16"/>
          <w:szCs w:val="16"/>
        </w:rPr>
      </w:pPr>
    </w:p>
    <w:p w14:paraId="5C05BC7D" w14:textId="37FD6833" w:rsidR="00455113" w:rsidRPr="002373C8" w:rsidRDefault="005A460A" w:rsidP="00866398">
      <w:pPr>
        <w:jc w:val="center"/>
        <w:rPr>
          <w:rFonts w:asciiTheme="minorHAnsi" w:hAnsiTheme="minorHAnsi" w:cs="Arial"/>
          <w:i/>
          <w:sz w:val="22"/>
          <w:szCs w:val="22"/>
        </w:rPr>
      </w:pPr>
      <w:r w:rsidRPr="002373C8">
        <w:rPr>
          <w:rFonts w:asciiTheme="minorHAnsi" w:hAnsiTheme="minorHAnsi" w:cs="Arial"/>
          <w:i/>
          <w:sz w:val="22"/>
          <w:szCs w:val="22"/>
        </w:rPr>
        <w:t xml:space="preserve">Exploiting </w:t>
      </w:r>
      <w:r w:rsidR="00261C27" w:rsidRPr="002373C8">
        <w:rPr>
          <w:rFonts w:asciiTheme="minorHAnsi" w:hAnsiTheme="minorHAnsi" w:cs="Arial"/>
          <w:i/>
          <w:sz w:val="22"/>
          <w:szCs w:val="22"/>
        </w:rPr>
        <w:t xml:space="preserve">Opportunities </w:t>
      </w:r>
      <w:r w:rsidR="003D2A33" w:rsidRPr="002373C8">
        <w:rPr>
          <w:rFonts w:asciiTheme="minorHAnsi" w:hAnsiTheme="minorHAnsi" w:cs="Arial"/>
          <w:i/>
          <w:sz w:val="22"/>
          <w:szCs w:val="22"/>
        </w:rPr>
        <w:t>to Maximize</w:t>
      </w:r>
      <w:r w:rsidR="00261C27" w:rsidRPr="002373C8">
        <w:rPr>
          <w:rFonts w:asciiTheme="minorHAnsi" w:hAnsiTheme="minorHAnsi" w:cs="Arial"/>
          <w:i/>
          <w:sz w:val="22"/>
          <w:szCs w:val="22"/>
        </w:rPr>
        <w:t xml:space="preserve"> Basis, Lessen</w:t>
      </w:r>
      <w:r w:rsidR="009E0E82" w:rsidRPr="002373C8">
        <w:rPr>
          <w:rFonts w:asciiTheme="minorHAnsi" w:hAnsiTheme="minorHAnsi" w:cs="Arial"/>
          <w:i/>
          <w:sz w:val="22"/>
          <w:szCs w:val="22"/>
        </w:rPr>
        <w:t xml:space="preserve"> </w:t>
      </w:r>
      <w:r w:rsidR="00FB7705" w:rsidRPr="002373C8">
        <w:rPr>
          <w:rFonts w:asciiTheme="minorHAnsi" w:hAnsiTheme="minorHAnsi" w:cs="Arial"/>
          <w:i/>
          <w:sz w:val="22"/>
          <w:szCs w:val="22"/>
        </w:rPr>
        <w:t>Income</w:t>
      </w:r>
      <w:r w:rsidR="009E0E82" w:rsidRPr="002373C8">
        <w:rPr>
          <w:rFonts w:asciiTheme="minorHAnsi" w:hAnsiTheme="minorHAnsi" w:cs="Arial"/>
          <w:i/>
          <w:sz w:val="22"/>
          <w:szCs w:val="22"/>
        </w:rPr>
        <w:t xml:space="preserve"> Taxes</w:t>
      </w:r>
      <w:r w:rsidR="00F326A5" w:rsidRPr="002373C8">
        <w:rPr>
          <w:rFonts w:asciiTheme="minorHAnsi" w:hAnsiTheme="minorHAnsi" w:cs="Arial"/>
          <w:i/>
          <w:sz w:val="22"/>
          <w:szCs w:val="22"/>
        </w:rPr>
        <w:t xml:space="preserve"> </w:t>
      </w:r>
      <w:r w:rsidR="009E0E82" w:rsidRPr="002373C8">
        <w:rPr>
          <w:rFonts w:asciiTheme="minorHAnsi" w:hAnsiTheme="minorHAnsi" w:cs="Arial"/>
          <w:i/>
          <w:sz w:val="22"/>
          <w:szCs w:val="22"/>
        </w:rPr>
        <w:t>and Improv</w:t>
      </w:r>
      <w:r w:rsidR="003D2A33" w:rsidRPr="002373C8">
        <w:rPr>
          <w:rFonts w:asciiTheme="minorHAnsi" w:hAnsiTheme="minorHAnsi" w:cs="Arial"/>
          <w:i/>
          <w:sz w:val="22"/>
          <w:szCs w:val="22"/>
        </w:rPr>
        <w:t>e</w:t>
      </w:r>
      <w:r w:rsidR="00261C27" w:rsidRPr="002373C8">
        <w:rPr>
          <w:rFonts w:asciiTheme="minorHAnsi" w:hAnsiTheme="minorHAnsi" w:cs="Arial"/>
          <w:i/>
          <w:sz w:val="22"/>
          <w:szCs w:val="22"/>
        </w:rPr>
        <w:t xml:space="preserve"> Asset Protection for Married Couples after ATRA</w:t>
      </w:r>
      <w:r w:rsidR="004B6158" w:rsidRPr="002373C8">
        <w:rPr>
          <w:rFonts w:asciiTheme="minorHAnsi" w:hAnsiTheme="minorHAnsi" w:cs="Arial"/>
          <w:i/>
          <w:sz w:val="22"/>
          <w:szCs w:val="22"/>
        </w:rPr>
        <w:t xml:space="preserve"> </w:t>
      </w:r>
      <w:r w:rsidR="009C7445" w:rsidRPr="002373C8">
        <w:rPr>
          <w:rFonts w:asciiTheme="minorHAnsi" w:hAnsiTheme="minorHAnsi" w:cs="Arial"/>
          <w:i/>
          <w:sz w:val="22"/>
          <w:szCs w:val="22"/>
        </w:rPr>
        <w:t xml:space="preserve">(or: </w:t>
      </w:r>
      <w:r w:rsidR="00C5330C" w:rsidRPr="002373C8">
        <w:rPr>
          <w:rFonts w:asciiTheme="minorHAnsi" w:hAnsiTheme="minorHAnsi" w:cs="Arial"/>
          <w:i/>
          <w:sz w:val="22"/>
          <w:szCs w:val="22"/>
        </w:rPr>
        <w:t>w</w:t>
      </w:r>
      <w:r w:rsidR="009E0E82" w:rsidRPr="002373C8">
        <w:rPr>
          <w:rFonts w:asciiTheme="minorHAnsi" w:hAnsiTheme="minorHAnsi" w:cs="Arial"/>
          <w:i/>
          <w:sz w:val="22"/>
          <w:szCs w:val="22"/>
        </w:rPr>
        <w:t>hy you’ll</w:t>
      </w:r>
      <w:r w:rsidR="009C7445" w:rsidRPr="002373C8">
        <w:rPr>
          <w:rFonts w:asciiTheme="minorHAnsi" w:hAnsiTheme="minorHAnsi" w:cs="Arial"/>
          <w:i/>
          <w:sz w:val="22"/>
          <w:szCs w:val="22"/>
        </w:rPr>
        <w:t xml:space="preserve"> learn to love the Delaware Tax Trap</w:t>
      </w:r>
      <w:r w:rsidR="00360A46">
        <w:rPr>
          <w:rFonts w:asciiTheme="minorHAnsi" w:hAnsiTheme="minorHAnsi" w:cs="Arial"/>
          <w:i/>
          <w:sz w:val="22"/>
          <w:szCs w:val="22"/>
        </w:rPr>
        <w:t>)</w:t>
      </w:r>
      <w:r w:rsidR="00DF6DFF" w:rsidRPr="002373C8">
        <w:rPr>
          <w:rFonts w:asciiTheme="minorHAnsi" w:hAnsiTheme="minorHAnsi" w:cs="Arial"/>
          <w:b/>
          <w:i/>
          <w:sz w:val="22"/>
          <w:szCs w:val="22"/>
          <w:vertAlign w:val="superscript"/>
        </w:rPr>
        <w:footnoteReference w:id="2"/>
      </w:r>
    </w:p>
    <w:p w14:paraId="6813EF1B" w14:textId="77777777" w:rsidR="00491FB5" w:rsidRPr="00842C2A" w:rsidRDefault="00491FB5" w:rsidP="004A6091">
      <w:pPr>
        <w:spacing w:line="200" w:lineRule="exact"/>
        <w:rPr>
          <w:rFonts w:asciiTheme="minorHAnsi" w:hAnsiTheme="minorHAnsi"/>
          <w:color w:val="1F497D"/>
          <w:sz w:val="18"/>
          <w:szCs w:val="22"/>
        </w:rPr>
      </w:pPr>
    </w:p>
    <w:p w14:paraId="5FC8D006" w14:textId="77777777" w:rsidR="00BC510D" w:rsidRPr="003761BD" w:rsidRDefault="006C4BAD" w:rsidP="004A6091">
      <w:pPr>
        <w:spacing w:line="200" w:lineRule="exact"/>
        <w:jc w:val="center"/>
        <w:rPr>
          <w:rFonts w:asciiTheme="minorHAnsi" w:hAnsiTheme="minorHAnsi" w:cs="Arial"/>
          <w:i/>
          <w:sz w:val="20"/>
          <w:szCs w:val="20"/>
        </w:rPr>
      </w:pPr>
      <w:r w:rsidRPr="003761BD">
        <w:rPr>
          <w:rFonts w:asciiTheme="minorHAnsi" w:hAnsiTheme="minorHAnsi" w:cs="Arial"/>
          <w:i/>
          <w:sz w:val="20"/>
          <w:szCs w:val="20"/>
        </w:rPr>
        <w:t xml:space="preserve">By </w:t>
      </w:r>
      <w:r w:rsidR="00BC510D" w:rsidRPr="003761BD">
        <w:rPr>
          <w:rFonts w:asciiTheme="minorHAnsi" w:hAnsiTheme="minorHAnsi" w:cs="Arial"/>
          <w:i/>
          <w:sz w:val="20"/>
          <w:szCs w:val="20"/>
        </w:rPr>
        <w:t>Edwin P. Morrow III, J.D., LL.M.</w:t>
      </w:r>
      <w:r w:rsidR="005A460A" w:rsidRPr="003761BD">
        <w:rPr>
          <w:rFonts w:asciiTheme="minorHAnsi" w:hAnsiTheme="minorHAnsi" w:cs="Arial"/>
          <w:i/>
          <w:sz w:val="20"/>
          <w:szCs w:val="20"/>
        </w:rPr>
        <w:t xml:space="preserve"> (tax)</w:t>
      </w:r>
    </w:p>
    <w:p w14:paraId="35E161A1" w14:textId="77777777" w:rsidR="00491FB5" w:rsidRPr="00842C2A" w:rsidRDefault="00491FB5" w:rsidP="005D483A">
      <w:pPr>
        <w:spacing w:line="200" w:lineRule="exact"/>
        <w:jc w:val="both"/>
        <w:rPr>
          <w:rFonts w:ascii="Arial" w:hAnsi="Arial" w:cs="Arial"/>
          <w:sz w:val="18"/>
        </w:rPr>
      </w:pPr>
    </w:p>
    <w:p w14:paraId="226B2319" w14:textId="77777777" w:rsidR="00491FB5" w:rsidRDefault="00491FB5" w:rsidP="00DB5800">
      <w:pPr>
        <w:numPr>
          <w:ilvl w:val="0"/>
          <w:numId w:val="3"/>
        </w:numPr>
        <w:tabs>
          <w:tab w:val="clear" w:pos="1080"/>
          <w:tab w:val="num" w:pos="720"/>
          <w:tab w:val="left" w:pos="1260"/>
        </w:tabs>
        <w:spacing w:line="280" w:lineRule="exact"/>
        <w:ind w:hanging="1080"/>
        <w:jc w:val="both"/>
        <w:rPr>
          <w:rFonts w:ascii="Arial" w:hAnsi="Arial" w:cs="Arial"/>
        </w:rPr>
      </w:pPr>
      <w:r>
        <w:rPr>
          <w:rFonts w:ascii="Arial" w:hAnsi="Arial" w:cs="Arial"/>
        </w:rPr>
        <w:t xml:space="preserve">Problems with </w:t>
      </w:r>
      <w:r w:rsidR="005A460A">
        <w:rPr>
          <w:rFonts w:ascii="Arial" w:hAnsi="Arial" w:cs="Arial"/>
        </w:rPr>
        <w:t xml:space="preserve">Traditional </w:t>
      </w:r>
      <w:r>
        <w:rPr>
          <w:rFonts w:ascii="Arial" w:hAnsi="Arial" w:cs="Arial"/>
        </w:rPr>
        <w:t xml:space="preserve">AB </w:t>
      </w:r>
      <w:r w:rsidR="00FB7705">
        <w:rPr>
          <w:rFonts w:ascii="Arial" w:hAnsi="Arial" w:cs="Arial"/>
        </w:rPr>
        <w:t>T</w:t>
      </w:r>
      <w:r>
        <w:rPr>
          <w:rFonts w:ascii="Arial" w:hAnsi="Arial" w:cs="Arial"/>
        </w:rPr>
        <w:t xml:space="preserve">rust Design </w:t>
      </w:r>
      <w:r w:rsidR="00FB7705">
        <w:rPr>
          <w:rFonts w:ascii="Arial" w:hAnsi="Arial" w:cs="Arial"/>
        </w:rPr>
        <w:t>&amp; the L</w:t>
      </w:r>
      <w:r>
        <w:rPr>
          <w:rFonts w:ascii="Arial" w:hAnsi="Arial" w:cs="Arial"/>
        </w:rPr>
        <w:t xml:space="preserve">ure of </w:t>
      </w:r>
      <w:r w:rsidR="00FB7705">
        <w:rPr>
          <w:rFonts w:ascii="Arial" w:hAnsi="Arial" w:cs="Arial"/>
        </w:rPr>
        <w:t>P</w:t>
      </w:r>
      <w:r>
        <w:rPr>
          <w:rFonts w:ascii="Arial" w:hAnsi="Arial" w:cs="Arial"/>
        </w:rPr>
        <w:t>ortability</w:t>
      </w:r>
      <w:r w:rsidR="009E6332">
        <w:rPr>
          <w:rFonts w:ascii="Arial" w:hAnsi="Arial" w:cs="Arial"/>
        </w:rPr>
        <w:t>…………</w:t>
      </w:r>
      <w:r w:rsidR="00A91FFA">
        <w:rPr>
          <w:rFonts w:ascii="Arial" w:hAnsi="Arial" w:cs="Arial"/>
        </w:rPr>
        <w:t>.</w:t>
      </w:r>
      <w:r w:rsidR="00426F10">
        <w:rPr>
          <w:rFonts w:ascii="Arial" w:hAnsi="Arial" w:cs="Arial"/>
        </w:rPr>
        <w:t>.</w:t>
      </w:r>
      <w:r w:rsidR="00A91FFA">
        <w:rPr>
          <w:rFonts w:ascii="Arial" w:hAnsi="Arial" w:cs="Arial"/>
        </w:rPr>
        <w:t>.</w:t>
      </w:r>
      <w:r w:rsidR="005D483A">
        <w:rPr>
          <w:rFonts w:ascii="Arial" w:hAnsi="Arial" w:cs="Arial"/>
        </w:rPr>
        <w:t>.</w:t>
      </w:r>
      <w:r w:rsidR="00D20EF3">
        <w:rPr>
          <w:rFonts w:ascii="Arial" w:hAnsi="Arial" w:cs="Arial"/>
        </w:rPr>
        <w:t>1</w:t>
      </w:r>
    </w:p>
    <w:p w14:paraId="032E461C" w14:textId="77777777" w:rsidR="009E6332" w:rsidRPr="004C57A6" w:rsidRDefault="009E6332" w:rsidP="00DB5800">
      <w:pPr>
        <w:pStyle w:val="ListParagraph"/>
        <w:numPr>
          <w:ilvl w:val="1"/>
          <w:numId w:val="3"/>
        </w:numPr>
        <w:tabs>
          <w:tab w:val="left" w:pos="1260"/>
        </w:tabs>
        <w:spacing w:line="280" w:lineRule="exact"/>
        <w:ind w:hanging="1080"/>
        <w:jc w:val="both"/>
        <w:rPr>
          <w:rFonts w:ascii="Arial" w:hAnsi="Arial" w:cs="Arial"/>
          <w:sz w:val="22"/>
          <w:szCs w:val="22"/>
        </w:rPr>
      </w:pPr>
      <w:r w:rsidRPr="004C57A6">
        <w:rPr>
          <w:rFonts w:ascii="Arial" w:hAnsi="Arial" w:cs="Arial"/>
          <w:sz w:val="22"/>
          <w:szCs w:val="22"/>
        </w:rPr>
        <w:t>Responding to the portability threat – and opportunity</w:t>
      </w:r>
      <w:r w:rsidR="004C57A6">
        <w:rPr>
          <w:rFonts w:ascii="Arial" w:hAnsi="Arial" w:cs="Arial"/>
          <w:sz w:val="22"/>
          <w:szCs w:val="22"/>
        </w:rPr>
        <w:t>………</w:t>
      </w:r>
      <w:r w:rsidRPr="004C57A6">
        <w:rPr>
          <w:rFonts w:ascii="Arial" w:hAnsi="Arial" w:cs="Arial"/>
          <w:sz w:val="22"/>
          <w:szCs w:val="22"/>
        </w:rPr>
        <w:t>…………..</w:t>
      </w:r>
      <w:r w:rsidR="0098793A" w:rsidRPr="004C57A6">
        <w:rPr>
          <w:rFonts w:ascii="Arial" w:hAnsi="Arial" w:cs="Arial"/>
          <w:sz w:val="22"/>
          <w:szCs w:val="22"/>
        </w:rPr>
        <w:t>........</w:t>
      </w:r>
      <w:r w:rsidR="00A16DB9">
        <w:rPr>
          <w:rFonts w:ascii="Arial" w:hAnsi="Arial" w:cs="Arial"/>
          <w:sz w:val="22"/>
          <w:szCs w:val="22"/>
        </w:rPr>
        <w:t>.</w:t>
      </w:r>
      <w:r w:rsidRPr="004C57A6">
        <w:rPr>
          <w:rFonts w:ascii="Arial" w:hAnsi="Arial" w:cs="Arial"/>
          <w:sz w:val="22"/>
          <w:szCs w:val="22"/>
        </w:rPr>
        <w:t>.</w:t>
      </w:r>
      <w:r w:rsidR="005D483A">
        <w:rPr>
          <w:rFonts w:ascii="Arial" w:hAnsi="Arial" w:cs="Arial"/>
          <w:sz w:val="22"/>
          <w:szCs w:val="22"/>
        </w:rPr>
        <w:t>.</w:t>
      </w:r>
      <w:r w:rsidR="00A16DB9">
        <w:rPr>
          <w:rFonts w:ascii="Arial" w:hAnsi="Arial" w:cs="Arial"/>
          <w:sz w:val="22"/>
          <w:szCs w:val="22"/>
        </w:rPr>
        <w:t>.</w:t>
      </w:r>
      <w:r w:rsidR="00082990" w:rsidRPr="004C57A6">
        <w:rPr>
          <w:rFonts w:ascii="Arial" w:hAnsi="Arial" w:cs="Arial"/>
          <w:sz w:val="22"/>
          <w:szCs w:val="22"/>
        </w:rPr>
        <w:t>.</w:t>
      </w:r>
      <w:r w:rsidR="005D483A">
        <w:rPr>
          <w:rFonts w:ascii="Arial" w:hAnsi="Arial" w:cs="Arial"/>
          <w:sz w:val="22"/>
          <w:szCs w:val="22"/>
        </w:rPr>
        <w:t>.</w:t>
      </w:r>
      <w:r w:rsidR="00082990" w:rsidRPr="004C57A6">
        <w:rPr>
          <w:rFonts w:ascii="Arial" w:hAnsi="Arial" w:cs="Arial"/>
          <w:sz w:val="22"/>
          <w:szCs w:val="22"/>
        </w:rPr>
        <w:t xml:space="preserve"> </w:t>
      </w:r>
      <w:r w:rsidRPr="004C57A6">
        <w:rPr>
          <w:rFonts w:ascii="Arial" w:hAnsi="Arial" w:cs="Arial"/>
          <w:sz w:val="22"/>
          <w:szCs w:val="22"/>
        </w:rPr>
        <w:t>2</w:t>
      </w:r>
    </w:p>
    <w:p w14:paraId="2144535A" w14:textId="77777777" w:rsidR="009E6332" w:rsidRPr="004C57A6" w:rsidRDefault="009E6332" w:rsidP="00DB5800">
      <w:pPr>
        <w:pStyle w:val="ListParagraph"/>
        <w:numPr>
          <w:ilvl w:val="1"/>
          <w:numId w:val="3"/>
        </w:numPr>
        <w:tabs>
          <w:tab w:val="left" w:pos="1260"/>
        </w:tabs>
        <w:spacing w:line="280" w:lineRule="exact"/>
        <w:ind w:hanging="1080"/>
        <w:jc w:val="both"/>
        <w:rPr>
          <w:rFonts w:ascii="Arial" w:hAnsi="Arial" w:cs="Arial"/>
          <w:sz w:val="22"/>
          <w:szCs w:val="22"/>
        </w:rPr>
      </w:pPr>
      <w:r w:rsidRPr="004C57A6">
        <w:rPr>
          <w:rFonts w:ascii="Arial" w:hAnsi="Arial" w:cs="Arial"/>
          <w:sz w:val="22"/>
          <w:szCs w:val="22"/>
        </w:rPr>
        <w:t>What’s “wrong” with the traditional AB trust post-ATRA</w:t>
      </w:r>
      <w:r w:rsidR="004C57A6">
        <w:rPr>
          <w:rFonts w:ascii="Arial" w:hAnsi="Arial" w:cs="Arial"/>
          <w:sz w:val="22"/>
          <w:szCs w:val="22"/>
        </w:rPr>
        <w:t>………</w:t>
      </w:r>
      <w:r w:rsidRPr="004C57A6">
        <w:rPr>
          <w:rFonts w:ascii="Arial" w:hAnsi="Arial" w:cs="Arial"/>
          <w:sz w:val="22"/>
          <w:szCs w:val="22"/>
        </w:rPr>
        <w:t>…………</w:t>
      </w:r>
      <w:r w:rsidR="0098793A" w:rsidRPr="004C57A6">
        <w:rPr>
          <w:rFonts w:ascii="Arial" w:hAnsi="Arial" w:cs="Arial"/>
          <w:sz w:val="22"/>
          <w:szCs w:val="22"/>
        </w:rPr>
        <w:t>……</w:t>
      </w:r>
      <w:r w:rsidR="00A16DB9">
        <w:rPr>
          <w:rFonts w:ascii="Arial" w:hAnsi="Arial" w:cs="Arial"/>
          <w:sz w:val="22"/>
          <w:szCs w:val="22"/>
        </w:rPr>
        <w:t>…</w:t>
      </w:r>
      <w:r w:rsidR="005D483A">
        <w:rPr>
          <w:rFonts w:ascii="Arial" w:hAnsi="Arial" w:cs="Arial"/>
          <w:sz w:val="22"/>
          <w:szCs w:val="22"/>
        </w:rPr>
        <w:t>.</w:t>
      </w:r>
      <w:r w:rsidR="00082990" w:rsidRPr="004C57A6">
        <w:rPr>
          <w:rFonts w:ascii="Arial" w:hAnsi="Arial" w:cs="Arial"/>
          <w:sz w:val="22"/>
          <w:szCs w:val="22"/>
        </w:rPr>
        <w:t xml:space="preserve">.. </w:t>
      </w:r>
      <w:r w:rsidRPr="004C57A6">
        <w:rPr>
          <w:rFonts w:ascii="Arial" w:hAnsi="Arial" w:cs="Arial"/>
          <w:sz w:val="22"/>
          <w:szCs w:val="22"/>
        </w:rPr>
        <w:t>3</w:t>
      </w:r>
    </w:p>
    <w:p w14:paraId="553E597F" w14:textId="77777777" w:rsidR="009E6332" w:rsidRPr="004C57A6" w:rsidRDefault="009E6332" w:rsidP="00DB5800">
      <w:pPr>
        <w:pStyle w:val="ListParagraph"/>
        <w:numPr>
          <w:ilvl w:val="1"/>
          <w:numId w:val="3"/>
        </w:numPr>
        <w:tabs>
          <w:tab w:val="left" w:pos="1260"/>
        </w:tabs>
        <w:spacing w:line="280" w:lineRule="exact"/>
        <w:ind w:hanging="1080"/>
        <w:jc w:val="both"/>
        <w:rPr>
          <w:rFonts w:ascii="Arial" w:hAnsi="Arial" w:cs="Arial"/>
          <w:sz w:val="22"/>
          <w:szCs w:val="22"/>
        </w:rPr>
      </w:pPr>
      <w:r w:rsidRPr="004C57A6">
        <w:rPr>
          <w:rFonts w:ascii="Arial" w:hAnsi="Arial" w:cs="Arial"/>
          <w:sz w:val="22"/>
          <w:szCs w:val="22"/>
        </w:rPr>
        <w:t>Thirteen reasons not to “skip the trust</w:t>
      </w:r>
      <w:r w:rsidR="0098793A" w:rsidRPr="004C57A6">
        <w:rPr>
          <w:rFonts w:ascii="Arial" w:hAnsi="Arial" w:cs="Arial"/>
          <w:sz w:val="22"/>
          <w:szCs w:val="22"/>
        </w:rPr>
        <w:t>”</w:t>
      </w:r>
      <w:r w:rsidR="004C57A6">
        <w:rPr>
          <w:rFonts w:ascii="Arial" w:hAnsi="Arial" w:cs="Arial"/>
          <w:sz w:val="22"/>
          <w:szCs w:val="22"/>
        </w:rPr>
        <w:t>………</w:t>
      </w:r>
      <w:r w:rsidR="0098793A" w:rsidRPr="004C57A6">
        <w:rPr>
          <w:rFonts w:ascii="Arial" w:hAnsi="Arial" w:cs="Arial"/>
          <w:sz w:val="22"/>
          <w:szCs w:val="22"/>
        </w:rPr>
        <w:t>………</w:t>
      </w:r>
      <w:r w:rsidRPr="004C57A6">
        <w:rPr>
          <w:rFonts w:ascii="Arial" w:hAnsi="Arial" w:cs="Arial"/>
          <w:sz w:val="22"/>
          <w:szCs w:val="22"/>
        </w:rPr>
        <w:t>…………………………</w:t>
      </w:r>
      <w:r w:rsidR="00A16DB9">
        <w:rPr>
          <w:rFonts w:ascii="Arial" w:hAnsi="Arial" w:cs="Arial"/>
          <w:sz w:val="22"/>
          <w:szCs w:val="22"/>
        </w:rPr>
        <w:t>…</w:t>
      </w:r>
      <w:r w:rsidRPr="004C57A6">
        <w:rPr>
          <w:rFonts w:ascii="Arial" w:hAnsi="Arial" w:cs="Arial"/>
          <w:sz w:val="22"/>
          <w:szCs w:val="22"/>
        </w:rPr>
        <w:t>…</w:t>
      </w:r>
      <w:r w:rsidR="00A16DB9">
        <w:rPr>
          <w:rFonts w:ascii="Arial" w:hAnsi="Arial" w:cs="Arial"/>
          <w:sz w:val="22"/>
          <w:szCs w:val="22"/>
        </w:rPr>
        <w:t xml:space="preserve"> </w:t>
      </w:r>
      <w:r w:rsidRPr="004C57A6">
        <w:rPr>
          <w:rFonts w:ascii="Arial" w:hAnsi="Arial" w:cs="Arial"/>
          <w:sz w:val="22"/>
          <w:szCs w:val="22"/>
        </w:rPr>
        <w:t>4</w:t>
      </w:r>
    </w:p>
    <w:p w14:paraId="53FC37A6" w14:textId="77777777" w:rsidR="00491FB5" w:rsidRDefault="007C5010" w:rsidP="00DB5800">
      <w:pPr>
        <w:numPr>
          <w:ilvl w:val="0"/>
          <w:numId w:val="3"/>
        </w:numPr>
        <w:tabs>
          <w:tab w:val="clear" w:pos="1080"/>
          <w:tab w:val="num" w:pos="720"/>
          <w:tab w:val="left" w:pos="1260"/>
        </w:tabs>
        <w:spacing w:line="280" w:lineRule="exact"/>
        <w:ind w:hanging="1080"/>
        <w:jc w:val="both"/>
        <w:rPr>
          <w:rFonts w:ascii="Arial" w:hAnsi="Arial" w:cs="Arial"/>
        </w:rPr>
      </w:pPr>
      <w:r>
        <w:rPr>
          <w:rFonts w:ascii="Arial" w:hAnsi="Arial" w:cs="Arial"/>
        </w:rPr>
        <w:t xml:space="preserve">Using </w:t>
      </w:r>
      <w:r w:rsidR="00491FB5">
        <w:rPr>
          <w:rFonts w:ascii="Arial" w:hAnsi="Arial" w:cs="Arial"/>
        </w:rPr>
        <w:t>Marital Trusts – not as simple a solution as you think</w:t>
      </w:r>
      <w:r w:rsidR="00082990">
        <w:rPr>
          <w:rFonts w:ascii="Arial" w:hAnsi="Arial" w:cs="Arial"/>
        </w:rPr>
        <w:t>…………</w:t>
      </w:r>
      <w:r w:rsidR="00217DE1">
        <w:rPr>
          <w:rFonts w:ascii="Arial" w:hAnsi="Arial" w:cs="Arial"/>
        </w:rPr>
        <w:t>...</w:t>
      </w:r>
      <w:r w:rsidR="00082990">
        <w:rPr>
          <w:rFonts w:ascii="Arial" w:hAnsi="Arial" w:cs="Arial"/>
        </w:rPr>
        <w:t>………</w:t>
      </w:r>
      <w:r w:rsidR="00426F10">
        <w:rPr>
          <w:rFonts w:ascii="Arial" w:hAnsi="Arial" w:cs="Arial"/>
        </w:rPr>
        <w:t>.</w:t>
      </w:r>
      <w:r w:rsidR="00F43398">
        <w:rPr>
          <w:rFonts w:ascii="Arial" w:hAnsi="Arial" w:cs="Arial"/>
        </w:rPr>
        <w:t>10</w:t>
      </w:r>
    </w:p>
    <w:p w14:paraId="0DEFC555" w14:textId="77777777" w:rsidR="00491FB5" w:rsidRPr="00506316" w:rsidRDefault="00491FB5" w:rsidP="00DB5800">
      <w:pPr>
        <w:numPr>
          <w:ilvl w:val="1"/>
          <w:numId w:val="3"/>
        </w:numPr>
        <w:tabs>
          <w:tab w:val="num" w:pos="720"/>
          <w:tab w:val="left" w:pos="1260"/>
        </w:tabs>
        <w:spacing w:line="280" w:lineRule="exact"/>
        <w:ind w:left="720" w:firstLine="0"/>
        <w:jc w:val="both"/>
        <w:rPr>
          <w:rFonts w:ascii="Arial" w:hAnsi="Arial" w:cs="Arial"/>
          <w:sz w:val="22"/>
          <w:szCs w:val="22"/>
        </w:rPr>
      </w:pPr>
      <w:r w:rsidRPr="00506316">
        <w:rPr>
          <w:rFonts w:ascii="Arial" w:hAnsi="Arial" w:cs="Arial"/>
          <w:sz w:val="22"/>
          <w:szCs w:val="22"/>
        </w:rPr>
        <w:t xml:space="preserve">Clayton QTIP </w:t>
      </w:r>
      <w:r w:rsidR="00082990">
        <w:rPr>
          <w:rFonts w:ascii="Arial" w:hAnsi="Arial" w:cs="Arial"/>
          <w:sz w:val="22"/>
          <w:szCs w:val="22"/>
        </w:rPr>
        <w:t>v. disclaimer funded trusts……………………………………</w:t>
      </w:r>
      <w:r w:rsidR="00A91FFA">
        <w:rPr>
          <w:rFonts w:ascii="Arial" w:hAnsi="Arial" w:cs="Arial"/>
          <w:sz w:val="22"/>
          <w:szCs w:val="22"/>
        </w:rPr>
        <w:t>.</w:t>
      </w:r>
      <w:r w:rsidR="00082990">
        <w:rPr>
          <w:rFonts w:ascii="Arial" w:hAnsi="Arial" w:cs="Arial"/>
          <w:sz w:val="22"/>
          <w:szCs w:val="22"/>
        </w:rPr>
        <w:t>…</w:t>
      </w:r>
      <w:r w:rsidR="005D483A">
        <w:rPr>
          <w:rFonts w:ascii="Arial" w:hAnsi="Arial" w:cs="Arial"/>
          <w:sz w:val="22"/>
          <w:szCs w:val="22"/>
        </w:rPr>
        <w:t>.</w:t>
      </w:r>
      <w:r w:rsidR="00A16DB9">
        <w:rPr>
          <w:rFonts w:ascii="Arial" w:hAnsi="Arial" w:cs="Arial"/>
          <w:sz w:val="22"/>
          <w:szCs w:val="22"/>
        </w:rPr>
        <w:t>.</w:t>
      </w:r>
      <w:r w:rsidR="00FF4C1A">
        <w:rPr>
          <w:rFonts w:ascii="Arial" w:hAnsi="Arial" w:cs="Arial"/>
          <w:sz w:val="22"/>
          <w:szCs w:val="22"/>
        </w:rPr>
        <w:t xml:space="preserve">… </w:t>
      </w:r>
      <w:r w:rsidR="00C63DF8">
        <w:rPr>
          <w:rFonts w:ascii="Arial" w:hAnsi="Arial" w:cs="Arial"/>
          <w:sz w:val="22"/>
          <w:szCs w:val="22"/>
        </w:rPr>
        <w:t>10</w:t>
      </w:r>
      <w:r w:rsidR="00FF4C1A">
        <w:rPr>
          <w:rFonts w:ascii="Arial" w:hAnsi="Arial" w:cs="Arial"/>
          <w:sz w:val="22"/>
          <w:szCs w:val="22"/>
        </w:rPr>
        <w:t xml:space="preserve"> </w:t>
      </w:r>
    </w:p>
    <w:p w14:paraId="4272022E" w14:textId="77777777" w:rsidR="00D40BC1" w:rsidRDefault="00FF4C1A" w:rsidP="00DB5800">
      <w:pPr>
        <w:numPr>
          <w:ilvl w:val="1"/>
          <w:numId w:val="3"/>
        </w:numPr>
        <w:tabs>
          <w:tab w:val="num" w:pos="720"/>
          <w:tab w:val="left" w:pos="1260"/>
        </w:tabs>
        <w:spacing w:line="280" w:lineRule="exact"/>
        <w:ind w:left="720" w:firstLine="0"/>
        <w:jc w:val="both"/>
        <w:rPr>
          <w:rFonts w:ascii="Arial" w:hAnsi="Arial" w:cs="Arial"/>
          <w:sz w:val="22"/>
          <w:szCs w:val="22"/>
        </w:rPr>
      </w:pPr>
      <w:r>
        <w:rPr>
          <w:rFonts w:ascii="Arial" w:hAnsi="Arial" w:cs="Arial"/>
          <w:sz w:val="22"/>
          <w:szCs w:val="22"/>
        </w:rPr>
        <w:t>Variations of marital trusts - GPOA marital v.</w:t>
      </w:r>
      <w:r w:rsidR="00491FB5" w:rsidRPr="00506316">
        <w:rPr>
          <w:rFonts w:ascii="Arial" w:hAnsi="Arial" w:cs="Arial"/>
          <w:sz w:val="22"/>
          <w:szCs w:val="22"/>
        </w:rPr>
        <w:t xml:space="preserve"> QTIP</w:t>
      </w:r>
      <w:r>
        <w:rPr>
          <w:rFonts w:ascii="Arial" w:hAnsi="Arial" w:cs="Arial"/>
          <w:sz w:val="22"/>
          <w:szCs w:val="22"/>
        </w:rPr>
        <w:t xml:space="preserve"> mar</w:t>
      </w:r>
      <w:r w:rsidR="007C5010">
        <w:rPr>
          <w:rFonts w:ascii="Arial" w:hAnsi="Arial" w:cs="Arial"/>
          <w:sz w:val="22"/>
          <w:szCs w:val="22"/>
        </w:rPr>
        <w:t>ital</w:t>
      </w:r>
      <w:r w:rsidR="00D40BC1">
        <w:rPr>
          <w:rFonts w:ascii="Arial" w:hAnsi="Arial" w:cs="Arial"/>
          <w:sz w:val="22"/>
          <w:szCs w:val="22"/>
        </w:rPr>
        <w:t>…………………</w:t>
      </w:r>
      <w:r w:rsidR="005D483A">
        <w:rPr>
          <w:rFonts w:ascii="Arial" w:hAnsi="Arial" w:cs="Arial"/>
          <w:sz w:val="22"/>
          <w:szCs w:val="22"/>
        </w:rPr>
        <w:t>.</w:t>
      </w:r>
      <w:r w:rsidR="00A91FFA">
        <w:rPr>
          <w:rFonts w:ascii="Arial" w:hAnsi="Arial" w:cs="Arial"/>
          <w:sz w:val="22"/>
          <w:szCs w:val="22"/>
        </w:rPr>
        <w:t>.</w:t>
      </w:r>
      <w:r w:rsidR="005D483A">
        <w:rPr>
          <w:rFonts w:ascii="Arial" w:hAnsi="Arial" w:cs="Arial"/>
          <w:sz w:val="22"/>
          <w:szCs w:val="22"/>
        </w:rPr>
        <w:t>.</w:t>
      </w:r>
      <w:r w:rsidR="00134B07">
        <w:rPr>
          <w:rFonts w:ascii="Arial" w:hAnsi="Arial" w:cs="Arial"/>
          <w:sz w:val="22"/>
          <w:szCs w:val="22"/>
        </w:rPr>
        <w:t>.</w:t>
      </w:r>
      <w:r w:rsidR="00A16DB9">
        <w:rPr>
          <w:rFonts w:ascii="Arial" w:hAnsi="Arial" w:cs="Arial"/>
          <w:sz w:val="22"/>
          <w:szCs w:val="22"/>
        </w:rPr>
        <w:t>.</w:t>
      </w:r>
      <w:r w:rsidR="00F43398">
        <w:rPr>
          <w:rFonts w:ascii="Arial" w:hAnsi="Arial" w:cs="Arial"/>
          <w:sz w:val="22"/>
          <w:szCs w:val="22"/>
        </w:rPr>
        <w:t>...12</w:t>
      </w:r>
      <w:r w:rsidR="003038B0">
        <w:rPr>
          <w:rFonts w:ascii="Arial" w:hAnsi="Arial" w:cs="Arial"/>
          <w:sz w:val="22"/>
          <w:szCs w:val="22"/>
        </w:rPr>
        <w:t xml:space="preserve"> </w:t>
      </w:r>
    </w:p>
    <w:p w14:paraId="2ACA704F" w14:textId="77777777" w:rsidR="00491FB5" w:rsidRDefault="00FE0068" w:rsidP="00FE0068">
      <w:pPr>
        <w:numPr>
          <w:ilvl w:val="1"/>
          <w:numId w:val="3"/>
        </w:numPr>
        <w:tabs>
          <w:tab w:val="left" w:pos="1260"/>
        </w:tabs>
        <w:spacing w:line="280" w:lineRule="exact"/>
        <w:ind w:hanging="1080"/>
        <w:jc w:val="both"/>
        <w:rPr>
          <w:rFonts w:ascii="Arial" w:hAnsi="Arial" w:cs="Arial"/>
          <w:sz w:val="22"/>
          <w:szCs w:val="22"/>
        </w:rPr>
      </w:pPr>
      <w:r w:rsidRPr="00FE0068">
        <w:rPr>
          <w:rFonts w:ascii="Arial" w:hAnsi="Arial" w:cs="Arial"/>
          <w:sz w:val="22"/>
          <w:szCs w:val="22"/>
        </w:rPr>
        <w:t xml:space="preserve">Rev. Proc. 2001-38 for QTIPs </w:t>
      </w:r>
      <w:r>
        <w:rPr>
          <w:rFonts w:ascii="Arial" w:hAnsi="Arial" w:cs="Arial"/>
          <w:sz w:val="22"/>
          <w:szCs w:val="22"/>
        </w:rPr>
        <w:t>s</w:t>
      </w:r>
      <w:r w:rsidRPr="00FE0068">
        <w:rPr>
          <w:rFonts w:ascii="Arial" w:hAnsi="Arial" w:cs="Arial"/>
          <w:sz w:val="22"/>
          <w:szCs w:val="22"/>
        </w:rPr>
        <w:t>uperseded by Rev. Proc. 2016-49</w:t>
      </w:r>
      <w:r w:rsidR="00D40BC1">
        <w:rPr>
          <w:rFonts w:ascii="Arial" w:hAnsi="Arial" w:cs="Arial"/>
          <w:sz w:val="22"/>
          <w:szCs w:val="22"/>
        </w:rPr>
        <w:t>……</w:t>
      </w:r>
      <w:r w:rsidR="00134B07">
        <w:rPr>
          <w:rFonts w:ascii="Arial" w:hAnsi="Arial" w:cs="Arial"/>
          <w:sz w:val="22"/>
          <w:szCs w:val="22"/>
        </w:rPr>
        <w:t>.</w:t>
      </w:r>
      <w:r w:rsidR="00A16DB9">
        <w:rPr>
          <w:rFonts w:ascii="Arial" w:hAnsi="Arial" w:cs="Arial"/>
          <w:sz w:val="22"/>
          <w:szCs w:val="22"/>
        </w:rPr>
        <w:t>…</w:t>
      </w:r>
      <w:r>
        <w:rPr>
          <w:rFonts w:ascii="Arial" w:hAnsi="Arial" w:cs="Arial"/>
          <w:sz w:val="22"/>
          <w:szCs w:val="22"/>
        </w:rPr>
        <w:t>…….</w:t>
      </w:r>
      <w:r w:rsidR="004C57A6">
        <w:rPr>
          <w:rFonts w:ascii="Arial" w:hAnsi="Arial" w:cs="Arial"/>
          <w:sz w:val="22"/>
          <w:szCs w:val="22"/>
        </w:rPr>
        <w:t>.</w:t>
      </w:r>
      <w:r w:rsidR="00D40BC1">
        <w:rPr>
          <w:rFonts w:ascii="Arial" w:hAnsi="Arial" w:cs="Arial"/>
          <w:sz w:val="22"/>
          <w:szCs w:val="22"/>
        </w:rPr>
        <w:t>1</w:t>
      </w:r>
      <w:r w:rsidR="00D629FE">
        <w:rPr>
          <w:rFonts w:ascii="Arial" w:hAnsi="Arial" w:cs="Arial"/>
          <w:sz w:val="22"/>
          <w:szCs w:val="22"/>
        </w:rPr>
        <w:t>4</w:t>
      </w:r>
    </w:p>
    <w:p w14:paraId="3343591F" w14:textId="77777777" w:rsidR="00462466" w:rsidRDefault="004C57A6" w:rsidP="00DB5800">
      <w:pPr>
        <w:numPr>
          <w:ilvl w:val="1"/>
          <w:numId w:val="3"/>
        </w:numPr>
        <w:tabs>
          <w:tab w:val="left" w:pos="1260"/>
        </w:tabs>
        <w:spacing w:line="280" w:lineRule="exact"/>
        <w:ind w:left="720" w:firstLine="0"/>
        <w:jc w:val="both"/>
        <w:rPr>
          <w:rFonts w:ascii="Arial" w:hAnsi="Arial" w:cs="Arial"/>
          <w:sz w:val="22"/>
          <w:szCs w:val="22"/>
        </w:rPr>
      </w:pPr>
      <w:r>
        <w:rPr>
          <w:rFonts w:ascii="Arial" w:hAnsi="Arial" w:cs="Arial"/>
          <w:sz w:val="22"/>
          <w:szCs w:val="22"/>
        </w:rPr>
        <w:t>The valuation a</w:t>
      </w:r>
      <w:r w:rsidR="00462466" w:rsidRPr="00462466">
        <w:rPr>
          <w:rFonts w:ascii="Arial" w:hAnsi="Arial" w:cs="Arial"/>
          <w:sz w:val="22"/>
          <w:szCs w:val="22"/>
        </w:rPr>
        <w:t xml:space="preserve">dvantage </w:t>
      </w:r>
      <w:r w:rsidR="00462466">
        <w:rPr>
          <w:rFonts w:ascii="Arial" w:hAnsi="Arial" w:cs="Arial"/>
          <w:sz w:val="22"/>
          <w:szCs w:val="22"/>
        </w:rPr>
        <w:t>(</w:t>
      </w:r>
      <w:r w:rsidR="00462466" w:rsidRPr="00462466">
        <w:rPr>
          <w:rFonts w:ascii="Arial" w:hAnsi="Arial" w:cs="Arial"/>
          <w:sz w:val="22"/>
          <w:szCs w:val="22"/>
        </w:rPr>
        <w:t xml:space="preserve">for </w:t>
      </w:r>
      <w:r w:rsidR="005924D4">
        <w:rPr>
          <w:rFonts w:ascii="Arial" w:hAnsi="Arial" w:cs="Arial"/>
          <w:sz w:val="22"/>
          <w:szCs w:val="22"/>
        </w:rPr>
        <w:t>&lt;</w:t>
      </w:r>
      <w:r w:rsidR="00462466" w:rsidRPr="00462466">
        <w:rPr>
          <w:rFonts w:ascii="Arial" w:hAnsi="Arial" w:cs="Arial"/>
          <w:sz w:val="22"/>
          <w:szCs w:val="22"/>
        </w:rPr>
        <w:t>1%</w:t>
      </w:r>
      <w:r w:rsidR="00462466">
        <w:rPr>
          <w:rFonts w:ascii="Arial" w:hAnsi="Arial" w:cs="Arial"/>
          <w:sz w:val="22"/>
          <w:szCs w:val="22"/>
        </w:rPr>
        <w:t>)</w:t>
      </w:r>
      <w:r>
        <w:rPr>
          <w:rFonts w:ascii="Arial" w:hAnsi="Arial" w:cs="Arial"/>
          <w:sz w:val="22"/>
          <w:szCs w:val="22"/>
        </w:rPr>
        <w:t xml:space="preserve">, and </w:t>
      </w:r>
      <w:r w:rsidRPr="004C57A6">
        <w:rPr>
          <w:rFonts w:ascii="Arial" w:hAnsi="Arial" w:cs="Arial"/>
          <w:i/>
          <w:sz w:val="22"/>
          <w:szCs w:val="22"/>
        </w:rPr>
        <w:t>p</w:t>
      </w:r>
      <w:r w:rsidR="00462466" w:rsidRPr="004C57A6">
        <w:rPr>
          <w:rFonts w:ascii="Arial" w:hAnsi="Arial" w:cs="Arial"/>
          <w:i/>
          <w:sz w:val="22"/>
          <w:szCs w:val="22"/>
        </w:rPr>
        <w:t>itfall</w:t>
      </w:r>
      <w:r w:rsidR="00462466" w:rsidRPr="00462466">
        <w:rPr>
          <w:rFonts w:ascii="Arial" w:hAnsi="Arial" w:cs="Arial"/>
          <w:sz w:val="22"/>
          <w:szCs w:val="22"/>
        </w:rPr>
        <w:t xml:space="preserve"> (for </w:t>
      </w:r>
      <w:r w:rsidR="005924D4">
        <w:rPr>
          <w:rFonts w:ascii="Arial" w:hAnsi="Arial" w:cs="Arial"/>
          <w:sz w:val="22"/>
          <w:szCs w:val="22"/>
        </w:rPr>
        <w:t>&gt;</w:t>
      </w:r>
      <w:r w:rsidR="00462466" w:rsidRPr="00462466">
        <w:rPr>
          <w:rFonts w:ascii="Arial" w:hAnsi="Arial" w:cs="Arial"/>
          <w:sz w:val="22"/>
          <w:szCs w:val="22"/>
        </w:rPr>
        <w:t>99%) of QTIPs</w:t>
      </w:r>
      <w:r>
        <w:rPr>
          <w:rFonts w:ascii="Arial" w:hAnsi="Arial" w:cs="Arial"/>
          <w:sz w:val="22"/>
          <w:szCs w:val="22"/>
        </w:rPr>
        <w:t>..</w:t>
      </w:r>
      <w:r w:rsidR="005924D4">
        <w:rPr>
          <w:rFonts w:ascii="Arial" w:hAnsi="Arial" w:cs="Arial"/>
          <w:sz w:val="22"/>
          <w:szCs w:val="22"/>
        </w:rPr>
        <w:t>………</w:t>
      </w:r>
      <w:r w:rsidR="00134B07">
        <w:rPr>
          <w:rFonts w:ascii="Arial" w:hAnsi="Arial" w:cs="Arial"/>
          <w:sz w:val="22"/>
          <w:szCs w:val="22"/>
        </w:rPr>
        <w:t>…</w:t>
      </w:r>
      <w:r w:rsidR="00D629FE">
        <w:rPr>
          <w:rFonts w:ascii="Arial" w:hAnsi="Arial" w:cs="Arial"/>
          <w:sz w:val="22"/>
          <w:szCs w:val="22"/>
        </w:rPr>
        <w:t>...15</w:t>
      </w:r>
    </w:p>
    <w:p w14:paraId="39BECC9C" w14:textId="77777777" w:rsidR="003038B0" w:rsidRDefault="004C57A6" w:rsidP="00DB5800">
      <w:pPr>
        <w:numPr>
          <w:ilvl w:val="1"/>
          <w:numId w:val="3"/>
        </w:numPr>
        <w:tabs>
          <w:tab w:val="left" w:pos="1260"/>
        </w:tabs>
        <w:spacing w:line="280" w:lineRule="exact"/>
        <w:ind w:left="720" w:firstLine="0"/>
        <w:jc w:val="both"/>
        <w:rPr>
          <w:rFonts w:ascii="Arial" w:hAnsi="Arial" w:cs="Arial"/>
          <w:sz w:val="22"/>
          <w:szCs w:val="22"/>
        </w:rPr>
      </w:pPr>
      <w:r>
        <w:rPr>
          <w:rFonts w:ascii="Arial" w:hAnsi="Arial" w:cs="Arial"/>
          <w:sz w:val="22"/>
          <w:szCs w:val="22"/>
        </w:rPr>
        <w:t>How to a</w:t>
      </w:r>
      <w:r w:rsidR="003038B0">
        <w:rPr>
          <w:rFonts w:ascii="Arial" w:hAnsi="Arial" w:cs="Arial"/>
          <w:sz w:val="22"/>
          <w:szCs w:val="22"/>
        </w:rPr>
        <w:t xml:space="preserve">dapt QTIPs for </w:t>
      </w:r>
      <w:r>
        <w:rPr>
          <w:rFonts w:ascii="Arial" w:hAnsi="Arial" w:cs="Arial"/>
          <w:sz w:val="22"/>
          <w:szCs w:val="22"/>
        </w:rPr>
        <w:t>b</w:t>
      </w:r>
      <w:r w:rsidR="003038B0">
        <w:rPr>
          <w:rFonts w:ascii="Arial" w:hAnsi="Arial" w:cs="Arial"/>
          <w:sz w:val="22"/>
          <w:szCs w:val="22"/>
        </w:rPr>
        <w:t>etter “</w:t>
      </w:r>
      <w:r>
        <w:rPr>
          <w:rFonts w:ascii="Arial" w:hAnsi="Arial" w:cs="Arial"/>
          <w:sz w:val="22"/>
          <w:szCs w:val="22"/>
        </w:rPr>
        <w:t>s</w:t>
      </w:r>
      <w:r w:rsidR="003038B0">
        <w:rPr>
          <w:rFonts w:ascii="Arial" w:hAnsi="Arial" w:cs="Arial"/>
          <w:sz w:val="22"/>
          <w:szCs w:val="22"/>
        </w:rPr>
        <w:t xml:space="preserve">tep </w:t>
      </w:r>
      <w:r>
        <w:rPr>
          <w:rFonts w:ascii="Arial" w:hAnsi="Arial" w:cs="Arial"/>
          <w:sz w:val="22"/>
          <w:szCs w:val="22"/>
        </w:rPr>
        <w:t>u</w:t>
      </w:r>
      <w:r w:rsidR="003038B0">
        <w:rPr>
          <w:rFonts w:ascii="Arial" w:hAnsi="Arial" w:cs="Arial"/>
          <w:sz w:val="22"/>
          <w:szCs w:val="22"/>
        </w:rPr>
        <w:t>p”</w:t>
      </w:r>
      <w:r>
        <w:rPr>
          <w:rFonts w:ascii="Arial" w:hAnsi="Arial" w:cs="Arial"/>
          <w:sz w:val="22"/>
          <w:szCs w:val="22"/>
        </w:rPr>
        <w:t>.</w:t>
      </w:r>
      <w:r w:rsidR="003038B0">
        <w:rPr>
          <w:rFonts w:ascii="Arial" w:hAnsi="Arial" w:cs="Arial"/>
          <w:sz w:val="22"/>
          <w:szCs w:val="22"/>
        </w:rPr>
        <w:t>………………………………………</w:t>
      </w:r>
      <w:r w:rsidR="005D483A">
        <w:rPr>
          <w:rFonts w:ascii="Arial" w:hAnsi="Arial" w:cs="Arial"/>
          <w:sz w:val="22"/>
          <w:szCs w:val="22"/>
        </w:rPr>
        <w:t>..</w:t>
      </w:r>
      <w:r w:rsidR="003038B0">
        <w:rPr>
          <w:rFonts w:ascii="Arial" w:hAnsi="Arial" w:cs="Arial"/>
          <w:sz w:val="22"/>
          <w:szCs w:val="22"/>
        </w:rPr>
        <w:t>.</w:t>
      </w:r>
      <w:r w:rsidR="00134B07">
        <w:rPr>
          <w:rFonts w:ascii="Arial" w:hAnsi="Arial" w:cs="Arial"/>
          <w:sz w:val="22"/>
          <w:szCs w:val="22"/>
        </w:rPr>
        <w:t>.</w:t>
      </w:r>
      <w:r w:rsidR="00A16DB9">
        <w:rPr>
          <w:rFonts w:ascii="Arial" w:hAnsi="Arial" w:cs="Arial"/>
          <w:sz w:val="22"/>
          <w:szCs w:val="22"/>
        </w:rPr>
        <w:t>.</w:t>
      </w:r>
      <w:r w:rsidR="003038B0">
        <w:rPr>
          <w:rFonts w:ascii="Arial" w:hAnsi="Arial" w:cs="Arial"/>
          <w:sz w:val="22"/>
          <w:szCs w:val="22"/>
        </w:rPr>
        <w:t>..</w:t>
      </w:r>
      <w:r w:rsidR="00D629FE">
        <w:rPr>
          <w:rFonts w:ascii="Arial" w:hAnsi="Arial" w:cs="Arial"/>
          <w:sz w:val="22"/>
          <w:szCs w:val="22"/>
        </w:rPr>
        <w:t>16</w:t>
      </w:r>
    </w:p>
    <w:p w14:paraId="67BC480C" w14:textId="77777777" w:rsidR="00253C82" w:rsidRDefault="00253C82" w:rsidP="00DB5800">
      <w:pPr>
        <w:numPr>
          <w:ilvl w:val="1"/>
          <w:numId w:val="3"/>
        </w:numPr>
        <w:tabs>
          <w:tab w:val="left" w:pos="1260"/>
        </w:tabs>
        <w:spacing w:line="280" w:lineRule="exact"/>
        <w:ind w:left="720" w:firstLine="0"/>
        <w:jc w:val="both"/>
        <w:rPr>
          <w:rFonts w:ascii="Arial" w:hAnsi="Arial" w:cs="Arial"/>
          <w:sz w:val="22"/>
          <w:szCs w:val="22"/>
        </w:rPr>
      </w:pPr>
      <w:r w:rsidRPr="00253C82">
        <w:rPr>
          <w:rFonts w:ascii="Arial" w:hAnsi="Arial" w:cs="Arial"/>
          <w:sz w:val="22"/>
          <w:szCs w:val="22"/>
        </w:rPr>
        <w:t xml:space="preserve">Summarizing </w:t>
      </w:r>
      <w:r>
        <w:rPr>
          <w:rFonts w:ascii="Arial" w:hAnsi="Arial" w:cs="Arial"/>
          <w:sz w:val="22"/>
          <w:szCs w:val="22"/>
        </w:rPr>
        <w:t>b</w:t>
      </w:r>
      <w:r w:rsidRPr="00253C82">
        <w:rPr>
          <w:rFonts w:ascii="Arial" w:hAnsi="Arial" w:cs="Arial"/>
          <w:sz w:val="22"/>
          <w:szCs w:val="22"/>
        </w:rPr>
        <w:t xml:space="preserve">enefits and </w:t>
      </w:r>
      <w:r>
        <w:rPr>
          <w:rFonts w:ascii="Arial" w:hAnsi="Arial" w:cs="Arial"/>
          <w:sz w:val="22"/>
          <w:szCs w:val="22"/>
        </w:rPr>
        <w:t>d</w:t>
      </w:r>
      <w:r w:rsidRPr="00253C82">
        <w:rPr>
          <w:rFonts w:ascii="Arial" w:hAnsi="Arial" w:cs="Arial"/>
          <w:sz w:val="22"/>
          <w:szCs w:val="22"/>
        </w:rPr>
        <w:t>rawbacks</w:t>
      </w:r>
      <w:r w:rsidR="00866F46">
        <w:rPr>
          <w:rFonts w:ascii="Arial" w:hAnsi="Arial" w:cs="Arial"/>
          <w:sz w:val="22"/>
          <w:szCs w:val="22"/>
        </w:rPr>
        <w:t xml:space="preserve"> endemic to </w:t>
      </w:r>
      <w:r w:rsidR="00866F46" w:rsidRPr="005924D4">
        <w:rPr>
          <w:rFonts w:ascii="Arial" w:hAnsi="Arial" w:cs="Arial"/>
          <w:i/>
          <w:sz w:val="22"/>
          <w:szCs w:val="22"/>
        </w:rPr>
        <w:t>all</w:t>
      </w:r>
      <w:r w:rsidR="00866F46">
        <w:rPr>
          <w:rFonts w:ascii="Arial" w:hAnsi="Arial" w:cs="Arial"/>
          <w:sz w:val="22"/>
          <w:szCs w:val="22"/>
        </w:rPr>
        <w:t xml:space="preserve"> marital trusts </w:t>
      </w:r>
      <w:r>
        <w:rPr>
          <w:rFonts w:ascii="Arial" w:hAnsi="Arial" w:cs="Arial"/>
          <w:sz w:val="22"/>
          <w:szCs w:val="22"/>
        </w:rPr>
        <w:t>………</w:t>
      </w:r>
      <w:r w:rsidR="00A91FFA">
        <w:rPr>
          <w:rFonts w:ascii="Arial" w:hAnsi="Arial" w:cs="Arial"/>
          <w:sz w:val="22"/>
          <w:szCs w:val="22"/>
        </w:rPr>
        <w:t>..</w:t>
      </w:r>
      <w:r w:rsidR="005D483A">
        <w:rPr>
          <w:rFonts w:ascii="Arial" w:hAnsi="Arial" w:cs="Arial"/>
          <w:sz w:val="22"/>
          <w:szCs w:val="22"/>
        </w:rPr>
        <w:t>.</w:t>
      </w:r>
      <w:r w:rsidR="00426F10">
        <w:rPr>
          <w:rFonts w:ascii="Arial" w:hAnsi="Arial" w:cs="Arial"/>
          <w:sz w:val="22"/>
          <w:szCs w:val="22"/>
        </w:rPr>
        <w:t>.</w:t>
      </w:r>
      <w:r w:rsidR="00134B07">
        <w:rPr>
          <w:rFonts w:ascii="Arial" w:hAnsi="Arial" w:cs="Arial"/>
          <w:sz w:val="22"/>
          <w:szCs w:val="22"/>
        </w:rPr>
        <w:t>.</w:t>
      </w:r>
      <w:r w:rsidR="00A91FFA">
        <w:rPr>
          <w:rFonts w:ascii="Arial" w:hAnsi="Arial" w:cs="Arial"/>
          <w:sz w:val="22"/>
          <w:szCs w:val="22"/>
        </w:rPr>
        <w:t>…</w:t>
      </w:r>
      <w:r w:rsidR="00D629FE">
        <w:rPr>
          <w:rFonts w:ascii="Arial" w:hAnsi="Arial" w:cs="Arial"/>
          <w:sz w:val="22"/>
          <w:szCs w:val="22"/>
        </w:rPr>
        <w:t>17</w:t>
      </w:r>
    </w:p>
    <w:p w14:paraId="3D24EA39" w14:textId="77777777" w:rsidR="00491FB5" w:rsidRDefault="00ED3110" w:rsidP="00DB5800">
      <w:pPr>
        <w:numPr>
          <w:ilvl w:val="1"/>
          <w:numId w:val="3"/>
        </w:numPr>
        <w:tabs>
          <w:tab w:val="num" w:pos="720"/>
          <w:tab w:val="left" w:pos="1260"/>
        </w:tabs>
        <w:spacing w:line="280" w:lineRule="exact"/>
        <w:ind w:left="720" w:firstLine="0"/>
        <w:jc w:val="both"/>
        <w:rPr>
          <w:rFonts w:ascii="Arial" w:hAnsi="Arial" w:cs="Arial"/>
          <w:sz w:val="22"/>
          <w:szCs w:val="22"/>
        </w:rPr>
      </w:pPr>
      <w:r>
        <w:rPr>
          <w:rFonts w:ascii="Arial" w:hAnsi="Arial" w:cs="Arial"/>
          <w:sz w:val="22"/>
          <w:szCs w:val="22"/>
        </w:rPr>
        <w:t>Techniques to a</w:t>
      </w:r>
      <w:r w:rsidR="00491FB5" w:rsidRPr="00506316">
        <w:rPr>
          <w:rFonts w:ascii="Arial" w:hAnsi="Arial" w:cs="Arial"/>
          <w:sz w:val="22"/>
          <w:szCs w:val="22"/>
        </w:rPr>
        <w:t xml:space="preserve">dapt </w:t>
      </w:r>
      <w:r>
        <w:rPr>
          <w:rFonts w:ascii="Arial" w:hAnsi="Arial" w:cs="Arial"/>
          <w:sz w:val="22"/>
          <w:szCs w:val="22"/>
        </w:rPr>
        <w:t>o</w:t>
      </w:r>
      <w:r w:rsidR="00FB7705" w:rsidRPr="00506316">
        <w:rPr>
          <w:rFonts w:ascii="Arial" w:hAnsi="Arial" w:cs="Arial"/>
          <w:sz w:val="22"/>
          <w:szCs w:val="22"/>
        </w:rPr>
        <w:t xml:space="preserve">rdinary </w:t>
      </w:r>
      <w:r>
        <w:rPr>
          <w:rFonts w:ascii="Arial" w:hAnsi="Arial" w:cs="Arial"/>
          <w:sz w:val="22"/>
          <w:szCs w:val="22"/>
        </w:rPr>
        <w:t>b</w:t>
      </w:r>
      <w:r w:rsidR="00491FB5" w:rsidRPr="00506316">
        <w:rPr>
          <w:rFonts w:ascii="Arial" w:hAnsi="Arial" w:cs="Arial"/>
          <w:sz w:val="22"/>
          <w:szCs w:val="22"/>
        </w:rPr>
        <w:t xml:space="preserve">ypass </w:t>
      </w:r>
      <w:r>
        <w:rPr>
          <w:rFonts w:ascii="Arial" w:hAnsi="Arial" w:cs="Arial"/>
          <w:sz w:val="22"/>
          <w:szCs w:val="22"/>
        </w:rPr>
        <w:t>t</w:t>
      </w:r>
      <w:r w:rsidR="00491FB5" w:rsidRPr="00506316">
        <w:rPr>
          <w:rFonts w:ascii="Arial" w:hAnsi="Arial" w:cs="Arial"/>
          <w:sz w:val="22"/>
          <w:szCs w:val="22"/>
        </w:rPr>
        <w:t xml:space="preserve">rusts to </w:t>
      </w:r>
      <w:r>
        <w:rPr>
          <w:rFonts w:ascii="Arial" w:hAnsi="Arial" w:cs="Arial"/>
          <w:sz w:val="22"/>
          <w:szCs w:val="22"/>
        </w:rPr>
        <w:t>i</w:t>
      </w:r>
      <w:r w:rsidR="00FB7705" w:rsidRPr="00506316">
        <w:rPr>
          <w:rFonts w:ascii="Arial" w:hAnsi="Arial" w:cs="Arial"/>
          <w:sz w:val="22"/>
          <w:szCs w:val="22"/>
        </w:rPr>
        <w:t>ncrease</w:t>
      </w:r>
      <w:r>
        <w:rPr>
          <w:rFonts w:ascii="Arial" w:hAnsi="Arial" w:cs="Arial"/>
          <w:sz w:val="22"/>
          <w:szCs w:val="22"/>
        </w:rPr>
        <w:t xml:space="preserve"> b</w:t>
      </w:r>
      <w:r w:rsidR="00491FB5" w:rsidRPr="00506316">
        <w:rPr>
          <w:rFonts w:ascii="Arial" w:hAnsi="Arial" w:cs="Arial"/>
          <w:sz w:val="22"/>
          <w:szCs w:val="22"/>
        </w:rPr>
        <w:t>asis</w:t>
      </w:r>
      <w:r w:rsidR="003038B0">
        <w:rPr>
          <w:rFonts w:ascii="Arial" w:hAnsi="Arial" w:cs="Arial"/>
          <w:sz w:val="22"/>
          <w:szCs w:val="22"/>
        </w:rPr>
        <w:t>……………</w:t>
      </w:r>
      <w:r w:rsidR="00A16DB9">
        <w:rPr>
          <w:rFonts w:ascii="Arial" w:hAnsi="Arial" w:cs="Arial"/>
          <w:sz w:val="22"/>
          <w:szCs w:val="22"/>
        </w:rPr>
        <w:t>…</w:t>
      </w:r>
      <w:r w:rsidR="00A2362B">
        <w:rPr>
          <w:rFonts w:ascii="Arial" w:hAnsi="Arial" w:cs="Arial"/>
          <w:sz w:val="22"/>
          <w:szCs w:val="22"/>
        </w:rPr>
        <w:t>…</w:t>
      </w:r>
      <w:r w:rsidR="00134B07">
        <w:rPr>
          <w:rFonts w:ascii="Arial" w:hAnsi="Arial" w:cs="Arial"/>
          <w:sz w:val="22"/>
          <w:szCs w:val="22"/>
        </w:rPr>
        <w:t>.</w:t>
      </w:r>
      <w:r w:rsidR="00D629FE">
        <w:rPr>
          <w:rFonts w:ascii="Arial" w:hAnsi="Arial" w:cs="Arial"/>
          <w:sz w:val="22"/>
          <w:szCs w:val="22"/>
        </w:rPr>
        <w:t>..19</w:t>
      </w:r>
    </w:p>
    <w:p w14:paraId="4C3A5BD5" w14:textId="77777777" w:rsidR="00422683" w:rsidRPr="00506316" w:rsidRDefault="00422683" w:rsidP="00DB5800">
      <w:pPr>
        <w:numPr>
          <w:ilvl w:val="1"/>
          <w:numId w:val="3"/>
        </w:numPr>
        <w:tabs>
          <w:tab w:val="num" w:pos="720"/>
          <w:tab w:val="left" w:pos="1260"/>
        </w:tabs>
        <w:spacing w:line="280" w:lineRule="exact"/>
        <w:ind w:left="720" w:firstLine="0"/>
        <w:jc w:val="both"/>
        <w:rPr>
          <w:rFonts w:ascii="Arial" w:hAnsi="Arial" w:cs="Arial"/>
          <w:sz w:val="22"/>
          <w:szCs w:val="22"/>
        </w:rPr>
      </w:pPr>
      <w:r>
        <w:rPr>
          <w:rFonts w:ascii="Arial" w:hAnsi="Arial" w:cs="Arial"/>
          <w:sz w:val="22"/>
          <w:szCs w:val="22"/>
        </w:rPr>
        <w:t xml:space="preserve">Are trust protector powers to add GPOAs </w:t>
      </w:r>
      <w:r w:rsidRPr="004C57A6">
        <w:rPr>
          <w:rFonts w:ascii="Arial" w:hAnsi="Arial" w:cs="Arial"/>
          <w:i/>
          <w:sz w:val="22"/>
          <w:szCs w:val="22"/>
        </w:rPr>
        <w:t>dangerous</w:t>
      </w:r>
      <w:r>
        <w:rPr>
          <w:rFonts w:ascii="Arial" w:hAnsi="Arial" w:cs="Arial"/>
          <w:sz w:val="22"/>
          <w:szCs w:val="22"/>
        </w:rPr>
        <w:t>?........................</w:t>
      </w:r>
      <w:r w:rsidR="00A16DB9">
        <w:rPr>
          <w:rFonts w:ascii="Arial" w:hAnsi="Arial" w:cs="Arial"/>
          <w:sz w:val="22"/>
          <w:szCs w:val="22"/>
        </w:rPr>
        <w:t>..</w:t>
      </w:r>
      <w:r>
        <w:rPr>
          <w:rFonts w:ascii="Arial" w:hAnsi="Arial" w:cs="Arial"/>
          <w:sz w:val="22"/>
          <w:szCs w:val="22"/>
        </w:rPr>
        <w:t>........</w:t>
      </w:r>
      <w:r w:rsidR="00A16DB9">
        <w:rPr>
          <w:rFonts w:ascii="Arial" w:hAnsi="Arial" w:cs="Arial"/>
          <w:sz w:val="22"/>
          <w:szCs w:val="22"/>
        </w:rPr>
        <w:t>.</w:t>
      </w:r>
      <w:r w:rsidR="00134B07">
        <w:rPr>
          <w:rFonts w:ascii="Arial" w:hAnsi="Arial" w:cs="Arial"/>
          <w:sz w:val="22"/>
          <w:szCs w:val="22"/>
        </w:rPr>
        <w:t>.</w:t>
      </w:r>
      <w:r w:rsidR="00A16DB9">
        <w:rPr>
          <w:rFonts w:ascii="Arial" w:hAnsi="Arial" w:cs="Arial"/>
          <w:sz w:val="22"/>
          <w:szCs w:val="22"/>
        </w:rPr>
        <w:t>.</w:t>
      </w:r>
      <w:r w:rsidR="005D483A">
        <w:rPr>
          <w:rFonts w:ascii="Arial" w:hAnsi="Arial" w:cs="Arial"/>
          <w:sz w:val="22"/>
          <w:szCs w:val="22"/>
        </w:rPr>
        <w:t>.</w:t>
      </w:r>
      <w:r w:rsidR="00D629FE">
        <w:rPr>
          <w:rFonts w:ascii="Arial" w:hAnsi="Arial" w:cs="Arial"/>
          <w:sz w:val="22"/>
          <w:szCs w:val="22"/>
        </w:rPr>
        <w:t>..21</w:t>
      </w:r>
    </w:p>
    <w:p w14:paraId="75E1CD06" w14:textId="77777777" w:rsidR="00491FB5" w:rsidRDefault="00491FB5" w:rsidP="00DB5800">
      <w:pPr>
        <w:numPr>
          <w:ilvl w:val="0"/>
          <w:numId w:val="3"/>
        </w:numPr>
        <w:tabs>
          <w:tab w:val="clear" w:pos="1080"/>
          <w:tab w:val="num" w:pos="720"/>
          <w:tab w:val="left" w:pos="1260"/>
        </w:tabs>
        <w:spacing w:line="280" w:lineRule="exact"/>
        <w:ind w:hanging="1080"/>
        <w:jc w:val="both"/>
        <w:rPr>
          <w:rFonts w:ascii="Arial" w:hAnsi="Arial" w:cs="Arial"/>
        </w:rPr>
      </w:pPr>
      <w:r>
        <w:rPr>
          <w:rFonts w:ascii="Arial" w:hAnsi="Arial" w:cs="Arial"/>
        </w:rPr>
        <w:t xml:space="preserve">Why Optimal Basis Increase Trusts (OBITs) </w:t>
      </w:r>
      <w:r w:rsidR="00FB7705">
        <w:rPr>
          <w:rFonts w:ascii="Arial" w:hAnsi="Arial" w:cs="Arial"/>
        </w:rPr>
        <w:t>are</w:t>
      </w:r>
      <w:r w:rsidR="0073340D">
        <w:rPr>
          <w:rFonts w:ascii="Arial" w:hAnsi="Arial" w:cs="Arial"/>
        </w:rPr>
        <w:t xml:space="preserve"> S</w:t>
      </w:r>
      <w:r>
        <w:rPr>
          <w:rFonts w:ascii="Arial" w:hAnsi="Arial" w:cs="Arial"/>
        </w:rPr>
        <w:t xml:space="preserve">uperior to </w:t>
      </w:r>
      <w:r w:rsidR="001F5C90">
        <w:rPr>
          <w:rFonts w:ascii="Arial" w:hAnsi="Arial" w:cs="Arial"/>
        </w:rPr>
        <w:t>AB Trusts</w:t>
      </w:r>
      <w:r w:rsidR="005D483A">
        <w:rPr>
          <w:rFonts w:ascii="Arial" w:hAnsi="Arial" w:cs="Arial"/>
        </w:rPr>
        <w:t>…</w:t>
      </w:r>
      <w:r w:rsidR="00A91FFA">
        <w:rPr>
          <w:rFonts w:ascii="Arial" w:hAnsi="Arial" w:cs="Arial"/>
        </w:rPr>
        <w:t>..</w:t>
      </w:r>
      <w:r w:rsidR="005D483A">
        <w:rPr>
          <w:rFonts w:ascii="Arial" w:hAnsi="Arial" w:cs="Arial"/>
        </w:rPr>
        <w:t>…</w:t>
      </w:r>
      <w:r w:rsidR="00426F10">
        <w:rPr>
          <w:rFonts w:ascii="Arial" w:hAnsi="Arial" w:cs="Arial"/>
        </w:rPr>
        <w:t>.</w:t>
      </w:r>
      <w:r w:rsidR="005D483A">
        <w:rPr>
          <w:rFonts w:ascii="Arial" w:hAnsi="Arial" w:cs="Arial"/>
        </w:rPr>
        <w:t>.</w:t>
      </w:r>
      <w:r w:rsidR="00D629FE">
        <w:rPr>
          <w:rFonts w:ascii="Arial" w:hAnsi="Arial" w:cs="Arial"/>
        </w:rPr>
        <w:t>24</w:t>
      </w:r>
    </w:p>
    <w:p w14:paraId="7283466E" w14:textId="77777777" w:rsidR="0074449B" w:rsidRDefault="0074449B" w:rsidP="00DB5800">
      <w:pPr>
        <w:numPr>
          <w:ilvl w:val="1"/>
          <w:numId w:val="3"/>
        </w:numPr>
        <w:tabs>
          <w:tab w:val="num" w:pos="720"/>
          <w:tab w:val="left" w:pos="1260"/>
        </w:tabs>
        <w:spacing w:line="280" w:lineRule="exact"/>
        <w:ind w:hanging="1080"/>
        <w:rPr>
          <w:rFonts w:ascii="Arial" w:hAnsi="Arial" w:cs="Arial"/>
          <w:sz w:val="22"/>
          <w:szCs w:val="22"/>
        </w:rPr>
      </w:pPr>
      <w:r>
        <w:rPr>
          <w:rFonts w:ascii="Arial" w:hAnsi="Arial" w:cs="Arial"/>
          <w:sz w:val="22"/>
          <w:szCs w:val="22"/>
        </w:rPr>
        <w:t xml:space="preserve">Introducing </w:t>
      </w:r>
      <w:r w:rsidR="00B72612">
        <w:rPr>
          <w:rFonts w:ascii="Arial" w:hAnsi="Arial" w:cs="Arial"/>
          <w:sz w:val="22"/>
          <w:szCs w:val="22"/>
        </w:rPr>
        <w:t>t</w:t>
      </w:r>
      <w:r>
        <w:rPr>
          <w:rFonts w:ascii="Arial" w:hAnsi="Arial" w:cs="Arial"/>
          <w:sz w:val="22"/>
          <w:szCs w:val="22"/>
        </w:rPr>
        <w:t>argeted General Power of Appointment (GPOA) concepts</w:t>
      </w:r>
      <w:r w:rsidR="00B72612">
        <w:rPr>
          <w:rFonts w:ascii="Arial" w:hAnsi="Arial" w:cs="Arial"/>
          <w:sz w:val="22"/>
          <w:szCs w:val="22"/>
        </w:rPr>
        <w:t>.</w:t>
      </w:r>
      <w:r>
        <w:rPr>
          <w:rFonts w:ascii="Arial" w:hAnsi="Arial" w:cs="Arial"/>
          <w:sz w:val="22"/>
          <w:szCs w:val="22"/>
        </w:rPr>
        <w:t>……</w:t>
      </w:r>
      <w:r w:rsidR="00A91FFA">
        <w:rPr>
          <w:rFonts w:ascii="Arial" w:hAnsi="Arial" w:cs="Arial"/>
          <w:sz w:val="22"/>
          <w:szCs w:val="22"/>
        </w:rPr>
        <w:t>...</w:t>
      </w:r>
      <w:r w:rsidR="005D483A">
        <w:rPr>
          <w:rFonts w:ascii="Arial" w:hAnsi="Arial" w:cs="Arial"/>
          <w:sz w:val="22"/>
          <w:szCs w:val="22"/>
        </w:rPr>
        <w:t>.</w:t>
      </w:r>
      <w:r w:rsidR="00D629FE">
        <w:rPr>
          <w:rFonts w:ascii="Arial" w:hAnsi="Arial" w:cs="Arial"/>
          <w:sz w:val="22"/>
          <w:szCs w:val="22"/>
        </w:rPr>
        <w:t>. 24</w:t>
      </w:r>
    </w:p>
    <w:p w14:paraId="3131CF7D" w14:textId="77777777" w:rsidR="00491FB5" w:rsidRDefault="0074449B" w:rsidP="00DB5800">
      <w:pPr>
        <w:numPr>
          <w:ilvl w:val="1"/>
          <w:numId w:val="3"/>
        </w:numPr>
        <w:tabs>
          <w:tab w:val="num" w:pos="720"/>
          <w:tab w:val="left" w:pos="1260"/>
        </w:tabs>
        <w:spacing w:line="280" w:lineRule="exact"/>
        <w:ind w:hanging="1080"/>
        <w:rPr>
          <w:rFonts w:ascii="Arial" w:hAnsi="Arial" w:cs="Arial"/>
          <w:sz w:val="22"/>
          <w:szCs w:val="22"/>
        </w:rPr>
      </w:pPr>
      <w:r>
        <w:rPr>
          <w:rFonts w:ascii="Arial" w:hAnsi="Arial" w:cs="Arial"/>
          <w:sz w:val="22"/>
          <w:szCs w:val="22"/>
        </w:rPr>
        <w:t xml:space="preserve">Comparison of </w:t>
      </w:r>
      <w:r w:rsidR="00B72612">
        <w:rPr>
          <w:rFonts w:ascii="Arial" w:hAnsi="Arial" w:cs="Arial"/>
          <w:sz w:val="22"/>
          <w:szCs w:val="22"/>
        </w:rPr>
        <w:t>f</w:t>
      </w:r>
      <w:r w:rsidR="00FB7705" w:rsidRPr="00506316">
        <w:rPr>
          <w:rFonts w:ascii="Arial" w:hAnsi="Arial" w:cs="Arial"/>
          <w:sz w:val="22"/>
          <w:szCs w:val="22"/>
        </w:rPr>
        <w:t xml:space="preserve">ormula </w:t>
      </w:r>
      <w:r>
        <w:rPr>
          <w:rFonts w:ascii="Arial" w:hAnsi="Arial" w:cs="Arial"/>
          <w:sz w:val="22"/>
          <w:szCs w:val="22"/>
        </w:rPr>
        <w:t xml:space="preserve">GPOA v. QTIP v. </w:t>
      </w:r>
      <w:r w:rsidR="00B72612">
        <w:rPr>
          <w:rFonts w:ascii="Arial" w:hAnsi="Arial" w:cs="Arial"/>
          <w:sz w:val="22"/>
          <w:szCs w:val="22"/>
        </w:rPr>
        <w:t>b</w:t>
      </w:r>
      <w:r>
        <w:rPr>
          <w:rFonts w:ascii="Arial" w:hAnsi="Arial" w:cs="Arial"/>
          <w:sz w:val="22"/>
          <w:szCs w:val="22"/>
        </w:rPr>
        <w:t>ypass</w:t>
      </w:r>
      <w:r w:rsidR="00B72612">
        <w:rPr>
          <w:rFonts w:ascii="Arial" w:hAnsi="Arial" w:cs="Arial"/>
          <w:sz w:val="22"/>
          <w:szCs w:val="22"/>
        </w:rPr>
        <w:t xml:space="preserve"> trusts</w:t>
      </w:r>
      <w:r>
        <w:rPr>
          <w:rFonts w:ascii="Arial" w:hAnsi="Arial" w:cs="Arial"/>
          <w:sz w:val="22"/>
          <w:szCs w:val="22"/>
        </w:rPr>
        <w:t>.</w:t>
      </w:r>
      <w:r w:rsidR="00815E28">
        <w:rPr>
          <w:rFonts w:ascii="Arial" w:hAnsi="Arial" w:cs="Arial"/>
          <w:sz w:val="22"/>
          <w:szCs w:val="22"/>
        </w:rPr>
        <w:t>……………………</w:t>
      </w:r>
      <w:r w:rsidR="00A16DB9">
        <w:rPr>
          <w:rFonts w:ascii="Arial" w:hAnsi="Arial" w:cs="Arial"/>
          <w:sz w:val="22"/>
          <w:szCs w:val="22"/>
        </w:rPr>
        <w:t>…</w:t>
      </w:r>
      <w:r w:rsidR="00815E28">
        <w:rPr>
          <w:rFonts w:ascii="Arial" w:hAnsi="Arial" w:cs="Arial"/>
          <w:sz w:val="22"/>
          <w:szCs w:val="22"/>
        </w:rPr>
        <w:t>….</w:t>
      </w:r>
      <w:r>
        <w:rPr>
          <w:rFonts w:ascii="Arial" w:hAnsi="Arial" w:cs="Arial"/>
          <w:sz w:val="22"/>
          <w:szCs w:val="22"/>
        </w:rPr>
        <w:t xml:space="preserve"> </w:t>
      </w:r>
      <w:r w:rsidR="00D629FE">
        <w:rPr>
          <w:rFonts w:ascii="Arial" w:hAnsi="Arial" w:cs="Arial"/>
          <w:sz w:val="22"/>
          <w:szCs w:val="22"/>
        </w:rPr>
        <w:t>2</w:t>
      </w:r>
      <w:r w:rsidR="005F1314">
        <w:rPr>
          <w:rFonts w:ascii="Arial" w:hAnsi="Arial" w:cs="Arial"/>
          <w:sz w:val="22"/>
          <w:szCs w:val="22"/>
        </w:rPr>
        <w:t>7</w:t>
      </w:r>
    </w:p>
    <w:p w14:paraId="5EF1CD0B" w14:textId="77777777" w:rsidR="0074449B" w:rsidRPr="00506316" w:rsidRDefault="0074449B" w:rsidP="00DB5800">
      <w:pPr>
        <w:numPr>
          <w:ilvl w:val="1"/>
          <w:numId w:val="3"/>
        </w:numPr>
        <w:tabs>
          <w:tab w:val="num" w:pos="720"/>
          <w:tab w:val="left" w:pos="1260"/>
        </w:tabs>
        <w:spacing w:line="280" w:lineRule="exact"/>
        <w:ind w:hanging="1080"/>
        <w:rPr>
          <w:rFonts w:ascii="Arial" w:hAnsi="Arial" w:cs="Arial"/>
          <w:sz w:val="22"/>
          <w:szCs w:val="22"/>
        </w:rPr>
      </w:pPr>
      <w:r>
        <w:rPr>
          <w:rFonts w:ascii="Arial" w:hAnsi="Arial" w:cs="Arial"/>
          <w:sz w:val="22"/>
          <w:szCs w:val="22"/>
        </w:rPr>
        <w:t>Capping the GPOA</w:t>
      </w:r>
      <w:r w:rsidR="00B72612">
        <w:rPr>
          <w:rFonts w:ascii="Arial" w:hAnsi="Arial" w:cs="Arial"/>
          <w:sz w:val="22"/>
          <w:szCs w:val="22"/>
        </w:rPr>
        <w:t xml:space="preserve"> to avoid state and/or federal estate tax.</w:t>
      </w:r>
      <w:r>
        <w:rPr>
          <w:rFonts w:ascii="Arial" w:hAnsi="Arial" w:cs="Arial"/>
          <w:sz w:val="22"/>
          <w:szCs w:val="22"/>
        </w:rPr>
        <w:t>………………</w:t>
      </w:r>
      <w:r w:rsidR="00A16DB9">
        <w:rPr>
          <w:rFonts w:ascii="Arial" w:hAnsi="Arial" w:cs="Arial"/>
          <w:sz w:val="22"/>
          <w:szCs w:val="22"/>
        </w:rPr>
        <w:t>…</w:t>
      </w:r>
      <w:r>
        <w:rPr>
          <w:rFonts w:ascii="Arial" w:hAnsi="Arial" w:cs="Arial"/>
          <w:sz w:val="22"/>
          <w:szCs w:val="22"/>
        </w:rPr>
        <w:t>…..</w:t>
      </w:r>
      <w:r w:rsidR="002A6B0C">
        <w:rPr>
          <w:rFonts w:ascii="Arial" w:hAnsi="Arial" w:cs="Arial"/>
          <w:sz w:val="22"/>
          <w:szCs w:val="22"/>
        </w:rPr>
        <w:t xml:space="preserve"> </w:t>
      </w:r>
      <w:r w:rsidR="00D629FE">
        <w:rPr>
          <w:rFonts w:ascii="Arial" w:hAnsi="Arial" w:cs="Arial"/>
          <w:sz w:val="22"/>
          <w:szCs w:val="22"/>
        </w:rPr>
        <w:t>28</w:t>
      </w:r>
    </w:p>
    <w:p w14:paraId="7D5408A4" w14:textId="77777777" w:rsidR="00950C93" w:rsidRDefault="00950C93" w:rsidP="00DB5800">
      <w:pPr>
        <w:numPr>
          <w:ilvl w:val="1"/>
          <w:numId w:val="3"/>
        </w:numPr>
        <w:tabs>
          <w:tab w:val="left" w:pos="1260"/>
        </w:tabs>
        <w:spacing w:line="280" w:lineRule="exact"/>
        <w:ind w:hanging="1080"/>
        <w:rPr>
          <w:rFonts w:ascii="Arial" w:hAnsi="Arial" w:cs="Arial"/>
          <w:sz w:val="22"/>
          <w:szCs w:val="22"/>
        </w:rPr>
      </w:pPr>
      <w:r w:rsidRPr="00950C93">
        <w:rPr>
          <w:rFonts w:ascii="Arial" w:hAnsi="Arial" w:cs="Arial"/>
          <w:sz w:val="22"/>
          <w:szCs w:val="22"/>
        </w:rPr>
        <w:t>Determining the appointive assets when the GPOA is capped</w:t>
      </w:r>
      <w:r>
        <w:rPr>
          <w:rFonts w:ascii="Arial" w:hAnsi="Arial" w:cs="Arial"/>
          <w:sz w:val="22"/>
          <w:szCs w:val="22"/>
        </w:rPr>
        <w:t>……………</w:t>
      </w:r>
      <w:r w:rsidR="00A16DB9">
        <w:rPr>
          <w:rFonts w:ascii="Arial" w:hAnsi="Arial" w:cs="Arial"/>
          <w:sz w:val="22"/>
          <w:szCs w:val="22"/>
        </w:rPr>
        <w:t>…</w:t>
      </w:r>
      <w:r>
        <w:rPr>
          <w:rFonts w:ascii="Arial" w:hAnsi="Arial" w:cs="Arial"/>
          <w:sz w:val="22"/>
          <w:szCs w:val="22"/>
        </w:rPr>
        <w:t>….. 2</w:t>
      </w:r>
      <w:r w:rsidR="00726267">
        <w:rPr>
          <w:rFonts w:ascii="Arial" w:hAnsi="Arial" w:cs="Arial"/>
          <w:sz w:val="22"/>
          <w:szCs w:val="22"/>
        </w:rPr>
        <w:t>9</w:t>
      </w:r>
    </w:p>
    <w:p w14:paraId="1BDC8021" w14:textId="77777777" w:rsidR="00950C93" w:rsidRDefault="00950C93" w:rsidP="00DB5800">
      <w:pPr>
        <w:numPr>
          <w:ilvl w:val="1"/>
          <w:numId w:val="3"/>
        </w:numPr>
        <w:tabs>
          <w:tab w:val="left" w:pos="1260"/>
        </w:tabs>
        <w:spacing w:line="280" w:lineRule="exact"/>
        <w:ind w:hanging="1080"/>
        <w:rPr>
          <w:rFonts w:ascii="Arial" w:hAnsi="Arial" w:cs="Arial"/>
          <w:sz w:val="22"/>
          <w:szCs w:val="22"/>
        </w:rPr>
      </w:pPr>
      <w:r w:rsidRPr="00950C93">
        <w:rPr>
          <w:rFonts w:ascii="Arial" w:hAnsi="Arial" w:cs="Arial"/>
          <w:sz w:val="22"/>
          <w:szCs w:val="22"/>
        </w:rPr>
        <w:t>Issues if spouse is sole trustee or investment advisor</w:t>
      </w:r>
      <w:r w:rsidR="002A6B0C">
        <w:rPr>
          <w:rFonts w:ascii="Arial" w:hAnsi="Arial" w:cs="Arial"/>
          <w:sz w:val="22"/>
          <w:szCs w:val="22"/>
        </w:rPr>
        <w:t>………………………</w:t>
      </w:r>
      <w:r w:rsidR="00A16DB9">
        <w:rPr>
          <w:rFonts w:ascii="Arial" w:hAnsi="Arial" w:cs="Arial"/>
          <w:sz w:val="22"/>
          <w:szCs w:val="22"/>
        </w:rPr>
        <w:t>…</w:t>
      </w:r>
      <w:r w:rsidR="00726267">
        <w:rPr>
          <w:rFonts w:ascii="Arial" w:hAnsi="Arial" w:cs="Arial"/>
          <w:sz w:val="22"/>
          <w:szCs w:val="22"/>
        </w:rPr>
        <w:t>…. 33</w:t>
      </w:r>
    </w:p>
    <w:p w14:paraId="752C31E6" w14:textId="6DC3D649" w:rsidR="00491FB5" w:rsidRPr="00506316" w:rsidRDefault="00491FB5" w:rsidP="00DB5800">
      <w:pPr>
        <w:numPr>
          <w:ilvl w:val="1"/>
          <w:numId w:val="3"/>
        </w:numPr>
        <w:tabs>
          <w:tab w:val="left" w:pos="1260"/>
        </w:tabs>
        <w:spacing w:line="280" w:lineRule="exact"/>
        <w:ind w:hanging="1080"/>
        <w:rPr>
          <w:rFonts w:ascii="Arial" w:hAnsi="Arial" w:cs="Arial"/>
          <w:sz w:val="22"/>
          <w:szCs w:val="22"/>
        </w:rPr>
      </w:pPr>
      <w:r w:rsidRPr="00506316">
        <w:rPr>
          <w:rFonts w:ascii="Arial" w:hAnsi="Arial" w:cs="Arial"/>
          <w:sz w:val="22"/>
          <w:szCs w:val="22"/>
        </w:rPr>
        <w:t xml:space="preserve">Application to </w:t>
      </w:r>
      <w:r w:rsidR="00B72612">
        <w:rPr>
          <w:rFonts w:ascii="Arial" w:hAnsi="Arial" w:cs="Arial"/>
          <w:sz w:val="22"/>
          <w:szCs w:val="22"/>
        </w:rPr>
        <w:t>s</w:t>
      </w:r>
      <w:r w:rsidRPr="00506316">
        <w:rPr>
          <w:rFonts w:ascii="Arial" w:hAnsi="Arial" w:cs="Arial"/>
          <w:sz w:val="22"/>
          <w:szCs w:val="22"/>
        </w:rPr>
        <w:t>tates with</w:t>
      </w:r>
      <w:r w:rsidR="00B72612">
        <w:rPr>
          <w:rFonts w:ascii="Arial" w:hAnsi="Arial" w:cs="Arial"/>
          <w:sz w:val="22"/>
          <w:szCs w:val="22"/>
        </w:rPr>
        <w:t xml:space="preserve"> a separate e</w:t>
      </w:r>
      <w:r w:rsidRPr="00506316">
        <w:rPr>
          <w:rFonts w:ascii="Arial" w:hAnsi="Arial" w:cs="Arial"/>
          <w:sz w:val="22"/>
          <w:szCs w:val="22"/>
        </w:rPr>
        <w:t xml:space="preserve">state </w:t>
      </w:r>
      <w:r w:rsidR="00B72612">
        <w:rPr>
          <w:rFonts w:ascii="Arial" w:hAnsi="Arial" w:cs="Arial"/>
          <w:sz w:val="22"/>
          <w:szCs w:val="22"/>
        </w:rPr>
        <w:t>or inheritance t</w:t>
      </w:r>
      <w:r w:rsidRPr="00506316">
        <w:rPr>
          <w:rFonts w:ascii="Arial" w:hAnsi="Arial" w:cs="Arial"/>
          <w:sz w:val="22"/>
          <w:szCs w:val="22"/>
        </w:rPr>
        <w:t>ax</w:t>
      </w:r>
      <w:r w:rsidR="00B72612">
        <w:rPr>
          <w:rFonts w:ascii="Arial" w:hAnsi="Arial" w:cs="Arial"/>
          <w:sz w:val="22"/>
          <w:szCs w:val="22"/>
        </w:rPr>
        <w:t>..</w:t>
      </w:r>
      <w:r w:rsidR="001740A9">
        <w:rPr>
          <w:rFonts w:ascii="Arial" w:hAnsi="Arial" w:cs="Arial"/>
          <w:sz w:val="22"/>
          <w:szCs w:val="22"/>
        </w:rPr>
        <w:t>……………..</w:t>
      </w:r>
      <w:r w:rsidR="00A16DB9">
        <w:rPr>
          <w:rFonts w:ascii="Arial" w:hAnsi="Arial" w:cs="Arial"/>
          <w:sz w:val="22"/>
          <w:szCs w:val="22"/>
        </w:rPr>
        <w:t>.</w:t>
      </w:r>
      <w:r w:rsidR="00A2362B">
        <w:rPr>
          <w:rFonts w:ascii="Arial" w:hAnsi="Arial" w:cs="Arial"/>
          <w:sz w:val="22"/>
          <w:szCs w:val="22"/>
        </w:rPr>
        <w:t>….</w:t>
      </w:r>
      <w:r w:rsidR="00726267">
        <w:rPr>
          <w:rFonts w:ascii="Arial" w:hAnsi="Arial" w:cs="Arial"/>
          <w:sz w:val="22"/>
          <w:szCs w:val="22"/>
        </w:rPr>
        <w:t>.3</w:t>
      </w:r>
      <w:r w:rsidR="00E35C11">
        <w:rPr>
          <w:rFonts w:ascii="Arial" w:hAnsi="Arial" w:cs="Arial"/>
          <w:sz w:val="22"/>
          <w:szCs w:val="22"/>
        </w:rPr>
        <w:t>6</w:t>
      </w:r>
    </w:p>
    <w:p w14:paraId="3B83426F" w14:textId="6E8C3D55" w:rsidR="00491FB5" w:rsidRDefault="00491FB5" w:rsidP="00DB5800">
      <w:pPr>
        <w:numPr>
          <w:ilvl w:val="1"/>
          <w:numId w:val="3"/>
        </w:numPr>
        <w:tabs>
          <w:tab w:val="num" w:pos="720"/>
          <w:tab w:val="left" w:pos="1260"/>
        </w:tabs>
        <w:spacing w:line="280" w:lineRule="exact"/>
        <w:ind w:hanging="1080"/>
        <w:rPr>
          <w:rFonts w:ascii="Arial" w:hAnsi="Arial" w:cs="Arial"/>
          <w:sz w:val="22"/>
          <w:szCs w:val="22"/>
        </w:rPr>
      </w:pPr>
      <w:r w:rsidRPr="00506316">
        <w:rPr>
          <w:rFonts w:ascii="Arial" w:hAnsi="Arial" w:cs="Arial"/>
          <w:sz w:val="22"/>
          <w:szCs w:val="22"/>
        </w:rPr>
        <w:t xml:space="preserve">Drafting GPOAs to </w:t>
      </w:r>
      <w:r w:rsidR="004C57A6">
        <w:rPr>
          <w:rFonts w:ascii="Arial" w:hAnsi="Arial" w:cs="Arial"/>
          <w:sz w:val="22"/>
          <w:szCs w:val="22"/>
        </w:rPr>
        <w:t>k</w:t>
      </w:r>
      <w:r w:rsidRPr="00506316">
        <w:rPr>
          <w:rFonts w:ascii="Arial" w:hAnsi="Arial" w:cs="Arial"/>
          <w:sz w:val="22"/>
          <w:szCs w:val="22"/>
        </w:rPr>
        <w:t xml:space="preserve">eep </w:t>
      </w:r>
      <w:r w:rsidR="004C57A6">
        <w:rPr>
          <w:rFonts w:ascii="Arial" w:hAnsi="Arial" w:cs="Arial"/>
          <w:sz w:val="22"/>
          <w:szCs w:val="22"/>
        </w:rPr>
        <w:t>f</w:t>
      </w:r>
      <w:r w:rsidRPr="00506316">
        <w:rPr>
          <w:rFonts w:ascii="Arial" w:hAnsi="Arial" w:cs="Arial"/>
          <w:sz w:val="22"/>
          <w:szCs w:val="22"/>
        </w:rPr>
        <w:t xml:space="preserve">idelity to </w:t>
      </w:r>
      <w:r w:rsidR="00950C93">
        <w:rPr>
          <w:rFonts w:ascii="Arial" w:hAnsi="Arial" w:cs="Arial"/>
          <w:sz w:val="22"/>
          <w:szCs w:val="22"/>
        </w:rPr>
        <w:t xml:space="preserve">the </w:t>
      </w:r>
      <w:r w:rsidR="004C57A6">
        <w:rPr>
          <w:rFonts w:ascii="Arial" w:hAnsi="Arial" w:cs="Arial"/>
          <w:sz w:val="22"/>
          <w:szCs w:val="22"/>
        </w:rPr>
        <w:t>e</w:t>
      </w:r>
      <w:r w:rsidR="00950C93">
        <w:rPr>
          <w:rFonts w:ascii="Arial" w:hAnsi="Arial" w:cs="Arial"/>
          <w:sz w:val="22"/>
          <w:szCs w:val="22"/>
        </w:rPr>
        <w:t xml:space="preserve">state </w:t>
      </w:r>
      <w:r w:rsidR="004C57A6">
        <w:rPr>
          <w:rFonts w:ascii="Arial" w:hAnsi="Arial" w:cs="Arial"/>
          <w:sz w:val="22"/>
          <w:szCs w:val="22"/>
        </w:rPr>
        <w:t>p</w:t>
      </w:r>
      <w:r w:rsidRPr="00506316">
        <w:rPr>
          <w:rFonts w:ascii="Arial" w:hAnsi="Arial" w:cs="Arial"/>
          <w:sz w:val="22"/>
          <w:szCs w:val="22"/>
        </w:rPr>
        <w:t xml:space="preserve">lan and </w:t>
      </w:r>
      <w:r w:rsidR="004C57A6">
        <w:rPr>
          <w:rFonts w:ascii="Arial" w:hAnsi="Arial" w:cs="Arial"/>
          <w:sz w:val="22"/>
          <w:szCs w:val="22"/>
        </w:rPr>
        <w:t>asset p</w:t>
      </w:r>
      <w:r w:rsidRPr="00506316">
        <w:rPr>
          <w:rFonts w:ascii="Arial" w:hAnsi="Arial" w:cs="Arial"/>
          <w:sz w:val="22"/>
          <w:szCs w:val="22"/>
        </w:rPr>
        <w:t>rotection</w:t>
      </w:r>
      <w:r w:rsidR="004C57A6">
        <w:rPr>
          <w:rFonts w:ascii="Arial" w:hAnsi="Arial" w:cs="Arial"/>
          <w:sz w:val="22"/>
          <w:szCs w:val="22"/>
        </w:rPr>
        <w:t>…</w:t>
      </w:r>
      <w:r w:rsidR="001740A9">
        <w:rPr>
          <w:rFonts w:ascii="Arial" w:hAnsi="Arial" w:cs="Arial"/>
          <w:sz w:val="22"/>
          <w:szCs w:val="22"/>
        </w:rPr>
        <w:t>….</w:t>
      </w:r>
      <w:r w:rsidR="00A16DB9">
        <w:rPr>
          <w:rFonts w:ascii="Arial" w:hAnsi="Arial" w:cs="Arial"/>
          <w:sz w:val="22"/>
          <w:szCs w:val="22"/>
        </w:rPr>
        <w:t>.</w:t>
      </w:r>
      <w:r w:rsidR="00726267">
        <w:rPr>
          <w:rFonts w:ascii="Arial" w:hAnsi="Arial" w:cs="Arial"/>
          <w:sz w:val="22"/>
          <w:szCs w:val="22"/>
        </w:rPr>
        <w:t>.…3</w:t>
      </w:r>
      <w:r w:rsidR="00E35C11">
        <w:rPr>
          <w:rFonts w:ascii="Arial" w:hAnsi="Arial" w:cs="Arial"/>
          <w:sz w:val="22"/>
          <w:szCs w:val="22"/>
        </w:rPr>
        <w:t>8</w:t>
      </w:r>
    </w:p>
    <w:p w14:paraId="35987C29" w14:textId="2F8AD5C9" w:rsidR="00FB7FA3" w:rsidRPr="00506316" w:rsidRDefault="00D15CCB" w:rsidP="00DB5800">
      <w:pPr>
        <w:numPr>
          <w:ilvl w:val="1"/>
          <w:numId w:val="3"/>
        </w:numPr>
        <w:tabs>
          <w:tab w:val="left" w:pos="1260"/>
        </w:tabs>
        <w:spacing w:line="280" w:lineRule="exact"/>
        <w:ind w:hanging="1080"/>
        <w:rPr>
          <w:rFonts w:ascii="Arial" w:hAnsi="Arial" w:cs="Arial"/>
          <w:sz w:val="22"/>
          <w:szCs w:val="22"/>
        </w:rPr>
      </w:pPr>
      <w:r>
        <w:rPr>
          <w:rFonts w:ascii="Arial" w:hAnsi="Arial" w:cs="Arial"/>
          <w:sz w:val="22"/>
          <w:szCs w:val="22"/>
        </w:rPr>
        <w:t xml:space="preserve">Testamentary GPOAs - </w:t>
      </w:r>
      <w:r w:rsidR="004C57A6">
        <w:rPr>
          <w:rFonts w:ascii="Arial" w:hAnsi="Arial" w:cs="Arial"/>
          <w:sz w:val="22"/>
          <w:szCs w:val="22"/>
        </w:rPr>
        <w:t>s</w:t>
      </w:r>
      <w:r w:rsidR="00D50B6F">
        <w:rPr>
          <w:rFonts w:ascii="Arial" w:hAnsi="Arial" w:cs="Arial"/>
          <w:sz w:val="22"/>
          <w:szCs w:val="22"/>
        </w:rPr>
        <w:t>ubj</w:t>
      </w:r>
      <w:r w:rsidR="004C57A6">
        <w:rPr>
          <w:rFonts w:ascii="Arial" w:hAnsi="Arial" w:cs="Arial"/>
          <w:sz w:val="22"/>
          <w:szCs w:val="22"/>
        </w:rPr>
        <w:t>ect to power holder’s estate’s c</w:t>
      </w:r>
      <w:r w:rsidR="00D50B6F">
        <w:rPr>
          <w:rFonts w:ascii="Arial" w:hAnsi="Arial" w:cs="Arial"/>
          <w:sz w:val="22"/>
          <w:szCs w:val="22"/>
        </w:rPr>
        <w:t>reditors</w:t>
      </w:r>
      <w:r>
        <w:rPr>
          <w:rFonts w:ascii="Arial" w:hAnsi="Arial" w:cs="Arial"/>
          <w:sz w:val="22"/>
          <w:szCs w:val="22"/>
        </w:rPr>
        <w:t>/spouse</w:t>
      </w:r>
      <w:r w:rsidR="00D50B6F">
        <w:rPr>
          <w:rFonts w:ascii="Arial" w:hAnsi="Arial" w:cs="Arial"/>
          <w:sz w:val="22"/>
          <w:szCs w:val="22"/>
        </w:rPr>
        <w:t>?..</w:t>
      </w:r>
      <w:r w:rsidR="00A16DB9">
        <w:rPr>
          <w:rFonts w:ascii="Arial" w:hAnsi="Arial" w:cs="Arial"/>
          <w:sz w:val="22"/>
          <w:szCs w:val="22"/>
        </w:rPr>
        <w:t>.</w:t>
      </w:r>
      <w:r w:rsidR="00A91FFA">
        <w:rPr>
          <w:rFonts w:ascii="Arial" w:hAnsi="Arial" w:cs="Arial"/>
          <w:sz w:val="22"/>
          <w:szCs w:val="22"/>
        </w:rPr>
        <w:t>.</w:t>
      </w:r>
      <w:r w:rsidR="00D50B6F">
        <w:rPr>
          <w:rFonts w:ascii="Arial" w:hAnsi="Arial" w:cs="Arial"/>
          <w:sz w:val="22"/>
          <w:szCs w:val="22"/>
        </w:rPr>
        <w:t>.</w:t>
      </w:r>
      <w:r w:rsidR="00726267">
        <w:rPr>
          <w:rFonts w:ascii="Arial" w:hAnsi="Arial" w:cs="Arial"/>
          <w:sz w:val="22"/>
          <w:szCs w:val="22"/>
        </w:rPr>
        <w:t>4</w:t>
      </w:r>
      <w:r w:rsidR="003A757B">
        <w:rPr>
          <w:rFonts w:ascii="Arial" w:hAnsi="Arial" w:cs="Arial"/>
          <w:sz w:val="22"/>
          <w:szCs w:val="22"/>
        </w:rPr>
        <w:t>4</w:t>
      </w:r>
    </w:p>
    <w:p w14:paraId="35DFF096" w14:textId="3A7A8672" w:rsidR="00AC6547" w:rsidRDefault="00BB2363" w:rsidP="00DB5800">
      <w:pPr>
        <w:numPr>
          <w:ilvl w:val="1"/>
          <w:numId w:val="3"/>
        </w:numPr>
        <w:tabs>
          <w:tab w:val="num" w:pos="720"/>
          <w:tab w:val="left" w:pos="1260"/>
        </w:tabs>
        <w:spacing w:line="280" w:lineRule="exact"/>
        <w:ind w:hanging="1080"/>
        <w:rPr>
          <w:rFonts w:ascii="Arial" w:hAnsi="Arial" w:cs="Arial"/>
          <w:sz w:val="22"/>
          <w:szCs w:val="22"/>
        </w:rPr>
      </w:pPr>
      <w:r>
        <w:rPr>
          <w:rFonts w:ascii="Arial" w:hAnsi="Arial" w:cs="Arial"/>
          <w:sz w:val="22"/>
          <w:szCs w:val="22"/>
        </w:rPr>
        <w:t>Exploiting</w:t>
      </w:r>
      <w:r w:rsidR="00B72612">
        <w:rPr>
          <w:rFonts w:ascii="Arial" w:hAnsi="Arial" w:cs="Arial"/>
          <w:sz w:val="22"/>
          <w:szCs w:val="22"/>
        </w:rPr>
        <w:t xml:space="preserve"> the </w:t>
      </w:r>
      <w:r w:rsidR="00B72612" w:rsidRPr="00A3121A">
        <w:rPr>
          <w:rFonts w:ascii="Arial" w:hAnsi="Arial" w:cs="Arial"/>
          <w:i/>
          <w:sz w:val="22"/>
          <w:szCs w:val="22"/>
        </w:rPr>
        <w:t>Delaware tax t</w:t>
      </w:r>
      <w:r w:rsidR="00491FB5" w:rsidRPr="00A3121A">
        <w:rPr>
          <w:rFonts w:ascii="Arial" w:hAnsi="Arial" w:cs="Arial"/>
          <w:i/>
          <w:sz w:val="22"/>
          <w:szCs w:val="22"/>
        </w:rPr>
        <w:t>rap</w:t>
      </w:r>
      <w:r w:rsidR="00D04EE3">
        <w:rPr>
          <w:rFonts w:ascii="Arial" w:hAnsi="Arial" w:cs="Arial"/>
          <w:i/>
          <w:sz w:val="22"/>
          <w:szCs w:val="22"/>
        </w:rPr>
        <w:t xml:space="preserve">, </w:t>
      </w:r>
      <w:r w:rsidR="00D04EE3" w:rsidRPr="00D04EE3">
        <w:rPr>
          <w:rFonts w:ascii="Arial" w:hAnsi="Arial" w:cs="Arial"/>
          <w:sz w:val="22"/>
          <w:szCs w:val="22"/>
        </w:rPr>
        <w:t>§2041(a)(3)</w:t>
      </w:r>
      <w:r w:rsidR="00F879EB">
        <w:rPr>
          <w:rFonts w:ascii="Arial" w:hAnsi="Arial" w:cs="Arial"/>
          <w:sz w:val="22"/>
          <w:szCs w:val="22"/>
        </w:rPr>
        <w:t xml:space="preserve">, to augment basis </w:t>
      </w:r>
      <w:r w:rsidR="004C57A6">
        <w:rPr>
          <w:rFonts w:ascii="Arial" w:hAnsi="Arial" w:cs="Arial"/>
          <w:sz w:val="22"/>
          <w:szCs w:val="22"/>
        </w:rPr>
        <w:t>………</w:t>
      </w:r>
      <w:r w:rsidR="00F879EB">
        <w:rPr>
          <w:rFonts w:ascii="Arial" w:hAnsi="Arial" w:cs="Arial"/>
          <w:sz w:val="22"/>
          <w:szCs w:val="22"/>
        </w:rPr>
        <w:t>…</w:t>
      </w:r>
      <w:r w:rsidR="004C57A6">
        <w:rPr>
          <w:rFonts w:ascii="Arial" w:hAnsi="Arial" w:cs="Arial"/>
          <w:sz w:val="22"/>
          <w:szCs w:val="22"/>
        </w:rPr>
        <w:t>…</w:t>
      </w:r>
      <w:r w:rsidR="00A16DB9">
        <w:rPr>
          <w:rFonts w:ascii="Arial" w:hAnsi="Arial" w:cs="Arial"/>
          <w:sz w:val="22"/>
          <w:szCs w:val="22"/>
        </w:rPr>
        <w:t>..</w:t>
      </w:r>
      <w:r w:rsidR="00B72612">
        <w:rPr>
          <w:rFonts w:ascii="Arial" w:hAnsi="Arial" w:cs="Arial"/>
          <w:sz w:val="22"/>
          <w:szCs w:val="22"/>
        </w:rPr>
        <w:t>…</w:t>
      </w:r>
      <w:r w:rsidR="003A757B">
        <w:rPr>
          <w:rFonts w:ascii="Arial" w:hAnsi="Arial" w:cs="Arial"/>
          <w:sz w:val="22"/>
          <w:szCs w:val="22"/>
        </w:rPr>
        <w:t>50</w:t>
      </w:r>
    </w:p>
    <w:p w14:paraId="6B1D6D1A" w14:textId="67DF9C74" w:rsidR="00527D79" w:rsidRDefault="00527D79" w:rsidP="00DB5800">
      <w:pPr>
        <w:numPr>
          <w:ilvl w:val="1"/>
          <w:numId w:val="3"/>
        </w:numPr>
        <w:tabs>
          <w:tab w:val="left" w:pos="1260"/>
        </w:tabs>
        <w:spacing w:line="280" w:lineRule="exact"/>
        <w:ind w:hanging="1080"/>
        <w:rPr>
          <w:rFonts w:ascii="Arial" w:hAnsi="Arial" w:cs="Arial"/>
          <w:sz w:val="22"/>
          <w:szCs w:val="22"/>
        </w:rPr>
      </w:pPr>
      <w:r w:rsidRPr="00527D79">
        <w:rPr>
          <w:rFonts w:ascii="Arial" w:hAnsi="Arial" w:cs="Arial"/>
          <w:sz w:val="22"/>
          <w:szCs w:val="22"/>
        </w:rPr>
        <w:t xml:space="preserve">Drafting </w:t>
      </w:r>
      <w:r w:rsidR="00B72612">
        <w:rPr>
          <w:rFonts w:ascii="Arial" w:hAnsi="Arial" w:cs="Arial"/>
          <w:sz w:val="22"/>
          <w:szCs w:val="22"/>
        </w:rPr>
        <w:t>a</w:t>
      </w:r>
      <w:r w:rsidRPr="00527D79">
        <w:rPr>
          <w:rFonts w:ascii="Arial" w:hAnsi="Arial" w:cs="Arial"/>
          <w:sz w:val="22"/>
          <w:szCs w:val="22"/>
        </w:rPr>
        <w:t xml:space="preserve">lternatives to </w:t>
      </w:r>
      <w:r w:rsidR="00B72612">
        <w:rPr>
          <w:rFonts w:ascii="Arial" w:hAnsi="Arial" w:cs="Arial"/>
          <w:sz w:val="22"/>
          <w:szCs w:val="22"/>
        </w:rPr>
        <w:t>c</w:t>
      </w:r>
      <w:r w:rsidRPr="00527D79">
        <w:rPr>
          <w:rFonts w:ascii="Arial" w:hAnsi="Arial" w:cs="Arial"/>
          <w:sz w:val="22"/>
          <w:szCs w:val="22"/>
        </w:rPr>
        <w:t xml:space="preserve">urb the “PEG Power” yet still trigger </w:t>
      </w:r>
      <w:r>
        <w:rPr>
          <w:rFonts w:ascii="Arial" w:hAnsi="Arial" w:cs="Arial"/>
          <w:sz w:val="22"/>
          <w:szCs w:val="22"/>
        </w:rPr>
        <w:t>§</w:t>
      </w:r>
      <w:r w:rsidRPr="00527D79">
        <w:rPr>
          <w:rFonts w:ascii="Arial" w:hAnsi="Arial" w:cs="Arial"/>
          <w:sz w:val="22"/>
          <w:szCs w:val="22"/>
        </w:rPr>
        <w:t>2041(a)(3)</w:t>
      </w:r>
      <w:r w:rsidR="00B72612">
        <w:rPr>
          <w:rFonts w:ascii="Arial" w:hAnsi="Arial" w:cs="Arial"/>
          <w:sz w:val="22"/>
          <w:szCs w:val="22"/>
        </w:rPr>
        <w:t>..</w:t>
      </w:r>
      <w:r w:rsidR="006B2D6C">
        <w:rPr>
          <w:rFonts w:ascii="Arial" w:hAnsi="Arial" w:cs="Arial"/>
          <w:sz w:val="22"/>
          <w:szCs w:val="22"/>
        </w:rPr>
        <w:t>…</w:t>
      </w:r>
      <w:r w:rsidR="00A16DB9">
        <w:rPr>
          <w:rFonts w:ascii="Arial" w:hAnsi="Arial" w:cs="Arial"/>
          <w:sz w:val="22"/>
          <w:szCs w:val="22"/>
        </w:rPr>
        <w:t>.</w:t>
      </w:r>
      <w:r w:rsidR="00A91FFA">
        <w:rPr>
          <w:rFonts w:ascii="Arial" w:hAnsi="Arial" w:cs="Arial"/>
          <w:sz w:val="22"/>
          <w:szCs w:val="22"/>
        </w:rPr>
        <w:t>..</w:t>
      </w:r>
      <w:r w:rsidR="00726267">
        <w:rPr>
          <w:rFonts w:ascii="Arial" w:hAnsi="Arial" w:cs="Arial"/>
          <w:sz w:val="22"/>
          <w:szCs w:val="22"/>
        </w:rPr>
        <w:t>. 5</w:t>
      </w:r>
      <w:r w:rsidR="00CC49F2">
        <w:rPr>
          <w:rFonts w:ascii="Arial" w:hAnsi="Arial" w:cs="Arial"/>
          <w:sz w:val="22"/>
          <w:szCs w:val="22"/>
        </w:rPr>
        <w:t>3</w:t>
      </w:r>
    </w:p>
    <w:p w14:paraId="62EF6AA4" w14:textId="7B3A3384" w:rsidR="00EF63D9" w:rsidRPr="00EF63D9" w:rsidRDefault="001740A9" w:rsidP="00DB5800">
      <w:pPr>
        <w:pStyle w:val="ListParagraph"/>
        <w:numPr>
          <w:ilvl w:val="1"/>
          <w:numId w:val="3"/>
        </w:numPr>
        <w:tabs>
          <w:tab w:val="clear" w:pos="1800"/>
          <w:tab w:val="num" w:pos="1260"/>
        </w:tabs>
        <w:spacing w:line="280" w:lineRule="exact"/>
        <w:ind w:left="1260" w:hanging="540"/>
        <w:rPr>
          <w:rFonts w:ascii="Arial" w:hAnsi="Arial" w:cs="Arial"/>
          <w:sz w:val="22"/>
          <w:szCs w:val="22"/>
        </w:rPr>
      </w:pPr>
      <w:r>
        <w:rPr>
          <w:rFonts w:ascii="Arial" w:hAnsi="Arial" w:cs="Arial"/>
          <w:sz w:val="22"/>
          <w:szCs w:val="22"/>
        </w:rPr>
        <w:t>Curbing</w:t>
      </w:r>
      <w:r w:rsidR="005D483A">
        <w:rPr>
          <w:rFonts w:ascii="Arial" w:hAnsi="Arial" w:cs="Arial"/>
          <w:sz w:val="22"/>
          <w:szCs w:val="22"/>
        </w:rPr>
        <w:t xml:space="preserve"> or c</w:t>
      </w:r>
      <w:r w:rsidR="00EF63D9" w:rsidRPr="00EF63D9">
        <w:rPr>
          <w:rFonts w:ascii="Arial" w:hAnsi="Arial" w:cs="Arial"/>
          <w:sz w:val="22"/>
          <w:szCs w:val="22"/>
        </w:rPr>
        <w:t>raf</w:t>
      </w:r>
      <w:r w:rsidR="005D483A">
        <w:rPr>
          <w:rFonts w:ascii="Arial" w:hAnsi="Arial" w:cs="Arial"/>
          <w:sz w:val="22"/>
          <w:szCs w:val="22"/>
        </w:rPr>
        <w:t xml:space="preserve">ting </w:t>
      </w:r>
      <w:r w:rsidR="005D483A" w:rsidRPr="00A3121A">
        <w:rPr>
          <w:rFonts w:ascii="Arial" w:hAnsi="Arial" w:cs="Arial"/>
          <w:i/>
          <w:sz w:val="22"/>
          <w:szCs w:val="22"/>
        </w:rPr>
        <w:t>Delaware tax trap</w:t>
      </w:r>
      <w:r w:rsidR="005D483A">
        <w:rPr>
          <w:rFonts w:ascii="Arial" w:hAnsi="Arial" w:cs="Arial"/>
          <w:sz w:val="22"/>
          <w:szCs w:val="22"/>
        </w:rPr>
        <w:t xml:space="preserve"> savings c</w:t>
      </w:r>
      <w:r w:rsidR="00EF63D9" w:rsidRPr="00EF63D9">
        <w:rPr>
          <w:rFonts w:ascii="Arial" w:hAnsi="Arial" w:cs="Arial"/>
          <w:sz w:val="22"/>
          <w:szCs w:val="22"/>
        </w:rPr>
        <w:t>lauses</w:t>
      </w:r>
      <w:r w:rsidR="005D483A">
        <w:rPr>
          <w:rFonts w:ascii="Arial" w:hAnsi="Arial" w:cs="Arial"/>
          <w:sz w:val="22"/>
          <w:szCs w:val="22"/>
        </w:rPr>
        <w:t>…</w:t>
      </w:r>
      <w:r w:rsidR="006B2D6C">
        <w:rPr>
          <w:rFonts w:ascii="Arial" w:hAnsi="Arial" w:cs="Arial"/>
          <w:sz w:val="22"/>
          <w:szCs w:val="22"/>
        </w:rPr>
        <w:t>………………</w:t>
      </w:r>
      <w:r>
        <w:rPr>
          <w:rFonts w:ascii="Arial" w:hAnsi="Arial" w:cs="Arial"/>
          <w:sz w:val="22"/>
          <w:szCs w:val="22"/>
        </w:rPr>
        <w:t>…</w:t>
      </w:r>
      <w:r w:rsidR="006B2D6C">
        <w:rPr>
          <w:rFonts w:ascii="Arial" w:hAnsi="Arial" w:cs="Arial"/>
          <w:sz w:val="22"/>
          <w:szCs w:val="22"/>
        </w:rPr>
        <w:t>…</w:t>
      </w:r>
      <w:r w:rsidR="00A16DB9">
        <w:rPr>
          <w:rFonts w:ascii="Arial" w:hAnsi="Arial" w:cs="Arial"/>
          <w:sz w:val="22"/>
          <w:szCs w:val="22"/>
        </w:rPr>
        <w:t>…</w:t>
      </w:r>
      <w:r w:rsidR="00726267">
        <w:rPr>
          <w:rFonts w:ascii="Arial" w:hAnsi="Arial" w:cs="Arial"/>
          <w:sz w:val="22"/>
          <w:szCs w:val="22"/>
        </w:rPr>
        <w:t>….5</w:t>
      </w:r>
      <w:r w:rsidR="00CC49F2">
        <w:rPr>
          <w:rFonts w:ascii="Arial" w:hAnsi="Arial" w:cs="Arial"/>
          <w:sz w:val="22"/>
          <w:szCs w:val="22"/>
        </w:rPr>
        <w:t>8</w:t>
      </w:r>
    </w:p>
    <w:p w14:paraId="15DAFA82" w14:textId="6D68256C" w:rsidR="00422683" w:rsidRDefault="005924D4" w:rsidP="00DB5800">
      <w:pPr>
        <w:numPr>
          <w:ilvl w:val="1"/>
          <w:numId w:val="3"/>
        </w:numPr>
        <w:tabs>
          <w:tab w:val="left" w:pos="1260"/>
        </w:tabs>
        <w:spacing w:line="280" w:lineRule="exact"/>
        <w:ind w:hanging="1080"/>
        <w:rPr>
          <w:rFonts w:ascii="Arial" w:hAnsi="Arial" w:cs="Arial"/>
          <w:sz w:val="22"/>
          <w:szCs w:val="22"/>
        </w:rPr>
      </w:pPr>
      <w:r>
        <w:rPr>
          <w:rFonts w:ascii="Arial" w:hAnsi="Arial" w:cs="Arial"/>
          <w:sz w:val="22"/>
          <w:szCs w:val="22"/>
        </w:rPr>
        <w:t>Addressing concerns of p</w:t>
      </w:r>
      <w:r w:rsidR="00422683" w:rsidRPr="00422683">
        <w:rPr>
          <w:rFonts w:ascii="Arial" w:hAnsi="Arial" w:cs="Arial"/>
          <w:sz w:val="22"/>
          <w:szCs w:val="22"/>
        </w:rPr>
        <w:t>otential attack</w:t>
      </w:r>
      <w:r w:rsidR="00422683">
        <w:rPr>
          <w:rFonts w:ascii="Arial" w:hAnsi="Arial" w:cs="Arial"/>
          <w:sz w:val="22"/>
          <w:szCs w:val="22"/>
        </w:rPr>
        <w:t>s</w:t>
      </w:r>
      <w:r w:rsidR="00422683" w:rsidRPr="00422683">
        <w:rPr>
          <w:rFonts w:ascii="Arial" w:hAnsi="Arial" w:cs="Arial"/>
          <w:sz w:val="22"/>
          <w:szCs w:val="22"/>
        </w:rPr>
        <w:t xml:space="preserve"> on formula GPOAs</w:t>
      </w:r>
      <w:r w:rsidR="003D5DE9">
        <w:rPr>
          <w:rFonts w:ascii="Arial" w:hAnsi="Arial" w:cs="Arial"/>
          <w:sz w:val="22"/>
          <w:szCs w:val="22"/>
        </w:rPr>
        <w:t>………….</w:t>
      </w:r>
      <w:r w:rsidR="0043690B">
        <w:rPr>
          <w:rFonts w:ascii="Arial" w:hAnsi="Arial" w:cs="Arial"/>
          <w:sz w:val="22"/>
          <w:szCs w:val="22"/>
        </w:rPr>
        <w:t>…</w:t>
      </w:r>
      <w:r w:rsidR="00A3121A">
        <w:rPr>
          <w:rFonts w:ascii="Arial" w:hAnsi="Arial" w:cs="Arial"/>
          <w:sz w:val="22"/>
          <w:szCs w:val="22"/>
        </w:rPr>
        <w:t>.</w:t>
      </w:r>
      <w:r w:rsidR="006B2D6C">
        <w:rPr>
          <w:rFonts w:ascii="Arial" w:hAnsi="Arial" w:cs="Arial"/>
          <w:sz w:val="22"/>
          <w:szCs w:val="22"/>
        </w:rPr>
        <w:t>…</w:t>
      </w:r>
      <w:r w:rsidR="00A16DB9">
        <w:rPr>
          <w:rFonts w:ascii="Arial" w:hAnsi="Arial" w:cs="Arial"/>
          <w:sz w:val="22"/>
          <w:szCs w:val="22"/>
        </w:rPr>
        <w:t>…</w:t>
      </w:r>
      <w:r w:rsidR="00726267">
        <w:rPr>
          <w:rFonts w:ascii="Arial" w:hAnsi="Arial" w:cs="Arial"/>
          <w:sz w:val="22"/>
          <w:szCs w:val="22"/>
        </w:rPr>
        <w:t>.. 5</w:t>
      </w:r>
      <w:r w:rsidR="006C7BC4">
        <w:rPr>
          <w:rFonts w:ascii="Arial" w:hAnsi="Arial" w:cs="Arial"/>
          <w:sz w:val="22"/>
          <w:szCs w:val="22"/>
        </w:rPr>
        <w:t>9</w:t>
      </w:r>
    </w:p>
    <w:p w14:paraId="0CC91A68" w14:textId="76CA2780" w:rsidR="001045D5" w:rsidRDefault="001045D5" w:rsidP="00DB5800">
      <w:pPr>
        <w:numPr>
          <w:ilvl w:val="1"/>
          <w:numId w:val="3"/>
        </w:numPr>
        <w:tabs>
          <w:tab w:val="left" w:pos="1260"/>
        </w:tabs>
        <w:spacing w:line="280" w:lineRule="exact"/>
        <w:ind w:hanging="1080"/>
        <w:rPr>
          <w:rFonts w:ascii="Arial" w:hAnsi="Arial" w:cs="Arial"/>
          <w:sz w:val="22"/>
          <w:szCs w:val="22"/>
        </w:rPr>
      </w:pPr>
      <w:r>
        <w:rPr>
          <w:rFonts w:ascii="Arial" w:hAnsi="Arial" w:cs="Arial"/>
          <w:sz w:val="22"/>
          <w:szCs w:val="22"/>
        </w:rPr>
        <w:t>PLR</w:t>
      </w:r>
      <w:r w:rsidR="00A3121A">
        <w:rPr>
          <w:rFonts w:ascii="Arial" w:hAnsi="Arial" w:cs="Arial"/>
          <w:sz w:val="22"/>
          <w:szCs w:val="22"/>
        </w:rPr>
        <w:t>s</w:t>
      </w:r>
      <w:r>
        <w:rPr>
          <w:rFonts w:ascii="Arial" w:hAnsi="Arial" w:cs="Arial"/>
          <w:sz w:val="22"/>
          <w:szCs w:val="22"/>
        </w:rPr>
        <w:t xml:space="preserve"> 9110054</w:t>
      </w:r>
      <w:r w:rsidR="00A3121A">
        <w:rPr>
          <w:rFonts w:ascii="Arial" w:hAnsi="Arial" w:cs="Arial"/>
          <w:sz w:val="22"/>
          <w:szCs w:val="22"/>
        </w:rPr>
        <w:t>,</w:t>
      </w:r>
      <w:r>
        <w:rPr>
          <w:rFonts w:ascii="Arial" w:hAnsi="Arial" w:cs="Arial"/>
          <w:sz w:val="22"/>
          <w:szCs w:val="22"/>
        </w:rPr>
        <w:t xml:space="preserve"> </w:t>
      </w:r>
      <w:r w:rsidR="00A3121A">
        <w:rPr>
          <w:rFonts w:ascii="Arial" w:hAnsi="Arial" w:cs="Arial"/>
          <w:sz w:val="22"/>
          <w:szCs w:val="22"/>
        </w:rPr>
        <w:t>9527024</w:t>
      </w:r>
      <w:r w:rsidR="00D20D01">
        <w:rPr>
          <w:rFonts w:ascii="Arial" w:hAnsi="Arial" w:cs="Arial"/>
          <w:sz w:val="22"/>
          <w:szCs w:val="22"/>
        </w:rPr>
        <w:t>:</w:t>
      </w:r>
      <w:r w:rsidR="00A3121A">
        <w:rPr>
          <w:rFonts w:ascii="Arial" w:hAnsi="Arial" w:cs="Arial"/>
          <w:sz w:val="22"/>
          <w:szCs w:val="22"/>
        </w:rPr>
        <w:t xml:space="preserve"> </w:t>
      </w:r>
      <w:r>
        <w:rPr>
          <w:rFonts w:ascii="Arial" w:hAnsi="Arial" w:cs="Arial"/>
          <w:sz w:val="22"/>
          <w:szCs w:val="22"/>
        </w:rPr>
        <w:t>formula GPOA</w:t>
      </w:r>
      <w:r w:rsidR="00A3121A">
        <w:rPr>
          <w:rFonts w:ascii="Arial" w:hAnsi="Arial" w:cs="Arial"/>
          <w:sz w:val="22"/>
          <w:szCs w:val="22"/>
        </w:rPr>
        <w:t>s</w:t>
      </w:r>
      <w:r>
        <w:rPr>
          <w:rFonts w:ascii="Arial" w:hAnsi="Arial" w:cs="Arial"/>
          <w:sz w:val="22"/>
          <w:szCs w:val="22"/>
        </w:rPr>
        <w:t xml:space="preserve"> based on powerholder</w:t>
      </w:r>
      <w:r w:rsidR="00A3121A">
        <w:rPr>
          <w:rFonts w:ascii="Arial" w:hAnsi="Arial" w:cs="Arial"/>
          <w:sz w:val="22"/>
          <w:szCs w:val="22"/>
        </w:rPr>
        <w:t>’s</w:t>
      </w:r>
      <w:r>
        <w:rPr>
          <w:rFonts w:ascii="Arial" w:hAnsi="Arial" w:cs="Arial"/>
          <w:sz w:val="22"/>
          <w:szCs w:val="22"/>
        </w:rPr>
        <w:t xml:space="preserve"> estate</w:t>
      </w:r>
      <w:r w:rsidR="00A91FFA">
        <w:rPr>
          <w:rFonts w:ascii="Arial" w:hAnsi="Arial" w:cs="Arial"/>
          <w:sz w:val="22"/>
          <w:szCs w:val="22"/>
        </w:rPr>
        <w:t>…</w:t>
      </w:r>
      <w:r w:rsidR="005D5DCC">
        <w:rPr>
          <w:rFonts w:ascii="Arial" w:hAnsi="Arial" w:cs="Arial"/>
          <w:sz w:val="22"/>
          <w:szCs w:val="22"/>
        </w:rPr>
        <w:t>.</w:t>
      </w:r>
      <w:r w:rsidR="00A16DB9">
        <w:rPr>
          <w:rFonts w:ascii="Arial" w:hAnsi="Arial" w:cs="Arial"/>
          <w:sz w:val="22"/>
          <w:szCs w:val="22"/>
        </w:rPr>
        <w:t>.</w:t>
      </w:r>
      <w:r w:rsidR="00A91FFA">
        <w:rPr>
          <w:rFonts w:ascii="Arial" w:hAnsi="Arial" w:cs="Arial"/>
          <w:sz w:val="22"/>
          <w:szCs w:val="22"/>
        </w:rPr>
        <w:t>.</w:t>
      </w:r>
      <w:r w:rsidR="001E2E1E">
        <w:rPr>
          <w:rFonts w:ascii="Arial" w:hAnsi="Arial" w:cs="Arial"/>
          <w:sz w:val="22"/>
          <w:szCs w:val="22"/>
        </w:rPr>
        <w:t>.</w:t>
      </w:r>
      <w:r>
        <w:rPr>
          <w:rFonts w:ascii="Arial" w:hAnsi="Arial" w:cs="Arial"/>
          <w:sz w:val="22"/>
          <w:szCs w:val="22"/>
        </w:rPr>
        <w:t>.</w:t>
      </w:r>
      <w:r w:rsidR="006C7BC4">
        <w:rPr>
          <w:rFonts w:ascii="Arial" w:hAnsi="Arial" w:cs="Arial"/>
          <w:sz w:val="22"/>
          <w:szCs w:val="22"/>
        </w:rPr>
        <w:t>60</w:t>
      </w:r>
    </w:p>
    <w:p w14:paraId="1A06BEB5" w14:textId="5630A297" w:rsidR="003D5DE9" w:rsidRDefault="003D5DE9" w:rsidP="00DB5800">
      <w:pPr>
        <w:numPr>
          <w:ilvl w:val="1"/>
          <w:numId w:val="3"/>
        </w:numPr>
        <w:tabs>
          <w:tab w:val="left" w:pos="1260"/>
        </w:tabs>
        <w:spacing w:line="280" w:lineRule="exact"/>
        <w:ind w:hanging="1080"/>
        <w:rPr>
          <w:rFonts w:ascii="Arial" w:hAnsi="Arial" w:cs="Arial"/>
          <w:sz w:val="22"/>
          <w:szCs w:val="22"/>
        </w:rPr>
      </w:pPr>
      <w:r>
        <w:rPr>
          <w:rFonts w:ascii="Arial" w:hAnsi="Arial" w:cs="Arial"/>
          <w:sz w:val="22"/>
          <w:szCs w:val="22"/>
        </w:rPr>
        <w:t xml:space="preserve">Analyzing and addressing the </w:t>
      </w:r>
      <w:r w:rsidRPr="00862916">
        <w:rPr>
          <w:rFonts w:ascii="Arial" w:hAnsi="Arial" w:cs="Arial"/>
          <w:i/>
          <w:sz w:val="22"/>
          <w:szCs w:val="22"/>
        </w:rPr>
        <w:t>Kurz</w:t>
      </w:r>
      <w:r w:rsidR="0043690B">
        <w:rPr>
          <w:rFonts w:ascii="Arial" w:hAnsi="Arial" w:cs="Arial"/>
          <w:sz w:val="22"/>
          <w:szCs w:val="22"/>
        </w:rPr>
        <w:t xml:space="preserve"> cases………………………………………</w:t>
      </w:r>
      <w:r w:rsidR="00A16DB9">
        <w:rPr>
          <w:rFonts w:ascii="Arial" w:hAnsi="Arial" w:cs="Arial"/>
          <w:sz w:val="22"/>
          <w:szCs w:val="22"/>
        </w:rPr>
        <w:t>..</w:t>
      </w:r>
      <w:r w:rsidR="00A91FFA">
        <w:rPr>
          <w:rFonts w:ascii="Arial" w:hAnsi="Arial" w:cs="Arial"/>
          <w:sz w:val="22"/>
          <w:szCs w:val="22"/>
        </w:rPr>
        <w:t>..</w:t>
      </w:r>
      <w:r w:rsidR="00726267">
        <w:rPr>
          <w:rFonts w:ascii="Arial" w:hAnsi="Arial" w:cs="Arial"/>
          <w:sz w:val="22"/>
          <w:szCs w:val="22"/>
        </w:rPr>
        <w:t>..6</w:t>
      </w:r>
      <w:r w:rsidR="006C7BC4">
        <w:rPr>
          <w:rFonts w:ascii="Arial" w:hAnsi="Arial" w:cs="Arial"/>
          <w:sz w:val="22"/>
          <w:szCs w:val="22"/>
        </w:rPr>
        <w:t>4</w:t>
      </w:r>
    </w:p>
    <w:p w14:paraId="0FCEDEB4" w14:textId="261A2399" w:rsidR="00491FB5" w:rsidRPr="00506316" w:rsidRDefault="00BB2363" w:rsidP="00DB5800">
      <w:pPr>
        <w:numPr>
          <w:ilvl w:val="1"/>
          <w:numId w:val="3"/>
        </w:numPr>
        <w:tabs>
          <w:tab w:val="num" w:pos="720"/>
          <w:tab w:val="left" w:pos="1260"/>
        </w:tabs>
        <w:spacing w:line="280" w:lineRule="exact"/>
        <w:ind w:hanging="1080"/>
        <w:rPr>
          <w:rFonts w:ascii="Arial" w:hAnsi="Arial" w:cs="Arial"/>
          <w:sz w:val="22"/>
          <w:szCs w:val="22"/>
        </w:rPr>
      </w:pPr>
      <w:r>
        <w:rPr>
          <w:rFonts w:ascii="Arial" w:hAnsi="Arial" w:cs="Arial"/>
          <w:sz w:val="22"/>
          <w:szCs w:val="22"/>
        </w:rPr>
        <w:t xml:space="preserve">Comparing </w:t>
      </w:r>
      <w:r w:rsidR="00422683">
        <w:rPr>
          <w:rFonts w:ascii="Arial" w:hAnsi="Arial" w:cs="Arial"/>
          <w:sz w:val="22"/>
          <w:szCs w:val="22"/>
        </w:rPr>
        <w:t xml:space="preserve">use of </w:t>
      </w:r>
      <w:r>
        <w:rPr>
          <w:rFonts w:ascii="Arial" w:hAnsi="Arial" w:cs="Arial"/>
          <w:sz w:val="22"/>
          <w:szCs w:val="22"/>
        </w:rPr>
        <w:t xml:space="preserve">LPOAs &amp; </w:t>
      </w:r>
      <w:r w:rsidR="004C57A6" w:rsidRPr="00A3121A">
        <w:rPr>
          <w:rFonts w:ascii="Arial" w:hAnsi="Arial" w:cs="Arial"/>
          <w:i/>
          <w:sz w:val="22"/>
          <w:szCs w:val="22"/>
        </w:rPr>
        <w:t>Delaware tax t</w:t>
      </w:r>
      <w:r w:rsidR="00AC6547" w:rsidRPr="00A3121A">
        <w:rPr>
          <w:rFonts w:ascii="Arial" w:hAnsi="Arial" w:cs="Arial"/>
          <w:i/>
          <w:sz w:val="22"/>
          <w:szCs w:val="22"/>
        </w:rPr>
        <w:t>rap</w:t>
      </w:r>
      <w:r w:rsidR="00AC6547">
        <w:rPr>
          <w:rFonts w:ascii="Arial" w:hAnsi="Arial" w:cs="Arial"/>
          <w:sz w:val="22"/>
          <w:szCs w:val="22"/>
        </w:rPr>
        <w:t xml:space="preserve"> </w:t>
      </w:r>
      <w:r w:rsidR="00422683">
        <w:rPr>
          <w:rFonts w:ascii="Arial" w:hAnsi="Arial" w:cs="Arial"/>
          <w:sz w:val="22"/>
          <w:szCs w:val="22"/>
        </w:rPr>
        <w:t>v. use of</w:t>
      </w:r>
      <w:r w:rsidR="00455113">
        <w:rPr>
          <w:rFonts w:ascii="Arial" w:hAnsi="Arial" w:cs="Arial"/>
          <w:sz w:val="22"/>
          <w:szCs w:val="22"/>
        </w:rPr>
        <w:t xml:space="preserve"> </w:t>
      </w:r>
      <w:r w:rsidR="003D5DE9">
        <w:rPr>
          <w:rFonts w:ascii="Arial" w:hAnsi="Arial" w:cs="Arial"/>
          <w:sz w:val="22"/>
          <w:szCs w:val="22"/>
        </w:rPr>
        <w:t>f</w:t>
      </w:r>
      <w:r w:rsidR="007E1312">
        <w:rPr>
          <w:rFonts w:ascii="Arial" w:hAnsi="Arial" w:cs="Arial"/>
          <w:sz w:val="22"/>
          <w:szCs w:val="22"/>
        </w:rPr>
        <w:t>ormula GPOA</w:t>
      </w:r>
      <w:r w:rsidR="00AC6547">
        <w:rPr>
          <w:rFonts w:ascii="Arial" w:hAnsi="Arial" w:cs="Arial"/>
          <w:sz w:val="22"/>
          <w:szCs w:val="22"/>
        </w:rPr>
        <w:t>s</w:t>
      </w:r>
      <w:r w:rsidR="004C57A6">
        <w:rPr>
          <w:rFonts w:ascii="Arial" w:hAnsi="Arial" w:cs="Arial"/>
          <w:sz w:val="22"/>
          <w:szCs w:val="22"/>
        </w:rPr>
        <w:t>…</w:t>
      </w:r>
      <w:r w:rsidR="00A16DB9">
        <w:rPr>
          <w:rFonts w:ascii="Arial" w:hAnsi="Arial" w:cs="Arial"/>
          <w:sz w:val="22"/>
          <w:szCs w:val="22"/>
        </w:rPr>
        <w:t>…</w:t>
      </w:r>
      <w:r w:rsidR="00726267">
        <w:rPr>
          <w:rFonts w:ascii="Arial" w:hAnsi="Arial" w:cs="Arial"/>
          <w:sz w:val="22"/>
          <w:szCs w:val="22"/>
        </w:rPr>
        <w:t>….</w:t>
      </w:r>
      <w:r w:rsidR="007E61F8">
        <w:rPr>
          <w:rFonts w:ascii="Arial" w:hAnsi="Arial" w:cs="Arial"/>
          <w:sz w:val="22"/>
          <w:szCs w:val="22"/>
        </w:rPr>
        <w:t>70</w:t>
      </w:r>
    </w:p>
    <w:p w14:paraId="0E4254AB" w14:textId="16C31817" w:rsidR="00363CB7" w:rsidRDefault="00D35244" w:rsidP="00DB5800">
      <w:pPr>
        <w:numPr>
          <w:ilvl w:val="2"/>
          <w:numId w:val="3"/>
        </w:numPr>
        <w:tabs>
          <w:tab w:val="left" w:pos="720"/>
        </w:tabs>
        <w:spacing w:line="280" w:lineRule="exact"/>
        <w:ind w:right="-108" w:hanging="1800"/>
        <w:jc w:val="both"/>
        <w:rPr>
          <w:rFonts w:ascii="Arial" w:hAnsi="Arial" w:cs="Arial"/>
        </w:rPr>
      </w:pPr>
      <w:r>
        <w:rPr>
          <w:rFonts w:ascii="Arial" w:hAnsi="Arial" w:cs="Arial"/>
        </w:rPr>
        <w:t>Busting</w:t>
      </w:r>
      <w:r w:rsidR="00FD28E7">
        <w:rPr>
          <w:rFonts w:ascii="Arial" w:hAnsi="Arial" w:cs="Arial"/>
        </w:rPr>
        <w:t xml:space="preserve"> Disclaimer Myths – Using</w:t>
      </w:r>
      <w:r w:rsidR="005A460A">
        <w:rPr>
          <w:rFonts w:ascii="Arial" w:hAnsi="Arial" w:cs="Arial"/>
        </w:rPr>
        <w:t xml:space="preserve"> </w:t>
      </w:r>
      <w:r w:rsidR="0073340D">
        <w:rPr>
          <w:rFonts w:ascii="Arial" w:hAnsi="Arial" w:cs="Arial"/>
        </w:rPr>
        <w:t xml:space="preserve">OBITs </w:t>
      </w:r>
      <w:r w:rsidR="00AC6547">
        <w:rPr>
          <w:rFonts w:ascii="Arial" w:hAnsi="Arial" w:cs="Arial"/>
        </w:rPr>
        <w:t>w/</w:t>
      </w:r>
      <w:r w:rsidR="005A460A">
        <w:rPr>
          <w:rFonts w:ascii="Arial" w:hAnsi="Arial" w:cs="Arial"/>
        </w:rPr>
        <w:t xml:space="preserve"> </w:t>
      </w:r>
      <w:r w:rsidR="0073340D">
        <w:rPr>
          <w:rFonts w:ascii="Arial" w:hAnsi="Arial" w:cs="Arial"/>
        </w:rPr>
        <w:t xml:space="preserve">Disclaimer </w:t>
      </w:r>
      <w:r w:rsidR="00AC6547">
        <w:rPr>
          <w:rFonts w:ascii="Arial" w:hAnsi="Arial" w:cs="Arial"/>
        </w:rPr>
        <w:t xml:space="preserve">Based </w:t>
      </w:r>
      <w:r w:rsidR="0073340D">
        <w:rPr>
          <w:rFonts w:ascii="Arial" w:hAnsi="Arial" w:cs="Arial"/>
        </w:rPr>
        <w:t>P</w:t>
      </w:r>
      <w:r w:rsidR="005A460A">
        <w:rPr>
          <w:rFonts w:ascii="Arial" w:hAnsi="Arial" w:cs="Arial"/>
        </w:rPr>
        <w:t>lanning</w:t>
      </w:r>
      <w:r w:rsidR="005D483A">
        <w:rPr>
          <w:rFonts w:ascii="Arial" w:hAnsi="Arial" w:cs="Arial"/>
        </w:rPr>
        <w:t>….</w:t>
      </w:r>
      <w:r w:rsidR="005D5DCC">
        <w:rPr>
          <w:rFonts w:ascii="Arial" w:hAnsi="Arial" w:cs="Arial"/>
        </w:rPr>
        <w:t>.</w:t>
      </w:r>
      <w:r w:rsidR="00A16DB9">
        <w:rPr>
          <w:rFonts w:ascii="Arial" w:hAnsi="Arial" w:cs="Arial"/>
        </w:rPr>
        <w:t>.</w:t>
      </w:r>
      <w:r w:rsidR="005D483A">
        <w:rPr>
          <w:rFonts w:ascii="Arial" w:hAnsi="Arial" w:cs="Arial"/>
        </w:rPr>
        <w:t>…</w:t>
      </w:r>
      <w:r w:rsidR="00E35C11">
        <w:rPr>
          <w:rFonts w:ascii="Arial" w:hAnsi="Arial" w:cs="Arial"/>
        </w:rPr>
        <w:t>83</w:t>
      </w:r>
    </w:p>
    <w:p w14:paraId="21B6DD38" w14:textId="76280C39" w:rsidR="00DB5800" w:rsidRDefault="00DB5800" w:rsidP="00DB5800">
      <w:pPr>
        <w:pStyle w:val="ListParagraph"/>
        <w:numPr>
          <w:ilvl w:val="0"/>
          <w:numId w:val="16"/>
        </w:numPr>
        <w:tabs>
          <w:tab w:val="left" w:pos="720"/>
        </w:tabs>
        <w:spacing w:line="280" w:lineRule="exact"/>
        <w:jc w:val="both"/>
        <w:rPr>
          <w:rFonts w:ascii="Arial" w:hAnsi="Arial" w:cs="Arial"/>
          <w:sz w:val="22"/>
        </w:rPr>
      </w:pPr>
      <w:r>
        <w:rPr>
          <w:rFonts w:ascii="Arial" w:hAnsi="Arial" w:cs="Arial"/>
          <w:sz w:val="22"/>
        </w:rPr>
        <w:t>How spousal disclaimers can actually add to</w:t>
      </w:r>
      <w:r w:rsidR="00726267">
        <w:rPr>
          <w:rFonts w:ascii="Arial" w:hAnsi="Arial" w:cs="Arial"/>
          <w:sz w:val="22"/>
        </w:rPr>
        <w:t xml:space="preserve"> the disclaimant’s basis……………</w:t>
      </w:r>
      <w:r w:rsidR="00E35C11">
        <w:rPr>
          <w:rFonts w:ascii="Arial" w:hAnsi="Arial" w:cs="Arial"/>
          <w:sz w:val="22"/>
        </w:rPr>
        <w:t>83</w:t>
      </w:r>
    </w:p>
    <w:p w14:paraId="7F51708D" w14:textId="50715569" w:rsidR="00363CB7" w:rsidRPr="00B72612" w:rsidRDefault="00363CB7" w:rsidP="00DB5800">
      <w:pPr>
        <w:pStyle w:val="ListParagraph"/>
        <w:numPr>
          <w:ilvl w:val="0"/>
          <w:numId w:val="16"/>
        </w:numPr>
        <w:tabs>
          <w:tab w:val="left" w:pos="720"/>
        </w:tabs>
        <w:spacing w:line="280" w:lineRule="exact"/>
        <w:jc w:val="both"/>
        <w:rPr>
          <w:rFonts w:ascii="Arial" w:hAnsi="Arial" w:cs="Arial"/>
          <w:sz w:val="22"/>
        </w:rPr>
      </w:pPr>
      <w:r w:rsidRPr="00B72612">
        <w:rPr>
          <w:rFonts w:ascii="Arial" w:hAnsi="Arial" w:cs="Arial"/>
          <w:sz w:val="22"/>
        </w:rPr>
        <w:t xml:space="preserve">How a spouse can retain LPOAs/GPOAs in trusts </w:t>
      </w:r>
      <w:r w:rsidRPr="00B72612">
        <w:rPr>
          <w:rFonts w:ascii="Arial" w:hAnsi="Arial" w:cs="Arial"/>
          <w:i/>
          <w:sz w:val="22"/>
        </w:rPr>
        <w:t>post-disclaimer</w:t>
      </w:r>
      <w:r w:rsidR="00B72612">
        <w:rPr>
          <w:rFonts w:ascii="Arial" w:hAnsi="Arial" w:cs="Arial"/>
          <w:i/>
          <w:sz w:val="22"/>
        </w:rPr>
        <w:t>………</w:t>
      </w:r>
      <w:r w:rsidR="002F7C8A">
        <w:rPr>
          <w:rFonts w:ascii="Arial" w:hAnsi="Arial" w:cs="Arial"/>
          <w:sz w:val="22"/>
        </w:rPr>
        <w:t>…</w:t>
      </w:r>
      <w:r w:rsidR="00A16DB9">
        <w:rPr>
          <w:rFonts w:ascii="Arial" w:hAnsi="Arial" w:cs="Arial"/>
          <w:sz w:val="22"/>
        </w:rPr>
        <w:t>…</w:t>
      </w:r>
      <w:r w:rsidR="00726267">
        <w:rPr>
          <w:rFonts w:ascii="Arial" w:hAnsi="Arial" w:cs="Arial"/>
          <w:sz w:val="22"/>
        </w:rPr>
        <w:t>…8</w:t>
      </w:r>
      <w:r w:rsidR="006576EF">
        <w:rPr>
          <w:rFonts w:ascii="Arial" w:hAnsi="Arial" w:cs="Arial"/>
          <w:sz w:val="22"/>
        </w:rPr>
        <w:t>7</w:t>
      </w:r>
    </w:p>
    <w:p w14:paraId="7257CECD" w14:textId="56F2F2C8" w:rsidR="00842C2A" w:rsidRDefault="00DB5800" w:rsidP="00DB5800">
      <w:pPr>
        <w:pStyle w:val="ListParagraph"/>
        <w:numPr>
          <w:ilvl w:val="0"/>
          <w:numId w:val="16"/>
        </w:numPr>
        <w:tabs>
          <w:tab w:val="left" w:pos="720"/>
        </w:tabs>
        <w:spacing w:line="280" w:lineRule="exact"/>
        <w:jc w:val="both"/>
        <w:rPr>
          <w:rFonts w:ascii="Arial" w:hAnsi="Arial" w:cs="Arial"/>
          <w:sz w:val="22"/>
        </w:rPr>
      </w:pPr>
      <w:r>
        <w:rPr>
          <w:rFonts w:ascii="Arial" w:hAnsi="Arial" w:cs="Arial"/>
          <w:sz w:val="22"/>
        </w:rPr>
        <w:t>How a spouse can retain</w:t>
      </w:r>
      <w:r w:rsidR="00411626" w:rsidRPr="00B72612">
        <w:rPr>
          <w:rFonts w:ascii="Arial" w:hAnsi="Arial" w:cs="Arial"/>
          <w:sz w:val="22"/>
        </w:rPr>
        <w:t xml:space="preserve"> testamentary powers </w:t>
      </w:r>
      <w:r w:rsidR="00862916" w:rsidRPr="00B72612">
        <w:rPr>
          <w:rFonts w:ascii="Arial" w:hAnsi="Arial" w:cs="Arial"/>
          <w:sz w:val="22"/>
        </w:rPr>
        <w:t xml:space="preserve">post-disclaimer </w:t>
      </w:r>
      <w:r>
        <w:rPr>
          <w:rFonts w:ascii="Arial" w:hAnsi="Arial" w:cs="Arial"/>
          <w:sz w:val="22"/>
        </w:rPr>
        <w:t>in QTIPs</w:t>
      </w:r>
      <w:r w:rsidR="005D483A">
        <w:rPr>
          <w:rFonts w:ascii="Arial" w:hAnsi="Arial" w:cs="Arial"/>
          <w:sz w:val="22"/>
        </w:rPr>
        <w:t>.</w:t>
      </w:r>
      <w:r w:rsidR="00862916" w:rsidRPr="00B72612">
        <w:rPr>
          <w:rFonts w:ascii="Arial" w:hAnsi="Arial" w:cs="Arial"/>
          <w:sz w:val="22"/>
        </w:rPr>
        <w:t>.</w:t>
      </w:r>
      <w:r w:rsidR="00A91FFA">
        <w:rPr>
          <w:rFonts w:ascii="Arial" w:hAnsi="Arial" w:cs="Arial"/>
          <w:sz w:val="22"/>
        </w:rPr>
        <w:t>.</w:t>
      </w:r>
      <w:r w:rsidR="00411626" w:rsidRPr="00B72612">
        <w:rPr>
          <w:rFonts w:ascii="Arial" w:hAnsi="Arial" w:cs="Arial"/>
          <w:sz w:val="22"/>
        </w:rPr>
        <w:t>…</w:t>
      </w:r>
      <w:r w:rsidR="00A16DB9">
        <w:rPr>
          <w:rFonts w:ascii="Arial" w:hAnsi="Arial" w:cs="Arial"/>
          <w:sz w:val="22"/>
        </w:rPr>
        <w:t>...</w:t>
      </w:r>
      <w:r w:rsidR="00411626" w:rsidRPr="00B72612">
        <w:rPr>
          <w:rFonts w:ascii="Arial" w:hAnsi="Arial" w:cs="Arial"/>
          <w:sz w:val="22"/>
        </w:rPr>
        <w:t>.</w:t>
      </w:r>
      <w:r w:rsidR="004C57A6" w:rsidRPr="00B72612">
        <w:rPr>
          <w:rFonts w:ascii="Arial" w:hAnsi="Arial" w:cs="Arial"/>
          <w:sz w:val="22"/>
        </w:rPr>
        <w:t>.</w:t>
      </w:r>
      <w:r w:rsidR="006576EF">
        <w:rPr>
          <w:rFonts w:ascii="Arial" w:hAnsi="Arial" w:cs="Arial"/>
          <w:sz w:val="22"/>
        </w:rPr>
        <w:t>89</w:t>
      </w:r>
    </w:p>
    <w:p w14:paraId="2DA578CC" w14:textId="6EDA4C41" w:rsidR="00842C2A" w:rsidRDefault="00842C2A" w:rsidP="00DB5800">
      <w:pPr>
        <w:pStyle w:val="ListParagraph"/>
        <w:numPr>
          <w:ilvl w:val="0"/>
          <w:numId w:val="16"/>
        </w:numPr>
        <w:tabs>
          <w:tab w:val="left" w:pos="720"/>
        </w:tabs>
        <w:spacing w:line="280" w:lineRule="exact"/>
        <w:jc w:val="both"/>
        <w:rPr>
          <w:rFonts w:ascii="Arial" w:hAnsi="Arial" w:cs="Arial"/>
          <w:sz w:val="22"/>
        </w:rPr>
      </w:pPr>
      <w:r>
        <w:rPr>
          <w:rFonts w:ascii="Arial" w:hAnsi="Arial" w:cs="Arial"/>
          <w:sz w:val="22"/>
        </w:rPr>
        <w:t>How OBITs open up better post-mortem disclaimer planning at 2</w:t>
      </w:r>
      <w:r w:rsidRPr="00842C2A">
        <w:rPr>
          <w:rFonts w:ascii="Arial" w:hAnsi="Arial" w:cs="Arial"/>
          <w:sz w:val="22"/>
          <w:vertAlign w:val="superscript"/>
        </w:rPr>
        <w:t>nd</w:t>
      </w:r>
      <w:r>
        <w:rPr>
          <w:rFonts w:ascii="Arial" w:hAnsi="Arial" w:cs="Arial"/>
          <w:sz w:val="22"/>
        </w:rPr>
        <w:t xml:space="preserve"> death…</w:t>
      </w:r>
      <w:r w:rsidR="005D5DCC">
        <w:rPr>
          <w:rFonts w:ascii="Arial" w:hAnsi="Arial" w:cs="Arial"/>
          <w:sz w:val="22"/>
        </w:rPr>
        <w:t>.</w:t>
      </w:r>
      <w:r>
        <w:rPr>
          <w:rFonts w:ascii="Arial" w:hAnsi="Arial" w:cs="Arial"/>
          <w:sz w:val="22"/>
        </w:rPr>
        <w:t>…</w:t>
      </w:r>
      <w:r w:rsidR="00726267">
        <w:rPr>
          <w:rFonts w:ascii="Arial" w:hAnsi="Arial" w:cs="Arial"/>
          <w:sz w:val="22"/>
        </w:rPr>
        <w:t>..</w:t>
      </w:r>
      <w:r w:rsidR="006576EF">
        <w:rPr>
          <w:rFonts w:ascii="Arial" w:hAnsi="Arial" w:cs="Arial"/>
          <w:sz w:val="22"/>
        </w:rPr>
        <w:t>90</w:t>
      </w:r>
    </w:p>
    <w:p w14:paraId="4017FA5C" w14:textId="352BA451" w:rsidR="00491FB5" w:rsidRDefault="00C42586" w:rsidP="00DB5800">
      <w:pPr>
        <w:numPr>
          <w:ilvl w:val="2"/>
          <w:numId w:val="3"/>
        </w:numPr>
        <w:tabs>
          <w:tab w:val="clear" w:pos="2160"/>
          <w:tab w:val="num" w:pos="720"/>
          <w:tab w:val="left" w:pos="1260"/>
        </w:tabs>
        <w:spacing w:line="280" w:lineRule="exact"/>
        <w:ind w:left="2088" w:hanging="1728"/>
        <w:jc w:val="both"/>
        <w:rPr>
          <w:rFonts w:ascii="Arial" w:hAnsi="Arial" w:cs="Arial"/>
        </w:rPr>
      </w:pPr>
      <w:r>
        <w:rPr>
          <w:rFonts w:ascii="Arial" w:hAnsi="Arial" w:cs="Arial"/>
        </w:rPr>
        <w:lastRenderedPageBreak/>
        <w:t xml:space="preserve">Doubling or </w:t>
      </w:r>
      <w:r w:rsidR="00FB7705">
        <w:rPr>
          <w:rFonts w:ascii="Arial" w:hAnsi="Arial" w:cs="Arial"/>
        </w:rPr>
        <w:t xml:space="preserve">Increasing </w:t>
      </w:r>
      <w:r w:rsidR="00D63814">
        <w:rPr>
          <w:rFonts w:ascii="Arial" w:hAnsi="Arial" w:cs="Arial"/>
        </w:rPr>
        <w:t xml:space="preserve">the </w:t>
      </w:r>
      <w:r w:rsidR="00FB7705">
        <w:rPr>
          <w:rFonts w:ascii="Arial" w:hAnsi="Arial" w:cs="Arial"/>
        </w:rPr>
        <w:t xml:space="preserve">Basis Step Up </w:t>
      </w:r>
      <w:r w:rsidR="00491FB5">
        <w:rPr>
          <w:rFonts w:ascii="Arial" w:hAnsi="Arial" w:cs="Arial"/>
        </w:rPr>
        <w:t xml:space="preserve">at </w:t>
      </w:r>
      <w:r w:rsidR="00491FB5" w:rsidRPr="00FB7705">
        <w:rPr>
          <w:rFonts w:ascii="Arial" w:hAnsi="Arial" w:cs="Arial"/>
          <w:i/>
        </w:rPr>
        <w:t>First</w:t>
      </w:r>
      <w:r w:rsidR="00491FB5">
        <w:rPr>
          <w:rFonts w:ascii="Arial" w:hAnsi="Arial" w:cs="Arial"/>
        </w:rPr>
        <w:t xml:space="preserve"> </w:t>
      </w:r>
      <w:r w:rsidR="00393869">
        <w:rPr>
          <w:rFonts w:ascii="Arial" w:hAnsi="Arial" w:cs="Arial"/>
        </w:rPr>
        <w:t xml:space="preserve">or </w:t>
      </w:r>
      <w:r w:rsidR="00393869" w:rsidRPr="002D1BFD">
        <w:rPr>
          <w:rFonts w:ascii="Arial" w:hAnsi="Arial" w:cs="Arial"/>
          <w:i/>
        </w:rPr>
        <w:t>Other</w:t>
      </w:r>
      <w:r w:rsidR="00393869">
        <w:rPr>
          <w:rFonts w:ascii="Arial" w:hAnsi="Arial" w:cs="Arial"/>
        </w:rPr>
        <w:t xml:space="preserve"> </w:t>
      </w:r>
      <w:r w:rsidR="00491FB5">
        <w:rPr>
          <w:rFonts w:ascii="Arial" w:hAnsi="Arial" w:cs="Arial"/>
        </w:rPr>
        <w:t>Death</w:t>
      </w:r>
      <w:r w:rsidR="00393869">
        <w:rPr>
          <w:rFonts w:ascii="Arial" w:hAnsi="Arial" w:cs="Arial"/>
        </w:rPr>
        <w:t>s</w:t>
      </w:r>
      <w:r w:rsidR="004C57A6">
        <w:rPr>
          <w:rFonts w:ascii="Arial" w:hAnsi="Arial" w:cs="Arial"/>
        </w:rPr>
        <w:t>…………</w:t>
      </w:r>
      <w:r w:rsidR="00426F10">
        <w:rPr>
          <w:rFonts w:ascii="Arial" w:hAnsi="Arial" w:cs="Arial"/>
        </w:rPr>
        <w:t>.</w:t>
      </w:r>
      <w:r w:rsidR="005D483A">
        <w:rPr>
          <w:rFonts w:ascii="Arial" w:hAnsi="Arial" w:cs="Arial"/>
        </w:rPr>
        <w:t>..</w:t>
      </w:r>
      <w:r w:rsidR="004C57A6">
        <w:rPr>
          <w:rFonts w:ascii="Arial" w:hAnsi="Arial" w:cs="Arial"/>
        </w:rPr>
        <w:t>.</w:t>
      </w:r>
      <w:r w:rsidR="00F7107E">
        <w:rPr>
          <w:rFonts w:ascii="Arial" w:hAnsi="Arial" w:cs="Arial"/>
        </w:rPr>
        <w:t>92</w:t>
      </w:r>
    </w:p>
    <w:p w14:paraId="72EC6380" w14:textId="6440E07D" w:rsidR="00411626" w:rsidRDefault="00BB2363" w:rsidP="00DB5800">
      <w:pPr>
        <w:numPr>
          <w:ilvl w:val="0"/>
          <w:numId w:val="11"/>
        </w:numPr>
        <w:spacing w:line="280" w:lineRule="exact"/>
        <w:ind w:left="1305"/>
        <w:jc w:val="both"/>
        <w:rPr>
          <w:rFonts w:ascii="Arial" w:hAnsi="Arial" w:cs="Arial"/>
          <w:sz w:val="22"/>
          <w:szCs w:val="22"/>
        </w:rPr>
      </w:pPr>
      <w:r w:rsidRPr="00BB2363">
        <w:rPr>
          <w:rFonts w:ascii="Arial" w:hAnsi="Arial" w:cs="Arial"/>
          <w:sz w:val="22"/>
          <w:szCs w:val="22"/>
        </w:rPr>
        <w:t xml:space="preserve">Transmutation </w:t>
      </w:r>
      <w:r w:rsidR="004C57A6">
        <w:rPr>
          <w:rFonts w:ascii="Arial" w:hAnsi="Arial" w:cs="Arial"/>
          <w:sz w:val="22"/>
          <w:szCs w:val="22"/>
        </w:rPr>
        <w:t>a</w:t>
      </w:r>
      <w:r w:rsidRPr="00BB2363">
        <w:rPr>
          <w:rFonts w:ascii="Arial" w:hAnsi="Arial" w:cs="Arial"/>
          <w:sz w:val="22"/>
          <w:szCs w:val="22"/>
        </w:rPr>
        <w:t xml:space="preserve">greements and </w:t>
      </w:r>
      <w:r w:rsidR="004C57A6">
        <w:rPr>
          <w:rFonts w:ascii="Arial" w:hAnsi="Arial" w:cs="Arial"/>
          <w:sz w:val="22"/>
          <w:szCs w:val="22"/>
        </w:rPr>
        <w:t>c</w:t>
      </w:r>
      <w:r w:rsidR="00411626">
        <w:rPr>
          <w:rFonts w:ascii="Arial" w:hAnsi="Arial" w:cs="Arial"/>
          <w:sz w:val="22"/>
          <w:szCs w:val="22"/>
        </w:rPr>
        <w:t xml:space="preserve">ommunity </w:t>
      </w:r>
      <w:r w:rsidR="004C57A6">
        <w:rPr>
          <w:rFonts w:ascii="Arial" w:hAnsi="Arial" w:cs="Arial"/>
          <w:sz w:val="22"/>
          <w:szCs w:val="22"/>
        </w:rPr>
        <w:t>p</w:t>
      </w:r>
      <w:r w:rsidR="00411626">
        <w:rPr>
          <w:rFonts w:ascii="Arial" w:hAnsi="Arial" w:cs="Arial"/>
          <w:sz w:val="22"/>
          <w:szCs w:val="22"/>
        </w:rPr>
        <w:t xml:space="preserve">roperty </w:t>
      </w:r>
      <w:r w:rsidR="004C57A6">
        <w:rPr>
          <w:rFonts w:ascii="Arial" w:hAnsi="Arial" w:cs="Arial"/>
          <w:sz w:val="22"/>
          <w:szCs w:val="22"/>
        </w:rPr>
        <w:t>a</w:t>
      </w:r>
      <w:r w:rsidR="00411626">
        <w:rPr>
          <w:rFonts w:ascii="Arial" w:hAnsi="Arial" w:cs="Arial"/>
          <w:sz w:val="22"/>
          <w:szCs w:val="22"/>
        </w:rPr>
        <w:t>greements</w:t>
      </w:r>
      <w:r w:rsidR="004C57A6">
        <w:rPr>
          <w:rFonts w:ascii="Arial" w:hAnsi="Arial" w:cs="Arial"/>
          <w:sz w:val="22"/>
          <w:szCs w:val="22"/>
        </w:rPr>
        <w:t>…</w:t>
      </w:r>
      <w:r w:rsidR="002A6B0C">
        <w:rPr>
          <w:rFonts w:ascii="Arial" w:hAnsi="Arial" w:cs="Arial"/>
          <w:sz w:val="22"/>
          <w:szCs w:val="22"/>
        </w:rPr>
        <w:t>………</w:t>
      </w:r>
      <w:r w:rsidR="005D483A">
        <w:rPr>
          <w:rFonts w:ascii="Arial" w:hAnsi="Arial" w:cs="Arial"/>
          <w:sz w:val="22"/>
          <w:szCs w:val="22"/>
        </w:rPr>
        <w:t>..</w:t>
      </w:r>
      <w:r w:rsidR="00A16DB9">
        <w:rPr>
          <w:rFonts w:ascii="Arial" w:hAnsi="Arial" w:cs="Arial"/>
          <w:sz w:val="22"/>
          <w:szCs w:val="22"/>
        </w:rPr>
        <w:t>.</w:t>
      </w:r>
      <w:r w:rsidR="005D483A">
        <w:rPr>
          <w:rFonts w:ascii="Arial" w:hAnsi="Arial" w:cs="Arial"/>
          <w:sz w:val="22"/>
          <w:szCs w:val="22"/>
        </w:rPr>
        <w:t>.</w:t>
      </w:r>
      <w:r w:rsidR="00726267">
        <w:rPr>
          <w:rFonts w:ascii="Arial" w:hAnsi="Arial" w:cs="Arial"/>
          <w:sz w:val="22"/>
          <w:szCs w:val="22"/>
        </w:rPr>
        <w:t>….</w:t>
      </w:r>
      <w:r w:rsidR="00F7107E">
        <w:rPr>
          <w:rFonts w:ascii="Arial" w:hAnsi="Arial" w:cs="Arial"/>
          <w:sz w:val="22"/>
          <w:szCs w:val="22"/>
        </w:rPr>
        <w:t>9</w:t>
      </w:r>
      <w:r w:rsidR="00BB1A9C">
        <w:rPr>
          <w:rFonts w:ascii="Arial" w:hAnsi="Arial" w:cs="Arial"/>
          <w:sz w:val="22"/>
          <w:szCs w:val="22"/>
        </w:rPr>
        <w:t>2</w:t>
      </w:r>
    </w:p>
    <w:p w14:paraId="71B21BA9" w14:textId="62E35F93" w:rsidR="00AC6547" w:rsidRDefault="00AC6547" w:rsidP="00DB5800">
      <w:pPr>
        <w:numPr>
          <w:ilvl w:val="0"/>
          <w:numId w:val="11"/>
        </w:numPr>
        <w:spacing w:line="280" w:lineRule="exact"/>
        <w:ind w:left="1305"/>
        <w:jc w:val="both"/>
        <w:rPr>
          <w:rFonts w:ascii="Arial" w:hAnsi="Arial" w:cs="Arial"/>
          <w:sz w:val="22"/>
          <w:szCs w:val="22"/>
        </w:rPr>
      </w:pPr>
      <w:r w:rsidRPr="00BB2363">
        <w:rPr>
          <w:rFonts w:ascii="Arial" w:hAnsi="Arial" w:cs="Arial"/>
          <w:sz w:val="22"/>
          <w:szCs w:val="22"/>
        </w:rPr>
        <w:t>Alaska</w:t>
      </w:r>
      <w:r w:rsidR="00411626">
        <w:rPr>
          <w:rFonts w:ascii="Arial" w:hAnsi="Arial" w:cs="Arial"/>
          <w:sz w:val="22"/>
          <w:szCs w:val="22"/>
        </w:rPr>
        <w:t>/Tennessee</w:t>
      </w:r>
      <w:r w:rsidR="00282C13">
        <w:rPr>
          <w:rFonts w:ascii="Arial" w:hAnsi="Arial" w:cs="Arial"/>
          <w:sz w:val="22"/>
          <w:szCs w:val="22"/>
        </w:rPr>
        <w:t>/South Dakota</w:t>
      </w:r>
      <w:r w:rsidRPr="00BB2363">
        <w:rPr>
          <w:rFonts w:ascii="Arial" w:hAnsi="Arial" w:cs="Arial"/>
          <w:sz w:val="22"/>
          <w:szCs w:val="22"/>
        </w:rPr>
        <w:t xml:space="preserve"> </w:t>
      </w:r>
      <w:r w:rsidR="004C57A6">
        <w:rPr>
          <w:rFonts w:ascii="Arial" w:hAnsi="Arial" w:cs="Arial"/>
          <w:sz w:val="22"/>
          <w:szCs w:val="22"/>
        </w:rPr>
        <w:t>community property t</w:t>
      </w:r>
      <w:r w:rsidRPr="00BB2363">
        <w:rPr>
          <w:rFonts w:ascii="Arial" w:hAnsi="Arial" w:cs="Arial"/>
          <w:sz w:val="22"/>
          <w:szCs w:val="22"/>
        </w:rPr>
        <w:t>rusts</w:t>
      </w:r>
      <w:r w:rsidR="004C57A6">
        <w:rPr>
          <w:rFonts w:ascii="Arial" w:hAnsi="Arial" w:cs="Arial"/>
          <w:sz w:val="22"/>
          <w:szCs w:val="22"/>
        </w:rPr>
        <w:t>…</w:t>
      </w:r>
      <w:r w:rsidR="00282C13">
        <w:rPr>
          <w:rFonts w:ascii="Arial" w:hAnsi="Arial" w:cs="Arial"/>
          <w:sz w:val="22"/>
          <w:szCs w:val="22"/>
        </w:rPr>
        <w:t>……………</w:t>
      </w:r>
      <w:r w:rsidR="001E2E1E">
        <w:rPr>
          <w:rFonts w:ascii="Arial" w:hAnsi="Arial" w:cs="Arial"/>
          <w:sz w:val="22"/>
          <w:szCs w:val="22"/>
        </w:rPr>
        <w:t>.</w:t>
      </w:r>
      <w:r w:rsidR="00282C13">
        <w:rPr>
          <w:rFonts w:ascii="Arial" w:hAnsi="Arial" w:cs="Arial"/>
          <w:sz w:val="22"/>
          <w:szCs w:val="22"/>
        </w:rPr>
        <w:t>..</w:t>
      </w:r>
      <w:r w:rsidR="00A16DB9">
        <w:rPr>
          <w:rFonts w:ascii="Arial" w:hAnsi="Arial" w:cs="Arial"/>
          <w:sz w:val="22"/>
          <w:szCs w:val="22"/>
        </w:rPr>
        <w:t>.</w:t>
      </w:r>
      <w:r w:rsidR="005D483A">
        <w:rPr>
          <w:rFonts w:ascii="Arial" w:hAnsi="Arial" w:cs="Arial"/>
          <w:sz w:val="22"/>
          <w:szCs w:val="22"/>
        </w:rPr>
        <w:t>..</w:t>
      </w:r>
      <w:r w:rsidR="00726267">
        <w:rPr>
          <w:rFonts w:ascii="Arial" w:hAnsi="Arial" w:cs="Arial"/>
          <w:sz w:val="22"/>
          <w:szCs w:val="22"/>
        </w:rPr>
        <w:t>…</w:t>
      </w:r>
      <w:r w:rsidR="00AC7417">
        <w:rPr>
          <w:rFonts w:ascii="Arial" w:hAnsi="Arial" w:cs="Arial"/>
          <w:sz w:val="22"/>
          <w:szCs w:val="22"/>
        </w:rPr>
        <w:t>9</w:t>
      </w:r>
      <w:r w:rsidR="00BB1A9C">
        <w:rPr>
          <w:rFonts w:ascii="Arial" w:hAnsi="Arial" w:cs="Arial"/>
          <w:sz w:val="22"/>
          <w:szCs w:val="22"/>
        </w:rPr>
        <w:t>3</w:t>
      </w:r>
    </w:p>
    <w:p w14:paraId="58DC0D77" w14:textId="6A0E6C22" w:rsidR="00AF7B01" w:rsidRPr="00BB2363" w:rsidRDefault="00AF7B01" w:rsidP="00DB5800">
      <w:pPr>
        <w:numPr>
          <w:ilvl w:val="0"/>
          <w:numId w:val="11"/>
        </w:numPr>
        <w:spacing w:line="280" w:lineRule="exact"/>
        <w:ind w:left="1305"/>
        <w:jc w:val="both"/>
        <w:rPr>
          <w:rFonts w:ascii="Arial" w:hAnsi="Arial" w:cs="Arial"/>
          <w:sz w:val="22"/>
          <w:szCs w:val="22"/>
        </w:rPr>
      </w:pPr>
      <w:r>
        <w:rPr>
          <w:rFonts w:ascii="Arial" w:hAnsi="Arial" w:cs="Arial"/>
          <w:sz w:val="22"/>
          <w:szCs w:val="22"/>
        </w:rPr>
        <w:t>The overlooked fractional interest dilemm</w:t>
      </w:r>
      <w:r w:rsidR="005D5DCC">
        <w:rPr>
          <w:rFonts w:ascii="Arial" w:hAnsi="Arial" w:cs="Arial"/>
          <w:sz w:val="22"/>
          <w:szCs w:val="22"/>
        </w:rPr>
        <w:t>a</w:t>
      </w:r>
      <w:r w:rsidR="00726267">
        <w:rPr>
          <w:rFonts w:ascii="Arial" w:hAnsi="Arial" w:cs="Arial"/>
          <w:sz w:val="22"/>
          <w:szCs w:val="22"/>
        </w:rPr>
        <w:t xml:space="preserve"> of community property…………</w:t>
      </w:r>
      <w:r w:rsidR="002008FC">
        <w:rPr>
          <w:rFonts w:ascii="Arial" w:hAnsi="Arial" w:cs="Arial"/>
          <w:sz w:val="22"/>
          <w:szCs w:val="22"/>
        </w:rPr>
        <w:t>…</w:t>
      </w:r>
      <w:r w:rsidR="00BB1A9C">
        <w:rPr>
          <w:rFonts w:ascii="Arial" w:hAnsi="Arial" w:cs="Arial"/>
          <w:sz w:val="22"/>
          <w:szCs w:val="22"/>
        </w:rPr>
        <w:t>..</w:t>
      </w:r>
      <w:r w:rsidR="00726267">
        <w:rPr>
          <w:rFonts w:ascii="Arial" w:hAnsi="Arial" w:cs="Arial"/>
          <w:sz w:val="22"/>
          <w:szCs w:val="22"/>
        </w:rPr>
        <w:t xml:space="preserve"> </w:t>
      </w:r>
      <w:r w:rsidR="00BB1A9C">
        <w:rPr>
          <w:rFonts w:ascii="Arial" w:hAnsi="Arial" w:cs="Arial"/>
          <w:sz w:val="22"/>
          <w:szCs w:val="22"/>
        </w:rPr>
        <w:t>97</w:t>
      </w:r>
    </w:p>
    <w:p w14:paraId="0CFD7DCD" w14:textId="1B938875" w:rsidR="00AC6547" w:rsidRDefault="00AC6547" w:rsidP="00DB5800">
      <w:pPr>
        <w:numPr>
          <w:ilvl w:val="0"/>
          <w:numId w:val="11"/>
        </w:numPr>
        <w:spacing w:line="280" w:lineRule="exact"/>
        <w:ind w:left="1305"/>
        <w:jc w:val="both"/>
        <w:rPr>
          <w:rFonts w:ascii="Arial" w:hAnsi="Arial" w:cs="Arial"/>
          <w:sz w:val="22"/>
          <w:szCs w:val="22"/>
        </w:rPr>
      </w:pPr>
      <w:r w:rsidRPr="00BB2363">
        <w:rPr>
          <w:rFonts w:ascii="Arial" w:hAnsi="Arial" w:cs="Arial"/>
          <w:sz w:val="22"/>
          <w:szCs w:val="22"/>
        </w:rPr>
        <w:t>Join</w:t>
      </w:r>
      <w:r w:rsidR="00BB2363" w:rsidRPr="00BB2363">
        <w:rPr>
          <w:rFonts w:ascii="Arial" w:hAnsi="Arial" w:cs="Arial"/>
          <w:sz w:val="22"/>
          <w:szCs w:val="22"/>
        </w:rPr>
        <w:t xml:space="preserve">t GPOA or </w:t>
      </w:r>
      <w:r w:rsidR="00BB2363" w:rsidRPr="004C57A6">
        <w:rPr>
          <w:rFonts w:ascii="Arial" w:hAnsi="Arial" w:cs="Arial"/>
          <w:b/>
          <w:sz w:val="22"/>
          <w:szCs w:val="22"/>
        </w:rPr>
        <w:t>J</w:t>
      </w:r>
      <w:r w:rsidR="00BB2363" w:rsidRPr="00BB2363">
        <w:rPr>
          <w:rFonts w:ascii="Arial" w:hAnsi="Arial" w:cs="Arial"/>
          <w:sz w:val="22"/>
          <w:szCs w:val="22"/>
        </w:rPr>
        <w:t xml:space="preserve">oint </w:t>
      </w:r>
      <w:r w:rsidR="00BB2363" w:rsidRPr="004C57A6">
        <w:rPr>
          <w:rFonts w:ascii="Arial" w:hAnsi="Arial" w:cs="Arial"/>
          <w:b/>
          <w:sz w:val="22"/>
          <w:szCs w:val="22"/>
        </w:rPr>
        <w:t>E</w:t>
      </w:r>
      <w:r w:rsidR="00BB2363" w:rsidRPr="00BB2363">
        <w:rPr>
          <w:rFonts w:ascii="Arial" w:hAnsi="Arial" w:cs="Arial"/>
          <w:sz w:val="22"/>
          <w:szCs w:val="22"/>
        </w:rPr>
        <w:t xml:space="preserve">xemption </w:t>
      </w:r>
      <w:r w:rsidR="00BB2363" w:rsidRPr="004C57A6">
        <w:rPr>
          <w:rFonts w:ascii="Arial" w:hAnsi="Arial" w:cs="Arial"/>
          <w:b/>
          <w:sz w:val="22"/>
          <w:szCs w:val="22"/>
        </w:rPr>
        <w:t>S</w:t>
      </w:r>
      <w:r w:rsidR="00BB2363" w:rsidRPr="00BB2363">
        <w:rPr>
          <w:rFonts w:ascii="Arial" w:hAnsi="Arial" w:cs="Arial"/>
          <w:sz w:val="22"/>
          <w:szCs w:val="22"/>
        </w:rPr>
        <w:t>tep u</w:t>
      </w:r>
      <w:r w:rsidRPr="00BB2363">
        <w:rPr>
          <w:rFonts w:ascii="Arial" w:hAnsi="Arial" w:cs="Arial"/>
          <w:sz w:val="22"/>
          <w:szCs w:val="22"/>
        </w:rPr>
        <w:t xml:space="preserve">p </w:t>
      </w:r>
      <w:r w:rsidRPr="004C57A6">
        <w:rPr>
          <w:rFonts w:ascii="Arial" w:hAnsi="Arial" w:cs="Arial"/>
          <w:b/>
          <w:sz w:val="22"/>
          <w:szCs w:val="22"/>
        </w:rPr>
        <w:t>T</w:t>
      </w:r>
      <w:r w:rsidRPr="00BB2363">
        <w:rPr>
          <w:rFonts w:ascii="Arial" w:hAnsi="Arial" w:cs="Arial"/>
          <w:sz w:val="22"/>
          <w:szCs w:val="22"/>
        </w:rPr>
        <w:t>rusts (</w:t>
      </w:r>
      <w:r w:rsidR="00BB2363" w:rsidRPr="00BB2363">
        <w:rPr>
          <w:rFonts w:ascii="Arial" w:hAnsi="Arial" w:cs="Arial"/>
          <w:sz w:val="22"/>
          <w:szCs w:val="22"/>
        </w:rPr>
        <w:t>“</w:t>
      </w:r>
      <w:r w:rsidRPr="00BB2363">
        <w:rPr>
          <w:rFonts w:ascii="Arial" w:hAnsi="Arial" w:cs="Arial"/>
          <w:sz w:val="22"/>
          <w:szCs w:val="22"/>
        </w:rPr>
        <w:t>JESTs</w:t>
      </w:r>
      <w:r w:rsidR="00BB2363" w:rsidRPr="00BB2363">
        <w:rPr>
          <w:rFonts w:ascii="Arial" w:hAnsi="Arial" w:cs="Arial"/>
          <w:sz w:val="22"/>
          <w:szCs w:val="22"/>
        </w:rPr>
        <w:t>”</w:t>
      </w:r>
      <w:r w:rsidRPr="00BB2363">
        <w:rPr>
          <w:rFonts w:ascii="Arial" w:hAnsi="Arial" w:cs="Arial"/>
          <w:sz w:val="22"/>
          <w:szCs w:val="22"/>
        </w:rPr>
        <w:t>)</w:t>
      </w:r>
      <w:r w:rsidR="000D040D">
        <w:rPr>
          <w:rFonts w:ascii="Arial" w:hAnsi="Arial" w:cs="Arial"/>
          <w:sz w:val="22"/>
          <w:szCs w:val="22"/>
        </w:rPr>
        <w:t>……………..……</w:t>
      </w:r>
      <w:r w:rsidR="00A16DB9">
        <w:rPr>
          <w:rFonts w:ascii="Arial" w:hAnsi="Arial" w:cs="Arial"/>
          <w:sz w:val="22"/>
          <w:szCs w:val="22"/>
        </w:rPr>
        <w:t>.</w:t>
      </w:r>
      <w:r w:rsidR="005D483A">
        <w:rPr>
          <w:rFonts w:ascii="Arial" w:hAnsi="Arial" w:cs="Arial"/>
          <w:sz w:val="22"/>
          <w:szCs w:val="22"/>
        </w:rPr>
        <w:t>.</w:t>
      </w:r>
      <w:r w:rsidR="000D040D">
        <w:rPr>
          <w:rFonts w:ascii="Arial" w:hAnsi="Arial" w:cs="Arial"/>
          <w:sz w:val="22"/>
          <w:szCs w:val="22"/>
        </w:rPr>
        <w:t>.</w:t>
      </w:r>
      <w:r w:rsidR="005D483A">
        <w:rPr>
          <w:rFonts w:ascii="Arial" w:hAnsi="Arial" w:cs="Arial"/>
          <w:sz w:val="22"/>
          <w:szCs w:val="22"/>
        </w:rPr>
        <w:t>.</w:t>
      </w:r>
      <w:r w:rsidR="002008FC">
        <w:rPr>
          <w:rFonts w:ascii="Arial" w:hAnsi="Arial" w:cs="Arial"/>
          <w:sz w:val="22"/>
          <w:szCs w:val="22"/>
        </w:rPr>
        <w:t>.10</w:t>
      </w:r>
      <w:r w:rsidR="00954374">
        <w:rPr>
          <w:rFonts w:ascii="Arial" w:hAnsi="Arial" w:cs="Arial"/>
          <w:sz w:val="22"/>
          <w:szCs w:val="22"/>
        </w:rPr>
        <w:t>1</w:t>
      </w:r>
    </w:p>
    <w:p w14:paraId="73CFE6B4" w14:textId="7B6A2EA5" w:rsidR="000D040D" w:rsidRPr="000D040D" w:rsidRDefault="000D040D" w:rsidP="00DB5800">
      <w:pPr>
        <w:pStyle w:val="ListParagraph"/>
        <w:numPr>
          <w:ilvl w:val="0"/>
          <w:numId w:val="11"/>
        </w:numPr>
        <w:spacing w:line="280" w:lineRule="exact"/>
        <w:jc w:val="both"/>
        <w:rPr>
          <w:rFonts w:ascii="Arial" w:hAnsi="Arial" w:cs="Arial"/>
          <w:sz w:val="22"/>
          <w:szCs w:val="22"/>
        </w:rPr>
      </w:pPr>
      <w:r w:rsidRPr="000D040D">
        <w:rPr>
          <w:rFonts w:ascii="Arial" w:hAnsi="Arial" w:cs="Arial"/>
          <w:sz w:val="22"/>
          <w:szCs w:val="22"/>
        </w:rPr>
        <w:t>Marital Deduction under §2523 for Gifts to Spouse Complete at Death</w:t>
      </w:r>
      <w:r>
        <w:rPr>
          <w:rFonts w:ascii="Arial" w:hAnsi="Arial" w:cs="Arial"/>
          <w:sz w:val="22"/>
          <w:szCs w:val="22"/>
        </w:rPr>
        <w:t>……</w:t>
      </w:r>
      <w:r w:rsidR="002008FC">
        <w:rPr>
          <w:rFonts w:ascii="Arial" w:hAnsi="Arial" w:cs="Arial"/>
          <w:sz w:val="22"/>
          <w:szCs w:val="22"/>
        </w:rPr>
        <w:t>…</w:t>
      </w:r>
      <w:r w:rsidR="005D483A">
        <w:rPr>
          <w:rFonts w:ascii="Arial" w:hAnsi="Arial" w:cs="Arial"/>
          <w:sz w:val="22"/>
          <w:szCs w:val="22"/>
        </w:rPr>
        <w:t>.</w:t>
      </w:r>
      <w:r w:rsidR="00726267">
        <w:rPr>
          <w:rFonts w:ascii="Arial" w:hAnsi="Arial" w:cs="Arial"/>
          <w:sz w:val="22"/>
          <w:szCs w:val="22"/>
        </w:rPr>
        <w:t>.</w:t>
      </w:r>
      <w:r w:rsidR="002008FC">
        <w:rPr>
          <w:rFonts w:ascii="Arial" w:hAnsi="Arial" w:cs="Arial"/>
          <w:sz w:val="22"/>
          <w:szCs w:val="22"/>
        </w:rPr>
        <w:t>10</w:t>
      </w:r>
      <w:r w:rsidR="00954374">
        <w:rPr>
          <w:rFonts w:ascii="Arial" w:hAnsi="Arial" w:cs="Arial"/>
          <w:sz w:val="22"/>
          <w:szCs w:val="22"/>
        </w:rPr>
        <w:t>2</w:t>
      </w:r>
    </w:p>
    <w:p w14:paraId="09D2814D" w14:textId="1704BCA2" w:rsidR="000D040D" w:rsidRDefault="000D040D" w:rsidP="00DB5800">
      <w:pPr>
        <w:numPr>
          <w:ilvl w:val="0"/>
          <w:numId w:val="11"/>
        </w:numPr>
        <w:spacing w:line="280" w:lineRule="exact"/>
        <w:jc w:val="both"/>
        <w:rPr>
          <w:rFonts w:ascii="Arial" w:hAnsi="Arial" w:cs="Arial"/>
          <w:sz w:val="22"/>
          <w:szCs w:val="22"/>
        </w:rPr>
      </w:pPr>
      <w:r w:rsidRPr="000D040D">
        <w:rPr>
          <w:rFonts w:ascii="Arial" w:hAnsi="Arial" w:cs="Arial"/>
          <w:sz w:val="22"/>
          <w:szCs w:val="22"/>
        </w:rPr>
        <w:t>Into the Wind of §1014(e) – Tacking to Increase Basis Despite</w:t>
      </w:r>
      <w:r>
        <w:rPr>
          <w:rFonts w:ascii="Arial" w:hAnsi="Arial" w:cs="Arial"/>
          <w:sz w:val="22"/>
          <w:szCs w:val="22"/>
        </w:rPr>
        <w:t xml:space="preserve"> 1 yr rule…</w:t>
      </w:r>
      <w:r w:rsidR="005D483A">
        <w:rPr>
          <w:rFonts w:ascii="Arial" w:hAnsi="Arial" w:cs="Arial"/>
          <w:sz w:val="22"/>
          <w:szCs w:val="22"/>
        </w:rPr>
        <w:t>.</w:t>
      </w:r>
      <w:r>
        <w:rPr>
          <w:rFonts w:ascii="Arial" w:hAnsi="Arial" w:cs="Arial"/>
          <w:sz w:val="22"/>
          <w:szCs w:val="22"/>
        </w:rPr>
        <w:t>…</w:t>
      </w:r>
      <w:r w:rsidR="005D483A">
        <w:rPr>
          <w:rFonts w:ascii="Arial" w:hAnsi="Arial" w:cs="Arial"/>
          <w:sz w:val="22"/>
          <w:szCs w:val="22"/>
        </w:rPr>
        <w:t>.</w:t>
      </w:r>
      <w:r w:rsidR="00726267">
        <w:rPr>
          <w:rFonts w:ascii="Arial" w:hAnsi="Arial" w:cs="Arial"/>
          <w:sz w:val="22"/>
          <w:szCs w:val="22"/>
        </w:rPr>
        <w:t>.</w:t>
      </w:r>
      <w:r w:rsidR="007278B8">
        <w:rPr>
          <w:rFonts w:ascii="Arial" w:hAnsi="Arial" w:cs="Arial"/>
          <w:sz w:val="22"/>
          <w:szCs w:val="22"/>
        </w:rPr>
        <w:t>1</w:t>
      </w:r>
      <w:r w:rsidR="00954374">
        <w:rPr>
          <w:rFonts w:ascii="Arial" w:hAnsi="Arial" w:cs="Arial"/>
          <w:sz w:val="22"/>
          <w:szCs w:val="22"/>
        </w:rPr>
        <w:t>04</w:t>
      </w:r>
    </w:p>
    <w:p w14:paraId="6BB72ED4" w14:textId="64212E43" w:rsidR="00282C13" w:rsidRDefault="00282C13" w:rsidP="00DB5800">
      <w:pPr>
        <w:numPr>
          <w:ilvl w:val="0"/>
          <w:numId w:val="11"/>
        </w:numPr>
        <w:spacing w:line="280" w:lineRule="exact"/>
        <w:jc w:val="both"/>
        <w:rPr>
          <w:rFonts w:ascii="Arial" w:hAnsi="Arial" w:cs="Arial"/>
          <w:sz w:val="22"/>
          <w:szCs w:val="22"/>
        </w:rPr>
      </w:pPr>
      <w:r>
        <w:rPr>
          <w:rFonts w:ascii="Arial" w:hAnsi="Arial" w:cs="Arial"/>
          <w:sz w:val="22"/>
          <w:szCs w:val="22"/>
        </w:rPr>
        <w:t>Using Intervivos QTIP Trusts to Avoid §</w:t>
      </w:r>
      <w:r w:rsidR="001208F5">
        <w:rPr>
          <w:rFonts w:ascii="Arial" w:hAnsi="Arial" w:cs="Arial"/>
          <w:sz w:val="22"/>
          <w:szCs w:val="22"/>
        </w:rPr>
        <w:t>1014(e) one</w:t>
      </w:r>
      <w:r w:rsidR="00C90734">
        <w:rPr>
          <w:rFonts w:ascii="Arial" w:hAnsi="Arial" w:cs="Arial"/>
          <w:sz w:val="22"/>
          <w:szCs w:val="22"/>
        </w:rPr>
        <w:t>-</w:t>
      </w:r>
      <w:r w:rsidR="001208F5">
        <w:rPr>
          <w:rFonts w:ascii="Arial" w:hAnsi="Arial" w:cs="Arial"/>
          <w:sz w:val="22"/>
          <w:szCs w:val="22"/>
        </w:rPr>
        <w:t>year rule…………</w:t>
      </w:r>
      <w:r w:rsidR="001E2E1E">
        <w:rPr>
          <w:rFonts w:ascii="Arial" w:hAnsi="Arial" w:cs="Arial"/>
          <w:sz w:val="22"/>
          <w:szCs w:val="22"/>
        </w:rPr>
        <w:t>.</w:t>
      </w:r>
      <w:r w:rsidR="00726267">
        <w:rPr>
          <w:rFonts w:ascii="Arial" w:hAnsi="Arial" w:cs="Arial"/>
          <w:sz w:val="22"/>
          <w:szCs w:val="22"/>
        </w:rPr>
        <w:t>……</w:t>
      </w:r>
      <w:r w:rsidR="009929DA">
        <w:rPr>
          <w:rFonts w:ascii="Arial" w:hAnsi="Arial" w:cs="Arial"/>
          <w:sz w:val="22"/>
          <w:szCs w:val="22"/>
        </w:rPr>
        <w:t>..</w:t>
      </w:r>
      <w:r w:rsidR="00726267">
        <w:rPr>
          <w:rFonts w:ascii="Arial" w:hAnsi="Arial" w:cs="Arial"/>
          <w:sz w:val="22"/>
          <w:szCs w:val="22"/>
        </w:rPr>
        <w:t>.1</w:t>
      </w:r>
      <w:r w:rsidR="00954374">
        <w:rPr>
          <w:rFonts w:ascii="Arial" w:hAnsi="Arial" w:cs="Arial"/>
          <w:sz w:val="22"/>
          <w:szCs w:val="22"/>
        </w:rPr>
        <w:t>13</w:t>
      </w:r>
    </w:p>
    <w:p w14:paraId="6D8C5C45" w14:textId="2BE7A338" w:rsidR="001C4AD3" w:rsidRDefault="001C4AD3" w:rsidP="00DB5800">
      <w:pPr>
        <w:numPr>
          <w:ilvl w:val="0"/>
          <w:numId w:val="11"/>
        </w:numPr>
        <w:spacing w:line="280" w:lineRule="exact"/>
        <w:jc w:val="both"/>
        <w:rPr>
          <w:rFonts w:ascii="Arial" w:hAnsi="Arial" w:cs="Arial"/>
          <w:sz w:val="22"/>
          <w:szCs w:val="22"/>
        </w:rPr>
      </w:pPr>
      <w:r>
        <w:rPr>
          <w:rFonts w:ascii="Arial" w:hAnsi="Arial" w:cs="Arial"/>
          <w:sz w:val="22"/>
          <w:szCs w:val="22"/>
        </w:rPr>
        <w:t>The “Estate Trust” as alt</w:t>
      </w:r>
      <w:r w:rsidR="001740A9">
        <w:rPr>
          <w:rFonts w:ascii="Arial" w:hAnsi="Arial" w:cs="Arial"/>
          <w:sz w:val="22"/>
          <w:szCs w:val="22"/>
        </w:rPr>
        <w:t>ernative   ……………………………………………</w:t>
      </w:r>
      <w:r w:rsidR="00134B07">
        <w:rPr>
          <w:rFonts w:ascii="Arial" w:hAnsi="Arial" w:cs="Arial"/>
          <w:sz w:val="22"/>
          <w:szCs w:val="22"/>
        </w:rPr>
        <w:t>…</w:t>
      </w:r>
      <w:r w:rsidR="00A16DB9">
        <w:rPr>
          <w:rFonts w:ascii="Arial" w:hAnsi="Arial" w:cs="Arial"/>
          <w:sz w:val="22"/>
          <w:szCs w:val="22"/>
        </w:rPr>
        <w:t>.</w:t>
      </w:r>
      <w:r w:rsidR="00726267">
        <w:rPr>
          <w:rFonts w:ascii="Arial" w:hAnsi="Arial" w:cs="Arial"/>
          <w:sz w:val="22"/>
          <w:szCs w:val="22"/>
        </w:rPr>
        <w:t>…1</w:t>
      </w:r>
      <w:r w:rsidR="00954374">
        <w:rPr>
          <w:rFonts w:ascii="Arial" w:hAnsi="Arial" w:cs="Arial"/>
          <w:sz w:val="22"/>
          <w:szCs w:val="22"/>
        </w:rPr>
        <w:t>18</w:t>
      </w:r>
    </w:p>
    <w:p w14:paraId="3CBCBA94" w14:textId="49DA64ED" w:rsidR="00812499" w:rsidRDefault="00CB2952" w:rsidP="00DB5800">
      <w:pPr>
        <w:numPr>
          <w:ilvl w:val="0"/>
          <w:numId w:val="11"/>
        </w:numPr>
        <w:spacing w:line="280" w:lineRule="exact"/>
        <w:ind w:left="1305"/>
        <w:jc w:val="both"/>
        <w:rPr>
          <w:rFonts w:ascii="Arial" w:hAnsi="Arial" w:cs="Arial"/>
          <w:sz w:val="22"/>
          <w:szCs w:val="22"/>
        </w:rPr>
      </w:pPr>
      <w:r>
        <w:rPr>
          <w:rFonts w:ascii="Arial" w:hAnsi="Arial" w:cs="Arial"/>
          <w:sz w:val="22"/>
          <w:szCs w:val="22"/>
        </w:rPr>
        <w:t>“Naked” GPOAs</w:t>
      </w:r>
      <w:r w:rsidR="008A1588">
        <w:rPr>
          <w:rFonts w:ascii="Arial" w:hAnsi="Arial" w:cs="Arial"/>
          <w:sz w:val="22"/>
          <w:szCs w:val="22"/>
        </w:rPr>
        <w:t xml:space="preserve">, </w:t>
      </w:r>
      <w:r w:rsidR="008A1588" w:rsidRPr="004C57A6">
        <w:rPr>
          <w:rFonts w:ascii="Arial" w:hAnsi="Arial" w:cs="Arial"/>
          <w:i/>
          <w:sz w:val="22"/>
          <w:szCs w:val="22"/>
        </w:rPr>
        <w:t>Crummey</w:t>
      </w:r>
      <w:r w:rsidR="008A1588">
        <w:rPr>
          <w:rFonts w:ascii="Arial" w:hAnsi="Arial" w:cs="Arial"/>
          <w:sz w:val="22"/>
          <w:szCs w:val="22"/>
        </w:rPr>
        <w:t xml:space="preserve"> OBITs</w:t>
      </w:r>
      <w:r>
        <w:rPr>
          <w:rFonts w:ascii="Arial" w:hAnsi="Arial" w:cs="Arial"/>
          <w:sz w:val="22"/>
          <w:szCs w:val="22"/>
        </w:rPr>
        <w:t xml:space="preserve"> and </w:t>
      </w:r>
      <w:r w:rsidR="00812499" w:rsidRPr="00F908AA">
        <w:rPr>
          <w:rFonts w:ascii="Arial" w:hAnsi="Arial" w:cs="Arial"/>
          <w:i/>
          <w:sz w:val="22"/>
          <w:szCs w:val="22"/>
        </w:rPr>
        <w:t>Upstream</w:t>
      </w:r>
      <w:r w:rsidR="00812499">
        <w:rPr>
          <w:rFonts w:ascii="Arial" w:hAnsi="Arial" w:cs="Arial"/>
          <w:sz w:val="22"/>
          <w:szCs w:val="22"/>
        </w:rPr>
        <w:t xml:space="preserve"> </w:t>
      </w:r>
      <w:r w:rsidR="004C57A6">
        <w:rPr>
          <w:rFonts w:ascii="Arial" w:hAnsi="Arial" w:cs="Arial"/>
          <w:sz w:val="22"/>
          <w:szCs w:val="22"/>
        </w:rPr>
        <w:t>b</w:t>
      </w:r>
      <w:r>
        <w:rPr>
          <w:rFonts w:ascii="Arial" w:hAnsi="Arial" w:cs="Arial"/>
          <w:sz w:val="22"/>
          <w:szCs w:val="22"/>
        </w:rPr>
        <w:t xml:space="preserve">asis </w:t>
      </w:r>
      <w:r w:rsidR="004C57A6">
        <w:rPr>
          <w:rFonts w:ascii="Arial" w:hAnsi="Arial" w:cs="Arial"/>
          <w:sz w:val="22"/>
          <w:szCs w:val="22"/>
        </w:rPr>
        <w:t>p</w:t>
      </w:r>
      <w:r>
        <w:rPr>
          <w:rFonts w:ascii="Arial" w:hAnsi="Arial" w:cs="Arial"/>
          <w:sz w:val="22"/>
          <w:szCs w:val="22"/>
        </w:rPr>
        <w:t>lanning</w:t>
      </w:r>
      <w:r w:rsidR="004C57A6">
        <w:rPr>
          <w:rFonts w:ascii="Arial" w:hAnsi="Arial" w:cs="Arial"/>
          <w:sz w:val="22"/>
          <w:szCs w:val="22"/>
        </w:rPr>
        <w:t>…………</w:t>
      </w:r>
      <w:r w:rsidR="005D483A">
        <w:rPr>
          <w:rFonts w:ascii="Arial" w:hAnsi="Arial" w:cs="Arial"/>
          <w:sz w:val="22"/>
          <w:szCs w:val="22"/>
        </w:rPr>
        <w:t>.</w:t>
      </w:r>
      <w:r w:rsidR="004C57A6">
        <w:rPr>
          <w:rFonts w:ascii="Arial" w:hAnsi="Arial" w:cs="Arial"/>
          <w:sz w:val="22"/>
          <w:szCs w:val="22"/>
        </w:rPr>
        <w:t>…</w:t>
      </w:r>
      <w:r w:rsidR="00726267">
        <w:rPr>
          <w:rFonts w:ascii="Arial" w:hAnsi="Arial" w:cs="Arial"/>
          <w:sz w:val="22"/>
          <w:szCs w:val="22"/>
        </w:rPr>
        <w:t>..1</w:t>
      </w:r>
      <w:r w:rsidR="00954374">
        <w:rPr>
          <w:rFonts w:ascii="Arial" w:hAnsi="Arial" w:cs="Arial"/>
          <w:sz w:val="22"/>
          <w:szCs w:val="22"/>
        </w:rPr>
        <w:t>21</w:t>
      </w:r>
    </w:p>
    <w:p w14:paraId="2F4E8ED1" w14:textId="5A07C24D" w:rsidR="00A27471" w:rsidRDefault="00A27471" w:rsidP="00DB5800">
      <w:pPr>
        <w:numPr>
          <w:ilvl w:val="0"/>
          <w:numId w:val="11"/>
        </w:numPr>
        <w:spacing w:line="280" w:lineRule="exact"/>
        <w:ind w:left="1305"/>
        <w:jc w:val="both"/>
        <w:rPr>
          <w:rFonts w:ascii="Arial" w:hAnsi="Arial" w:cs="Arial"/>
          <w:sz w:val="22"/>
          <w:szCs w:val="22"/>
        </w:rPr>
      </w:pPr>
      <w:r>
        <w:rPr>
          <w:rFonts w:ascii="Arial" w:hAnsi="Arial" w:cs="Arial"/>
          <w:sz w:val="22"/>
          <w:szCs w:val="22"/>
        </w:rPr>
        <w:t xml:space="preserve">The </w:t>
      </w:r>
      <w:r w:rsidR="009F6243">
        <w:rPr>
          <w:rFonts w:ascii="Arial" w:hAnsi="Arial" w:cs="Arial"/>
          <w:sz w:val="22"/>
          <w:szCs w:val="22"/>
        </w:rPr>
        <w:t xml:space="preserve">Leveraged </w:t>
      </w:r>
      <w:r w:rsidRPr="002D1BFD">
        <w:rPr>
          <w:rFonts w:ascii="Arial" w:hAnsi="Arial" w:cs="Arial"/>
          <w:b/>
          <w:sz w:val="22"/>
          <w:szCs w:val="22"/>
        </w:rPr>
        <w:t>Upstream</w:t>
      </w:r>
      <w:r>
        <w:rPr>
          <w:rFonts w:ascii="Arial" w:hAnsi="Arial" w:cs="Arial"/>
          <w:sz w:val="22"/>
          <w:szCs w:val="22"/>
        </w:rPr>
        <w:t xml:space="preserve"> Optimal Basis Increase Trust</w:t>
      </w:r>
      <w:r w:rsidR="00943B23">
        <w:rPr>
          <w:rFonts w:ascii="Arial" w:hAnsi="Arial" w:cs="Arial"/>
          <w:sz w:val="22"/>
          <w:szCs w:val="22"/>
        </w:rPr>
        <w:t>………</w:t>
      </w:r>
      <w:r w:rsidR="00282C13">
        <w:rPr>
          <w:rFonts w:ascii="Arial" w:hAnsi="Arial" w:cs="Arial"/>
          <w:sz w:val="22"/>
          <w:szCs w:val="22"/>
        </w:rPr>
        <w:t>…………...</w:t>
      </w:r>
      <w:r w:rsidR="00943B23">
        <w:rPr>
          <w:rFonts w:ascii="Arial" w:hAnsi="Arial" w:cs="Arial"/>
          <w:sz w:val="22"/>
          <w:szCs w:val="22"/>
        </w:rPr>
        <w:t>…</w:t>
      </w:r>
      <w:r w:rsidR="005D483A">
        <w:rPr>
          <w:rFonts w:ascii="Arial" w:hAnsi="Arial" w:cs="Arial"/>
          <w:sz w:val="22"/>
          <w:szCs w:val="22"/>
        </w:rPr>
        <w:t>...</w:t>
      </w:r>
      <w:r w:rsidR="00726267">
        <w:rPr>
          <w:rFonts w:ascii="Arial" w:hAnsi="Arial" w:cs="Arial"/>
          <w:sz w:val="22"/>
          <w:szCs w:val="22"/>
        </w:rPr>
        <w:t>1</w:t>
      </w:r>
      <w:r w:rsidR="00954374">
        <w:rPr>
          <w:rFonts w:ascii="Arial" w:hAnsi="Arial" w:cs="Arial"/>
          <w:sz w:val="22"/>
          <w:szCs w:val="22"/>
        </w:rPr>
        <w:t>23</w:t>
      </w:r>
    </w:p>
    <w:p w14:paraId="73C9B39A" w14:textId="2496DC69" w:rsidR="00D71611" w:rsidRDefault="00A27471" w:rsidP="00DB5800">
      <w:pPr>
        <w:numPr>
          <w:ilvl w:val="0"/>
          <w:numId w:val="11"/>
        </w:numPr>
        <w:spacing w:line="280" w:lineRule="exact"/>
        <w:ind w:left="1305"/>
        <w:jc w:val="both"/>
        <w:rPr>
          <w:rFonts w:ascii="Arial" w:hAnsi="Arial" w:cs="Arial"/>
          <w:sz w:val="22"/>
          <w:szCs w:val="22"/>
        </w:rPr>
      </w:pPr>
      <w:r w:rsidRPr="00A27471">
        <w:rPr>
          <w:rFonts w:ascii="Arial" w:hAnsi="Arial" w:cs="Arial"/>
          <w:sz w:val="22"/>
          <w:szCs w:val="22"/>
        </w:rPr>
        <w:t xml:space="preserve">Building on the </w:t>
      </w:r>
      <w:r>
        <w:rPr>
          <w:rFonts w:ascii="Arial" w:hAnsi="Arial" w:cs="Arial"/>
          <w:sz w:val="22"/>
          <w:szCs w:val="22"/>
        </w:rPr>
        <w:t>JEST</w:t>
      </w:r>
      <w:r w:rsidRPr="00A27471">
        <w:rPr>
          <w:rFonts w:ascii="Arial" w:hAnsi="Arial" w:cs="Arial"/>
          <w:sz w:val="22"/>
          <w:szCs w:val="22"/>
        </w:rPr>
        <w:t xml:space="preserve"> concept</w:t>
      </w:r>
      <w:r>
        <w:rPr>
          <w:rFonts w:ascii="Arial" w:hAnsi="Arial" w:cs="Arial"/>
          <w:sz w:val="22"/>
          <w:szCs w:val="22"/>
        </w:rPr>
        <w:t xml:space="preserve"> by adapting </w:t>
      </w:r>
      <w:r w:rsidRPr="00A27471">
        <w:rPr>
          <w:rFonts w:ascii="Arial" w:hAnsi="Arial" w:cs="Arial"/>
          <w:i/>
          <w:sz w:val="22"/>
          <w:szCs w:val="22"/>
        </w:rPr>
        <w:t>irrevocable</w:t>
      </w:r>
      <w:r>
        <w:rPr>
          <w:rFonts w:ascii="Arial" w:hAnsi="Arial" w:cs="Arial"/>
          <w:sz w:val="22"/>
          <w:szCs w:val="22"/>
        </w:rPr>
        <w:t xml:space="preserve"> </w:t>
      </w:r>
      <w:r w:rsidR="00064CBE">
        <w:rPr>
          <w:rFonts w:ascii="Arial" w:hAnsi="Arial" w:cs="Arial"/>
          <w:sz w:val="22"/>
          <w:szCs w:val="22"/>
        </w:rPr>
        <w:t xml:space="preserve">spousal </w:t>
      </w:r>
      <w:r>
        <w:rPr>
          <w:rFonts w:ascii="Arial" w:hAnsi="Arial" w:cs="Arial"/>
          <w:sz w:val="22"/>
          <w:szCs w:val="22"/>
        </w:rPr>
        <w:t>OBITs</w:t>
      </w:r>
      <w:r w:rsidR="00943B23">
        <w:rPr>
          <w:rFonts w:ascii="Arial" w:hAnsi="Arial" w:cs="Arial"/>
          <w:sz w:val="22"/>
          <w:szCs w:val="22"/>
        </w:rPr>
        <w:t>……</w:t>
      </w:r>
      <w:r w:rsidR="005D483A">
        <w:rPr>
          <w:rFonts w:ascii="Arial" w:hAnsi="Arial" w:cs="Arial"/>
          <w:sz w:val="22"/>
          <w:szCs w:val="22"/>
        </w:rPr>
        <w:t>.</w:t>
      </w:r>
      <w:r w:rsidR="00943B23">
        <w:rPr>
          <w:rFonts w:ascii="Arial" w:hAnsi="Arial" w:cs="Arial"/>
          <w:sz w:val="22"/>
          <w:szCs w:val="22"/>
        </w:rPr>
        <w:t>…</w:t>
      </w:r>
      <w:r w:rsidR="005D483A">
        <w:rPr>
          <w:rFonts w:ascii="Arial" w:hAnsi="Arial" w:cs="Arial"/>
          <w:sz w:val="22"/>
          <w:szCs w:val="22"/>
        </w:rPr>
        <w:t>..</w:t>
      </w:r>
      <w:r w:rsidR="00726267">
        <w:rPr>
          <w:rFonts w:ascii="Arial" w:hAnsi="Arial" w:cs="Arial"/>
          <w:sz w:val="22"/>
          <w:szCs w:val="22"/>
        </w:rPr>
        <w:t>1</w:t>
      </w:r>
      <w:r w:rsidR="00C43A4F">
        <w:rPr>
          <w:rFonts w:ascii="Arial" w:hAnsi="Arial" w:cs="Arial"/>
          <w:sz w:val="22"/>
          <w:szCs w:val="22"/>
        </w:rPr>
        <w:t>42</w:t>
      </w:r>
    </w:p>
    <w:p w14:paraId="1BFC0652" w14:textId="3E6BAA9C" w:rsidR="00D71611" w:rsidRDefault="00A27471" w:rsidP="00DB5800">
      <w:pPr>
        <w:numPr>
          <w:ilvl w:val="0"/>
          <w:numId w:val="11"/>
        </w:numPr>
        <w:spacing w:line="280" w:lineRule="exact"/>
        <w:jc w:val="both"/>
        <w:rPr>
          <w:rFonts w:ascii="Arial" w:hAnsi="Arial" w:cs="Arial"/>
          <w:sz w:val="22"/>
          <w:szCs w:val="22"/>
        </w:rPr>
      </w:pPr>
      <w:r w:rsidRPr="00D71611">
        <w:rPr>
          <w:rFonts w:ascii="Arial" w:hAnsi="Arial" w:cs="Arial"/>
          <w:sz w:val="22"/>
          <w:szCs w:val="22"/>
        </w:rPr>
        <w:t>Using irrevocable OBITs to protect the basis of “loss” assets</w:t>
      </w:r>
      <w:r w:rsidR="00943B23" w:rsidRPr="00D71611">
        <w:rPr>
          <w:rFonts w:ascii="Arial" w:hAnsi="Arial" w:cs="Arial"/>
          <w:sz w:val="22"/>
          <w:szCs w:val="22"/>
        </w:rPr>
        <w:t>………………</w:t>
      </w:r>
      <w:r w:rsidR="005D483A" w:rsidRPr="00D71611">
        <w:rPr>
          <w:rFonts w:ascii="Arial" w:hAnsi="Arial" w:cs="Arial"/>
          <w:sz w:val="22"/>
          <w:szCs w:val="22"/>
        </w:rPr>
        <w:t>.</w:t>
      </w:r>
      <w:r w:rsidR="00943B23" w:rsidRPr="00D71611">
        <w:rPr>
          <w:rFonts w:ascii="Arial" w:hAnsi="Arial" w:cs="Arial"/>
          <w:sz w:val="22"/>
          <w:szCs w:val="22"/>
        </w:rPr>
        <w:t>…</w:t>
      </w:r>
      <w:r w:rsidR="005D483A" w:rsidRPr="00D71611">
        <w:rPr>
          <w:rFonts w:ascii="Arial" w:hAnsi="Arial" w:cs="Arial"/>
          <w:sz w:val="22"/>
          <w:szCs w:val="22"/>
        </w:rPr>
        <w:t>..</w:t>
      </w:r>
      <w:r w:rsidR="00726267">
        <w:rPr>
          <w:rFonts w:ascii="Arial" w:hAnsi="Arial" w:cs="Arial"/>
          <w:sz w:val="22"/>
          <w:szCs w:val="22"/>
        </w:rPr>
        <w:t>1</w:t>
      </w:r>
      <w:r w:rsidR="000E7AE5">
        <w:rPr>
          <w:rFonts w:ascii="Arial" w:hAnsi="Arial" w:cs="Arial"/>
          <w:sz w:val="22"/>
          <w:szCs w:val="22"/>
        </w:rPr>
        <w:t>46</w:t>
      </w:r>
    </w:p>
    <w:p w14:paraId="2E8B3681" w14:textId="1B4D84CE" w:rsidR="00A27471" w:rsidRPr="00D71611" w:rsidRDefault="00583BF3" w:rsidP="00DB5800">
      <w:pPr>
        <w:numPr>
          <w:ilvl w:val="0"/>
          <w:numId w:val="11"/>
        </w:numPr>
        <w:spacing w:line="280" w:lineRule="exact"/>
        <w:jc w:val="both"/>
        <w:rPr>
          <w:rFonts w:ascii="Arial" w:hAnsi="Arial" w:cs="Arial"/>
          <w:sz w:val="22"/>
          <w:szCs w:val="22"/>
        </w:rPr>
      </w:pPr>
      <w:r>
        <w:rPr>
          <w:rFonts w:ascii="Arial" w:hAnsi="Arial" w:cs="Arial"/>
          <w:sz w:val="22"/>
          <w:szCs w:val="22"/>
        </w:rPr>
        <w:t>The “Can’t</w:t>
      </w:r>
      <w:r w:rsidR="00D71611" w:rsidRPr="00D71611">
        <w:rPr>
          <w:rFonts w:ascii="Arial" w:hAnsi="Arial" w:cs="Arial"/>
          <w:sz w:val="22"/>
          <w:szCs w:val="22"/>
        </w:rPr>
        <w:t xml:space="preserve"> BDIT</w:t>
      </w:r>
      <w:r>
        <w:rPr>
          <w:rFonts w:ascii="Arial" w:hAnsi="Arial" w:cs="Arial"/>
          <w:sz w:val="22"/>
          <w:szCs w:val="22"/>
        </w:rPr>
        <w:t>” -</w:t>
      </w:r>
      <w:r w:rsidR="00D71611" w:rsidRPr="00D71611">
        <w:rPr>
          <w:rFonts w:ascii="Arial" w:hAnsi="Arial" w:cs="Arial"/>
          <w:sz w:val="22"/>
          <w:szCs w:val="22"/>
        </w:rPr>
        <w:t xml:space="preserve"> </w:t>
      </w:r>
      <w:r w:rsidR="009F6243">
        <w:rPr>
          <w:rFonts w:ascii="Arial" w:hAnsi="Arial" w:cs="Arial"/>
          <w:sz w:val="22"/>
          <w:szCs w:val="22"/>
        </w:rPr>
        <w:t>gaining</w:t>
      </w:r>
      <w:r w:rsidR="00D71611" w:rsidRPr="00D71611">
        <w:rPr>
          <w:rFonts w:ascii="Arial" w:hAnsi="Arial" w:cs="Arial"/>
          <w:sz w:val="22"/>
          <w:szCs w:val="22"/>
        </w:rPr>
        <w:t xml:space="preserve"> step up at </w:t>
      </w:r>
      <w:r w:rsidR="00D71611">
        <w:rPr>
          <w:rFonts w:ascii="Arial" w:hAnsi="Arial" w:cs="Arial"/>
          <w:sz w:val="22"/>
          <w:szCs w:val="22"/>
        </w:rPr>
        <w:t>settlor/</w:t>
      </w:r>
      <w:r w:rsidR="00D71611" w:rsidRPr="00D71611">
        <w:rPr>
          <w:rFonts w:ascii="Arial" w:hAnsi="Arial" w:cs="Arial"/>
          <w:sz w:val="22"/>
          <w:szCs w:val="22"/>
        </w:rPr>
        <w:t>parent’s death………</w:t>
      </w:r>
      <w:r>
        <w:rPr>
          <w:rFonts w:ascii="Arial" w:hAnsi="Arial" w:cs="Arial"/>
          <w:sz w:val="22"/>
          <w:szCs w:val="22"/>
        </w:rPr>
        <w:t>………</w:t>
      </w:r>
      <w:r w:rsidR="00F4148D">
        <w:rPr>
          <w:rFonts w:ascii="Arial" w:hAnsi="Arial" w:cs="Arial"/>
          <w:sz w:val="22"/>
          <w:szCs w:val="22"/>
        </w:rPr>
        <w:t>.</w:t>
      </w:r>
      <w:r>
        <w:rPr>
          <w:rFonts w:ascii="Arial" w:hAnsi="Arial" w:cs="Arial"/>
          <w:sz w:val="22"/>
          <w:szCs w:val="22"/>
        </w:rPr>
        <w:t>.</w:t>
      </w:r>
      <w:r w:rsidR="00D71611">
        <w:rPr>
          <w:rFonts w:ascii="Arial" w:hAnsi="Arial" w:cs="Arial"/>
          <w:sz w:val="22"/>
          <w:szCs w:val="22"/>
        </w:rPr>
        <w:t>...</w:t>
      </w:r>
      <w:r w:rsidR="00726267">
        <w:rPr>
          <w:rFonts w:ascii="Arial" w:hAnsi="Arial" w:cs="Arial"/>
          <w:sz w:val="22"/>
          <w:szCs w:val="22"/>
        </w:rPr>
        <w:t>…1</w:t>
      </w:r>
      <w:r w:rsidR="000E7AE5">
        <w:rPr>
          <w:rFonts w:ascii="Arial" w:hAnsi="Arial" w:cs="Arial"/>
          <w:sz w:val="22"/>
          <w:szCs w:val="22"/>
        </w:rPr>
        <w:t>49</w:t>
      </w:r>
    </w:p>
    <w:p w14:paraId="2DB6CDFA" w14:textId="121DF1FA" w:rsidR="00D63814" w:rsidRDefault="00D63814" w:rsidP="00DB5800">
      <w:pPr>
        <w:numPr>
          <w:ilvl w:val="2"/>
          <w:numId w:val="3"/>
        </w:numPr>
        <w:tabs>
          <w:tab w:val="clear" w:pos="2160"/>
          <w:tab w:val="num" w:pos="720"/>
          <w:tab w:val="left" w:pos="1260"/>
        </w:tabs>
        <w:spacing w:line="280" w:lineRule="exact"/>
        <w:ind w:left="2088" w:hanging="1728"/>
        <w:jc w:val="both"/>
        <w:rPr>
          <w:rFonts w:ascii="Arial" w:hAnsi="Arial" w:cs="Arial"/>
        </w:rPr>
      </w:pPr>
      <w:r>
        <w:rPr>
          <w:rFonts w:ascii="Arial" w:hAnsi="Arial" w:cs="Arial"/>
        </w:rPr>
        <w:t>Asset Protection Strategies Opened Up by Increased Exclusion</w:t>
      </w:r>
      <w:r w:rsidR="004C57A6">
        <w:rPr>
          <w:rFonts w:ascii="Arial" w:hAnsi="Arial" w:cs="Arial"/>
        </w:rPr>
        <w:t>…………</w:t>
      </w:r>
      <w:r w:rsidR="005D483A">
        <w:rPr>
          <w:rFonts w:ascii="Arial" w:hAnsi="Arial" w:cs="Arial"/>
        </w:rPr>
        <w:t>.</w:t>
      </w:r>
      <w:r w:rsidR="004C57A6">
        <w:rPr>
          <w:rFonts w:ascii="Arial" w:hAnsi="Arial" w:cs="Arial"/>
        </w:rPr>
        <w:t>…</w:t>
      </w:r>
      <w:r w:rsidR="006263F7">
        <w:rPr>
          <w:rFonts w:ascii="Arial" w:hAnsi="Arial" w:cs="Arial"/>
        </w:rPr>
        <w:t>.1</w:t>
      </w:r>
      <w:r w:rsidR="000E7AE5">
        <w:rPr>
          <w:rFonts w:ascii="Arial" w:hAnsi="Arial" w:cs="Arial"/>
        </w:rPr>
        <w:t>53</w:t>
      </w:r>
    </w:p>
    <w:p w14:paraId="5908C4DD" w14:textId="10640128" w:rsidR="002A5F3F" w:rsidRDefault="00FD2D14" w:rsidP="00DB5800">
      <w:pPr>
        <w:numPr>
          <w:ilvl w:val="0"/>
          <w:numId w:val="14"/>
        </w:numPr>
        <w:tabs>
          <w:tab w:val="left" w:pos="1260"/>
        </w:tabs>
        <w:spacing w:line="280" w:lineRule="exact"/>
        <w:ind w:left="1080"/>
        <w:jc w:val="both"/>
        <w:rPr>
          <w:rFonts w:ascii="Arial" w:hAnsi="Arial" w:cs="Arial"/>
          <w:sz w:val="22"/>
          <w:szCs w:val="22"/>
        </w:rPr>
      </w:pPr>
      <w:r>
        <w:rPr>
          <w:rFonts w:ascii="Arial" w:hAnsi="Arial" w:cs="Arial"/>
          <w:sz w:val="22"/>
          <w:szCs w:val="22"/>
        </w:rPr>
        <w:t xml:space="preserve">   </w:t>
      </w:r>
      <w:r w:rsidR="002A5F3F" w:rsidRPr="00507225">
        <w:rPr>
          <w:rFonts w:ascii="Arial" w:hAnsi="Arial" w:cs="Arial"/>
          <w:sz w:val="22"/>
          <w:szCs w:val="22"/>
        </w:rPr>
        <w:t>SLA</w:t>
      </w:r>
      <w:r w:rsidR="00F7361D">
        <w:rPr>
          <w:rFonts w:ascii="Arial" w:hAnsi="Arial" w:cs="Arial"/>
          <w:sz w:val="22"/>
          <w:szCs w:val="22"/>
        </w:rPr>
        <w:t>Ts</w:t>
      </w:r>
      <w:r>
        <w:rPr>
          <w:rFonts w:ascii="Arial" w:hAnsi="Arial" w:cs="Arial"/>
          <w:sz w:val="22"/>
          <w:szCs w:val="22"/>
        </w:rPr>
        <w:t xml:space="preserve"> </w:t>
      </w:r>
      <w:r w:rsidR="008907BC">
        <w:rPr>
          <w:rFonts w:ascii="Arial" w:hAnsi="Arial" w:cs="Arial"/>
          <w:sz w:val="22"/>
          <w:szCs w:val="22"/>
        </w:rPr>
        <w:t xml:space="preserve">or other trusts </w:t>
      </w:r>
      <w:r w:rsidR="00F7361D">
        <w:rPr>
          <w:rFonts w:ascii="Arial" w:hAnsi="Arial" w:cs="Arial"/>
          <w:sz w:val="22"/>
          <w:szCs w:val="22"/>
        </w:rPr>
        <w:t xml:space="preserve">with OBIT </w:t>
      </w:r>
      <w:r w:rsidR="008907BC">
        <w:rPr>
          <w:rFonts w:ascii="Arial" w:hAnsi="Arial" w:cs="Arial"/>
          <w:sz w:val="22"/>
          <w:szCs w:val="22"/>
        </w:rPr>
        <w:t>c</w:t>
      </w:r>
      <w:r w:rsidR="00F7361D">
        <w:rPr>
          <w:rFonts w:ascii="Arial" w:hAnsi="Arial" w:cs="Arial"/>
          <w:sz w:val="22"/>
          <w:szCs w:val="22"/>
        </w:rPr>
        <w:t xml:space="preserve">lauses and </w:t>
      </w:r>
      <w:r w:rsidR="008907BC">
        <w:rPr>
          <w:rFonts w:ascii="Arial" w:hAnsi="Arial" w:cs="Arial"/>
          <w:sz w:val="22"/>
          <w:szCs w:val="22"/>
        </w:rPr>
        <w:t>potential</w:t>
      </w:r>
      <w:r w:rsidR="00F7361D">
        <w:rPr>
          <w:rFonts w:ascii="Arial" w:hAnsi="Arial" w:cs="Arial"/>
          <w:sz w:val="22"/>
          <w:szCs w:val="22"/>
        </w:rPr>
        <w:t xml:space="preserve"> </w:t>
      </w:r>
      <w:r w:rsidR="00B16DA1">
        <w:rPr>
          <w:rFonts w:ascii="Arial" w:hAnsi="Arial" w:cs="Arial"/>
          <w:sz w:val="22"/>
          <w:szCs w:val="22"/>
        </w:rPr>
        <w:t>r</w:t>
      </w:r>
      <w:r w:rsidR="00ED3110" w:rsidRPr="00507225">
        <w:rPr>
          <w:rFonts w:ascii="Arial" w:hAnsi="Arial" w:cs="Arial"/>
          <w:sz w:val="22"/>
          <w:szCs w:val="22"/>
        </w:rPr>
        <w:t>eversions</w:t>
      </w:r>
      <w:r w:rsidR="008907BC">
        <w:rPr>
          <w:rFonts w:ascii="Arial" w:hAnsi="Arial" w:cs="Arial"/>
          <w:sz w:val="22"/>
          <w:szCs w:val="22"/>
        </w:rPr>
        <w:t>…………</w:t>
      </w:r>
      <w:r w:rsidR="00F4148D">
        <w:rPr>
          <w:rFonts w:ascii="Arial" w:hAnsi="Arial" w:cs="Arial"/>
          <w:sz w:val="22"/>
          <w:szCs w:val="22"/>
        </w:rPr>
        <w:t>.</w:t>
      </w:r>
      <w:r w:rsidR="005D483A">
        <w:rPr>
          <w:rFonts w:ascii="Arial" w:hAnsi="Arial" w:cs="Arial"/>
          <w:sz w:val="22"/>
          <w:szCs w:val="22"/>
        </w:rPr>
        <w:t>…</w:t>
      </w:r>
      <w:r w:rsidR="0023353C">
        <w:rPr>
          <w:rFonts w:ascii="Arial" w:hAnsi="Arial" w:cs="Arial"/>
          <w:sz w:val="22"/>
          <w:szCs w:val="22"/>
        </w:rPr>
        <w:t>.</w:t>
      </w:r>
      <w:r w:rsidR="00A2362B">
        <w:rPr>
          <w:rFonts w:ascii="Arial" w:hAnsi="Arial" w:cs="Arial"/>
          <w:sz w:val="22"/>
          <w:szCs w:val="22"/>
        </w:rPr>
        <w:t>1</w:t>
      </w:r>
      <w:r w:rsidR="000E7AE5">
        <w:rPr>
          <w:rFonts w:ascii="Arial" w:hAnsi="Arial" w:cs="Arial"/>
          <w:sz w:val="22"/>
          <w:szCs w:val="22"/>
        </w:rPr>
        <w:t>53</w:t>
      </w:r>
    </w:p>
    <w:p w14:paraId="40753258" w14:textId="48192208" w:rsidR="008907BC" w:rsidRPr="00507225" w:rsidRDefault="008907BC" w:rsidP="00DB5800">
      <w:pPr>
        <w:numPr>
          <w:ilvl w:val="0"/>
          <w:numId w:val="14"/>
        </w:numPr>
        <w:tabs>
          <w:tab w:val="left" w:pos="1260"/>
        </w:tabs>
        <w:spacing w:line="280" w:lineRule="exact"/>
        <w:ind w:left="1260" w:hanging="540"/>
        <w:jc w:val="both"/>
        <w:rPr>
          <w:rFonts w:ascii="Arial" w:hAnsi="Arial" w:cs="Arial"/>
          <w:sz w:val="22"/>
          <w:szCs w:val="22"/>
        </w:rPr>
      </w:pPr>
      <w:r>
        <w:rPr>
          <w:rFonts w:ascii="Arial" w:hAnsi="Arial" w:cs="Arial"/>
          <w:sz w:val="22"/>
          <w:szCs w:val="22"/>
        </w:rPr>
        <w:t>Adapting ILITs……………………………………………………………………</w:t>
      </w:r>
      <w:r w:rsidR="00134B07">
        <w:rPr>
          <w:rFonts w:ascii="Arial" w:hAnsi="Arial" w:cs="Arial"/>
          <w:sz w:val="22"/>
          <w:szCs w:val="22"/>
        </w:rPr>
        <w:t>…</w:t>
      </w:r>
      <w:r w:rsidR="009A0F69">
        <w:rPr>
          <w:rFonts w:ascii="Arial" w:hAnsi="Arial" w:cs="Arial"/>
          <w:sz w:val="22"/>
          <w:szCs w:val="22"/>
        </w:rPr>
        <w:t>…</w:t>
      </w:r>
      <w:r w:rsidR="006263F7">
        <w:rPr>
          <w:rFonts w:ascii="Arial" w:hAnsi="Arial" w:cs="Arial"/>
          <w:sz w:val="22"/>
          <w:szCs w:val="22"/>
        </w:rPr>
        <w:t>1</w:t>
      </w:r>
      <w:r w:rsidR="000E7AE5">
        <w:rPr>
          <w:rFonts w:ascii="Arial" w:hAnsi="Arial" w:cs="Arial"/>
          <w:sz w:val="22"/>
          <w:szCs w:val="22"/>
        </w:rPr>
        <w:t>55</w:t>
      </w:r>
    </w:p>
    <w:p w14:paraId="6B192E8F" w14:textId="03590452" w:rsidR="00491FB5" w:rsidRDefault="00EF6CAF" w:rsidP="00DB5800">
      <w:pPr>
        <w:numPr>
          <w:ilvl w:val="2"/>
          <w:numId w:val="3"/>
        </w:numPr>
        <w:tabs>
          <w:tab w:val="clear" w:pos="2160"/>
          <w:tab w:val="num" w:pos="720"/>
          <w:tab w:val="left" w:pos="1260"/>
        </w:tabs>
        <w:spacing w:line="280" w:lineRule="exact"/>
        <w:ind w:left="2088" w:hanging="1728"/>
        <w:jc w:val="both"/>
        <w:rPr>
          <w:rFonts w:ascii="Arial" w:hAnsi="Arial" w:cs="Arial"/>
        </w:rPr>
      </w:pPr>
      <w:r>
        <w:rPr>
          <w:rFonts w:ascii="Arial" w:hAnsi="Arial" w:cs="Arial"/>
        </w:rPr>
        <w:t>Adding</w:t>
      </w:r>
      <w:r w:rsidR="00491FB5">
        <w:rPr>
          <w:rFonts w:ascii="Arial" w:hAnsi="Arial" w:cs="Arial"/>
        </w:rPr>
        <w:t xml:space="preserve"> OBIT Techniques to </w:t>
      </w:r>
      <w:r>
        <w:rPr>
          <w:rFonts w:ascii="Arial" w:hAnsi="Arial" w:cs="Arial"/>
        </w:rPr>
        <w:t>Pre-</w:t>
      </w:r>
      <w:r w:rsidR="00491FB5">
        <w:rPr>
          <w:rFonts w:ascii="Arial" w:hAnsi="Arial" w:cs="Arial"/>
        </w:rPr>
        <w:t>Existing Irrevocable Trusts</w:t>
      </w:r>
      <w:r w:rsidR="004C0D30">
        <w:rPr>
          <w:rFonts w:ascii="Arial" w:hAnsi="Arial" w:cs="Arial"/>
        </w:rPr>
        <w:t>……………</w:t>
      </w:r>
      <w:r>
        <w:rPr>
          <w:rFonts w:ascii="Arial" w:hAnsi="Arial" w:cs="Arial"/>
        </w:rPr>
        <w:t>…</w:t>
      </w:r>
      <w:r w:rsidR="00EF4712">
        <w:rPr>
          <w:rFonts w:ascii="Arial" w:hAnsi="Arial" w:cs="Arial"/>
        </w:rPr>
        <w:t>…</w:t>
      </w:r>
      <w:r w:rsidR="005D483A">
        <w:rPr>
          <w:rFonts w:ascii="Arial" w:hAnsi="Arial" w:cs="Arial"/>
        </w:rPr>
        <w:t>.</w:t>
      </w:r>
      <w:r w:rsidR="006263F7">
        <w:rPr>
          <w:rFonts w:ascii="Arial" w:hAnsi="Arial" w:cs="Arial"/>
        </w:rPr>
        <w:t>1</w:t>
      </w:r>
      <w:r w:rsidR="00706C0E">
        <w:rPr>
          <w:rFonts w:ascii="Arial" w:hAnsi="Arial" w:cs="Arial"/>
        </w:rPr>
        <w:t>57</w:t>
      </w:r>
    </w:p>
    <w:p w14:paraId="401C26ED" w14:textId="61B2E2F6" w:rsidR="002A5F3F" w:rsidRDefault="002A5F3F" w:rsidP="00DB5800">
      <w:pPr>
        <w:numPr>
          <w:ilvl w:val="0"/>
          <w:numId w:val="6"/>
        </w:numPr>
        <w:tabs>
          <w:tab w:val="num" w:pos="720"/>
          <w:tab w:val="left" w:pos="1260"/>
        </w:tabs>
        <w:spacing w:line="280" w:lineRule="exact"/>
        <w:ind w:hanging="1080"/>
        <w:jc w:val="both"/>
        <w:rPr>
          <w:rFonts w:ascii="Arial" w:hAnsi="Arial" w:cs="Arial"/>
          <w:sz w:val="22"/>
          <w:szCs w:val="22"/>
        </w:rPr>
      </w:pPr>
      <w:r>
        <w:rPr>
          <w:rFonts w:ascii="Arial" w:hAnsi="Arial" w:cs="Arial"/>
          <w:sz w:val="22"/>
          <w:szCs w:val="22"/>
        </w:rPr>
        <w:t>Using existing LPOAs to trigger §2041(a)(3) for basis increase</w:t>
      </w:r>
      <w:r w:rsidR="00862916">
        <w:rPr>
          <w:rFonts w:ascii="Arial" w:hAnsi="Arial" w:cs="Arial"/>
          <w:sz w:val="22"/>
          <w:szCs w:val="22"/>
        </w:rPr>
        <w:t>……………</w:t>
      </w:r>
      <w:r w:rsidR="006263F7">
        <w:rPr>
          <w:rFonts w:ascii="Arial" w:hAnsi="Arial" w:cs="Arial"/>
          <w:sz w:val="22"/>
          <w:szCs w:val="22"/>
        </w:rPr>
        <w:t>...…1</w:t>
      </w:r>
      <w:r w:rsidR="00706C0E">
        <w:rPr>
          <w:rFonts w:ascii="Arial" w:hAnsi="Arial" w:cs="Arial"/>
          <w:sz w:val="22"/>
          <w:szCs w:val="22"/>
        </w:rPr>
        <w:t>57</w:t>
      </w:r>
    </w:p>
    <w:p w14:paraId="130E190F" w14:textId="69EC9531" w:rsidR="00862916" w:rsidRDefault="008A4471" w:rsidP="00DB5800">
      <w:pPr>
        <w:numPr>
          <w:ilvl w:val="0"/>
          <w:numId w:val="6"/>
        </w:numPr>
        <w:tabs>
          <w:tab w:val="left" w:pos="1260"/>
        </w:tabs>
        <w:spacing w:line="280" w:lineRule="exact"/>
        <w:ind w:hanging="1080"/>
        <w:jc w:val="both"/>
        <w:rPr>
          <w:rFonts w:ascii="Arial" w:hAnsi="Arial" w:cs="Arial"/>
          <w:sz w:val="22"/>
          <w:szCs w:val="22"/>
        </w:rPr>
      </w:pPr>
      <w:r>
        <w:rPr>
          <w:rFonts w:ascii="Arial" w:hAnsi="Arial" w:cs="Arial"/>
          <w:sz w:val="22"/>
          <w:szCs w:val="22"/>
        </w:rPr>
        <w:t>Prospective t</w:t>
      </w:r>
      <w:r w:rsidR="004C0D30">
        <w:rPr>
          <w:rFonts w:ascii="Arial" w:hAnsi="Arial" w:cs="Arial"/>
          <w:sz w:val="22"/>
          <w:szCs w:val="22"/>
        </w:rPr>
        <w:t xml:space="preserve">ax </w:t>
      </w:r>
      <w:r>
        <w:rPr>
          <w:rFonts w:ascii="Arial" w:hAnsi="Arial" w:cs="Arial"/>
          <w:sz w:val="22"/>
          <w:szCs w:val="22"/>
        </w:rPr>
        <w:t>e</w:t>
      </w:r>
      <w:r w:rsidR="004C0D30">
        <w:rPr>
          <w:rFonts w:ascii="Arial" w:hAnsi="Arial" w:cs="Arial"/>
          <w:sz w:val="22"/>
          <w:szCs w:val="22"/>
        </w:rPr>
        <w:t xml:space="preserve">ffect of </w:t>
      </w:r>
      <w:r>
        <w:rPr>
          <w:rFonts w:ascii="Arial" w:hAnsi="Arial" w:cs="Arial"/>
          <w:sz w:val="22"/>
          <w:szCs w:val="22"/>
        </w:rPr>
        <w:t>amending irrev. t</w:t>
      </w:r>
      <w:r w:rsidR="00862916" w:rsidRPr="00862916">
        <w:rPr>
          <w:rFonts w:ascii="Arial" w:hAnsi="Arial" w:cs="Arial"/>
          <w:sz w:val="22"/>
          <w:szCs w:val="22"/>
        </w:rPr>
        <w:t xml:space="preserve">rusts </w:t>
      </w:r>
      <w:r w:rsidR="004C0D30">
        <w:rPr>
          <w:rFonts w:ascii="Arial" w:hAnsi="Arial" w:cs="Arial"/>
          <w:sz w:val="22"/>
          <w:szCs w:val="22"/>
        </w:rPr>
        <w:t>prior to</w:t>
      </w:r>
      <w:r w:rsidR="00862916" w:rsidRPr="00862916">
        <w:rPr>
          <w:rFonts w:ascii="Arial" w:hAnsi="Arial" w:cs="Arial"/>
          <w:sz w:val="22"/>
          <w:szCs w:val="22"/>
        </w:rPr>
        <w:t xml:space="preserve"> </w:t>
      </w:r>
      <w:r w:rsidR="004C0D30">
        <w:rPr>
          <w:rFonts w:ascii="Arial" w:hAnsi="Arial" w:cs="Arial"/>
          <w:sz w:val="22"/>
          <w:szCs w:val="22"/>
        </w:rPr>
        <w:t>p</w:t>
      </w:r>
      <w:r w:rsidR="00862916" w:rsidRPr="00862916">
        <w:rPr>
          <w:rFonts w:ascii="Arial" w:hAnsi="Arial" w:cs="Arial"/>
          <w:sz w:val="22"/>
          <w:szCs w:val="22"/>
        </w:rPr>
        <w:t xml:space="preserve">ower </w:t>
      </w:r>
      <w:r w:rsidR="004C0D30">
        <w:rPr>
          <w:rFonts w:ascii="Arial" w:hAnsi="Arial" w:cs="Arial"/>
          <w:sz w:val="22"/>
          <w:szCs w:val="22"/>
        </w:rPr>
        <w:t>h</w:t>
      </w:r>
      <w:r w:rsidR="00862916" w:rsidRPr="00862916">
        <w:rPr>
          <w:rFonts w:ascii="Arial" w:hAnsi="Arial" w:cs="Arial"/>
          <w:sz w:val="22"/>
          <w:szCs w:val="22"/>
        </w:rPr>
        <w:t xml:space="preserve">older’s </w:t>
      </w:r>
      <w:r w:rsidR="004C0D30">
        <w:rPr>
          <w:rFonts w:ascii="Arial" w:hAnsi="Arial" w:cs="Arial"/>
          <w:sz w:val="22"/>
          <w:szCs w:val="22"/>
        </w:rPr>
        <w:t>d</w:t>
      </w:r>
      <w:r>
        <w:rPr>
          <w:rFonts w:ascii="Arial" w:hAnsi="Arial" w:cs="Arial"/>
          <w:sz w:val="22"/>
          <w:szCs w:val="22"/>
        </w:rPr>
        <w:t>eath</w:t>
      </w:r>
      <w:r w:rsidR="005D483A">
        <w:rPr>
          <w:rFonts w:ascii="Arial" w:hAnsi="Arial" w:cs="Arial"/>
          <w:sz w:val="22"/>
          <w:szCs w:val="22"/>
        </w:rPr>
        <w:t>.</w:t>
      </w:r>
      <w:r>
        <w:rPr>
          <w:rFonts w:ascii="Arial" w:hAnsi="Arial" w:cs="Arial"/>
          <w:sz w:val="22"/>
          <w:szCs w:val="22"/>
        </w:rPr>
        <w:t>.</w:t>
      </w:r>
      <w:r w:rsidR="006263F7">
        <w:rPr>
          <w:rFonts w:ascii="Arial" w:hAnsi="Arial" w:cs="Arial"/>
          <w:sz w:val="22"/>
          <w:szCs w:val="22"/>
        </w:rPr>
        <w:t>.1</w:t>
      </w:r>
      <w:r w:rsidR="00706C0E">
        <w:rPr>
          <w:rFonts w:ascii="Arial" w:hAnsi="Arial" w:cs="Arial"/>
          <w:sz w:val="22"/>
          <w:szCs w:val="22"/>
        </w:rPr>
        <w:t>58</w:t>
      </w:r>
    </w:p>
    <w:p w14:paraId="1EE40874" w14:textId="2CBB3286" w:rsidR="005E7D85" w:rsidRDefault="005E7D85" w:rsidP="00DB5800">
      <w:pPr>
        <w:numPr>
          <w:ilvl w:val="0"/>
          <w:numId w:val="6"/>
        </w:numPr>
        <w:tabs>
          <w:tab w:val="left" w:pos="1260"/>
        </w:tabs>
        <w:spacing w:line="280" w:lineRule="exact"/>
        <w:ind w:hanging="1080"/>
        <w:jc w:val="both"/>
        <w:rPr>
          <w:rFonts w:ascii="Arial" w:hAnsi="Arial" w:cs="Arial"/>
          <w:sz w:val="22"/>
          <w:szCs w:val="22"/>
        </w:rPr>
      </w:pPr>
      <w:r w:rsidRPr="005E7D85">
        <w:rPr>
          <w:rFonts w:ascii="Arial" w:hAnsi="Arial" w:cs="Arial"/>
          <w:sz w:val="22"/>
          <w:szCs w:val="22"/>
        </w:rPr>
        <w:t xml:space="preserve">Limiting </w:t>
      </w:r>
      <w:r w:rsidR="004C0D30">
        <w:rPr>
          <w:rFonts w:ascii="Arial" w:hAnsi="Arial" w:cs="Arial"/>
          <w:sz w:val="22"/>
          <w:szCs w:val="22"/>
        </w:rPr>
        <w:t>a</w:t>
      </w:r>
      <w:r w:rsidRPr="005E7D85">
        <w:rPr>
          <w:rFonts w:ascii="Arial" w:hAnsi="Arial" w:cs="Arial"/>
          <w:sz w:val="22"/>
          <w:szCs w:val="22"/>
        </w:rPr>
        <w:t xml:space="preserve">mendments to </w:t>
      </w:r>
      <w:r w:rsidR="004C0D30">
        <w:rPr>
          <w:rFonts w:ascii="Arial" w:hAnsi="Arial" w:cs="Arial"/>
          <w:sz w:val="22"/>
          <w:szCs w:val="22"/>
        </w:rPr>
        <w:t>k</w:t>
      </w:r>
      <w:r w:rsidRPr="005E7D85">
        <w:rPr>
          <w:rFonts w:ascii="Arial" w:hAnsi="Arial" w:cs="Arial"/>
          <w:sz w:val="22"/>
          <w:szCs w:val="22"/>
        </w:rPr>
        <w:t xml:space="preserve">eep </w:t>
      </w:r>
      <w:r w:rsidR="004C0D30">
        <w:rPr>
          <w:rFonts w:ascii="Arial" w:hAnsi="Arial" w:cs="Arial"/>
          <w:sz w:val="22"/>
          <w:szCs w:val="22"/>
        </w:rPr>
        <w:t>f</w:t>
      </w:r>
      <w:r w:rsidRPr="005E7D85">
        <w:rPr>
          <w:rFonts w:ascii="Arial" w:hAnsi="Arial" w:cs="Arial"/>
          <w:sz w:val="22"/>
          <w:szCs w:val="22"/>
        </w:rPr>
        <w:t xml:space="preserve">idelity to </w:t>
      </w:r>
      <w:r w:rsidR="004C0D30">
        <w:rPr>
          <w:rFonts w:ascii="Arial" w:hAnsi="Arial" w:cs="Arial"/>
          <w:sz w:val="22"/>
          <w:szCs w:val="22"/>
        </w:rPr>
        <w:t>s</w:t>
      </w:r>
      <w:r w:rsidRPr="005E7D85">
        <w:rPr>
          <w:rFonts w:ascii="Arial" w:hAnsi="Arial" w:cs="Arial"/>
          <w:sz w:val="22"/>
          <w:szCs w:val="22"/>
        </w:rPr>
        <w:t xml:space="preserve">ettlor’s </w:t>
      </w:r>
      <w:r w:rsidR="004C0D30">
        <w:rPr>
          <w:rFonts w:ascii="Arial" w:hAnsi="Arial" w:cs="Arial"/>
          <w:sz w:val="22"/>
          <w:szCs w:val="22"/>
        </w:rPr>
        <w:t>i</w:t>
      </w:r>
      <w:r w:rsidRPr="005E7D85">
        <w:rPr>
          <w:rFonts w:ascii="Arial" w:hAnsi="Arial" w:cs="Arial"/>
          <w:sz w:val="22"/>
          <w:szCs w:val="22"/>
        </w:rPr>
        <w:t>ntent</w:t>
      </w:r>
      <w:r>
        <w:rPr>
          <w:rFonts w:ascii="Arial" w:hAnsi="Arial" w:cs="Arial"/>
          <w:sz w:val="22"/>
          <w:szCs w:val="22"/>
        </w:rPr>
        <w:t>……………………</w:t>
      </w:r>
      <w:r w:rsidR="005D483A">
        <w:rPr>
          <w:rFonts w:ascii="Arial" w:hAnsi="Arial" w:cs="Arial"/>
          <w:sz w:val="22"/>
          <w:szCs w:val="22"/>
        </w:rPr>
        <w:t>.</w:t>
      </w:r>
      <w:r w:rsidR="004C0D30">
        <w:rPr>
          <w:rFonts w:ascii="Arial" w:hAnsi="Arial" w:cs="Arial"/>
          <w:sz w:val="22"/>
          <w:szCs w:val="22"/>
        </w:rPr>
        <w:t>…</w:t>
      </w:r>
      <w:r>
        <w:rPr>
          <w:rFonts w:ascii="Arial" w:hAnsi="Arial" w:cs="Arial"/>
          <w:sz w:val="22"/>
          <w:szCs w:val="22"/>
        </w:rPr>
        <w:t>…</w:t>
      </w:r>
      <w:r w:rsidR="005D483A">
        <w:rPr>
          <w:rFonts w:ascii="Arial" w:hAnsi="Arial" w:cs="Arial"/>
          <w:sz w:val="22"/>
          <w:szCs w:val="22"/>
        </w:rPr>
        <w:t>.</w:t>
      </w:r>
      <w:r w:rsidR="006263F7">
        <w:rPr>
          <w:rFonts w:ascii="Arial" w:hAnsi="Arial" w:cs="Arial"/>
          <w:sz w:val="22"/>
          <w:szCs w:val="22"/>
        </w:rPr>
        <w:t>1</w:t>
      </w:r>
      <w:r w:rsidR="00706C0E">
        <w:rPr>
          <w:rFonts w:ascii="Arial" w:hAnsi="Arial" w:cs="Arial"/>
          <w:sz w:val="22"/>
          <w:szCs w:val="22"/>
        </w:rPr>
        <w:t>61</w:t>
      </w:r>
    </w:p>
    <w:p w14:paraId="2D24FFDE" w14:textId="153AB8D6" w:rsidR="005E7D85" w:rsidRDefault="00D3489B" w:rsidP="00DB5800">
      <w:pPr>
        <w:numPr>
          <w:ilvl w:val="0"/>
          <w:numId w:val="6"/>
        </w:numPr>
        <w:tabs>
          <w:tab w:val="left" w:pos="1260"/>
        </w:tabs>
        <w:spacing w:line="280" w:lineRule="exact"/>
        <w:ind w:hanging="1080"/>
        <w:jc w:val="both"/>
        <w:rPr>
          <w:rFonts w:ascii="Arial" w:hAnsi="Arial" w:cs="Arial"/>
          <w:sz w:val="22"/>
          <w:szCs w:val="22"/>
        </w:rPr>
      </w:pPr>
      <w:r>
        <w:rPr>
          <w:rFonts w:ascii="Arial" w:hAnsi="Arial" w:cs="Arial"/>
          <w:sz w:val="22"/>
          <w:szCs w:val="22"/>
        </w:rPr>
        <w:t>Estate/g</w:t>
      </w:r>
      <w:r w:rsidR="005E7D85">
        <w:rPr>
          <w:rFonts w:ascii="Arial" w:hAnsi="Arial" w:cs="Arial"/>
          <w:sz w:val="22"/>
          <w:szCs w:val="22"/>
        </w:rPr>
        <w:t xml:space="preserve">ift </w:t>
      </w:r>
      <w:r w:rsidR="004C0D30">
        <w:rPr>
          <w:rFonts w:ascii="Arial" w:hAnsi="Arial" w:cs="Arial"/>
          <w:sz w:val="22"/>
          <w:szCs w:val="22"/>
        </w:rPr>
        <w:t>t</w:t>
      </w:r>
      <w:r w:rsidR="005E7D85">
        <w:rPr>
          <w:rFonts w:ascii="Arial" w:hAnsi="Arial" w:cs="Arial"/>
          <w:sz w:val="22"/>
          <w:szCs w:val="22"/>
        </w:rPr>
        <w:t>ax</w:t>
      </w:r>
      <w:r w:rsidR="004C0D30">
        <w:rPr>
          <w:rFonts w:ascii="Arial" w:hAnsi="Arial" w:cs="Arial"/>
          <w:sz w:val="22"/>
          <w:szCs w:val="22"/>
        </w:rPr>
        <w:t xml:space="preserve"> e</w:t>
      </w:r>
      <w:r w:rsidR="005E7D85" w:rsidRPr="005E7D85">
        <w:rPr>
          <w:rFonts w:ascii="Arial" w:hAnsi="Arial" w:cs="Arial"/>
          <w:sz w:val="22"/>
          <w:szCs w:val="22"/>
        </w:rPr>
        <w:t xml:space="preserve">ffect of </w:t>
      </w:r>
      <w:r w:rsidR="004C0D30">
        <w:rPr>
          <w:rFonts w:ascii="Arial" w:hAnsi="Arial" w:cs="Arial"/>
          <w:sz w:val="22"/>
          <w:szCs w:val="22"/>
        </w:rPr>
        <w:t>b</w:t>
      </w:r>
      <w:r w:rsidR="005E7D85" w:rsidRPr="005E7D85">
        <w:rPr>
          <w:rFonts w:ascii="Arial" w:hAnsi="Arial" w:cs="Arial"/>
          <w:sz w:val="22"/>
          <w:szCs w:val="22"/>
        </w:rPr>
        <w:t xml:space="preserve">eneficiary </w:t>
      </w:r>
      <w:r w:rsidR="004C0D30">
        <w:rPr>
          <w:rFonts w:ascii="Arial" w:hAnsi="Arial" w:cs="Arial"/>
          <w:sz w:val="22"/>
          <w:szCs w:val="22"/>
        </w:rPr>
        <w:t>p</w:t>
      </w:r>
      <w:r w:rsidR="003677B8">
        <w:rPr>
          <w:rFonts w:ascii="Arial" w:hAnsi="Arial" w:cs="Arial"/>
          <w:sz w:val="22"/>
          <w:szCs w:val="22"/>
        </w:rPr>
        <w:t>rocurement/</w:t>
      </w:r>
      <w:r w:rsidR="004C0D30">
        <w:rPr>
          <w:rFonts w:ascii="Arial" w:hAnsi="Arial" w:cs="Arial"/>
          <w:sz w:val="22"/>
          <w:szCs w:val="22"/>
        </w:rPr>
        <w:t>c</w:t>
      </w:r>
      <w:r w:rsidR="005E7D85">
        <w:rPr>
          <w:rFonts w:ascii="Arial" w:hAnsi="Arial" w:cs="Arial"/>
          <w:sz w:val="22"/>
          <w:szCs w:val="22"/>
        </w:rPr>
        <w:t>onsent</w:t>
      </w:r>
      <w:r w:rsidR="005E7D85" w:rsidRPr="005E7D85">
        <w:rPr>
          <w:rFonts w:ascii="Arial" w:hAnsi="Arial" w:cs="Arial"/>
          <w:sz w:val="22"/>
          <w:szCs w:val="22"/>
        </w:rPr>
        <w:t xml:space="preserve"> to </w:t>
      </w:r>
      <w:r w:rsidR="004C0D30">
        <w:rPr>
          <w:rFonts w:ascii="Arial" w:hAnsi="Arial" w:cs="Arial"/>
          <w:sz w:val="22"/>
          <w:szCs w:val="22"/>
        </w:rPr>
        <w:t>a</w:t>
      </w:r>
      <w:r w:rsidR="005E7D85" w:rsidRPr="005E7D85">
        <w:rPr>
          <w:rFonts w:ascii="Arial" w:hAnsi="Arial" w:cs="Arial"/>
          <w:sz w:val="22"/>
          <w:szCs w:val="22"/>
        </w:rPr>
        <w:t>mendment</w:t>
      </w:r>
      <w:r w:rsidR="005E7D85">
        <w:rPr>
          <w:rFonts w:ascii="Arial" w:hAnsi="Arial" w:cs="Arial"/>
          <w:sz w:val="22"/>
          <w:szCs w:val="22"/>
        </w:rPr>
        <w:t>……</w:t>
      </w:r>
      <w:r w:rsidR="005D483A">
        <w:rPr>
          <w:rFonts w:ascii="Arial" w:hAnsi="Arial" w:cs="Arial"/>
          <w:sz w:val="22"/>
          <w:szCs w:val="22"/>
        </w:rPr>
        <w:t>.</w:t>
      </w:r>
      <w:r w:rsidR="00CA74EA">
        <w:rPr>
          <w:rFonts w:ascii="Arial" w:hAnsi="Arial" w:cs="Arial"/>
          <w:sz w:val="22"/>
          <w:szCs w:val="22"/>
        </w:rPr>
        <w:t>.</w:t>
      </w:r>
      <w:r w:rsidR="004C0D30">
        <w:rPr>
          <w:rFonts w:ascii="Arial" w:hAnsi="Arial" w:cs="Arial"/>
          <w:sz w:val="22"/>
          <w:szCs w:val="22"/>
        </w:rPr>
        <w:t>.</w:t>
      </w:r>
      <w:r w:rsidR="006263F7">
        <w:rPr>
          <w:rFonts w:ascii="Arial" w:hAnsi="Arial" w:cs="Arial"/>
          <w:sz w:val="22"/>
          <w:szCs w:val="22"/>
        </w:rPr>
        <w:t>1</w:t>
      </w:r>
      <w:r w:rsidR="00706C0E">
        <w:rPr>
          <w:rFonts w:ascii="Arial" w:hAnsi="Arial" w:cs="Arial"/>
          <w:sz w:val="22"/>
          <w:szCs w:val="22"/>
        </w:rPr>
        <w:t>62</w:t>
      </w:r>
    </w:p>
    <w:p w14:paraId="7F78A430" w14:textId="552E2AF7" w:rsidR="003677B8" w:rsidRDefault="003677B8" w:rsidP="00DB5800">
      <w:pPr>
        <w:numPr>
          <w:ilvl w:val="0"/>
          <w:numId w:val="6"/>
        </w:numPr>
        <w:tabs>
          <w:tab w:val="left" w:pos="1260"/>
        </w:tabs>
        <w:spacing w:line="280" w:lineRule="exact"/>
        <w:ind w:hanging="1080"/>
        <w:jc w:val="both"/>
        <w:rPr>
          <w:rFonts w:ascii="Arial" w:hAnsi="Arial" w:cs="Arial"/>
          <w:sz w:val="22"/>
          <w:szCs w:val="22"/>
        </w:rPr>
      </w:pPr>
      <w:r>
        <w:rPr>
          <w:rFonts w:ascii="Arial" w:hAnsi="Arial" w:cs="Arial"/>
          <w:sz w:val="22"/>
          <w:szCs w:val="22"/>
        </w:rPr>
        <w:t xml:space="preserve">Asset </w:t>
      </w:r>
      <w:r w:rsidR="004C0D30">
        <w:rPr>
          <w:rFonts w:ascii="Arial" w:hAnsi="Arial" w:cs="Arial"/>
          <w:sz w:val="22"/>
          <w:szCs w:val="22"/>
        </w:rPr>
        <w:t>p</w:t>
      </w:r>
      <w:r>
        <w:rPr>
          <w:rFonts w:ascii="Arial" w:hAnsi="Arial" w:cs="Arial"/>
          <w:sz w:val="22"/>
          <w:szCs w:val="22"/>
        </w:rPr>
        <w:t xml:space="preserve">rotection </w:t>
      </w:r>
      <w:r w:rsidR="004C0D30">
        <w:rPr>
          <w:rFonts w:ascii="Arial" w:hAnsi="Arial" w:cs="Arial"/>
          <w:sz w:val="22"/>
          <w:szCs w:val="22"/>
        </w:rPr>
        <w:t>e</w:t>
      </w:r>
      <w:r w:rsidRPr="003677B8">
        <w:rPr>
          <w:rFonts w:ascii="Arial" w:hAnsi="Arial" w:cs="Arial"/>
          <w:sz w:val="22"/>
          <w:szCs w:val="22"/>
        </w:rPr>
        <w:t xml:space="preserve">ffect of </w:t>
      </w:r>
      <w:r w:rsidR="004C0D30">
        <w:rPr>
          <w:rFonts w:ascii="Arial" w:hAnsi="Arial" w:cs="Arial"/>
          <w:sz w:val="22"/>
          <w:szCs w:val="22"/>
        </w:rPr>
        <w:t>b</w:t>
      </w:r>
      <w:r w:rsidRPr="003677B8">
        <w:rPr>
          <w:rFonts w:ascii="Arial" w:hAnsi="Arial" w:cs="Arial"/>
          <w:sz w:val="22"/>
          <w:szCs w:val="22"/>
        </w:rPr>
        <w:t xml:space="preserve">eneficiary </w:t>
      </w:r>
      <w:r w:rsidR="004C0D30">
        <w:rPr>
          <w:rFonts w:ascii="Arial" w:hAnsi="Arial" w:cs="Arial"/>
          <w:sz w:val="22"/>
          <w:szCs w:val="22"/>
        </w:rPr>
        <w:t>p</w:t>
      </w:r>
      <w:r>
        <w:rPr>
          <w:rFonts w:ascii="Arial" w:hAnsi="Arial" w:cs="Arial"/>
          <w:sz w:val="22"/>
          <w:szCs w:val="22"/>
        </w:rPr>
        <w:t>rocurement/</w:t>
      </w:r>
      <w:r w:rsidR="004C0D30">
        <w:rPr>
          <w:rFonts w:ascii="Arial" w:hAnsi="Arial" w:cs="Arial"/>
          <w:sz w:val="22"/>
          <w:szCs w:val="22"/>
        </w:rPr>
        <w:t>c</w:t>
      </w:r>
      <w:r w:rsidRPr="003677B8">
        <w:rPr>
          <w:rFonts w:ascii="Arial" w:hAnsi="Arial" w:cs="Arial"/>
          <w:sz w:val="22"/>
          <w:szCs w:val="22"/>
        </w:rPr>
        <w:t xml:space="preserve">onsent to </w:t>
      </w:r>
      <w:r w:rsidR="004C0D30">
        <w:rPr>
          <w:rFonts w:ascii="Arial" w:hAnsi="Arial" w:cs="Arial"/>
          <w:sz w:val="22"/>
          <w:szCs w:val="22"/>
        </w:rPr>
        <w:t>a</w:t>
      </w:r>
      <w:r w:rsidRPr="003677B8">
        <w:rPr>
          <w:rFonts w:ascii="Arial" w:hAnsi="Arial" w:cs="Arial"/>
          <w:sz w:val="22"/>
          <w:szCs w:val="22"/>
        </w:rPr>
        <w:t>mendment</w:t>
      </w:r>
      <w:r w:rsidR="004C0D30">
        <w:rPr>
          <w:rFonts w:ascii="Arial" w:hAnsi="Arial" w:cs="Arial"/>
          <w:sz w:val="22"/>
          <w:szCs w:val="22"/>
        </w:rPr>
        <w:t>…</w:t>
      </w:r>
      <w:r w:rsidR="005D483A">
        <w:rPr>
          <w:rFonts w:ascii="Arial" w:hAnsi="Arial" w:cs="Arial"/>
          <w:sz w:val="22"/>
          <w:szCs w:val="22"/>
        </w:rPr>
        <w:t>..</w:t>
      </w:r>
      <w:r w:rsidR="00960A4F">
        <w:rPr>
          <w:rFonts w:ascii="Arial" w:hAnsi="Arial" w:cs="Arial"/>
          <w:sz w:val="22"/>
          <w:szCs w:val="22"/>
        </w:rPr>
        <w:t>.1</w:t>
      </w:r>
      <w:r w:rsidR="00706C0E">
        <w:rPr>
          <w:rFonts w:ascii="Arial" w:hAnsi="Arial" w:cs="Arial"/>
          <w:sz w:val="22"/>
          <w:szCs w:val="22"/>
        </w:rPr>
        <w:t>68</w:t>
      </w:r>
    </w:p>
    <w:p w14:paraId="523FBCA6" w14:textId="1964C780" w:rsidR="008A4471" w:rsidRDefault="003677B8" w:rsidP="00DB5800">
      <w:pPr>
        <w:numPr>
          <w:ilvl w:val="0"/>
          <w:numId w:val="6"/>
        </w:numPr>
        <w:tabs>
          <w:tab w:val="left" w:pos="1260"/>
        </w:tabs>
        <w:spacing w:line="280" w:lineRule="exact"/>
        <w:ind w:hanging="1080"/>
        <w:jc w:val="both"/>
        <w:rPr>
          <w:rFonts w:ascii="Arial" w:hAnsi="Arial" w:cs="Arial"/>
          <w:sz w:val="22"/>
          <w:szCs w:val="22"/>
        </w:rPr>
      </w:pPr>
      <w:r w:rsidRPr="003677B8">
        <w:rPr>
          <w:rFonts w:ascii="Arial" w:hAnsi="Arial" w:cs="Arial"/>
          <w:sz w:val="22"/>
          <w:szCs w:val="22"/>
        </w:rPr>
        <w:t xml:space="preserve">Amendments or </w:t>
      </w:r>
      <w:r w:rsidR="004C0D30">
        <w:rPr>
          <w:rFonts w:ascii="Arial" w:hAnsi="Arial" w:cs="Arial"/>
          <w:sz w:val="22"/>
          <w:szCs w:val="22"/>
        </w:rPr>
        <w:t>m</w:t>
      </w:r>
      <w:r w:rsidRPr="003677B8">
        <w:rPr>
          <w:rFonts w:ascii="Arial" w:hAnsi="Arial" w:cs="Arial"/>
          <w:sz w:val="22"/>
          <w:szCs w:val="22"/>
        </w:rPr>
        <w:t xml:space="preserve">odifications </w:t>
      </w:r>
      <w:r w:rsidR="004C0D30">
        <w:rPr>
          <w:rFonts w:ascii="Arial" w:hAnsi="Arial" w:cs="Arial"/>
          <w:sz w:val="22"/>
          <w:szCs w:val="22"/>
        </w:rPr>
        <w:t>a</w:t>
      </w:r>
      <w:r w:rsidRPr="003677B8">
        <w:rPr>
          <w:rFonts w:ascii="Arial" w:hAnsi="Arial" w:cs="Arial"/>
          <w:sz w:val="22"/>
          <w:szCs w:val="22"/>
        </w:rPr>
        <w:t xml:space="preserve">ffecting GST </w:t>
      </w:r>
      <w:r w:rsidR="004C0D30">
        <w:rPr>
          <w:rFonts w:ascii="Arial" w:hAnsi="Arial" w:cs="Arial"/>
          <w:sz w:val="22"/>
          <w:szCs w:val="22"/>
        </w:rPr>
        <w:t>e</w:t>
      </w:r>
      <w:r w:rsidRPr="003677B8">
        <w:rPr>
          <w:rFonts w:ascii="Arial" w:hAnsi="Arial" w:cs="Arial"/>
          <w:sz w:val="22"/>
          <w:szCs w:val="22"/>
        </w:rPr>
        <w:t>xemption</w:t>
      </w:r>
      <w:r>
        <w:rPr>
          <w:rFonts w:ascii="Arial" w:hAnsi="Arial" w:cs="Arial"/>
          <w:sz w:val="22"/>
          <w:szCs w:val="22"/>
        </w:rPr>
        <w:t>………………………</w:t>
      </w:r>
      <w:r w:rsidR="005D483A">
        <w:rPr>
          <w:rFonts w:ascii="Arial" w:hAnsi="Arial" w:cs="Arial"/>
          <w:sz w:val="22"/>
          <w:szCs w:val="22"/>
        </w:rPr>
        <w:t>..</w:t>
      </w:r>
      <w:r w:rsidR="006263F7">
        <w:rPr>
          <w:rFonts w:ascii="Arial" w:hAnsi="Arial" w:cs="Arial"/>
          <w:sz w:val="22"/>
          <w:szCs w:val="22"/>
        </w:rPr>
        <w:t>.1</w:t>
      </w:r>
      <w:r w:rsidR="00706C0E">
        <w:rPr>
          <w:rFonts w:ascii="Arial" w:hAnsi="Arial" w:cs="Arial"/>
          <w:sz w:val="22"/>
          <w:szCs w:val="22"/>
        </w:rPr>
        <w:t>69</w:t>
      </w:r>
    </w:p>
    <w:p w14:paraId="723505D7" w14:textId="7B9C84D9" w:rsidR="0028471A" w:rsidRPr="0028471A" w:rsidRDefault="0028471A" w:rsidP="00DB5800">
      <w:pPr>
        <w:pStyle w:val="ListParagraph"/>
        <w:numPr>
          <w:ilvl w:val="0"/>
          <w:numId w:val="6"/>
        </w:numPr>
        <w:tabs>
          <w:tab w:val="clear" w:pos="1800"/>
          <w:tab w:val="num" w:pos="1260"/>
        </w:tabs>
        <w:spacing w:line="280" w:lineRule="exact"/>
        <w:ind w:hanging="1080"/>
        <w:rPr>
          <w:rFonts w:ascii="Arial" w:hAnsi="Arial" w:cs="Arial"/>
          <w:sz w:val="22"/>
          <w:szCs w:val="22"/>
        </w:rPr>
      </w:pPr>
      <w:r w:rsidRPr="0028471A">
        <w:rPr>
          <w:rFonts w:ascii="Arial" w:hAnsi="Arial" w:cs="Arial"/>
          <w:sz w:val="22"/>
          <w:szCs w:val="22"/>
        </w:rPr>
        <w:t>Substantial amendments causing a taxable exchange under §1001</w:t>
      </w:r>
      <w:r w:rsidR="006263F7">
        <w:rPr>
          <w:rFonts w:ascii="Arial" w:hAnsi="Arial" w:cs="Arial"/>
          <w:sz w:val="22"/>
          <w:szCs w:val="22"/>
        </w:rPr>
        <w:t>……….….1</w:t>
      </w:r>
      <w:r w:rsidR="00706C0E">
        <w:rPr>
          <w:rFonts w:ascii="Arial" w:hAnsi="Arial" w:cs="Arial"/>
          <w:sz w:val="22"/>
          <w:szCs w:val="22"/>
        </w:rPr>
        <w:t>69</w:t>
      </w:r>
    </w:p>
    <w:p w14:paraId="772E0BA1" w14:textId="750C1498" w:rsidR="00491FB5" w:rsidRDefault="00266A15" w:rsidP="00DB5800">
      <w:pPr>
        <w:numPr>
          <w:ilvl w:val="0"/>
          <w:numId w:val="6"/>
        </w:numPr>
        <w:tabs>
          <w:tab w:val="left" w:pos="1260"/>
        </w:tabs>
        <w:spacing w:line="280" w:lineRule="exact"/>
        <w:ind w:hanging="1080"/>
        <w:jc w:val="both"/>
        <w:rPr>
          <w:rFonts w:ascii="Arial" w:hAnsi="Arial" w:cs="Arial"/>
          <w:sz w:val="22"/>
          <w:szCs w:val="22"/>
        </w:rPr>
      </w:pPr>
      <w:r>
        <w:rPr>
          <w:rFonts w:ascii="Arial" w:hAnsi="Arial" w:cs="Arial"/>
          <w:sz w:val="22"/>
          <w:szCs w:val="22"/>
        </w:rPr>
        <w:t>Decanting in</w:t>
      </w:r>
      <w:r w:rsidR="004C0D30">
        <w:rPr>
          <w:rFonts w:ascii="Arial" w:hAnsi="Arial" w:cs="Arial"/>
          <w:sz w:val="22"/>
          <w:szCs w:val="22"/>
        </w:rPr>
        <w:t xml:space="preserve"> net</w:t>
      </w:r>
      <w:r>
        <w:rPr>
          <w:rFonts w:ascii="Arial" w:hAnsi="Arial" w:cs="Arial"/>
          <w:sz w:val="22"/>
          <w:szCs w:val="22"/>
        </w:rPr>
        <w:t xml:space="preserve"> </w:t>
      </w:r>
      <w:r w:rsidR="004C0D30">
        <w:rPr>
          <w:rFonts w:ascii="Arial" w:hAnsi="Arial" w:cs="Arial"/>
          <w:sz w:val="22"/>
          <w:szCs w:val="22"/>
        </w:rPr>
        <w:t>i</w:t>
      </w:r>
      <w:r>
        <w:rPr>
          <w:rFonts w:ascii="Arial" w:hAnsi="Arial" w:cs="Arial"/>
          <w:sz w:val="22"/>
          <w:szCs w:val="22"/>
        </w:rPr>
        <w:t>ncome/</w:t>
      </w:r>
      <w:r w:rsidRPr="004C0D30">
        <w:rPr>
          <w:rFonts w:ascii="Arial" w:hAnsi="Arial" w:cs="Arial"/>
          <w:i/>
          <w:sz w:val="22"/>
          <w:szCs w:val="22"/>
        </w:rPr>
        <w:t>HEMS</w:t>
      </w:r>
      <w:r>
        <w:rPr>
          <w:rFonts w:ascii="Arial" w:hAnsi="Arial" w:cs="Arial"/>
          <w:sz w:val="22"/>
          <w:szCs w:val="22"/>
        </w:rPr>
        <w:t xml:space="preserve"> trusts </w:t>
      </w:r>
      <w:r w:rsidRPr="004C0D30">
        <w:rPr>
          <w:rFonts w:ascii="Arial" w:hAnsi="Arial" w:cs="Arial"/>
          <w:i/>
          <w:sz w:val="22"/>
          <w:szCs w:val="22"/>
        </w:rPr>
        <w:t>without</w:t>
      </w:r>
      <w:r>
        <w:rPr>
          <w:rFonts w:ascii="Arial" w:hAnsi="Arial" w:cs="Arial"/>
          <w:sz w:val="22"/>
          <w:szCs w:val="22"/>
        </w:rPr>
        <w:t xml:space="preserve"> absolute </w:t>
      </w:r>
      <w:r w:rsidR="004C0D30">
        <w:rPr>
          <w:rFonts w:ascii="Arial" w:hAnsi="Arial" w:cs="Arial"/>
          <w:sz w:val="22"/>
          <w:szCs w:val="22"/>
        </w:rPr>
        <w:t>d</w:t>
      </w:r>
      <w:r>
        <w:rPr>
          <w:rFonts w:ascii="Arial" w:hAnsi="Arial" w:cs="Arial"/>
          <w:sz w:val="22"/>
          <w:szCs w:val="22"/>
        </w:rPr>
        <w:t>iscretion…………</w:t>
      </w:r>
      <w:r w:rsidR="005D483A">
        <w:rPr>
          <w:rFonts w:ascii="Arial" w:hAnsi="Arial" w:cs="Arial"/>
          <w:sz w:val="22"/>
          <w:szCs w:val="22"/>
        </w:rPr>
        <w:t>.</w:t>
      </w:r>
      <w:r>
        <w:rPr>
          <w:rFonts w:ascii="Arial" w:hAnsi="Arial" w:cs="Arial"/>
          <w:sz w:val="22"/>
          <w:szCs w:val="22"/>
        </w:rPr>
        <w:t>…</w:t>
      </w:r>
      <w:r w:rsidR="006263F7">
        <w:rPr>
          <w:rFonts w:ascii="Arial" w:hAnsi="Arial" w:cs="Arial"/>
          <w:sz w:val="22"/>
          <w:szCs w:val="22"/>
        </w:rPr>
        <w:t>.1</w:t>
      </w:r>
      <w:r w:rsidR="00706C0E">
        <w:rPr>
          <w:rFonts w:ascii="Arial" w:hAnsi="Arial" w:cs="Arial"/>
          <w:sz w:val="22"/>
          <w:szCs w:val="22"/>
        </w:rPr>
        <w:t>7</w:t>
      </w:r>
      <w:r w:rsidR="008546B5">
        <w:rPr>
          <w:rFonts w:ascii="Arial" w:hAnsi="Arial" w:cs="Arial"/>
          <w:sz w:val="22"/>
          <w:szCs w:val="22"/>
        </w:rPr>
        <w:t>7</w:t>
      </w:r>
    </w:p>
    <w:p w14:paraId="3C810983" w14:textId="43AACFD7" w:rsidR="00F022E0" w:rsidRPr="00F022E0" w:rsidRDefault="00F022E0" w:rsidP="00F022E0">
      <w:pPr>
        <w:pStyle w:val="ListParagraph"/>
        <w:numPr>
          <w:ilvl w:val="0"/>
          <w:numId w:val="6"/>
        </w:numPr>
        <w:tabs>
          <w:tab w:val="clear" w:pos="1800"/>
          <w:tab w:val="num" w:pos="1260"/>
        </w:tabs>
        <w:ind w:left="1260" w:hanging="540"/>
        <w:rPr>
          <w:rFonts w:ascii="Arial" w:hAnsi="Arial" w:cs="Arial"/>
          <w:sz w:val="22"/>
          <w:szCs w:val="22"/>
        </w:rPr>
      </w:pPr>
      <w:r w:rsidRPr="00F022E0">
        <w:rPr>
          <w:rFonts w:ascii="Arial" w:hAnsi="Arial" w:cs="Arial"/>
          <w:sz w:val="22"/>
          <w:szCs w:val="22"/>
        </w:rPr>
        <w:t>Decanting limits even when there is wide discretion</w:t>
      </w:r>
      <w:r w:rsidR="006263F7">
        <w:rPr>
          <w:rFonts w:ascii="Arial" w:hAnsi="Arial" w:cs="Arial"/>
          <w:sz w:val="22"/>
          <w:szCs w:val="22"/>
        </w:rPr>
        <w:t>……………………………..1</w:t>
      </w:r>
      <w:r w:rsidR="00706C0E">
        <w:rPr>
          <w:rFonts w:ascii="Arial" w:hAnsi="Arial" w:cs="Arial"/>
          <w:sz w:val="22"/>
          <w:szCs w:val="22"/>
        </w:rPr>
        <w:t>78</w:t>
      </w:r>
    </w:p>
    <w:p w14:paraId="3D56C154" w14:textId="630C4ECB" w:rsidR="00643057" w:rsidRPr="00506316" w:rsidRDefault="00643057" w:rsidP="00DB5800">
      <w:pPr>
        <w:numPr>
          <w:ilvl w:val="0"/>
          <w:numId w:val="6"/>
        </w:numPr>
        <w:tabs>
          <w:tab w:val="left" w:pos="1260"/>
        </w:tabs>
        <w:spacing w:line="280" w:lineRule="exact"/>
        <w:ind w:hanging="1080"/>
        <w:jc w:val="both"/>
        <w:rPr>
          <w:rFonts w:ascii="Arial" w:hAnsi="Arial" w:cs="Arial"/>
          <w:sz w:val="22"/>
          <w:szCs w:val="22"/>
        </w:rPr>
      </w:pPr>
      <w:r>
        <w:rPr>
          <w:rFonts w:ascii="Arial" w:hAnsi="Arial" w:cs="Arial"/>
          <w:sz w:val="22"/>
          <w:szCs w:val="22"/>
        </w:rPr>
        <w:t>Dangers of</w:t>
      </w:r>
      <w:r w:rsidRPr="00643057">
        <w:rPr>
          <w:rFonts w:ascii="Arial" w:hAnsi="Arial" w:cs="Arial"/>
          <w:sz w:val="22"/>
          <w:szCs w:val="22"/>
        </w:rPr>
        <w:t xml:space="preserve"> “self-help” terminations</w:t>
      </w:r>
      <w:r>
        <w:rPr>
          <w:rFonts w:ascii="Arial" w:hAnsi="Arial" w:cs="Arial"/>
          <w:sz w:val="22"/>
          <w:szCs w:val="22"/>
        </w:rPr>
        <w:t xml:space="preserve"> in lieu of following state law…………….….</w:t>
      </w:r>
      <w:r w:rsidR="006263F7">
        <w:rPr>
          <w:rFonts w:ascii="Arial" w:hAnsi="Arial" w:cs="Arial"/>
          <w:sz w:val="22"/>
          <w:szCs w:val="22"/>
        </w:rPr>
        <w:t>1</w:t>
      </w:r>
      <w:r w:rsidR="008546B5">
        <w:rPr>
          <w:rFonts w:ascii="Arial" w:hAnsi="Arial" w:cs="Arial"/>
          <w:sz w:val="22"/>
          <w:szCs w:val="22"/>
        </w:rPr>
        <w:t>82</w:t>
      </w:r>
    </w:p>
    <w:p w14:paraId="44438C15" w14:textId="66932478" w:rsidR="0006302D" w:rsidRPr="0006302D" w:rsidRDefault="005A460A" w:rsidP="00DB5800">
      <w:pPr>
        <w:numPr>
          <w:ilvl w:val="2"/>
          <w:numId w:val="3"/>
        </w:numPr>
        <w:tabs>
          <w:tab w:val="left" w:pos="720"/>
        </w:tabs>
        <w:spacing w:line="280" w:lineRule="exact"/>
        <w:ind w:hanging="1800"/>
        <w:jc w:val="both"/>
        <w:rPr>
          <w:rFonts w:ascii="Arial" w:hAnsi="Arial" w:cs="Arial"/>
        </w:rPr>
      </w:pPr>
      <w:r>
        <w:rPr>
          <w:rFonts w:ascii="Arial" w:hAnsi="Arial" w:cs="Arial"/>
        </w:rPr>
        <w:t xml:space="preserve">Ongoing </w:t>
      </w:r>
      <w:r w:rsidR="00491FB5">
        <w:rPr>
          <w:rFonts w:ascii="Arial" w:hAnsi="Arial" w:cs="Arial"/>
        </w:rPr>
        <w:t xml:space="preserve">Income </w:t>
      </w:r>
      <w:r w:rsidR="005338E2">
        <w:rPr>
          <w:rFonts w:ascii="Arial" w:hAnsi="Arial" w:cs="Arial"/>
        </w:rPr>
        <w:t>Tax</w:t>
      </w:r>
      <w:r w:rsidR="00491FB5">
        <w:rPr>
          <w:rFonts w:ascii="Arial" w:hAnsi="Arial" w:cs="Arial"/>
        </w:rPr>
        <w:t xml:space="preserve"> Planning fo</w:t>
      </w:r>
      <w:r w:rsidR="004C0D30">
        <w:rPr>
          <w:rFonts w:ascii="Arial" w:hAnsi="Arial" w:cs="Arial"/>
        </w:rPr>
        <w:t>r Irrevocable Non-Grantor Trust</w:t>
      </w:r>
      <w:r w:rsidR="005338E2">
        <w:rPr>
          <w:rFonts w:ascii="Arial" w:hAnsi="Arial" w:cs="Arial"/>
        </w:rPr>
        <w:t>s</w:t>
      </w:r>
      <w:r w:rsidR="004C0D30">
        <w:rPr>
          <w:rFonts w:ascii="Arial" w:hAnsi="Arial" w:cs="Arial"/>
        </w:rPr>
        <w:t>…</w:t>
      </w:r>
      <w:r w:rsidR="007B5068">
        <w:rPr>
          <w:rFonts w:ascii="Arial" w:hAnsi="Arial" w:cs="Arial"/>
        </w:rPr>
        <w:t>…</w:t>
      </w:r>
      <w:r w:rsidR="001E2E1E">
        <w:rPr>
          <w:rFonts w:ascii="Arial" w:hAnsi="Arial" w:cs="Arial"/>
        </w:rPr>
        <w:t>..</w:t>
      </w:r>
      <w:r w:rsidR="004C0D30">
        <w:rPr>
          <w:rFonts w:ascii="Arial" w:hAnsi="Arial" w:cs="Arial"/>
        </w:rPr>
        <w:t>…</w:t>
      </w:r>
      <w:r w:rsidR="005338E2">
        <w:rPr>
          <w:rFonts w:ascii="Arial" w:hAnsi="Arial" w:cs="Arial"/>
        </w:rPr>
        <w:t>…</w:t>
      </w:r>
      <w:r w:rsidR="006263F7">
        <w:rPr>
          <w:rFonts w:ascii="Arial" w:hAnsi="Arial" w:cs="Arial"/>
        </w:rPr>
        <w:t>1</w:t>
      </w:r>
      <w:r w:rsidR="00815546">
        <w:rPr>
          <w:rFonts w:ascii="Arial" w:hAnsi="Arial" w:cs="Arial"/>
        </w:rPr>
        <w:t>84</w:t>
      </w:r>
    </w:p>
    <w:p w14:paraId="6E61CFED" w14:textId="3C4F0CB6" w:rsidR="0006302D" w:rsidRPr="0006302D" w:rsidRDefault="0006302D" w:rsidP="00DB5800">
      <w:pPr>
        <w:pStyle w:val="ListParagraph"/>
        <w:numPr>
          <w:ilvl w:val="0"/>
          <w:numId w:val="7"/>
        </w:numPr>
        <w:tabs>
          <w:tab w:val="clear" w:pos="1800"/>
          <w:tab w:val="num" w:pos="1260"/>
        </w:tabs>
        <w:spacing w:line="280" w:lineRule="exact"/>
        <w:ind w:hanging="1080"/>
        <w:jc w:val="both"/>
        <w:rPr>
          <w:rFonts w:ascii="Arial" w:hAnsi="Arial" w:cs="Arial"/>
          <w:sz w:val="22"/>
          <w:szCs w:val="22"/>
        </w:rPr>
      </w:pPr>
      <w:r w:rsidRPr="0006302D">
        <w:rPr>
          <w:rFonts w:ascii="Arial" w:hAnsi="Arial" w:cs="Arial"/>
          <w:sz w:val="22"/>
          <w:szCs w:val="22"/>
        </w:rPr>
        <w:t>Changes to Trust Income Taxation Wrought by ATRA and ACA</w:t>
      </w:r>
      <w:r>
        <w:rPr>
          <w:rFonts w:ascii="Arial" w:hAnsi="Arial" w:cs="Arial"/>
          <w:sz w:val="22"/>
          <w:szCs w:val="22"/>
        </w:rPr>
        <w:t>……………</w:t>
      </w:r>
      <w:r w:rsidR="007D61FD">
        <w:rPr>
          <w:rFonts w:ascii="Arial" w:hAnsi="Arial" w:cs="Arial"/>
          <w:sz w:val="22"/>
          <w:szCs w:val="22"/>
        </w:rPr>
        <w:t>…</w:t>
      </w:r>
      <w:r w:rsidR="009A0F69">
        <w:rPr>
          <w:rFonts w:ascii="Arial" w:hAnsi="Arial" w:cs="Arial"/>
          <w:sz w:val="22"/>
          <w:szCs w:val="22"/>
        </w:rPr>
        <w:t>.</w:t>
      </w:r>
      <w:r w:rsidR="006263F7">
        <w:rPr>
          <w:rFonts w:ascii="Arial" w:hAnsi="Arial" w:cs="Arial"/>
          <w:sz w:val="22"/>
          <w:szCs w:val="22"/>
        </w:rPr>
        <w:t>1</w:t>
      </w:r>
      <w:r w:rsidR="00C87B78">
        <w:rPr>
          <w:rFonts w:ascii="Arial" w:hAnsi="Arial" w:cs="Arial"/>
          <w:sz w:val="22"/>
          <w:szCs w:val="22"/>
        </w:rPr>
        <w:t>85</w:t>
      </w:r>
    </w:p>
    <w:p w14:paraId="3972B02F" w14:textId="125867AA" w:rsidR="003F6A35" w:rsidRDefault="00491FB5" w:rsidP="00DB5800">
      <w:pPr>
        <w:numPr>
          <w:ilvl w:val="0"/>
          <w:numId w:val="7"/>
        </w:numPr>
        <w:tabs>
          <w:tab w:val="num" w:pos="720"/>
          <w:tab w:val="left" w:pos="1260"/>
        </w:tabs>
        <w:spacing w:line="280" w:lineRule="exact"/>
        <w:ind w:hanging="1080"/>
        <w:jc w:val="both"/>
        <w:rPr>
          <w:rFonts w:ascii="Arial" w:hAnsi="Arial" w:cs="Arial"/>
          <w:sz w:val="22"/>
          <w:szCs w:val="22"/>
        </w:rPr>
      </w:pPr>
      <w:r w:rsidRPr="00506316">
        <w:rPr>
          <w:rFonts w:ascii="Arial" w:hAnsi="Arial" w:cs="Arial"/>
          <w:sz w:val="22"/>
          <w:szCs w:val="22"/>
        </w:rPr>
        <w:t xml:space="preserve">IRC §678(a) – </w:t>
      </w:r>
      <w:r w:rsidR="00BB2363">
        <w:rPr>
          <w:rFonts w:ascii="Arial" w:hAnsi="Arial" w:cs="Arial"/>
          <w:sz w:val="22"/>
          <w:szCs w:val="22"/>
        </w:rPr>
        <w:t xml:space="preserve">Using </w:t>
      </w:r>
      <w:r w:rsidRPr="00506316">
        <w:rPr>
          <w:rFonts w:ascii="Arial" w:hAnsi="Arial" w:cs="Arial"/>
          <w:i/>
          <w:sz w:val="22"/>
          <w:szCs w:val="22"/>
        </w:rPr>
        <w:t>Mallinckrodt</w:t>
      </w:r>
      <w:r w:rsidRPr="00506316">
        <w:rPr>
          <w:rFonts w:ascii="Arial" w:hAnsi="Arial" w:cs="Arial"/>
          <w:sz w:val="22"/>
          <w:szCs w:val="22"/>
        </w:rPr>
        <w:t>/</w:t>
      </w:r>
      <w:r w:rsidR="004C0D30">
        <w:rPr>
          <w:rFonts w:ascii="Arial" w:hAnsi="Arial" w:cs="Arial"/>
          <w:sz w:val="22"/>
          <w:szCs w:val="22"/>
        </w:rPr>
        <w:t>b</w:t>
      </w:r>
      <w:r w:rsidRPr="00506316">
        <w:rPr>
          <w:rFonts w:ascii="Arial" w:hAnsi="Arial" w:cs="Arial"/>
          <w:sz w:val="22"/>
          <w:szCs w:val="22"/>
        </w:rPr>
        <w:t>eneficiary-</w:t>
      </w:r>
      <w:r w:rsidR="00A75E93">
        <w:rPr>
          <w:rFonts w:ascii="Arial" w:hAnsi="Arial" w:cs="Arial"/>
          <w:sz w:val="22"/>
          <w:szCs w:val="22"/>
        </w:rPr>
        <w:t>ef</w:t>
      </w:r>
      <w:r w:rsidR="004C0D30">
        <w:rPr>
          <w:rFonts w:ascii="Arial" w:hAnsi="Arial" w:cs="Arial"/>
          <w:sz w:val="22"/>
          <w:szCs w:val="22"/>
        </w:rPr>
        <w:t>fective grantor t</w:t>
      </w:r>
      <w:r w:rsidRPr="00506316">
        <w:rPr>
          <w:rFonts w:ascii="Arial" w:hAnsi="Arial" w:cs="Arial"/>
          <w:sz w:val="22"/>
          <w:szCs w:val="22"/>
        </w:rPr>
        <w:t>rusts</w:t>
      </w:r>
      <w:r w:rsidR="0006302D">
        <w:rPr>
          <w:rFonts w:ascii="Arial" w:hAnsi="Arial" w:cs="Arial"/>
          <w:sz w:val="22"/>
          <w:szCs w:val="22"/>
        </w:rPr>
        <w:t>…</w:t>
      </w:r>
      <w:r w:rsidR="00A75E93">
        <w:rPr>
          <w:rFonts w:ascii="Arial" w:hAnsi="Arial" w:cs="Arial"/>
          <w:sz w:val="22"/>
          <w:szCs w:val="22"/>
        </w:rPr>
        <w:t>.</w:t>
      </w:r>
      <w:r w:rsidR="0006302D">
        <w:rPr>
          <w:rFonts w:ascii="Arial" w:hAnsi="Arial" w:cs="Arial"/>
          <w:sz w:val="22"/>
          <w:szCs w:val="22"/>
        </w:rPr>
        <w:t>…</w:t>
      </w:r>
      <w:r w:rsidR="005F3413">
        <w:rPr>
          <w:rFonts w:ascii="Arial" w:hAnsi="Arial" w:cs="Arial"/>
          <w:sz w:val="22"/>
          <w:szCs w:val="22"/>
        </w:rPr>
        <w:t>.</w:t>
      </w:r>
      <w:r w:rsidR="0006302D">
        <w:rPr>
          <w:rFonts w:ascii="Arial" w:hAnsi="Arial" w:cs="Arial"/>
          <w:sz w:val="22"/>
          <w:szCs w:val="22"/>
        </w:rPr>
        <w:t>…</w:t>
      </w:r>
      <w:r w:rsidR="00134B07">
        <w:rPr>
          <w:rFonts w:ascii="Arial" w:hAnsi="Arial" w:cs="Arial"/>
          <w:sz w:val="22"/>
          <w:szCs w:val="22"/>
        </w:rPr>
        <w:t>.</w:t>
      </w:r>
      <w:r w:rsidR="007D61FD">
        <w:rPr>
          <w:rFonts w:ascii="Arial" w:hAnsi="Arial" w:cs="Arial"/>
          <w:sz w:val="22"/>
          <w:szCs w:val="22"/>
        </w:rPr>
        <w:t>.</w:t>
      </w:r>
      <w:r w:rsidR="005D483A">
        <w:rPr>
          <w:rFonts w:ascii="Arial" w:hAnsi="Arial" w:cs="Arial"/>
          <w:sz w:val="22"/>
          <w:szCs w:val="22"/>
        </w:rPr>
        <w:t>.</w:t>
      </w:r>
      <w:r w:rsidR="006263F7">
        <w:rPr>
          <w:rFonts w:ascii="Arial" w:hAnsi="Arial" w:cs="Arial"/>
          <w:sz w:val="22"/>
          <w:szCs w:val="22"/>
        </w:rPr>
        <w:t>1</w:t>
      </w:r>
      <w:r w:rsidR="00C87B78">
        <w:rPr>
          <w:rFonts w:ascii="Arial" w:hAnsi="Arial" w:cs="Arial"/>
          <w:sz w:val="22"/>
          <w:szCs w:val="22"/>
        </w:rPr>
        <w:t>90</w:t>
      </w:r>
    </w:p>
    <w:p w14:paraId="7FDDC2ED" w14:textId="2951DFAF" w:rsidR="00CA54DC" w:rsidRDefault="00CA54DC" w:rsidP="00DB5800">
      <w:pPr>
        <w:numPr>
          <w:ilvl w:val="0"/>
          <w:numId w:val="7"/>
        </w:numPr>
        <w:tabs>
          <w:tab w:val="left" w:pos="1260"/>
        </w:tabs>
        <w:spacing w:line="280" w:lineRule="exact"/>
        <w:ind w:hanging="1080"/>
        <w:jc w:val="both"/>
        <w:rPr>
          <w:rFonts w:ascii="Arial" w:hAnsi="Arial" w:cs="Arial"/>
          <w:sz w:val="22"/>
          <w:szCs w:val="22"/>
        </w:rPr>
      </w:pPr>
      <w:r>
        <w:rPr>
          <w:rFonts w:ascii="Arial" w:hAnsi="Arial" w:cs="Arial"/>
          <w:sz w:val="22"/>
          <w:szCs w:val="22"/>
        </w:rPr>
        <w:t>IRC §678(a) – Seizing the $250,000 capital gai</w:t>
      </w:r>
      <w:r w:rsidR="00E26438">
        <w:rPr>
          <w:rFonts w:ascii="Arial" w:hAnsi="Arial" w:cs="Arial"/>
          <w:sz w:val="22"/>
          <w:szCs w:val="22"/>
        </w:rPr>
        <w:t>ns tax exclusion under §121…</w:t>
      </w:r>
      <w:r w:rsidR="007D61FD">
        <w:rPr>
          <w:rFonts w:ascii="Arial" w:hAnsi="Arial" w:cs="Arial"/>
          <w:sz w:val="22"/>
          <w:szCs w:val="22"/>
        </w:rPr>
        <w:t>.</w:t>
      </w:r>
      <w:r w:rsidR="00C87B78">
        <w:rPr>
          <w:rFonts w:ascii="Arial" w:hAnsi="Arial" w:cs="Arial"/>
          <w:sz w:val="22"/>
          <w:szCs w:val="22"/>
        </w:rPr>
        <w:t>204</w:t>
      </w:r>
    </w:p>
    <w:p w14:paraId="798C05B7" w14:textId="3BC20AA0" w:rsidR="005338E2" w:rsidRDefault="003F6A35" w:rsidP="00DB5800">
      <w:pPr>
        <w:numPr>
          <w:ilvl w:val="0"/>
          <w:numId w:val="7"/>
        </w:numPr>
        <w:tabs>
          <w:tab w:val="left" w:pos="1260"/>
        </w:tabs>
        <w:spacing w:line="280" w:lineRule="exact"/>
        <w:ind w:hanging="1080"/>
        <w:jc w:val="both"/>
        <w:rPr>
          <w:rFonts w:ascii="Arial" w:hAnsi="Arial" w:cs="Arial"/>
          <w:sz w:val="22"/>
          <w:szCs w:val="22"/>
        </w:rPr>
      </w:pPr>
      <w:r w:rsidRPr="005338E2">
        <w:rPr>
          <w:rFonts w:ascii="Arial" w:hAnsi="Arial" w:cs="Arial"/>
          <w:sz w:val="22"/>
          <w:szCs w:val="22"/>
        </w:rPr>
        <w:t xml:space="preserve">IRC §678(a) – Application to </w:t>
      </w:r>
      <w:r w:rsidR="004C0D30" w:rsidRPr="005338E2">
        <w:rPr>
          <w:rFonts w:ascii="Arial" w:hAnsi="Arial" w:cs="Arial"/>
          <w:sz w:val="22"/>
          <w:szCs w:val="22"/>
        </w:rPr>
        <w:t>s</w:t>
      </w:r>
      <w:r w:rsidRPr="005338E2">
        <w:rPr>
          <w:rFonts w:ascii="Arial" w:hAnsi="Arial" w:cs="Arial"/>
          <w:sz w:val="22"/>
          <w:szCs w:val="22"/>
        </w:rPr>
        <w:t xml:space="preserve">pecial </w:t>
      </w:r>
      <w:r w:rsidR="004C0D30" w:rsidRPr="005338E2">
        <w:rPr>
          <w:rFonts w:ascii="Arial" w:hAnsi="Arial" w:cs="Arial"/>
          <w:sz w:val="22"/>
          <w:szCs w:val="22"/>
        </w:rPr>
        <w:t>n</w:t>
      </w:r>
      <w:r w:rsidRPr="005338E2">
        <w:rPr>
          <w:rFonts w:ascii="Arial" w:hAnsi="Arial" w:cs="Arial"/>
          <w:sz w:val="22"/>
          <w:szCs w:val="22"/>
        </w:rPr>
        <w:t xml:space="preserve">eeds </w:t>
      </w:r>
      <w:r w:rsidR="004C0D30" w:rsidRPr="005338E2">
        <w:rPr>
          <w:rFonts w:ascii="Arial" w:hAnsi="Arial" w:cs="Arial"/>
          <w:sz w:val="22"/>
          <w:szCs w:val="22"/>
        </w:rPr>
        <w:t>t</w:t>
      </w:r>
      <w:r w:rsidRPr="005338E2">
        <w:rPr>
          <w:rFonts w:ascii="Arial" w:hAnsi="Arial" w:cs="Arial"/>
          <w:sz w:val="22"/>
          <w:szCs w:val="22"/>
        </w:rPr>
        <w:t>rusts</w:t>
      </w:r>
      <w:r w:rsidR="009A0F69" w:rsidRPr="005338E2">
        <w:rPr>
          <w:rFonts w:ascii="Arial" w:hAnsi="Arial" w:cs="Arial"/>
          <w:sz w:val="22"/>
          <w:szCs w:val="22"/>
        </w:rPr>
        <w:t>……………………………</w:t>
      </w:r>
      <w:r w:rsidR="006263F7">
        <w:rPr>
          <w:rFonts w:ascii="Arial" w:hAnsi="Arial" w:cs="Arial"/>
          <w:sz w:val="22"/>
          <w:szCs w:val="22"/>
        </w:rPr>
        <w:t>…</w:t>
      </w:r>
      <w:r w:rsidR="00F4319C">
        <w:rPr>
          <w:rFonts w:ascii="Arial" w:hAnsi="Arial" w:cs="Arial"/>
          <w:sz w:val="22"/>
          <w:szCs w:val="22"/>
        </w:rPr>
        <w:t>..</w:t>
      </w:r>
      <w:r w:rsidR="00C87B78">
        <w:rPr>
          <w:rFonts w:ascii="Arial" w:hAnsi="Arial" w:cs="Arial"/>
          <w:sz w:val="22"/>
          <w:szCs w:val="22"/>
        </w:rPr>
        <w:t>207</w:t>
      </w:r>
    </w:p>
    <w:p w14:paraId="0BC434FF" w14:textId="53F54387" w:rsidR="003F6A35" w:rsidRPr="005338E2" w:rsidRDefault="003F6A35" w:rsidP="00DB5800">
      <w:pPr>
        <w:numPr>
          <w:ilvl w:val="0"/>
          <w:numId w:val="7"/>
        </w:numPr>
        <w:tabs>
          <w:tab w:val="left" w:pos="1260"/>
        </w:tabs>
        <w:spacing w:line="280" w:lineRule="exact"/>
        <w:ind w:hanging="1080"/>
        <w:jc w:val="both"/>
        <w:rPr>
          <w:rFonts w:ascii="Arial" w:hAnsi="Arial" w:cs="Arial"/>
          <w:sz w:val="22"/>
          <w:szCs w:val="22"/>
        </w:rPr>
      </w:pPr>
      <w:r w:rsidRPr="005338E2">
        <w:rPr>
          <w:rFonts w:ascii="Arial" w:hAnsi="Arial" w:cs="Arial"/>
          <w:sz w:val="22"/>
          <w:szCs w:val="22"/>
        </w:rPr>
        <w:t>IRC §678(a) – Application to QTIP trusts</w:t>
      </w:r>
      <w:r w:rsidR="004C0D30" w:rsidRPr="005338E2">
        <w:rPr>
          <w:rFonts w:ascii="Arial" w:hAnsi="Arial" w:cs="Arial"/>
          <w:sz w:val="22"/>
          <w:szCs w:val="22"/>
        </w:rPr>
        <w:t>……………………………………</w:t>
      </w:r>
      <w:r w:rsidR="009A0F69" w:rsidRPr="005338E2">
        <w:rPr>
          <w:rFonts w:ascii="Arial" w:hAnsi="Arial" w:cs="Arial"/>
          <w:sz w:val="22"/>
          <w:szCs w:val="22"/>
        </w:rPr>
        <w:t>……..</w:t>
      </w:r>
      <w:r w:rsidR="00C87B78">
        <w:rPr>
          <w:rFonts w:ascii="Arial" w:hAnsi="Arial" w:cs="Arial"/>
          <w:sz w:val="22"/>
          <w:szCs w:val="22"/>
        </w:rPr>
        <w:t>208</w:t>
      </w:r>
    </w:p>
    <w:p w14:paraId="0131C354" w14:textId="0CEBAB9A" w:rsidR="003F6A35" w:rsidRPr="00506316" w:rsidRDefault="003F6A35" w:rsidP="00DB5800">
      <w:pPr>
        <w:numPr>
          <w:ilvl w:val="0"/>
          <w:numId w:val="7"/>
        </w:numPr>
        <w:tabs>
          <w:tab w:val="left" w:pos="1260"/>
        </w:tabs>
        <w:spacing w:line="280" w:lineRule="exact"/>
        <w:ind w:hanging="1080"/>
        <w:jc w:val="both"/>
        <w:rPr>
          <w:rFonts w:ascii="Arial" w:hAnsi="Arial" w:cs="Arial"/>
          <w:sz w:val="22"/>
          <w:szCs w:val="22"/>
        </w:rPr>
      </w:pPr>
      <w:r>
        <w:rPr>
          <w:rFonts w:ascii="Arial" w:hAnsi="Arial" w:cs="Arial"/>
          <w:sz w:val="22"/>
          <w:szCs w:val="22"/>
        </w:rPr>
        <w:t xml:space="preserve">IRC §678(a) - </w:t>
      </w:r>
      <w:r w:rsidRPr="003F6A35">
        <w:rPr>
          <w:rFonts w:ascii="Arial" w:hAnsi="Arial" w:cs="Arial"/>
          <w:sz w:val="22"/>
          <w:szCs w:val="22"/>
        </w:rPr>
        <w:t>Transactions between beneficiaries and fully §678(a) trusts</w:t>
      </w:r>
      <w:r w:rsidR="009A0F69">
        <w:rPr>
          <w:rFonts w:ascii="Arial" w:hAnsi="Arial" w:cs="Arial"/>
          <w:sz w:val="22"/>
          <w:szCs w:val="22"/>
        </w:rPr>
        <w:t>……</w:t>
      </w:r>
      <w:r w:rsidR="00C87B78">
        <w:rPr>
          <w:rFonts w:ascii="Arial" w:hAnsi="Arial" w:cs="Arial"/>
          <w:sz w:val="22"/>
          <w:szCs w:val="22"/>
        </w:rPr>
        <w:t>209</w:t>
      </w:r>
    </w:p>
    <w:p w14:paraId="6D1F12D4" w14:textId="3E93528F" w:rsidR="0006302D" w:rsidRDefault="00BB2363" w:rsidP="00DB5800">
      <w:pPr>
        <w:numPr>
          <w:ilvl w:val="0"/>
          <w:numId w:val="7"/>
        </w:numPr>
        <w:tabs>
          <w:tab w:val="num" w:pos="720"/>
          <w:tab w:val="left" w:pos="1260"/>
        </w:tabs>
        <w:spacing w:line="280" w:lineRule="exact"/>
        <w:ind w:hanging="1080"/>
        <w:jc w:val="both"/>
        <w:rPr>
          <w:rFonts w:ascii="Arial" w:hAnsi="Arial" w:cs="Arial"/>
          <w:sz w:val="22"/>
          <w:szCs w:val="22"/>
        </w:rPr>
      </w:pPr>
      <w:r w:rsidRPr="0006302D">
        <w:rPr>
          <w:rFonts w:ascii="Arial" w:hAnsi="Arial" w:cs="Arial"/>
          <w:sz w:val="22"/>
          <w:szCs w:val="22"/>
        </w:rPr>
        <w:t xml:space="preserve">Using </w:t>
      </w:r>
      <w:r w:rsidR="00635A7F" w:rsidRPr="0006302D">
        <w:rPr>
          <w:rFonts w:ascii="Arial" w:hAnsi="Arial" w:cs="Arial"/>
          <w:sz w:val="22"/>
          <w:szCs w:val="22"/>
        </w:rPr>
        <w:t>§</w:t>
      </w:r>
      <w:r w:rsidR="0028471A">
        <w:rPr>
          <w:rFonts w:ascii="Arial" w:hAnsi="Arial" w:cs="Arial"/>
          <w:sz w:val="22"/>
          <w:szCs w:val="22"/>
        </w:rPr>
        <w:t>1.</w:t>
      </w:r>
      <w:r w:rsidR="00635A7F" w:rsidRPr="0006302D">
        <w:rPr>
          <w:rFonts w:ascii="Arial" w:hAnsi="Arial" w:cs="Arial"/>
          <w:sz w:val="22"/>
          <w:szCs w:val="22"/>
        </w:rPr>
        <w:t>643</w:t>
      </w:r>
      <w:r w:rsidR="003E23B2">
        <w:rPr>
          <w:rFonts w:ascii="Arial" w:hAnsi="Arial" w:cs="Arial"/>
          <w:sz w:val="22"/>
          <w:szCs w:val="22"/>
        </w:rPr>
        <w:t>(a)</w:t>
      </w:r>
      <w:r w:rsidR="00AF7B01">
        <w:rPr>
          <w:rFonts w:ascii="Arial" w:hAnsi="Arial" w:cs="Arial"/>
          <w:sz w:val="22"/>
          <w:szCs w:val="22"/>
        </w:rPr>
        <w:t>-3</w:t>
      </w:r>
      <w:r w:rsidR="00491FB5" w:rsidRPr="0006302D">
        <w:rPr>
          <w:rFonts w:ascii="Arial" w:hAnsi="Arial" w:cs="Arial"/>
          <w:sz w:val="22"/>
          <w:szCs w:val="22"/>
        </w:rPr>
        <w:t xml:space="preserve"> </w:t>
      </w:r>
      <w:r w:rsidR="00F8256A">
        <w:rPr>
          <w:rFonts w:ascii="Arial" w:hAnsi="Arial" w:cs="Arial"/>
          <w:sz w:val="22"/>
          <w:szCs w:val="22"/>
        </w:rPr>
        <w:t>r</w:t>
      </w:r>
      <w:r w:rsidR="00635A7F" w:rsidRPr="0006302D">
        <w:rPr>
          <w:rFonts w:ascii="Arial" w:hAnsi="Arial" w:cs="Arial"/>
          <w:sz w:val="22"/>
          <w:szCs w:val="22"/>
        </w:rPr>
        <w:t xml:space="preserve">egs to </w:t>
      </w:r>
      <w:r w:rsidR="004C0D30" w:rsidRPr="0006302D">
        <w:rPr>
          <w:rFonts w:ascii="Arial" w:hAnsi="Arial" w:cs="Arial"/>
          <w:sz w:val="22"/>
          <w:szCs w:val="22"/>
        </w:rPr>
        <w:t>permit capital gains to pass o</w:t>
      </w:r>
      <w:r w:rsidR="00491FB5" w:rsidRPr="0006302D">
        <w:rPr>
          <w:rFonts w:ascii="Arial" w:hAnsi="Arial" w:cs="Arial"/>
          <w:sz w:val="22"/>
          <w:szCs w:val="22"/>
        </w:rPr>
        <w:t>ut w/DNI on K-1</w:t>
      </w:r>
      <w:r w:rsidR="003E23B2">
        <w:rPr>
          <w:rFonts w:ascii="Arial" w:hAnsi="Arial" w:cs="Arial"/>
          <w:sz w:val="22"/>
          <w:szCs w:val="22"/>
        </w:rPr>
        <w:t>…….</w:t>
      </w:r>
      <w:r w:rsidR="00033055">
        <w:rPr>
          <w:rFonts w:ascii="Arial" w:hAnsi="Arial" w:cs="Arial"/>
          <w:sz w:val="22"/>
          <w:szCs w:val="22"/>
        </w:rPr>
        <w:t>.</w:t>
      </w:r>
      <w:r w:rsidR="009A0F69">
        <w:rPr>
          <w:rFonts w:ascii="Arial" w:hAnsi="Arial" w:cs="Arial"/>
          <w:sz w:val="22"/>
          <w:szCs w:val="22"/>
        </w:rPr>
        <w:t>.</w:t>
      </w:r>
      <w:r w:rsidR="00727B8C">
        <w:rPr>
          <w:rFonts w:ascii="Arial" w:hAnsi="Arial" w:cs="Arial"/>
          <w:sz w:val="22"/>
          <w:szCs w:val="22"/>
        </w:rPr>
        <w:t>210</w:t>
      </w:r>
    </w:p>
    <w:p w14:paraId="5C223A63" w14:textId="6CDE3FF9" w:rsidR="003F6A35" w:rsidRPr="0006302D" w:rsidRDefault="003F6A35" w:rsidP="00DB5800">
      <w:pPr>
        <w:numPr>
          <w:ilvl w:val="0"/>
          <w:numId w:val="7"/>
        </w:numPr>
        <w:tabs>
          <w:tab w:val="num" w:pos="720"/>
          <w:tab w:val="left" w:pos="1260"/>
        </w:tabs>
        <w:spacing w:line="280" w:lineRule="exact"/>
        <w:ind w:hanging="1080"/>
        <w:jc w:val="both"/>
        <w:rPr>
          <w:rFonts w:ascii="Arial" w:hAnsi="Arial" w:cs="Arial"/>
          <w:sz w:val="22"/>
          <w:szCs w:val="22"/>
        </w:rPr>
      </w:pPr>
      <w:r w:rsidRPr="0006302D">
        <w:rPr>
          <w:rFonts w:ascii="Arial" w:hAnsi="Arial" w:cs="Arial"/>
          <w:sz w:val="22"/>
          <w:szCs w:val="22"/>
        </w:rPr>
        <w:t>Comparing the three methods under §1.643(a)-3(b)</w:t>
      </w:r>
      <w:r w:rsidR="00D04EE3">
        <w:rPr>
          <w:rFonts w:ascii="Arial" w:hAnsi="Arial" w:cs="Arial"/>
          <w:sz w:val="22"/>
          <w:szCs w:val="22"/>
        </w:rPr>
        <w:t>……………………………..</w:t>
      </w:r>
      <w:r w:rsidR="00727B8C">
        <w:rPr>
          <w:rFonts w:ascii="Arial" w:hAnsi="Arial" w:cs="Arial"/>
          <w:sz w:val="22"/>
          <w:szCs w:val="22"/>
        </w:rPr>
        <w:t>214</w:t>
      </w:r>
    </w:p>
    <w:p w14:paraId="2826D895" w14:textId="743AC174" w:rsidR="008F52E3" w:rsidRDefault="003F6A35" w:rsidP="00DB5800">
      <w:pPr>
        <w:numPr>
          <w:ilvl w:val="0"/>
          <w:numId w:val="7"/>
        </w:numPr>
        <w:tabs>
          <w:tab w:val="left" w:pos="1260"/>
        </w:tabs>
        <w:spacing w:line="280" w:lineRule="exact"/>
        <w:ind w:hanging="1080"/>
        <w:jc w:val="both"/>
        <w:rPr>
          <w:rFonts w:ascii="Arial" w:hAnsi="Arial" w:cs="Arial"/>
          <w:sz w:val="22"/>
          <w:szCs w:val="22"/>
        </w:rPr>
      </w:pPr>
      <w:r w:rsidRPr="003F6A35">
        <w:rPr>
          <w:rFonts w:ascii="Arial" w:hAnsi="Arial" w:cs="Arial"/>
          <w:sz w:val="22"/>
          <w:szCs w:val="22"/>
        </w:rPr>
        <w:t xml:space="preserve">Problems with </w:t>
      </w:r>
      <w:r w:rsidR="002539FE">
        <w:rPr>
          <w:rFonts w:ascii="Arial" w:hAnsi="Arial" w:cs="Arial"/>
          <w:sz w:val="22"/>
          <w:szCs w:val="22"/>
        </w:rPr>
        <w:t>a</w:t>
      </w:r>
      <w:r w:rsidRPr="003F6A35">
        <w:rPr>
          <w:rFonts w:ascii="Arial" w:hAnsi="Arial" w:cs="Arial"/>
          <w:sz w:val="22"/>
          <w:szCs w:val="22"/>
        </w:rPr>
        <w:t>d</w:t>
      </w:r>
      <w:r w:rsidR="002539FE">
        <w:rPr>
          <w:rFonts w:ascii="Arial" w:hAnsi="Arial" w:cs="Arial"/>
          <w:sz w:val="22"/>
          <w:szCs w:val="22"/>
        </w:rPr>
        <w:t>apting irrevocable trusts with p</w:t>
      </w:r>
      <w:r w:rsidRPr="003F6A35">
        <w:rPr>
          <w:rFonts w:ascii="Arial" w:hAnsi="Arial" w:cs="Arial"/>
          <w:sz w:val="22"/>
          <w:szCs w:val="22"/>
        </w:rPr>
        <w:t xml:space="preserve">rior </w:t>
      </w:r>
      <w:r w:rsidR="002539FE">
        <w:rPr>
          <w:rFonts w:ascii="Arial" w:hAnsi="Arial" w:cs="Arial"/>
          <w:sz w:val="22"/>
          <w:szCs w:val="22"/>
        </w:rPr>
        <w:t>t</w:t>
      </w:r>
      <w:r w:rsidRPr="003F6A35">
        <w:rPr>
          <w:rFonts w:ascii="Arial" w:hAnsi="Arial" w:cs="Arial"/>
          <w:sz w:val="22"/>
          <w:szCs w:val="22"/>
        </w:rPr>
        <w:t xml:space="preserve">ax </w:t>
      </w:r>
      <w:r w:rsidR="002539FE">
        <w:rPr>
          <w:rFonts w:ascii="Arial" w:hAnsi="Arial" w:cs="Arial"/>
          <w:sz w:val="22"/>
          <w:szCs w:val="22"/>
        </w:rPr>
        <w:t>r</w:t>
      </w:r>
      <w:r w:rsidRPr="003F6A35">
        <w:rPr>
          <w:rFonts w:ascii="Arial" w:hAnsi="Arial" w:cs="Arial"/>
          <w:sz w:val="22"/>
          <w:szCs w:val="22"/>
        </w:rPr>
        <w:t xml:space="preserve">eporting </w:t>
      </w:r>
      <w:r w:rsidR="002539FE">
        <w:rPr>
          <w:rFonts w:ascii="Arial" w:hAnsi="Arial" w:cs="Arial"/>
          <w:sz w:val="22"/>
          <w:szCs w:val="22"/>
        </w:rPr>
        <w:t>h</w:t>
      </w:r>
      <w:r w:rsidRPr="003F6A35">
        <w:rPr>
          <w:rFonts w:ascii="Arial" w:hAnsi="Arial" w:cs="Arial"/>
          <w:sz w:val="22"/>
          <w:szCs w:val="22"/>
        </w:rPr>
        <w:t>istory</w:t>
      </w:r>
      <w:r w:rsidR="006263F7">
        <w:rPr>
          <w:rFonts w:ascii="Arial" w:hAnsi="Arial" w:cs="Arial"/>
          <w:sz w:val="22"/>
          <w:szCs w:val="22"/>
        </w:rPr>
        <w:t>……..</w:t>
      </w:r>
      <w:r w:rsidR="00727B8C">
        <w:rPr>
          <w:rFonts w:ascii="Arial" w:hAnsi="Arial" w:cs="Arial"/>
          <w:sz w:val="22"/>
          <w:szCs w:val="22"/>
        </w:rPr>
        <w:t>215</w:t>
      </w:r>
    </w:p>
    <w:p w14:paraId="754FA631" w14:textId="6D9F60C7" w:rsidR="00491FB5" w:rsidRPr="00506316" w:rsidRDefault="008F52E3" w:rsidP="00DB5800">
      <w:pPr>
        <w:numPr>
          <w:ilvl w:val="0"/>
          <w:numId w:val="7"/>
        </w:numPr>
        <w:tabs>
          <w:tab w:val="left" w:pos="1260"/>
        </w:tabs>
        <w:spacing w:line="280" w:lineRule="exact"/>
        <w:ind w:hanging="1080"/>
        <w:jc w:val="both"/>
        <w:rPr>
          <w:rFonts w:ascii="Arial" w:hAnsi="Arial" w:cs="Arial"/>
          <w:sz w:val="22"/>
          <w:szCs w:val="22"/>
        </w:rPr>
      </w:pPr>
      <w:r w:rsidRPr="008F52E3">
        <w:rPr>
          <w:rFonts w:ascii="Arial" w:hAnsi="Arial" w:cs="Arial"/>
          <w:sz w:val="22"/>
          <w:szCs w:val="22"/>
        </w:rPr>
        <w:t xml:space="preserve">Impact of changing </w:t>
      </w:r>
      <w:r>
        <w:rPr>
          <w:rFonts w:ascii="Arial" w:hAnsi="Arial" w:cs="Arial"/>
          <w:sz w:val="22"/>
          <w:szCs w:val="22"/>
        </w:rPr>
        <w:t xml:space="preserve">the capital gains </w:t>
      </w:r>
      <w:r w:rsidRPr="008F52E3">
        <w:rPr>
          <w:rFonts w:ascii="Arial" w:hAnsi="Arial" w:cs="Arial"/>
          <w:sz w:val="22"/>
          <w:szCs w:val="22"/>
        </w:rPr>
        <w:t>tax burden on distributions</w:t>
      </w:r>
      <w:r w:rsidR="006263F7">
        <w:rPr>
          <w:rFonts w:ascii="Arial" w:hAnsi="Arial" w:cs="Arial"/>
          <w:sz w:val="22"/>
          <w:szCs w:val="22"/>
        </w:rPr>
        <w:t>……………….2</w:t>
      </w:r>
      <w:r w:rsidR="00727B8C">
        <w:rPr>
          <w:rFonts w:ascii="Arial" w:hAnsi="Arial" w:cs="Arial"/>
          <w:sz w:val="22"/>
          <w:szCs w:val="22"/>
        </w:rPr>
        <w:t>16</w:t>
      </w:r>
      <w:r w:rsidR="003F3846">
        <w:rPr>
          <w:rFonts w:ascii="Arial" w:hAnsi="Arial" w:cs="Arial"/>
          <w:sz w:val="22"/>
          <w:szCs w:val="22"/>
        </w:rPr>
        <w:t xml:space="preserve"> </w:t>
      </w:r>
    </w:p>
    <w:p w14:paraId="0BA78C62" w14:textId="4FA20F9E" w:rsidR="008E5C54" w:rsidRDefault="008E5C54" w:rsidP="00DB5800">
      <w:pPr>
        <w:numPr>
          <w:ilvl w:val="0"/>
          <w:numId w:val="7"/>
        </w:numPr>
        <w:tabs>
          <w:tab w:val="num" w:pos="720"/>
          <w:tab w:val="left" w:pos="1260"/>
        </w:tabs>
        <w:spacing w:line="280" w:lineRule="exact"/>
        <w:ind w:hanging="1080"/>
        <w:jc w:val="both"/>
        <w:rPr>
          <w:rFonts w:ascii="Arial" w:hAnsi="Arial" w:cs="Arial"/>
          <w:sz w:val="22"/>
          <w:szCs w:val="22"/>
        </w:rPr>
      </w:pPr>
      <w:r w:rsidRPr="00506316">
        <w:rPr>
          <w:rFonts w:ascii="Arial" w:hAnsi="Arial" w:cs="Arial"/>
          <w:sz w:val="22"/>
          <w:szCs w:val="22"/>
        </w:rPr>
        <w:t>Us</w:t>
      </w:r>
      <w:r w:rsidR="002539FE">
        <w:rPr>
          <w:rFonts w:ascii="Arial" w:hAnsi="Arial" w:cs="Arial"/>
          <w:sz w:val="22"/>
          <w:szCs w:val="22"/>
        </w:rPr>
        <w:t>ing lifetime limited powers of a</w:t>
      </w:r>
      <w:r w:rsidRPr="00506316">
        <w:rPr>
          <w:rFonts w:ascii="Arial" w:hAnsi="Arial" w:cs="Arial"/>
          <w:sz w:val="22"/>
          <w:szCs w:val="22"/>
        </w:rPr>
        <w:t xml:space="preserve">ppointment to </w:t>
      </w:r>
      <w:r w:rsidR="002539FE">
        <w:rPr>
          <w:rFonts w:ascii="Arial" w:hAnsi="Arial" w:cs="Arial"/>
          <w:sz w:val="22"/>
          <w:szCs w:val="22"/>
        </w:rPr>
        <w:t>s</w:t>
      </w:r>
      <w:r w:rsidRPr="00506316">
        <w:rPr>
          <w:rFonts w:ascii="Arial" w:hAnsi="Arial" w:cs="Arial"/>
          <w:sz w:val="22"/>
          <w:szCs w:val="22"/>
        </w:rPr>
        <w:t xml:space="preserve">pray </w:t>
      </w:r>
      <w:r w:rsidR="002539FE">
        <w:rPr>
          <w:rFonts w:ascii="Arial" w:hAnsi="Arial" w:cs="Arial"/>
          <w:sz w:val="22"/>
          <w:szCs w:val="22"/>
        </w:rPr>
        <w:t>i</w:t>
      </w:r>
      <w:r w:rsidRPr="00506316">
        <w:rPr>
          <w:rFonts w:ascii="Arial" w:hAnsi="Arial" w:cs="Arial"/>
          <w:sz w:val="22"/>
          <w:szCs w:val="22"/>
        </w:rPr>
        <w:t>ncome</w:t>
      </w:r>
      <w:r w:rsidR="006263F7">
        <w:rPr>
          <w:rFonts w:ascii="Arial" w:hAnsi="Arial" w:cs="Arial"/>
          <w:sz w:val="22"/>
          <w:szCs w:val="22"/>
        </w:rPr>
        <w:t>…………………..2</w:t>
      </w:r>
      <w:r w:rsidR="00727B8C">
        <w:rPr>
          <w:rFonts w:ascii="Arial" w:hAnsi="Arial" w:cs="Arial"/>
          <w:sz w:val="22"/>
          <w:szCs w:val="22"/>
        </w:rPr>
        <w:t>17</w:t>
      </w:r>
    </w:p>
    <w:p w14:paraId="35C13257" w14:textId="5504DEEF" w:rsidR="003F6A35" w:rsidRPr="005433CF" w:rsidRDefault="005433CF" w:rsidP="009F1CA7">
      <w:pPr>
        <w:pStyle w:val="ListParagraph"/>
        <w:numPr>
          <w:ilvl w:val="0"/>
          <w:numId w:val="7"/>
        </w:numPr>
        <w:tabs>
          <w:tab w:val="clear" w:pos="1800"/>
          <w:tab w:val="num" w:pos="1260"/>
        </w:tabs>
        <w:spacing w:line="280" w:lineRule="exact"/>
        <w:ind w:hanging="1080"/>
        <w:jc w:val="both"/>
        <w:rPr>
          <w:rFonts w:ascii="Arial" w:hAnsi="Arial" w:cs="Arial"/>
          <w:sz w:val="22"/>
          <w:szCs w:val="22"/>
        </w:rPr>
      </w:pPr>
      <w:r w:rsidRPr="005433CF">
        <w:rPr>
          <w:rFonts w:ascii="Arial" w:hAnsi="Arial" w:cs="Arial"/>
          <w:sz w:val="22"/>
          <w:szCs w:val="22"/>
        </w:rPr>
        <w:t>Why marital trusts are terrible for tax shifting and what can be done</w:t>
      </w:r>
      <w:r>
        <w:rPr>
          <w:rFonts w:ascii="Arial" w:hAnsi="Arial" w:cs="Arial"/>
          <w:sz w:val="22"/>
          <w:szCs w:val="22"/>
        </w:rPr>
        <w:t>…….</w:t>
      </w:r>
      <w:r w:rsidR="006263F7" w:rsidRPr="005433CF">
        <w:rPr>
          <w:rFonts w:ascii="Arial" w:hAnsi="Arial" w:cs="Arial"/>
          <w:sz w:val="22"/>
          <w:szCs w:val="22"/>
        </w:rPr>
        <w:t>…</w:t>
      </w:r>
      <w:r w:rsidR="00216363">
        <w:rPr>
          <w:rFonts w:ascii="Arial" w:hAnsi="Arial" w:cs="Arial"/>
          <w:sz w:val="22"/>
          <w:szCs w:val="22"/>
        </w:rPr>
        <w:t>..</w:t>
      </w:r>
      <w:r w:rsidR="006263F7" w:rsidRPr="005433CF">
        <w:rPr>
          <w:rFonts w:ascii="Arial" w:hAnsi="Arial" w:cs="Arial"/>
          <w:sz w:val="22"/>
          <w:szCs w:val="22"/>
        </w:rPr>
        <w:t>..</w:t>
      </w:r>
      <w:r w:rsidR="00727B8C">
        <w:rPr>
          <w:rFonts w:ascii="Arial" w:hAnsi="Arial" w:cs="Arial"/>
          <w:sz w:val="22"/>
          <w:szCs w:val="22"/>
        </w:rPr>
        <w:t>220</w:t>
      </w:r>
    </w:p>
    <w:p w14:paraId="4FB509EC" w14:textId="73BB5358" w:rsidR="00491FB5" w:rsidRDefault="00491FB5" w:rsidP="00DB5800">
      <w:pPr>
        <w:numPr>
          <w:ilvl w:val="0"/>
          <w:numId w:val="7"/>
        </w:numPr>
        <w:tabs>
          <w:tab w:val="num" w:pos="720"/>
          <w:tab w:val="left" w:pos="1260"/>
        </w:tabs>
        <w:spacing w:line="280" w:lineRule="exact"/>
        <w:ind w:hanging="1080"/>
        <w:jc w:val="both"/>
        <w:rPr>
          <w:rFonts w:ascii="Arial" w:hAnsi="Arial" w:cs="Arial"/>
          <w:sz w:val="22"/>
          <w:szCs w:val="22"/>
        </w:rPr>
      </w:pPr>
      <w:r w:rsidRPr="00506316">
        <w:rPr>
          <w:rFonts w:ascii="Arial" w:hAnsi="Arial" w:cs="Arial"/>
          <w:sz w:val="22"/>
          <w:szCs w:val="22"/>
        </w:rPr>
        <w:t xml:space="preserve">IRC §642(c) </w:t>
      </w:r>
      <w:r w:rsidR="004C0D30">
        <w:rPr>
          <w:rFonts w:ascii="Arial" w:hAnsi="Arial" w:cs="Arial"/>
          <w:sz w:val="22"/>
          <w:szCs w:val="22"/>
        </w:rPr>
        <w:t>– S</w:t>
      </w:r>
      <w:r w:rsidR="00BB2363">
        <w:rPr>
          <w:rFonts w:ascii="Arial" w:hAnsi="Arial" w:cs="Arial"/>
          <w:sz w:val="22"/>
          <w:szCs w:val="22"/>
        </w:rPr>
        <w:t xml:space="preserve">eizing </w:t>
      </w:r>
      <w:r w:rsidR="004C0D30">
        <w:rPr>
          <w:rFonts w:ascii="Arial" w:hAnsi="Arial" w:cs="Arial"/>
          <w:sz w:val="22"/>
          <w:szCs w:val="22"/>
        </w:rPr>
        <w:t>a</w:t>
      </w:r>
      <w:r w:rsidRPr="00506316">
        <w:rPr>
          <w:rFonts w:ascii="Arial" w:hAnsi="Arial" w:cs="Arial"/>
          <w:sz w:val="22"/>
          <w:szCs w:val="22"/>
        </w:rPr>
        <w:t>bove the</w:t>
      </w:r>
      <w:r w:rsidR="004C0D30">
        <w:rPr>
          <w:rFonts w:ascii="Arial" w:hAnsi="Arial" w:cs="Arial"/>
          <w:sz w:val="22"/>
          <w:szCs w:val="22"/>
        </w:rPr>
        <w:t xml:space="preserve"> line charitable deductions in t</w:t>
      </w:r>
      <w:r w:rsidRPr="00506316">
        <w:rPr>
          <w:rFonts w:ascii="Arial" w:hAnsi="Arial" w:cs="Arial"/>
          <w:sz w:val="22"/>
          <w:szCs w:val="22"/>
        </w:rPr>
        <w:t>rust</w:t>
      </w:r>
      <w:r w:rsidR="006263F7">
        <w:rPr>
          <w:rFonts w:ascii="Arial" w:hAnsi="Arial" w:cs="Arial"/>
          <w:sz w:val="22"/>
          <w:szCs w:val="22"/>
        </w:rPr>
        <w:t>s..…………</w:t>
      </w:r>
      <w:r w:rsidR="00E57B75">
        <w:rPr>
          <w:rFonts w:ascii="Arial" w:hAnsi="Arial" w:cs="Arial"/>
          <w:sz w:val="22"/>
          <w:szCs w:val="22"/>
        </w:rPr>
        <w:t>223</w:t>
      </w:r>
    </w:p>
    <w:p w14:paraId="6F4A8629" w14:textId="78E0B9ED" w:rsidR="008B69A2" w:rsidRDefault="00E40A80" w:rsidP="00DB5800">
      <w:pPr>
        <w:numPr>
          <w:ilvl w:val="0"/>
          <w:numId w:val="7"/>
        </w:numPr>
        <w:tabs>
          <w:tab w:val="num" w:pos="720"/>
          <w:tab w:val="left" w:pos="1260"/>
        </w:tabs>
        <w:spacing w:line="280" w:lineRule="exact"/>
        <w:ind w:hanging="1080"/>
        <w:jc w:val="both"/>
        <w:rPr>
          <w:rFonts w:ascii="Arial" w:hAnsi="Arial" w:cs="Arial"/>
          <w:sz w:val="22"/>
          <w:szCs w:val="22"/>
        </w:rPr>
      </w:pPr>
      <w:r w:rsidRPr="0099464C">
        <w:rPr>
          <w:rFonts w:ascii="Arial" w:hAnsi="Arial" w:cs="Arial"/>
          <w:sz w:val="22"/>
          <w:szCs w:val="22"/>
        </w:rPr>
        <w:t>DINGs, N</w:t>
      </w:r>
      <w:r w:rsidR="00765E1A">
        <w:rPr>
          <w:rFonts w:ascii="Arial" w:hAnsi="Arial" w:cs="Arial"/>
          <w:sz w:val="22"/>
          <w:szCs w:val="22"/>
        </w:rPr>
        <w:t xml:space="preserve">INGs, INGs – </w:t>
      </w:r>
      <w:r w:rsidR="004C0D30">
        <w:rPr>
          <w:rFonts w:ascii="Arial" w:hAnsi="Arial" w:cs="Arial"/>
          <w:sz w:val="22"/>
          <w:szCs w:val="22"/>
        </w:rPr>
        <w:t>n</w:t>
      </w:r>
      <w:r w:rsidR="00765E1A">
        <w:rPr>
          <w:rFonts w:ascii="Arial" w:hAnsi="Arial" w:cs="Arial"/>
          <w:sz w:val="22"/>
          <w:szCs w:val="22"/>
        </w:rPr>
        <w:t xml:space="preserve">ot </w:t>
      </w:r>
      <w:r w:rsidR="00765E1A" w:rsidRPr="004C0D30">
        <w:rPr>
          <w:rFonts w:ascii="Arial" w:hAnsi="Arial" w:cs="Arial"/>
          <w:i/>
          <w:sz w:val="22"/>
          <w:szCs w:val="22"/>
        </w:rPr>
        <w:t>just</w:t>
      </w:r>
      <w:r w:rsidR="00765E1A">
        <w:rPr>
          <w:rFonts w:ascii="Arial" w:hAnsi="Arial" w:cs="Arial"/>
          <w:sz w:val="22"/>
          <w:szCs w:val="22"/>
        </w:rPr>
        <w:t xml:space="preserve"> for state</w:t>
      </w:r>
      <w:r w:rsidRPr="0099464C">
        <w:rPr>
          <w:rFonts w:ascii="Arial" w:hAnsi="Arial" w:cs="Arial"/>
          <w:sz w:val="22"/>
          <w:szCs w:val="22"/>
        </w:rPr>
        <w:t xml:space="preserve"> income </w:t>
      </w:r>
      <w:r w:rsidR="00765E1A">
        <w:rPr>
          <w:rFonts w:ascii="Arial" w:hAnsi="Arial" w:cs="Arial"/>
          <w:sz w:val="22"/>
          <w:szCs w:val="22"/>
        </w:rPr>
        <w:t>tax avoidance</w:t>
      </w:r>
      <w:r w:rsidR="004C0D30">
        <w:rPr>
          <w:rFonts w:ascii="Arial" w:hAnsi="Arial" w:cs="Arial"/>
          <w:sz w:val="22"/>
          <w:szCs w:val="22"/>
        </w:rPr>
        <w:t>…………</w:t>
      </w:r>
      <w:r w:rsidR="005338E2">
        <w:rPr>
          <w:rFonts w:ascii="Arial" w:hAnsi="Arial" w:cs="Arial"/>
          <w:sz w:val="22"/>
          <w:szCs w:val="22"/>
        </w:rPr>
        <w:t>...</w:t>
      </w:r>
      <w:r w:rsidR="004C0D30">
        <w:rPr>
          <w:rFonts w:ascii="Arial" w:hAnsi="Arial" w:cs="Arial"/>
          <w:sz w:val="22"/>
          <w:szCs w:val="22"/>
        </w:rPr>
        <w:t>……</w:t>
      </w:r>
      <w:r w:rsidR="006263F7">
        <w:rPr>
          <w:rFonts w:ascii="Arial" w:hAnsi="Arial" w:cs="Arial"/>
          <w:sz w:val="22"/>
          <w:szCs w:val="22"/>
        </w:rPr>
        <w:t>2</w:t>
      </w:r>
      <w:r w:rsidR="00E57B75">
        <w:rPr>
          <w:rFonts w:ascii="Arial" w:hAnsi="Arial" w:cs="Arial"/>
          <w:sz w:val="22"/>
          <w:szCs w:val="22"/>
        </w:rPr>
        <w:t>34</w:t>
      </w:r>
    </w:p>
    <w:p w14:paraId="1909D486" w14:textId="53DE602B" w:rsidR="00E40A80" w:rsidRPr="000061D4" w:rsidRDefault="000061D4" w:rsidP="00DB5800">
      <w:pPr>
        <w:numPr>
          <w:ilvl w:val="0"/>
          <w:numId w:val="7"/>
        </w:numPr>
        <w:tabs>
          <w:tab w:val="num" w:pos="720"/>
          <w:tab w:val="left" w:pos="1260"/>
        </w:tabs>
        <w:spacing w:line="280" w:lineRule="exact"/>
        <w:ind w:hanging="1080"/>
        <w:jc w:val="both"/>
        <w:rPr>
          <w:rFonts w:ascii="Arial" w:hAnsi="Arial" w:cs="Arial"/>
          <w:sz w:val="22"/>
          <w:szCs w:val="22"/>
        </w:rPr>
      </w:pPr>
      <w:r>
        <w:rPr>
          <w:rFonts w:ascii="Arial" w:hAnsi="Arial" w:cs="Arial"/>
          <w:sz w:val="22"/>
          <w:szCs w:val="22"/>
        </w:rPr>
        <w:t>The DING-CRUT – federal tax deferral plus state</w:t>
      </w:r>
      <w:r w:rsidR="009A0F69">
        <w:rPr>
          <w:rFonts w:ascii="Arial" w:hAnsi="Arial" w:cs="Arial"/>
          <w:sz w:val="22"/>
          <w:szCs w:val="22"/>
        </w:rPr>
        <w:t xml:space="preserve"> income tax avoidance</w:t>
      </w:r>
      <w:r w:rsidR="00077FAF">
        <w:rPr>
          <w:rFonts w:ascii="Arial" w:hAnsi="Arial" w:cs="Arial"/>
          <w:sz w:val="22"/>
          <w:szCs w:val="22"/>
        </w:rPr>
        <w:t>?</w:t>
      </w:r>
      <w:r w:rsidR="009A0F69">
        <w:rPr>
          <w:rFonts w:ascii="Arial" w:hAnsi="Arial" w:cs="Arial"/>
          <w:sz w:val="22"/>
          <w:szCs w:val="22"/>
        </w:rPr>
        <w:t>..</w:t>
      </w:r>
      <w:r w:rsidR="00077FAF">
        <w:rPr>
          <w:rFonts w:ascii="Arial" w:hAnsi="Arial" w:cs="Arial"/>
          <w:sz w:val="22"/>
          <w:szCs w:val="22"/>
        </w:rPr>
        <w:t>.</w:t>
      </w:r>
      <w:r w:rsidR="009A0F69">
        <w:rPr>
          <w:rFonts w:ascii="Arial" w:hAnsi="Arial" w:cs="Arial"/>
          <w:sz w:val="22"/>
          <w:szCs w:val="22"/>
        </w:rPr>
        <w:t>..</w:t>
      </w:r>
      <w:r w:rsidR="006263F7">
        <w:rPr>
          <w:rFonts w:ascii="Arial" w:hAnsi="Arial" w:cs="Arial"/>
          <w:sz w:val="22"/>
          <w:szCs w:val="22"/>
        </w:rPr>
        <w:t>..2</w:t>
      </w:r>
      <w:r w:rsidR="00E57B75">
        <w:rPr>
          <w:rFonts w:ascii="Arial" w:hAnsi="Arial" w:cs="Arial"/>
          <w:sz w:val="22"/>
          <w:szCs w:val="22"/>
        </w:rPr>
        <w:t>36</w:t>
      </w:r>
    </w:p>
    <w:p w14:paraId="292AD573" w14:textId="5FC7AC76" w:rsidR="00491FB5" w:rsidRDefault="00B72612" w:rsidP="00DB5800">
      <w:pPr>
        <w:numPr>
          <w:ilvl w:val="2"/>
          <w:numId w:val="3"/>
        </w:numPr>
        <w:tabs>
          <w:tab w:val="left" w:pos="720"/>
        </w:tabs>
        <w:spacing w:line="280" w:lineRule="exact"/>
        <w:ind w:hanging="1800"/>
        <w:jc w:val="both"/>
        <w:rPr>
          <w:rFonts w:ascii="Arial" w:hAnsi="Arial" w:cs="Arial"/>
        </w:rPr>
      </w:pPr>
      <w:r>
        <w:rPr>
          <w:rFonts w:ascii="Arial" w:hAnsi="Arial" w:cs="Arial"/>
        </w:rPr>
        <w:t>Summary………………………………………………</w:t>
      </w:r>
      <w:r w:rsidR="004C0D30">
        <w:rPr>
          <w:rFonts w:ascii="Arial" w:hAnsi="Arial" w:cs="Arial"/>
        </w:rPr>
        <w:t>……………………………</w:t>
      </w:r>
      <w:r w:rsidR="001208F5">
        <w:rPr>
          <w:rFonts w:ascii="Arial" w:hAnsi="Arial" w:cs="Arial"/>
        </w:rPr>
        <w:t>.</w:t>
      </w:r>
      <w:r w:rsidR="006263F7">
        <w:rPr>
          <w:rFonts w:ascii="Arial" w:hAnsi="Arial" w:cs="Arial"/>
        </w:rPr>
        <w:t>2</w:t>
      </w:r>
      <w:r w:rsidR="008F6738">
        <w:rPr>
          <w:rFonts w:ascii="Arial" w:hAnsi="Arial" w:cs="Arial"/>
        </w:rPr>
        <w:t>45</w:t>
      </w:r>
    </w:p>
    <w:p w14:paraId="6B4B5C2A" w14:textId="77777777" w:rsidR="00462466" w:rsidRPr="0028471A" w:rsidRDefault="00B72612" w:rsidP="00DB5800">
      <w:pPr>
        <w:numPr>
          <w:ilvl w:val="2"/>
          <w:numId w:val="3"/>
        </w:numPr>
        <w:tabs>
          <w:tab w:val="left" w:pos="720"/>
        </w:tabs>
        <w:spacing w:line="280" w:lineRule="exact"/>
        <w:ind w:left="720" w:hanging="360"/>
        <w:jc w:val="both"/>
        <w:rPr>
          <w:rFonts w:ascii="Arial" w:hAnsi="Arial" w:cs="Arial"/>
          <w:sz w:val="22"/>
          <w:szCs w:val="22"/>
        </w:rPr>
      </w:pPr>
      <w:r w:rsidRPr="0028471A">
        <w:rPr>
          <w:rFonts w:ascii="Arial" w:hAnsi="Arial" w:cs="Arial"/>
        </w:rPr>
        <w:t>Appendix</w:t>
      </w:r>
      <w:r w:rsidR="0028471A" w:rsidRPr="0028471A">
        <w:rPr>
          <w:rFonts w:ascii="Arial" w:hAnsi="Arial" w:cs="Arial"/>
          <w:sz w:val="22"/>
          <w:szCs w:val="22"/>
        </w:rPr>
        <w:t xml:space="preserve"> (</w:t>
      </w:r>
      <w:r w:rsidR="0028471A" w:rsidRPr="0028471A">
        <w:rPr>
          <w:rFonts w:ascii="Arial" w:hAnsi="Arial" w:cs="Arial"/>
        </w:rPr>
        <w:t>sample clauses, forms, comparison charts and infographics)……</w:t>
      </w:r>
      <w:r w:rsidRPr="0028471A">
        <w:rPr>
          <w:rFonts w:ascii="Arial" w:hAnsi="Arial" w:cs="Arial"/>
        </w:rPr>
        <w:t>.A-1</w:t>
      </w:r>
      <w:r w:rsidR="00462466" w:rsidRPr="0028471A">
        <w:rPr>
          <w:rFonts w:ascii="Calibri" w:hAnsi="Calibri"/>
          <w:b/>
        </w:rPr>
        <w:br w:type="page"/>
      </w:r>
    </w:p>
    <w:p w14:paraId="6B2DF72D" w14:textId="77777777" w:rsidR="00064CBE" w:rsidRDefault="00064CBE" w:rsidP="00AC6547">
      <w:pPr>
        <w:tabs>
          <w:tab w:val="num" w:pos="720"/>
          <w:tab w:val="left" w:pos="1260"/>
        </w:tabs>
        <w:rPr>
          <w:rFonts w:ascii="Calibri" w:hAnsi="Calibri"/>
          <w:b/>
        </w:rPr>
        <w:sectPr w:rsidR="00064CBE" w:rsidSect="00D6794C">
          <w:footerReference w:type="even" r:id="rId8"/>
          <w:footerReference w:type="default" r:id="rId9"/>
          <w:footerReference w:type="first" r:id="rId10"/>
          <w:endnotePr>
            <w:numFmt w:val="decimal"/>
          </w:endnotePr>
          <w:pgSz w:w="12240" w:h="15840"/>
          <w:pgMar w:top="1440" w:right="1440" w:bottom="1440" w:left="1584" w:header="720" w:footer="720" w:gutter="0"/>
          <w:pgNumType w:start="0"/>
          <w:cols w:space="720"/>
          <w:titlePg/>
          <w:docGrid w:linePitch="360"/>
        </w:sectPr>
      </w:pPr>
    </w:p>
    <w:p w14:paraId="5D705C8D" w14:textId="77777777" w:rsidR="006F00D8" w:rsidRDefault="006F00D8" w:rsidP="00AC6547">
      <w:pPr>
        <w:tabs>
          <w:tab w:val="num" w:pos="720"/>
          <w:tab w:val="left" w:pos="1260"/>
        </w:tabs>
        <w:rPr>
          <w:rFonts w:ascii="Calibri" w:hAnsi="Calibri"/>
        </w:rPr>
      </w:pPr>
      <w:r w:rsidRPr="006F00D8">
        <w:rPr>
          <w:rFonts w:ascii="Calibri" w:hAnsi="Calibri"/>
          <w:b/>
        </w:rPr>
        <w:lastRenderedPageBreak/>
        <w:t>Part I –</w:t>
      </w:r>
      <w:r>
        <w:rPr>
          <w:rFonts w:ascii="Calibri" w:hAnsi="Calibri"/>
        </w:rPr>
        <w:t xml:space="preserve"> </w:t>
      </w:r>
      <w:r>
        <w:rPr>
          <w:rFonts w:ascii="Calibri" w:hAnsi="Calibri" w:cs="Helv"/>
          <w:b/>
          <w:bCs/>
          <w:color w:val="000000"/>
        </w:rPr>
        <w:t>New Problems with Traditional AB Trust Design and Adapting to Portability</w:t>
      </w:r>
    </w:p>
    <w:p w14:paraId="3A9B79F2" w14:textId="77777777" w:rsidR="006F00D8" w:rsidRDefault="006F00D8" w:rsidP="00AC6547">
      <w:pPr>
        <w:tabs>
          <w:tab w:val="num" w:pos="720"/>
          <w:tab w:val="left" w:pos="1260"/>
        </w:tabs>
        <w:rPr>
          <w:rFonts w:ascii="Calibri" w:hAnsi="Calibri"/>
        </w:rPr>
      </w:pPr>
    </w:p>
    <w:p w14:paraId="79A201E4" w14:textId="77777777" w:rsidR="00491FB5" w:rsidRPr="00F81A22" w:rsidRDefault="00491FB5" w:rsidP="00CF222C">
      <w:pPr>
        <w:tabs>
          <w:tab w:val="num" w:pos="720"/>
          <w:tab w:val="left" w:pos="1260"/>
        </w:tabs>
        <w:spacing w:after="120"/>
        <w:rPr>
          <w:rFonts w:ascii="Calibri" w:hAnsi="Calibri"/>
        </w:rPr>
      </w:pPr>
      <w:r>
        <w:rPr>
          <w:rFonts w:ascii="Calibri" w:hAnsi="Calibri"/>
        </w:rPr>
        <w:t xml:space="preserve"> </w:t>
      </w:r>
      <w:r w:rsidRPr="0098793A">
        <w:rPr>
          <w:rFonts w:ascii="Calibri" w:hAnsi="Calibri"/>
          <w:i/>
        </w:rPr>
        <w:t>“It is not the strongest of the species that survives, nor the most intelligent that survives.  It is the one that is the most adaptable to change.”</w:t>
      </w:r>
      <w:r>
        <w:rPr>
          <w:rFonts w:ascii="Calibri" w:hAnsi="Calibri"/>
        </w:rPr>
        <w:t xml:space="preserve"> – Charles Darwin</w:t>
      </w:r>
      <w:r w:rsidRPr="00F81A22">
        <w:rPr>
          <w:rFonts w:ascii="Calibri" w:hAnsi="Calibri"/>
        </w:rPr>
        <w:t xml:space="preserve"> </w:t>
      </w:r>
    </w:p>
    <w:p w14:paraId="5509B215" w14:textId="77777777" w:rsidR="00491FB5" w:rsidRDefault="00491FB5" w:rsidP="00BC0D61">
      <w:pPr>
        <w:spacing w:line="360" w:lineRule="auto"/>
        <w:ind w:firstLine="720"/>
        <w:rPr>
          <w:rFonts w:ascii="Calibri" w:hAnsi="Calibri"/>
          <w:color w:val="000000"/>
        </w:rPr>
      </w:pPr>
      <w:r>
        <w:rPr>
          <w:rFonts w:ascii="Calibri" w:hAnsi="Calibri"/>
          <w:color w:val="000000"/>
        </w:rPr>
        <w:t xml:space="preserve">For many taxpayers, the traditional trust design for married couples is now obsolete.   This article will explore better planning methods to maximize basis increase for married couples (and, for future generations), exploit the newly permanent “portability” provisions, maximize adaptability to future tax law, enable better long-term income tax savings and improve asset protection over standard “I love you Wills” </w:t>
      </w:r>
      <w:r w:rsidRPr="00A73B78">
        <w:rPr>
          <w:rFonts w:ascii="Calibri" w:hAnsi="Calibri"/>
          <w:i/>
          <w:color w:val="000000"/>
        </w:rPr>
        <w:t>and</w:t>
      </w:r>
      <w:r>
        <w:rPr>
          <w:rFonts w:ascii="Calibri" w:hAnsi="Calibri"/>
          <w:color w:val="000000"/>
        </w:rPr>
        <w:t xml:space="preserve"> over standard AB trust planning.  Primarily, this article focuses on planning for married coupl</w:t>
      </w:r>
      <w:r w:rsidR="00217DE1">
        <w:rPr>
          <w:rFonts w:ascii="Calibri" w:hAnsi="Calibri"/>
          <w:color w:val="000000"/>
        </w:rPr>
        <w:t>es whose estates are under $10.9</w:t>
      </w:r>
      <w:r>
        <w:rPr>
          <w:rFonts w:ascii="Calibri" w:hAnsi="Calibri"/>
          <w:color w:val="000000"/>
        </w:rPr>
        <w:t xml:space="preserve"> million, but many of the concepts apply to those with larger estates as well.  </w:t>
      </w:r>
    </w:p>
    <w:p w14:paraId="7001C39E" w14:textId="77777777" w:rsidR="00491FB5" w:rsidRDefault="00491FB5" w:rsidP="00BC0D61">
      <w:pPr>
        <w:spacing w:line="360" w:lineRule="auto"/>
        <w:ind w:firstLine="720"/>
        <w:rPr>
          <w:rFonts w:ascii="Calibri" w:hAnsi="Calibri"/>
          <w:color w:val="000000"/>
        </w:rPr>
      </w:pPr>
      <w:r>
        <w:rPr>
          <w:rFonts w:ascii="Calibri" w:hAnsi="Calibri"/>
          <w:color w:val="000000"/>
        </w:rPr>
        <w:t xml:space="preserve">First, we’ll describe the main </w:t>
      </w:r>
      <w:r w:rsidRPr="00E52CB0">
        <w:rPr>
          <w:rFonts w:ascii="Calibri" w:hAnsi="Calibri"/>
          <w:i/>
          <w:color w:val="000000"/>
        </w:rPr>
        <w:t>income</w:t>
      </w:r>
      <w:r>
        <w:rPr>
          <w:rFonts w:ascii="Calibri" w:hAnsi="Calibri"/>
          <w:color w:val="000000"/>
        </w:rPr>
        <w:t xml:space="preserve"> </w:t>
      </w:r>
      <w:r w:rsidRPr="00643057">
        <w:rPr>
          <w:rFonts w:ascii="Calibri" w:hAnsi="Calibri"/>
          <w:i/>
          <w:color w:val="000000"/>
        </w:rPr>
        <w:t>tax</w:t>
      </w:r>
      <w:r>
        <w:rPr>
          <w:rFonts w:ascii="Calibri" w:hAnsi="Calibri"/>
          <w:color w:val="000000"/>
        </w:rPr>
        <w:t xml:space="preserve"> problems with the current design of most trusts in light of portability and the new tax environment – and problems with more simplified “outright” estate plans.  In Part II, we’ll describe potential solutions to the basis issue, including the use of various marital trusts (and the key differences between them), and why these may also be inadequate.  In Part III, we’ll explore how general and limited powers of appointment and the Delaware Tax Trap can achieve better tax basis adjustments than either outright bequests or typical marital or bypass trust planning.  I will refer to any trust using these techniques as an Optimal Basis Increase Trust</w:t>
      </w:r>
      <w:r w:rsidR="00AC58D7">
        <w:rPr>
          <w:rFonts w:ascii="Calibri" w:hAnsi="Calibri"/>
          <w:color w:val="000000"/>
        </w:rPr>
        <w:t xml:space="preserve"> (“OBIT”)</w:t>
      </w:r>
      <w:r>
        <w:rPr>
          <w:rFonts w:ascii="Calibri" w:hAnsi="Calibri"/>
          <w:color w:val="000000"/>
        </w:rPr>
        <w:t xml:space="preserve">.  In Part IV, we will discuss </w:t>
      </w:r>
      <w:r w:rsidR="00AC58D7">
        <w:rPr>
          <w:rFonts w:ascii="Calibri" w:hAnsi="Calibri"/>
          <w:color w:val="000000"/>
        </w:rPr>
        <w:t>how these techniques accommodate disclaimer based planning (or disclaimer</w:t>
      </w:r>
      <w:r w:rsidR="002C6B65">
        <w:rPr>
          <w:rFonts w:ascii="Calibri" w:hAnsi="Calibri"/>
          <w:color w:val="000000"/>
        </w:rPr>
        <w:t>s from lack of planning).  Part</w:t>
      </w:r>
      <w:r w:rsidR="00AC58D7">
        <w:rPr>
          <w:rFonts w:ascii="Calibri" w:hAnsi="Calibri"/>
          <w:color w:val="000000"/>
        </w:rPr>
        <w:t xml:space="preserve"> V </w:t>
      </w:r>
      <w:r w:rsidR="00643057">
        <w:rPr>
          <w:rFonts w:ascii="Calibri" w:hAnsi="Calibri"/>
          <w:color w:val="000000"/>
        </w:rPr>
        <w:t>discusses</w:t>
      </w:r>
      <w:r w:rsidR="002C6B65">
        <w:rPr>
          <w:rFonts w:ascii="Calibri" w:hAnsi="Calibri"/>
          <w:color w:val="000000"/>
        </w:rPr>
        <w:t xml:space="preserve"> various </w:t>
      </w:r>
      <w:r w:rsidR="00AC58D7">
        <w:rPr>
          <w:rFonts w:ascii="Calibri" w:hAnsi="Calibri"/>
          <w:color w:val="000000"/>
        </w:rPr>
        <w:t>techniques</w:t>
      </w:r>
      <w:r w:rsidR="00643057">
        <w:rPr>
          <w:rFonts w:ascii="Calibri" w:hAnsi="Calibri"/>
          <w:color w:val="000000"/>
        </w:rPr>
        <w:t xml:space="preserve"> to achieve a step up in basis at an older relative</w:t>
      </w:r>
      <w:r w:rsidR="00E12C65">
        <w:rPr>
          <w:rFonts w:ascii="Calibri" w:hAnsi="Calibri"/>
          <w:color w:val="000000"/>
        </w:rPr>
        <w:t>’</w:t>
      </w:r>
      <w:r w:rsidR="00643057">
        <w:rPr>
          <w:rFonts w:ascii="Calibri" w:hAnsi="Calibri"/>
          <w:color w:val="000000"/>
        </w:rPr>
        <w:t>s death, or that of the first spouse to die</w:t>
      </w:r>
      <w:r w:rsidR="002C6B65">
        <w:rPr>
          <w:rFonts w:ascii="Calibri" w:hAnsi="Calibri"/>
          <w:color w:val="000000"/>
        </w:rPr>
        <w:t>.  Part VI posits new asset protection opportunities</w:t>
      </w:r>
      <w:r w:rsidR="00AC58D7">
        <w:rPr>
          <w:rFonts w:ascii="Calibri" w:hAnsi="Calibri"/>
          <w:color w:val="000000"/>
        </w:rPr>
        <w:t xml:space="preserve">.  Part VII </w:t>
      </w:r>
      <w:r w:rsidR="00643057">
        <w:rPr>
          <w:rFonts w:ascii="Calibri" w:hAnsi="Calibri"/>
          <w:color w:val="000000"/>
        </w:rPr>
        <w:t>explores</w:t>
      </w:r>
      <w:r w:rsidR="00AC58D7">
        <w:rPr>
          <w:rFonts w:ascii="Calibri" w:hAnsi="Calibri"/>
          <w:color w:val="000000"/>
        </w:rPr>
        <w:t xml:space="preserve"> </w:t>
      </w:r>
      <w:r>
        <w:rPr>
          <w:rFonts w:ascii="Calibri" w:hAnsi="Calibri"/>
          <w:color w:val="000000"/>
        </w:rPr>
        <w:t xml:space="preserve">the tremendous value of applying </w:t>
      </w:r>
      <w:r w:rsidR="00AC58D7">
        <w:rPr>
          <w:rFonts w:ascii="Calibri" w:hAnsi="Calibri"/>
          <w:color w:val="000000"/>
        </w:rPr>
        <w:t>OBIT</w:t>
      </w:r>
      <w:r>
        <w:rPr>
          <w:rFonts w:ascii="Calibri" w:hAnsi="Calibri"/>
          <w:color w:val="000000"/>
        </w:rPr>
        <w:t xml:space="preserve"> techniques to </w:t>
      </w:r>
      <w:r w:rsidRPr="00AC58D7">
        <w:rPr>
          <w:rFonts w:ascii="Calibri" w:hAnsi="Calibri"/>
          <w:i/>
          <w:color w:val="000000"/>
        </w:rPr>
        <w:t>pre-existing</w:t>
      </w:r>
      <w:r>
        <w:rPr>
          <w:rFonts w:ascii="Calibri" w:hAnsi="Calibri"/>
          <w:color w:val="000000"/>
        </w:rPr>
        <w:t xml:space="preserve"> irrevocable trusts.  Lastly, in Part V</w:t>
      </w:r>
      <w:r w:rsidR="00AC58D7">
        <w:rPr>
          <w:rFonts w:ascii="Calibri" w:hAnsi="Calibri"/>
          <w:color w:val="000000"/>
        </w:rPr>
        <w:t>III</w:t>
      </w:r>
      <w:r>
        <w:rPr>
          <w:rFonts w:ascii="Calibri" w:hAnsi="Calibri"/>
          <w:color w:val="000000"/>
        </w:rPr>
        <w:t xml:space="preserve">, we’ll discuss various methods to ensure better </w:t>
      </w:r>
      <w:r w:rsidRPr="00BB0121">
        <w:rPr>
          <w:rFonts w:ascii="Calibri" w:hAnsi="Calibri"/>
          <w:i/>
          <w:color w:val="000000"/>
        </w:rPr>
        <w:t>ongoing</w:t>
      </w:r>
      <w:r>
        <w:rPr>
          <w:rFonts w:ascii="Calibri" w:hAnsi="Calibri"/>
          <w:color w:val="000000"/>
        </w:rPr>
        <w:t xml:space="preserve"> income tax treatment of irrevocable trusts – not just neutralizing the negatives of trust income taxation, but exploiting loopholes and efficiencies </w:t>
      </w:r>
      <w:r w:rsidRPr="00046C6A">
        <w:rPr>
          <w:rFonts w:ascii="Calibri" w:hAnsi="Calibri"/>
          <w:i/>
          <w:color w:val="000000"/>
        </w:rPr>
        <w:t>unavailable to individuals</w:t>
      </w:r>
      <w:r>
        <w:rPr>
          <w:rFonts w:ascii="Calibri" w:hAnsi="Calibri"/>
          <w:color w:val="000000"/>
        </w:rPr>
        <w:t>.   I will refer to these two groups of techniques taken together as an Optimal Basis Increase and Income Tax Efficiency Trust, features of which are summarized in the chart</w:t>
      </w:r>
      <w:r w:rsidR="00643057">
        <w:rPr>
          <w:rFonts w:ascii="Calibri" w:hAnsi="Calibri"/>
          <w:color w:val="000000"/>
        </w:rPr>
        <w:t>s</w:t>
      </w:r>
      <w:r w:rsidR="00AC58D7">
        <w:rPr>
          <w:rFonts w:ascii="Calibri" w:hAnsi="Calibri"/>
          <w:color w:val="000000"/>
        </w:rPr>
        <w:t xml:space="preserve"> in the appendix</w:t>
      </w:r>
      <w:r>
        <w:rPr>
          <w:rFonts w:ascii="Calibri" w:hAnsi="Calibri"/>
          <w:color w:val="000000"/>
        </w:rPr>
        <w:t>.</w:t>
      </w:r>
      <w:r>
        <w:rPr>
          <w:rStyle w:val="FootnoteReference"/>
          <w:rFonts w:ascii="Calibri" w:hAnsi="Calibri"/>
          <w:color w:val="000000"/>
        </w:rPr>
        <w:footnoteReference w:id="3"/>
      </w:r>
    </w:p>
    <w:p w14:paraId="1FC69003" w14:textId="77777777" w:rsidR="00F97955" w:rsidRDefault="00F97955" w:rsidP="00BC0D61">
      <w:pPr>
        <w:spacing w:line="360" w:lineRule="auto"/>
        <w:ind w:firstLine="720"/>
        <w:rPr>
          <w:rFonts w:ascii="Calibri" w:hAnsi="Calibri"/>
          <w:b/>
          <w:color w:val="000000"/>
        </w:rPr>
      </w:pPr>
    </w:p>
    <w:p w14:paraId="1F8F8195" w14:textId="77777777" w:rsidR="00491FB5" w:rsidRPr="00E37595" w:rsidRDefault="00491FB5" w:rsidP="00180FD1">
      <w:pPr>
        <w:pStyle w:val="ListParagraph"/>
        <w:numPr>
          <w:ilvl w:val="1"/>
          <w:numId w:val="11"/>
        </w:numPr>
        <w:tabs>
          <w:tab w:val="clear" w:pos="1755"/>
          <w:tab w:val="num" w:pos="720"/>
        </w:tabs>
        <w:spacing w:line="360" w:lineRule="auto"/>
        <w:ind w:left="1440" w:hanging="1440"/>
        <w:rPr>
          <w:rFonts w:ascii="Calibri" w:hAnsi="Calibri"/>
          <w:b/>
          <w:color w:val="000000"/>
        </w:rPr>
      </w:pPr>
      <w:r w:rsidRPr="00E37595">
        <w:rPr>
          <w:rFonts w:ascii="Calibri" w:hAnsi="Calibri"/>
          <w:b/>
          <w:color w:val="000000"/>
        </w:rPr>
        <w:t>Responding to the Portability Threat -- and Opportunity</w:t>
      </w:r>
    </w:p>
    <w:p w14:paraId="5F6AF756" w14:textId="77777777" w:rsidR="00491FB5" w:rsidRDefault="00491FB5" w:rsidP="00EF6A77">
      <w:pPr>
        <w:spacing w:line="360" w:lineRule="auto"/>
        <w:ind w:firstLine="720"/>
        <w:rPr>
          <w:rFonts w:ascii="Calibri" w:hAnsi="Calibri"/>
          <w:color w:val="000000"/>
        </w:rPr>
      </w:pPr>
      <w:r>
        <w:rPr>
          <w:rFonts w:ascii="Calibri" w:hAnsi="Calibri"/>
          <w:color w:val="000000"/>
        </w:rPr>
        <w:t xml:space="preserve">The </w:t>
      </w:r>
      <w:r w:rsidRPr="00BB0121">
        <w:rPr>
          <w:rStyle w:val="Strong"/>
          <w:rFonts w:ascii="Calibri" w:hAnsi="Calibri" w:cs="Arial"/>
          <w:b w:val="0"/>
          <w:color w:val="000000"/>
          <w:lang w:val="en"/>
        </w:rPr>
        <w:t>Tax</w:t>
      </w:r>
      <w:r>
        <w:rPr>
          <w:rStyle w:val="Strong"/>
          <w:rFonts w:ascii="Calibri" w:hAnsi="Calibri" w:cs="Arial"/>
          <w:color w:val="000000"/>
          <w:lang w:val="en"/>
        </w:rPr>
        <w:t xml:space="preserve"> </w:t>
      </w:r>
      <w:r w:rsidRPr="00BB0121">
        <w:rPr>
          <w:rFonts w:ascii="Calibri" w:hAnsi="Calibri" w:cs="Arial"/>
          <w:color w:val="000000"/>
          <w:lang w:val="en"/>
        </w:rPr>
        <w:t xml:space="preserve">Relief, Unemployment Insurance Reauthorization, and Job Creation </w:t>
      </w:r>
      <w:r w:rsidRPr="00BB0121">
        <w:rPr>
          <w:rStyle w:val="Strong"/>
          <w:rFonts w:ascii="Calibri" w:hAnsi="Calibri" w:cs="Arial"/>
          <w:b w:val="0"/>
          <w:color w:val="000000"/>
          <w:lang w:val="en"/>
        </w:rPr>
        <w:t>Act</w:t>
      </w:r>
      <w:r w:rsidRPr="00BB0121">
        <w:rPr>
          <w:rFonts w:ascii="Calibri" w:hAnsi="Calibri" w:cs="Arial"/>
          <w:color w:val="000000"/>
          <w:lang w:val="en"/>
        </w:rPr>
        <w:t xml:space="preserve"> of </w:t>
      </w:r>
      <w:r w:rsidRPr="00BB0121">
        <w:rPr>
          <w:rStyle w:val="Strong"/>
          <w:rFonts w:ascii="Calibri" w:hAnsi="Calibri" w:cs="Arial"/>
          <w:b w:val="0"/>
          <w:color w:val="000000"/>
          <w:lang w:val="en"/>
        </w:rPr>
        <w:t>2010 (“</w:t>
      </w:r>
      <w:r w:rsidRPr="00BB0121">
        <w:rPr>
          <w:rFonts w:ascii="Calibri" w:hAnsi="Calibri"/>
          <w:color w:val="000000"/>
        </w:rPr>
        <w:t>2010 Tax Act”)</w:t>
      </w:r>
      <w:r>
        <w:rPr>
          <w:rFonts w:ascii="Calibri" w:hAnsi="Calibri"/>
          <w:color w:val="000000"/>
        </w:rPr>
        <w:t xml:space="preserve"> introduced a profound change to estate planning that was recently confirmed by the American Taxpayer Relief Act of 2012 (“ATRA”).  </w:t>
      </w:r>
      <w:r w:rsidRPr="00F33538">
        <w:rPr>
          <w:rFonts w:ascii="Calibri" w:hAnsi="Calibri"/>
          <w:color w:val="000000"/>
        </w:rPr>
        <w:t xml:space="preserve">Section 303 of the </w:t>
      </w:r>
      <w:r>
        <w:rPr>
          <w:rFonts w:ascii="Calibri" w:hAnsi="Calibri"/>
          <w:color w:val="000000"/>
        </w:rPr>
        <w:t xml:space="preserve">2010 Tax Act, </w:t>
      </w:r>
      <w:r w:rsidRPr="00F33538">
        <w:rPr>
          <w:rFonts w:ascii="Calibri" w:hAnsi="Calibri"/>
          <w:color w:val="000000"/>
        </w:rPr>
        <w:t xml:space="preserve">entitled “Applicable Exclusion Amount Increased by Unused Exclusion Amount of Deceased Spouse”, </w:t>
      </w:r>
      <w:r>
        <w:rPr>
          <w:rFonts w:ascii="Calibri" w:hAnsi="Calibri"/>
          <w:color w:val="000000"/>
        </w:rPr>
        <w:t xml:space="preserve">is </w:t>
      </w:r>
      <w:r w:rsidRPr="00F33538">
        <w:rPr>
          <w:rFonts w:ascii="Calibri" w:hAnsi="Calibri"/>
          <w:color w:val="000000"/>
        </w:rPr>
        <w:t>commonly known as “portability”.</w:t>
      </w:r>
      <w:r>
        <w:rPr>
          <w:rStyle w:val="FootnoteReference"/>
          <w:rFonts w:ascii="Calibri" w:hAnsi="Calibri"/>
          <w:color w:val="000000"/>
        </w:rPr>
        <w:footnoteReference w:id="4"/>
      </w:r>
      <w:r w:rsidRPr="00F33538">
        <w:rPr>
          <w:rFonts w:ascii="Calibri" w:hAnsi="Calibri"/>
          <w:color w:val="000000"/>
        </w:rPr>
        <w:t xml:space="preserve">  </w:t>
      </w:r>
      <w:r>
        <w:rPr>
          <w:rFonts w:ascii="Calibri" w:hAnsi="Calibri"/>
          <w:color w:val="000000"/>
        </w:rPr>
        <w:t>ATRA recently made this provision permanent, along with a $5,000,000 exemption for estate, gift and generation skipping trans</w:t>
      </w:r>
      <w:r w:rsidR="00F64D1C">
        <w:rPr>
          <w:rFonts w:ascii="Calibri" w:hAnsi="Calibri"/>
          <w:color w:val="000000"/>
        </w:rPr>
        <w:t>fer tax, adjusted for inflation.</w:t>
      </w:r>
      <w:r w:rsidR="00C63896">
        <w:rPr>
          <w:rFonts w:ascii="Calibri" w:hAnsi="Calibri"/>
          <w:color w:val="000000"/>
        </w:rPr>
        <w:t xml:space="preserve">  The Tax Cuts and Jobs Act doubles this for 2018-2025.</w:t>
      </w:r>
      <w:r w:rsidR="00F64D1C">
        <w:rPr>
          <w:rStyle w:val="FootnoteReference"/>
          <w:rFonts w:ascii="Calibri" w:hAnsi="Calibri"/>
          <w:color w:val="000000"/>
        </w:rPr>
        <w:footnoteReference w:id="5"/>
      </w:r>
      <w:r>
        <w:rPr>
          <w:rFonts w:ascii="Calibri" w:hAnsi="Calibri"/>
          <w:color w:val="000000"/>
        </w:rPr>
        <w:t xml:space="preserve">  </w:t>
      </w:r>
    </w:p>
    <w:p w14:paraId="1E241D52" w14:textId="77777777" w:rsidR="00491FB5" w:rsidRDefault="00491FB5" w:rsidP="00EF6A77">
      <w:pPr>
        <w:spacing w:line="360" w:lineRule="auto"/>
        <w:ind w:firstLine="720"/>
        <w:rPr>
          <w:rFonts w:ascii="Calibri" w:hAnsi="Calibri"/>
          <w:color w:val="000000"/>
        </w:rPr>
      </w:pPr>
      <w:r>
        <w:rPr>
          <w:rFonts w:ascii="Calibri" w:hAnsi="Calibri" w:cs="Helv"/>
          <w:bCs/>
          <w:color w:val="000000"/>
        </w:rPr>
        <w:t>The concept of portability is simple: the surviving spouse gets any unused estate tax exclusion of the deceased spouse provided the Form 706 is properly filed.  While it does have various flaws and quirks, portability</w:t>
      </w:r>
      <w:r>
        <w:rPr>
          <w:rFonts w:ascii="Calibri" w:hAnsi="Calibri"/>
          <w:color w:val="000000"/>
        </w:rPr>
        <w:t xml:space="preserve"> goes quite far to correct a basic injustice that would otherwise occur when the beneficiaries of a couple with no bypass trust planning pay hundreds of thousands (if not millions) more in estate tax than the beneficiaries of a couple with the same assets who die without any trust planning.</w:t>
      </w:r>
    </w:p>
    <w:p w14:paraId="6A85A0A3" w14:textId="77777777" w:rsidR="00491FB5" w:rsidRDefault="00491FB5" w:rsidP="00BC0D61">
      <w:pPr>
        <w:spacing w:line="360" w:lineRule="auto"/>
        <w:ind w:firstLine="720"/>
        <w:rPr>
          <w:rFonts w:ascii="Calibri" w:hAnsi="Calibri"/>
          <w:color w:val="000000"/>
        </w:rPr>
      </w:pPr>
      <w:r>
        <w:rPr>
          <w:rFonts w:ascii="Calibri" w:hAnsi="Calibri"/>
          <w:color w:val="000000"/>
        </w:rPr>
        <w:t>Portability has been described as both the “death knell” of the AB Trust</w:t>
      </w:r>
      <w:r>
        <w:rPr>
          <w:rStyle w:val="FootnoteReference"/>
          <w:rFonts w:ascii="Calibri" w:hAnsi="Calibri"/>
          <w:color w:val="000000"/>
        </w:rPr>
        <w:footnoteReference w:id="6"/>
      </w:r>
      <w:r>
        <w:rPr>
          <w:rFonts w:ascii="Calibri" w:hAnsi="Calibri"/>
          <w:color w:val="000000"/>
        </w:rPr>
        <w:t xml:space="preserve"> as well as a “fraud upon the public”.</w:t>
      </w:r>
      <w:r>
        <w:rPr>
          <w:rStyle w:val="FootnoteReference"/>
          <w:rFonts w:ascii="Calibri" w:hAnsi="Calibri"/>
          <w:color w:val="000000"/>
        </w:rPr>
        <w:footnoteReference w:id="7"/>
      </w:r>
      <w:r>
        <w:rPr>
          <w:rFonts w:ascii="Calibri" w:hAnsi="Calibri"/>
          <w:color w:val="000000"/>
        </w:rPr>
        <w:t xml:space="preserve">  Ubiquitous popular financial press articles now refer to the “dangers” of traditional AB trust planning or the “death of the bypass trust”.  While these charges have some surface justification, they all fail to see the tremendous </w:t>
      </w:r>
      <w:r w:rsidRPr="00F97955">
        <w:rPr>
          <w:rFonts w:ascii="Calibri" w:hAnsi="Calibri"/>
          <w:b/>
          <w:i/>
          <w:color w:val="000000"/>
        </w:rPr>
        <w:t>income</w:t>
      </w:r>
      <w:r>
        <w:rPr>
          <w:rFonts w:ascii="Calibri" w:hAnsi="Calibri"/>
          <w:color w:val="000000"/>
        </w:rPr>
        <w:t xml:space="preserve"> tax </w:t>
      </w:r>
      <w:r w:rsidR="00F97955">
        <w:rPr>
          <w:rFonts w:ascii="Calibri" w:hAnsi="Calibri"/>
          <w:color w:val="000000"/>
        </w:rPr>
        <w:t xml:space="preserve">and asset protection </w:t>
      </w:r>
      <w:r>
        <w:rPr>
          <w:rFonts w:ascii="Calibri" w:hAnsi="Calibri"/>
          <w:color w:val="000000"/>
        </w:rPr>
        <w:t xml:space="preserve">opportunities opened up to </w:t>
      </w:r>
      <w:r w:rsidR="00671916">
        <w:rPr>
          <w:rFonts w:ascii="Calibri" w:hAnsi="Calibri"/>
          <w:color w:val="000000"/>
        </w:rPr>
        <w:t xml:space="preserve">such </w:t>
      </w:r>
      <w:r>
        <w:rPr>
          <w:rFonts w:ascii="Calibri" w:hAnsi="Calibri"/>
          <w:color w:val="000000"/>
        </w:rPr>
        <w:t xml:space="preserve">trusts by the new law – </w:t>
      </w:r>
      <w:r w:rsidRPr="00F97955">
        <w:rPr>
          <w:rFonts w:ascii="Calibri" w:hAnsi="Calibri"/>
          <w:i/>
          <w:color w:val="000000"/>
        </w:rPr>
        <w:t xml:space="preserve">if </w:t>
      </w:r>
      <w:r>
        <w:rPr>
          <w:rFonts w:ascii="Calibri" w:hAnsi="Calibri"/>
          <w:color w:val="000000"/>
        </w:rPr>
        <w:t>trusts are properly adapted.</w:t>
      </w:r>
    </w:p>
    <w:p w14:paraId="1EA8424E" w14:textId="77777777" w:rsidR="00491FB5" w:rsidRDefault="00491FB5" w:rsidP="00BC0D61">
      <w:pPr>
        <w:spacing w:line="360" w:lineRule="auto"/>
        <w:ind w:firstLine="720"/>
        <w:rPr>
          <w:rFonts w:ascii="Calibri" w:hAnsi="Calibri"/>
          <w:color w:val="000000"/>
        </w:rPr>
      </w:pPr>
      <w:r>
        <w:rPr>
          <w:rFonts w:ascii="Calibri" w:hAnsi="Calibri"/>
          <w:color w:val="000000"/>
        </w:rPr>
        <w:t xml:space="preserve">The lure of portability and a large exemption is indeed a siren song for some married taxpayers to avoid trusts.  Like Odysseus, we should listen to it despite of our misgivings.  The </w:t>
      </w:r>
      <w:r>
        <w:rPr>
          <w:rFonts w:ascii="Calibri" w:hAnsi="Calibri"/>
          <w:color w:val="000000"/>
        </w:rPr>
        <w:lastRenderedPageBreak/>
        <w:t xml:space="preserve">new exemption level, coupled with the advantages of portability, eliminates what was previously the most easily quantifiable reasons to do trust planning – saving estate tax - for the vast majority of taxpayers.  More than that, however, the new tax environment seemingly deters taxpayers from using trusts through significant </w:t>
      </w:r>
      <w:r w:rsidRPr="00110574">
        <w:rPr>
          <w:rFonts w:ascii="Calibri" w:hAnsi="Calibri"/>
          <w:i/>
          <w:color w:val="000000"/>
        </w:rPr>
        <w:t>income</w:t>
      </w:r>
      <w:r>
        <w:rPr>
          <w:rFonts w:ascii="Calibri" w:hAnsi="Calibri"/>
          <w:color w:val="000000"/>
        </w:rPr>
        <w:t xml:space="preserve"> tax disparities, despite the many non-tax reasons for using them.</w:t>
      </w:r>
    </w:p>
    <w:p w14:paraId="38046A1A" w14:textId="77777777" w:rsidR="00491FB5" w:rsidRDefault="00491FB5" w:rsidP="00BC0D61">
      <w:pPr>
        <w:spacing w:line="360" w:lineRule="auto"/>
        <w:ind w:firstLine="720"/>
        <w:rPr>
          <w:rFonts w:ascii="Calibri" w:hAnsi="Calibri"/>
          <w:b/>
          <w:color w:val="000000"/>
        </w:rPr>
      </w:pPr>
    </w:p>
    <w:p w14:paraId="1C673107" w14:textId="77777777" w:rsidR="00491FB5" w:rsidRPr="00E37595" w:rsidRDefault="00491FB5" w:rsidP="00180FD1">
      <w:pPr>
        <w:pStyle w:val="ListParagraph"/>
        <w:numPr>
          <w:ilvl w:val="1"/>
          <w:numId w:val="11"/>
        </w:numPr>
        <w:tabs>
          <w:tab w:val="clear" w:pos="1755"/>
          <w:tab w:val="num" w:pos="720"/>
        </w:tabs>
        <w:spacing w:line="360" w:lineRule="auto"/>
        <w:ind w:hanging="1755"/>
        <w:rPr>
          <w:rFonts w:ascii="Calibri" w:hAnsi="Calibri"/>
          <w:b/>
          <w:color w:val="000000"/>
        </w:rPr>
      </w:pPr>
      <w:r w:rsidRPr="00E37595">
        <w:rPr>
          <w:rFonts w:ascii="Calibri" w:hAnsi="Calibri"/>
          <w:b/>
          <w:color w:val="000000"/>
        </w:rPr>
        <w:t xml:space="preserve">What’s </w:t>
      </w:r>
      <w:r w:rsidR="00E37595">
        <w:rPr>
          <w:rFonts w:ascii="Calibri" w:hAnsi="Calibri"/>
          <w:b/>
          <w:color w:val="000000"/>
        </w:rPr>
        <w:t>“</w:t>
      </w:r>
      <w:r w:rsidRPr="00E37595">
        <w:rPr>
          <w:rFonts w:ascii="Calibri" w:hAnsi="Calibri"/>
          <w:b/>
          <w:color w:val="000000"/>
        </w:rPr>
        <w:t>wrong</w:t>
      </w:r>
      <w:r w:rsidR="00E37595">
        <w:rPr>
          <w:rFonts w:ascii="Calibri" w:hAnsi="Calibri"/>
          <w:b/>
          <w:color w:val="000000"/>
        </w:rPr>
        <w:t>”</w:t>
      </w:r>
      <w:r w:rsidRPr="00E37595">
        <w:rPr>
          <w:rFonts w:ascii="Calibri" w:hAnsi="Calibri"/>
          <w:b/>
          <w:color w:val="000000"/>
        </w:rPr>
        <w:t xml:space="preserve"> with the traditional AB trust</w:t>
      </w:r>
      <w:r w:rsidR="00E37595">
        <w:rPr>
          <w:rFonts w:ascii="Calibri" w:hAnsi="Calibri"/>
          <w:b/>
          <w:color w:val="000000"/>
        </w:rPr>
        <w:t xml:space="preserve"> post-ATRA</w:t>
      </w:r>
      <w:r w:rsidRPr="00E37595">
        <w:rPr>
          <w:rFonts w:ascii="Calibri" w:hAnsi="Calibri"/>
          <w:b/>
          <w:color w:val="000000"/>
        </w:rPr>
        <w:t>?</w:t>
      </w:r>
    </w:p>
    <w:p w14:paraId="3DD09B41" w14:textId="77777777" w:rsidR="00491FB5" w:rsidRDefault="00491FB5" w:rsidP="00BF7A92">
      <w:pPr>
        <w:autoSpaceDE w:val="0"/>
        <w:autoSpaceDN w:val="0"/>
        <w:adjustRightInd w:val="0"/>
        <w:spacing w:line="360" w:lineRule="auto"/>
        <w:jc w:val="both"/>
        <w:rPr>
          <w:rFonts w:ascii="Calibri" w:hAnsi="Calibri" w:cs="Helv"/>
          <w:bCs/>
          <w:color w:val="000000"/>
        </w:rPr>
      </w:pPr>
      <w:r>
        <w:rPr>
          <w:rFonts w:ascii="Calibri" w:hAnsi="Calibri" w:cs="Helv"/>
          <w:bCs/>
          <w:color w:val="000000"/>
        </w:rPr>
        <w:tab/>
      </w:r>
    </w:p>
    <w:p w14:paraId="06E0F1EC" w14:textId="77777777" w:rsidR="00491FB5" w:rsidRPr="00BF7A92" w:rsidRDefault="00491FB5" w:rsidP="00E9677C">
      <w:pPr>
        <w:tabs>
          <w:tab w:val="num" w:pos="0"/>
        </w:tabs>
        <w:autoSpaceDE w:val="0"/>
        <w:autoSpaceDN w:val="0"/>
        <w:adjustRightInd w:val="0"/>
        <w:spacing w:line="360" w:lineRule="auto"/>
        <w:ind w:firstLine="360"/>
        <w:jc w:val="both"/>
        <w:rPr>
          <w:rFonts w:ascii="Calibri" w:hAnsi="Calibri" w:cs="Helv"/>
          <w:bCs/>
          <w:color w:val="000000"/>
        </w:rPr>
      </w:pPr>
      <w:r w:rsidRPr="00BF7A92">
        <w:rPr>
          <w:rFonts w:ascii="Calibri" w:hAnsi="Calibri" w:cs="Helv"/>
          <w:bCs/>
          <w:color w:val="000000"/>
        </w:rPr>
        <w:t xml:space="preserve">1) </w:t>
      </w:r>
      <w:r w:rsidRPr="002F04FD">
        <w:rPr>
          <w:rFonts w:ascii="Calibri" w:hAnsi="Calibri" w:cs="Helv"/>
          <w:b/>
          <w:bCs/>
          <w:color w:val="000000"/>
        </w:rPr>
        <w:t xml:space="preserve">No </w:t>
      </w:r>
      <w:r w:rsidRPr="00BF7A92">
        <w:rPr>
          <w:rFonts w:ascii="Calibri" w:hAnsi="Calibri" w:cs="Helv"/>
          <w:b/>
          <w:bCs/>
          <w:color w:val="000000"/>
        </w:rPr>
        <w:t xml:space="preserve">Second “Step Up” in Basis for </w:t>
      </w:r>
      <w:r>
        <w:rPr>
          <w:rFonts w:ascii="Calibri" w:hAnsi="Calibri" w:cs="Helv"/>
          <w:b/>
          <w:bCs/>
          <w:color w:val="000000"/>
        </w:rPr>
        <w:t>the B</w:t>
      </w:r>
      <w:r w:rsidR="00821984">
        <w:rPr>
          <w:rFonts w:ascii="Calibri" w:hAnsi="Calibri" w:cs="Helv"/>
          <w:b/>
          <w:bCs/>
          <w:color w:val="000000"/>
        </w:rPr>
        <w:t>ypass</w:t>
      </w:r>
      <w:r>
        <w:rPr>
          <w:rFonts w:ascii="Calibri" w:hAnsi="Calibri" w:cs="Helv"/>
          <w:b/>
          <w:bCs/>
          <w:color w:val="000000"/>
        </w:rPr>
        <w:t xml:space="preserve"> Trust </w:t>
      </w:r>
      <w:r w:rsidR="00821984">
        <w:rPr>
          <w:rFonts w:ascii="Calibri" w:hAnsi="Calibri" w:cs="Helv"/>
          <w:b/>
          <w:bCs/>
          <w:color w:val="000000"/>
        </w:rPr>
        <w:t xml:space="preserve">Assets </w:t>
      </w:r>
      <w:r>
        <w:rPr>
          <w:rFonts w:ascii="Calibri" w:hAnsi="Calibri" w:cs="Helv"/>
          <w:b/>
          <w:bCs/>
          <w:color w:val="000000"/>
        </w:rPr>
        <w:t>for the Next Generation.</w:t>
      </w:r>
      <w:r w:rsidRPr="00BF7A92">
        <w:rPr>
          <w:rFonts w:ascii="Calibri" w:hAnsi="Calibri" w:cs="Helv"/>
          <w:bCs/>
          <w:color w:val="000000"/>
        </w:rPr>
        <w:t xml:space="preserve">   Imagine John leaves </w:t>
      </w:r>
      <w:r>
        <w:rPr>
          <w:rFonts w:ascii="Calibri" w:hAnsi="Calibri" w:cs="Helv"/>
          <w:bCs/>
          <w:color w:val="000000"/>
        </w:rPr>
        <w:t>his wife Jane</w:t>
      </w:r>
      <w:r w:rsidRPr="00BF7A92">
        <w:rPr>
          <w:rFonts w:ascii="Calibri" w:hAnsi="Calibri" w:cs="Helv"/>
          <w:bCs/>
          <w:color w:val="000000"/>
        </w:rPr>
        <w:t xml:space="preserve"> $3</w:t>
      </w:r>
      <w:r>
        <w:rPr>
          <w:rFonts w:ascii="Calibri" w:hAnsi="Calibri" w:cs="Helv"/>
          <w:bCs/>
          <w:color w:val="000000"/>
        </w:rPr>
        <w:t xml:space="preserve"> m</w:t>
      </w:r>
      <w:r w:rsidRPr="00BF7A92">
        <w:rPr>
          <w:rFonts w:ascii="Calibri" w:hAnsi="Calibri" w:cs="Helv"/>
          <w:bCs/>
          <w:color w:val="000000"/>
        </w:rPr>
        <w:t xml:space="preserve">illion in a </w:t>
      </w:r>
      <w:r>
        <w:rPr>
          <w:rFonts w:ascii="Calibri" w:hAnsi="Calibri" w:cs="Helv"/>
          <w:bCs/>
          <w:color w:val="000000"/>
        </w:rPr>
        <w:t>b</w:t>
      </w:r>
      <w:r w:rsidRPr="00BF7A92">
        <w:rPr>
          <w:rFonts w:ascii="Calibri" w:hAnsi="Calibri" w:cs="Helv"/>
          <w:bCs/>
          <w:color w:val="000000"/>
        </w:rPr>
        <w:t xml:space="preserve">ypass </w:t>
      </w:r>
      <w:r>
        <w:rPr>
          <w:rFonts w:ascii="Calibri" w:hAnsi="Calibri" w:cs="Helv"/>
          <w:bCs/>
          <w:color w:val="000000"/>
        </w:rPr>
        <w:t>t</w:t>
      </w:r>
      <w:r w:rsidRPr="00BF7A92">
        <w:rPr>
          <w:rFonts w:ascii="Calibri" w:hAnsi="Calibri" w:cs="Helv"/>
          <w:bCs/>
          <w:color w:val="000000"/>
        </w:rPr>
        <w:t>rust and Jane outlives him 1</w:t>
      </w:r>
      <w:r>
        <w:rPr>
          <w:rFonts w:ascii="Calibri" w:hAnsi="Calibri" w:cs="Helv"/>
          <w:bCs/>
          <w:color w:val="000000"/>
        </w:rPr>
        <w:t>0</w:t>
      </w:r>
      <w:r w:rsidRPr="00BF7A92">
        <w:rPr>
          <w:rFonts w:ascii="Calibri" w:hAnsi="Calibri" w:cs="Helv"/>
          <w:bCs/>
          <w:color w:val="000000"/>
        </w:rPr>
        <w:t xml:space="preserve"> years.  Over that time the income is spent but the fair market value has doubled to $6</w:t>
      </w:r>
      <w:r>
        <w:rPr>
          <w:rFonts w:ascii="Calibri" w:hAnsi="Calibri" w:cs="Helv"/>
          <w:bCs/>
          <w:color w:val="000000"/>
        </w:rPr>
        <w:t xml:space="preserve"> m</w:t>
      </w:r>
      <w:r w:rsidRPr="00BF7A92">
        <w:rPr>
          <w:rFonts w:ascii="Calibri" w:hAnsi="Calibri" w:cs="Helv"/>
          <w:bCs/>
          <w:color w:val="000000"/>
        </w:rPr>
        <w:t xml:space="preserve">illion.  </w:t>
      </w:r>
      <w:r>
        <w:rPr>
          <w:rFonts w:ascii="Calibri" w:hAnsi="Calibri" w:cs="Helv"/>
          <w:bCs/>
          <w:color w:val="000000"/>
        </w:rPr>
        <w:t>Jane has her own $3 million in assets.  At Jane’s death, their children</w:t>
      </w:r>
      <w:r w:rsidRPr="00BF7A92">
        <w:rPr>
          <w:rFonts w:ascii="Calibri" w:hAnsi="Calibri" w:cs="Helv"/>
          <w:bCs/>
          <w:color w:val="000000"/>
        </w:rPr>
        <w:t xml:space="preserve"> inherit assets </w:t>
      </w:r>
      <w:r>
        <w:rPr>
          <w:rFonts w:ascii="Calibri" w:hAnsi="Calibri" w:cs="Helv"/>
          <w:bCs/>
          <w:color w:val="000000"/>
        </w:rPr>
        <w:t>in the bypass trust with only $3.5 million in basis.  H</w:t>
      </w:r>
      <w:r w:rsidRPr="00BF7A92">
        <w:rPr>
          <w:rFonts w:ascii="Calibri" w:hAnsi="Calibri" w:cs="Helv"/>
          <w:bCs/>
          <w:color w:val="000000"/>
        </w:rPr>
        <w:t xml:space="preserve">ad John left </w:t>
      </w:r>
      <w:r>
        <w:rPr>
          <w:rFonts w:ascii="Calibri" w:hAnsi="Calibri" w:cs="Helv"/>
          <w:bCs/>
          <w:color w:val="000000"/>
        </w:rPr>
        <w:t xml:space="preserve">his </w:t>
      </w:r>
      <w:r w:rsidRPr="00BF7A92">
        <w:rPr>
          <w:rFonts w:ascii="Calibri" w:hAnsi="Calibri" w:cs="Helv"/>
          <w:bCs/>
          <w:color w:val="000000"/>
        </w:rPr>
        <w:t xml:space="preserve">assets </w:t>
      </w:r>
      <w:r>
        <w:rPr>
          <w:rFonts w:ascii="Calibri" w:hAnsi="Calibri" w:cs="Helv"/>
          <w:bCs/>
          <w:color w:val="000000"/>
        </w:rPr>
        <w:t xml:space="preserve">to her </w:t>
      </w:r>
      <w:r w:rsidRPr="00BF7A92">
        <w:rPr>
          <w:rFonts w:ascii="Calibri" w:hAnsi="Calibri" w:cs="Helv"/>
          <w:bCs/>
          <w:color w:val="000000"/>
        </w:rPr>
        <w:t xml:space="preserve">outright </w:t>
      </w:r>
      <w:r>
        <w:rPr>
          <w:rFonts w:ascii="Calibri" w:hAnsi="Calibri" w:cs="Helv"/>
          <w:bCs/>
          <w:color w:val="000000"/>
        </w:rPr>
        <w:t xml:space="preserve">or to a differently designed trust </w:t>
      </w:r>
      <w:r w:rsidRPr="00BF7A92">
        <w:rPr>
          <w:rFonts w:ascii="Calibri" w:hAnsi="Calibri" w:cs="Helv"/>
          <w:bCs/>
          <w:color w:val="000000"/>
        </w:rPr>
        <w:t xml:space="preserve">and Jane </w:t>
      </w:r>
      <w:r>
        <w:rPr>
          <w:rFonts w:ascii="Calibri" w:hAnsi="Calibri" w:cs="Helv"/>
          <w:bCs/>
          <w:color w:val="000000"/>
        </w:rPr>
        <w:t xml:space="preserve">elected to </w:t>
      </w:r>
      <w:r w:rsidRPr="00BF7A92">
        <w:rPr>
          <w:rFonts w:ascii="Calibri" w:hAnsi="Calibri" w:cs="Helv"/>
          <w:bCs/>
          <w:color w:val="000000"/>
        </w:rPr>
        <w:t>use her Deceased Spousal Unused Exclusion Amount (DSUEA), heirs would receive a new step up in basis to $6</w:t>
      </w:r>
      <w:r>
        <w:rPr>
          <w:rFonts w:ascii="Calibri" w:hAnsi="Calibri" w:cs="Helv"/>
          <w:bCs/>
          <w:color w:val="000000"/>
        </w:rPr>
        <w:t xml:space="preserve"> m</w:t>
      </w:r>
      <w:r w:rsidRPr="00BF7A92">
        <w:rPr>
          <w:rFonts w:ascii="Calibri" w:hAnsi="Calibri" w:cs="Helv"/>
          <w:bCs/>
          <w:color w:val="000000"/>
        </w:rPr>
        <w:t xml:space="preserve">illion, potentially saving </w:t>
      </w:r>
      <w:r>
        <w:rPr>
          <w:rFonts w:ascii="Calibri" w:hAnsi="Calibri" w:cs="Helv"/>
          <w:bCs/>
          <w:color w:val="000000"/>
        </w:rPr>
        <w:t>them $750,000 or more!</w:t>
      </w:r>
      <w:r>
        <w:rPr>
          <w:rStyle w:val="FootnoteReference"/>
          <w:rFonts w:ascii="Calibri" w:hAnsi="Calibri" w:cs="Helv"/>
          <w:bCs/>
          <w:color w:val="000000"/>
        </w:rPr>
        <w:footnoteReference w:id="8"/>
      </w:r>
      <w:r>
        <w:rPr>
          <w:rFonts w:ascii="Calibri" w:hAnsi="Calibri" w:cs="Helv"/>
          <w:bCs/>
          <w:color w:val="000000"/>
        </w:rPr>
        <w:t xml:space="preserve">  </w:t>
      </w:r>
    </w:p>
    <w:p w14:paraId="632E6B39" w14:textId="77777777" w:rsidR="00491FB5" w:rsidRPr="00BF7A92" w:rsidRDefault="00491FB5" w:rsidP="00E9677C">
      <w:pPr>
        <w:tabs>
          <w:tab w:val="num" w:pos="0"/>
        </w:tabs>
        <w:autoSpaceDE w:val="0"/>
        <w:autoSpaceDN w:val="0"/>
        <w:adjustRightInd w:val="0"/>
        <w:spacing w:line="360" w:lineRule="auto"/>
        <w:ind w:firstLine="360"/>
        <w:jc w:val="both"/>
        <w:rPr>
          <w:rFonts w:ascii="Calibri" w:hAnsi="Calibri" w:cs="Helv"/>
          <w:bCs/>
          <w:color w:val="000000"/>
        </w:rPr>
      </w:pPr>
    </w:p>
    <w:p w14:paraId="06D44B0B" w14:textId="77777777" w:rsidR="00491FB5" w:rsidRDefault="00491FB5" w:rsidP="00E9677C">
      <w:pPr>
        <w:tabs>
          <w:tab w:val="num" w:pos="0"/>
        </w:tabs>
        <w:autoSpaceDE w:val="0"/>
        <w:autoSpaceDN w:val="0"/>
        <w:adjustRightInd w:val="0"/>
        <w:spacing w:line="360" w:lineRule="auto"/>
        <w:ind w:firstLine="360"/>
        <w:jc w:val="both"/>
        <w:rPr>
          <w:rFonts w:ascii="Calibri" w:hAnsi="Calibri" w:cs="Helv"/>
          <w:bCs/>
          <w:color w:val="000000"/>
        </w:rPr>
      </w:pPr>
      <w:r w:rsidRPr="00BF7A92">
        <w:rPr>
          <w:rFonts w:ascii="Calibri" w:hAnsi="Calibri" w:cs="Helv"/>
          <w:bCs/>
          <w:color w:val="000000"/>
        </w:rPr>
        <w:t xml:space="preserve">2) </w:t>
      </w:r>
      <w:r w:rsidRPr="009E124B">
        <w:rPr>
          <w:rFonts w:ascii="Calibri" w:hAnsi="Calibri" w:cs="Helv"/>
          <w:b/>
          <w:bCs/>
          <w:color w:val="000000"/>
        </w:rPr>
        <w:t>Higher Ongoing Income Tax</w:t>
      </w:r>
      <w:r>
        <w:rPr>
          <w:rFonts w:ascii="Calibri" w:hAnsi="Calibri" w:cs="Helv"/>
          <w:bCs/>
          <w:color w:val="000000"/>
        </w:rPr>
        <w:t xml:space="preserve">.  Any income trapped in a typical bypass or marital trust over $11,950 is probably taxed at rates higher than the beneficiary’s, unless the beneficiary makes over $400,000 ($450,000 married filing jointly) taxable income.  Including the new Medicare surtax, this might be 43.4% for short-term capital gains and ordinary income and 23.8% for long-term capital gains and qualified dividends.  This is a staggering differential for </w:t>
      </w:r>
      <w:r>
        <w:rPr>
          <w:rFonts w:ascii="Calibri" w:hAnsi="Calibri" w:cs="Helv"/>
          <w:bCs/>
          <w:color w:val="000000"/>
        </w:rPr>
        <w:lastRenderedPageBreak/>
        <w:t>even an upper-middle class beneficiary who might be subject to only 28% and 15% rates respectively.</w:t>
      </w:r>
    </w:p>
    <w:p w14:paraId="194F969A" w14:textId="77777777" w:rsidR="00491FB5" w:rsidRDefault="00491FB5" w:rsidP="00E9677C">
      <w:pPr>
        <w:tabs>
          <w:tab w:val="num" w:pos="0"/>
        </w:tabs>
        <w:autoSpaceDE w:val="0"/>
        <w:autoSpaceDN w:val="0"/>
        <w:adjustRightInd w:val="0"/>
        <w:spacing w:line="360" w:lineRule="auto"/>
        <w:ind w:firstLine="360"/>
        <w:jc w:val="both"/>
        <w:rPr>
          <w:rFonts w:ascii="Calibri" w:hAnsi="Calibri" w:cs="Helv"/>
          <w:bCs/>
          <w:color w:val="000000"/>
        </w:rPr>
      </w:pPr>
    </w:p>
    <w:p w14:paraId="1D514EDD" w14:textId="77777777" w:rsidR="00491FB5" w:rsidRPr="00BF7A92" w:rsidRDefault="00491FB5" w:rsidP="00E9677C">
      <w:pPr>
        <w:tabs>
          <w:tab w:val="num" w:pos="0"/>
        </w:tabs>
        <w:autoSpaceDE w:val="0"/>
        <w:autoSpaceDN w:val="0"/>
        <w:adjustRightInd w:val="0"/>
        <w:spacing w:line="360" w:lineRule="auto"/>
        <w:ind w:firstLine="360"/>
        <w:jc w:val="both"/>
        <w:rPr>
          <w:rFonts w:ascii="Calibri" w:hAnsi="Calibri" w:cs="Helv"/>
          <w:bCs/>
          <w:color w:val="000000"/>
        </w:rPr>
      </w:pPr>
      <w:r>
        <w:rPr>
          <w:rFonts w:ascii="Calibri" w:hAnsi="Calibri" w:cs="Helv"/>
          <w:bCs/>
          <w:color w:val="000000"/>
        </w:rPr>
        <w:t>3</w:t>
      </w:r>
      <w:r w:rsidRPr="00BF7A92">
        <w:rPr>
          <w:rFonts w:ascii="Calibri" w:hAnsi="Calibri" w:cs="Helv"/>
          <w:bCs/>
          <w:color w:val="000000"/>
        </w:rPr>
        <w:t xml:space="preserve">) </w:t>
      </w:r>
      <w:r w:rsidRPr="00423275">
        <w:rPr>
          <w:rFonts w:ascii="Calibri" w:hAnsi="Calibri" w:cs="Helv"/>
          <w:b/>
          <w:bCs/>
          <w:color w:val="000000"/>
        </w:rPr>
        <w:t xml:space="preserve">Special </w:t>
      </w:r>
      <w:r>
        <w:rPr>
          <w:rFonts w:ascii="Calibri" w:hAnsi="Calibri" w:cs="Helv"/>
          <w:b/>
          <w:bCs/>
          <w:color w:val="000000"/>
        </w:rPr>
        <w:t>a</w:t>
      </w:r>
      <w:r w:rsidRPr="00423275">
        <w:rPr>
          <w:rFonts w:ascii="Calibri" w:hAnsi="Calibri" w:cs="Helv"/>
          <w:b/>
          <w:bCs/>
          <w:color w:val="000000"/>
        </w:rPr>
        <w:t>sset</w:t>
      </w:r>
      <w:r>
        <w:rPr>
          <w:rFonts w:ascii="Calibri" w:hAnsi="Calibri" w:cs="Helv"/>
          <w:b/>
          <w:bCs/>
          <w:color w:val="000000"/>
        </w:rPr>
        <w:t xml:space="preserve">s can cause greater tax burden in trust.  </w:t>
      </w:r>
      <w:r w:rsidRPr="000F560A">
        <w:rPr>
          <w:rFonts w:ascii="Calibri" w:hAnsi="Calibri" w:cs="Helv"/>
          <w:bCs/>
          <w:color w:val="000000"/>
        </w:rPr>
        <w:t xml:space="preserve">Assets such as IRAs, </w:t>
      </w:r>
      <w:r>
        <w:rPr>
          <w:rFonts w:ascii="Calibri" w:hAnsi="Calibri" w:cs="Helv"/>
          <w:bCs/>
          <w:color w:val="000000"/>
        </w:rPr>
        <w:t>q</w:t>
      </w:r>
      <w:r w:rsidRPr="000F560A">
        <w:rPr>
          <w:rFonts w:ascii="Calibri" w:hAnsi="Calibri" w:cs="Helv"/>
          <w:bCs/>
          <w:color w:val="000000"/>
        </w:rPr>
        <w:t xml:space="preserve">ualified </w:t>
      </w:r>
      <w:r>
        <w:rPr>
          <w:rFonts w:ascii="Calibri" w:hAnsi="Calibri" w:cs="Helv"/>
          <w:bCs/>
          <w:color w:val="000000"/>
        </w:rPr>
        <w:t>p</w:t>
      </w:r>
      <w:r w:rsidRPr="000F560A">
        <w:rPr>
          <w:rFonts w:ascii="Calibri" w:hAnsi="Calibri" w:cs="Helv"/>
          <w:bCs/>
          <w:color w:val="000000"/>
        </w:rPr>
        <w:t>lans</w:t>
      </w:r>
      <w:r>
        <w:rPr>
          <w:rFonts w:ascii="Calibri" w:hAnsi="Calibri" w:cs="Helv"/>
          <w:bCs/>
          <w:color w:val="000000"/>
        </w:rPr>
        <w:t>, deferred c</w:t>
      </w:r>
      <w:r w:rsidRPr="000F560A">
        <w:rPr>
          <w:rFonts w:ascii="Calibri" w:hAnsi="Calibri" w:cs="Helv"/>
          <w:bCs/>
          <w:color w:val="000000"/>
        </w:rPr>
        <w:t xml:space="preserve">ompensation, </w:t>
      </w:r>
      <w:r>
        <w:rPr>
          <w:rFonts w:ascii="Calibri" w:hAnsi="Calibri" w:cs="Helv"/>
          <w:bCs/>
          <w:color w:val="000000"/>
        </w:rPr>
        <w:t>annuities, principal r</w:t>
      </w:r>
      <w:r w:rsidRPr="000F560A">
        <w:rPr>
          <w:rFonts w:ascii="Calibri" w:hAnsi="Calibri" w:cs="Helv"/>
          <w:bCs/>
          <w:color w:val="000000"/>
        </w:rPr>
        <w:t xml:space="preserve">esidences, </w:t>
      </w:r>
      <w:r w:rsidR="000F55AD">
        <w:rPr>
          <w:rFonts w:ascii="Calibri" w:hAnsi="Calibri" w:cs="Helv"/>
          <w:bCs/>
          <w:color w:val="000000"/>
        </w:rPr>
        <w:t xml:space="preserve">depreciable business property, </w:t>
      </w:r>
      <w:r>
        <w:rPr>
          <w:rFonts w:ascii="Calibri" w:hAnsi="Calibri" w:cs="Helv"/>
          <w:bCs/>
          <w:color w:val="000000"/>
        </w:rPr>
        <w:t>q</w:t>
      </w:r>
      <w:r w:rsidRPr="000F560A">
        <w:rPr>
          <w:rFonts w:ascii="Calibri" w:hAnsi="Calibri" w:cs="Helv"/>
          <w:bCs/>
          <w:color w:val="000000"/>
        </w:rPr>
        <w:t xml:space="preserve">ualifying </w:t>
      </w:r>
      <w:r>
        <w:rPr>
          <w:rFonts w:ascii="Calibri" w:hAnsi="Calibri" w:cs="Helv"/>
          <w:bCs/>
          <w:color w:val="000000"/>
        </w:rPr>
        <w:t>small b</w:t>
      </w:r>
      <w:r w:rsidRPr="000F560A">
        <w:rPr>
          <w:rFonts w:ascii="Calibri" w:hAnsi="Calibri" w:cs="Helv"/>
          <w:bCs/>
          <w:color w:val="000000"/>
        </w:rPr>
        <w:t xml:space="preserve">usiness </w:t>
      </w:r>
      <w:r>
        <w:rPr>
          <w:rFonts w:ascii="Calibri" w:hAnsi="Calibri" w:cs="Helv"/>
          <w:bCs/>
          <w:color w:val="000000"/>
        </w:rPr>
        <w:t>s</w:t>
      </w:r>
      <w:r w:rsidRPr="000F560A">
        <w:rPr>
          <w:rFonts w:ascii="Calibri" w:hAnsi="Calibri" w:cs="Helv"/>
          <w:bCs/>
          <w:color w:val="000000"/>
        </w:rPr>
        <w:t>tock and</w:t>
      </w:r>
      <w:r>
        <w:rPr>
          <w:rFonts w:ascii="Calibri" w:hAnsi="Calibri" w:cs="Helv"/>
          <w:bCs/>
          <w:color w:val="000000"/>
        </w:rPr>
        <w:t xml:space="preserve"> S c</w:t>
      </w:r>
      <w:r w:rsidRPr="000F560A">
        <w:rPr>
          <w:rFonts w:ascii="Calibri" w:hAnsi="Calibri" w:cs="Helv"/>
          <w:bCs/>
          <w:color w:val="000000"/>
        </w:rPr>
        <w:t xml:space="preserve">orporations are more problematic </w:t>
      </w:r>
      <w:r w:rsidRPr="00BF7A92">
        <w:rPr>
          <w:rFonts w:ascii="Calibri" w:hAnsi="Calibri" w:cs="Helv"/>
          <w:bCs/>
          <w:color w:val="000000"/>
        </w:rPr>
        <w:t xml:space="preserve">and may get better </w:t>
      </w:r>
      <w:r>
        <w:rPr>
          <w:rFonts w:ascii="Calibri" w:hAnsi="Calibri" w:cs="Helv"/>
          <w:bCs/>
          <w:color w:val="000000"/>
        </w:rPr>
        <w:t xml:space="preserve">income </w:t>
      </w:r>
      <w:r w:rsidRPr="00BF7A92">
        <w:rPr>
          <w:rFonts w:ascii="Calibri" w:hAnsi="Calibri" w:cs="Helv"/>
          <w:bCs/>
          <w:color w:val="000000"/>
        </w:rPr>
        <w:t>tax treatment</w:t>
      </w:r>
      <w:r>
        <w:rPr>
          <w:rFonts w:ascii="Calibri" w:hAnsi="Calibri" w:cs="Helv"/>
          <w:bCs/>
          <w:color w:val="000000"/>
        </w:rPr>
        <w:t xml:space="preserve"> left outright to a surviving spouse</w:t>
      </w:r>
      <w:r w:rsidRPr="00BF7A92">
        <w:rPr>
          <w:rFonts w:ascii="Calibri" w:hAnsi="Calibri" w:cs="Helv"/>
          <w:bCs/>
          <w:color w:val="000000"/>
        </w:rPr>
        <w:t xml:space="preserve"> </w:t>
      </w:r>
      <w:r>
        <w:rPr>
          <w:rFonts w:ascii="Calibri" w:hAnsi="Calibri" w:cs="Helv"/>
          <w:bCs/>
          <w:color w:val="000000"/>
        </w:rPr>
        <w:t>or to a specially designed trust</w:t>
      </w:r>
      <w:r w:rsidR="000F55AD">
        <w:rPr>
          <w:rFonts w:ascii="Calibri" w:hAnsi="Calibri" w:cs="Helv"/>
          <w:bCs/>
          <w:color w:val="000000"/>
        </w:rPr>
        <w:t>.  R</w:t>
      </w:r>
      <w:r w:rsidRPr="00BF7A92">
        <w:rPr>
          <w:rFonts w:ascii="Calibri" w:hAnsi="Calibri" w:cs="Helv"/>
          <w:bCs/>
          <w:color w:val="000000"/>
        </w:rPr>
        <w:t xml:space="preserve">etirement plan assets left outright </w:t>
      </w:r>
      <w:r w:rsidR="000F55AD">
        <w:rPr>
          <w:rFonts w:ascii="Calibri" w:hAnsi="Calibri" w:cs="Helv"/>
          <w:bCs/>
          <w:color w:val="000000"/>
        </w:rPr>
        <w:t>to a spouse are eligible for</w:t>
      </w:r>
      <w:r w:rsidRPr="00BF7A92">
        <w:rPr>
          <w:rFonts w:ascii="Calibri" w:hAnsi="Calibri" w:cs="Helv"/>
          <w:bCs/>
          <w:color w:val="000000"/>
        </w:rPr>
        <w:t xml:space="preserve"> </w:t>
      </w:r>
      <w:r>
        <w:rPr>
          <w:rFonts w:ascii="Calibri" w:hAnsi="Calibri" w:cs="Helv"/>
          <w:bCs/>
          <w:color w:val="000000"/>
        </w:rPr>
        <w:t>longer</w:t>
      </w:r>
      <w:r w:rsidRPr="00BF7A92">
        <w:rPr>
          <w:rFonts w:ascii="Calibri" w:hAnsi="Calibri" w:cs="Helv"/>
          <w:bCs/>
          <w:color w:val="000000"/>
        </w:rPr>
        <w:t xml:space="preserve"> income tax </w:t>
      </w:r>
      <w:r>
        <w:rPr>
          <w:rFonts w:ascii="Calibri" w:hAnsi="Calibri" w:cs="Helv"/>
          <w:bCs/>
          <w:color w:val="000000"/>
        </w:rPr>
        <w:t>deferral</w:t>
      </w:r>
      <w:r w:rsidRPr="00BF7A92">
        <w:rPr>
          <w:rFonts w:ascii="Calibri" w:hAnsi="Calibri" w:cs="Helv"/>
          <w:bCs/>
          <w:color w:val="000000"/>
        </w:rPr>
        <w:t xml:space="preserve"> than assets left in a bypass trust</w:t>
      </w:r>
      <w:r w:rsidR="000F55AD">
        <w:rPr>
          <w:rFonts w:ascii="Calibri" w:hAnsi="Calibri" w:cs="Helv"/>
          <w:bCs/>
          <w:color w:val="000000"/>
        </w:rPr>
        <w:t>, even if trust makes it through the gauntlet of</w:t>
      </w:r>
      <w:r w:rsidRPr="00BF7A92">
        <w:rPr>
          <w:rFonts w:ascii="Calibri" w:hAnsi="Calibri" w:cs="Helv"/>
          <w:bCs/>
          <w:color w:val="000000"/>
        </w:rPr>
        <w:t xml:space="preserve"> “see-through trust” rules and the minefield of planning and funding trusts with “IRD” (income in respect of a decedent) assets.</w:t>
      </w:r>
      <w:r>
        <w:rPr>
          <w:rStyle w:val="FootnoteReference"/>
          <w:rFonts w:ascii="Calibri" w:hAnsi="Calibri" w:cs="Helv"/>
          <w:bCs/>
          <w:color w:val="000000"/>
        </w:rPr>
        <w:footnoteReference w:id="9"/>
      </w:r>
      <w:r>
        <w:rPr>
          <w:rFonts w:ascii="Calibri" w:hAnsi="Calibri" w:cs="Helv"/>
          <w:bCs/>
          <w:color w:val="000000"/>
        </w:rPr>
        <w:t xml:space="preserve">  Other assets, such as a personal residence, have special capital gains tax exclusions or loss provisions if owned outright or in a grantor trust.</w:t>
      </w:r>
      <w:r>
        <w:rPr>
          <w:rStyle w:val="FootnoteReference"/>
          <w:rFonts w:ascii="Calibri" w:hAnsi="Calibri" w:cs="Helv"/>
          <w:bCs/>
          <w:color w:val="000000"/>
        </w:rPr>
        <w:footnoteReference w:id="10"/>
      </w:r>
      <w:r>
        <w:rPr>
          <w:rFonts w:ascii="Calibri" w:hAnsi="Calibri" w:cs="Helv"/>
          <w:bCs/>
          <w:color w:val="000000"/>
        </w:rPr>
        <w:t xml:space="preserve">  Ownership of certain businesses requires special provisions in the trust that are sometimes overlooked in the drafting, post-mortem administration and/or election stages.</w:t>
      </w:r>
      <w:r>
        <w:rPr>
          <w:rStyle w:val="FootnoteReference"/>
          <w:rFonts w:ascii="Calibri" w:hAnsi="Calibri" w:cs="Helv"/>
          <w:bCs/>
          <w:color w:val="000000"/>
        </w:rPr>
        <w:footnoteReference w:id="11"/>
      </w:r>
      <w:r w:rsidRPr="00151F71">
        <w:rPr>
          <w:rFonts w:ascii="Calibri" w:hAnsi="Calibri" w:cs="Helv"/>
          <w:bCs/>
          <w:color w:val="000000"/>
        </w:rPr>
        <w:t xml:space="preserve"> </w:t>
      </w:r>
    </w:p>
    <w:p w14:paraId="0946705E" w14:textId="77777777" w:rsidR="00491FB5" w:rsidRPr="00BF7A92" w:rsidRDefault="00491FB5" w:rsidP="00A56A78">
      <w:pPr>
        <w:tabs>
          <w:tab w:val="num" w:pos="360"/>
        </w:tabs>
        <w:autoSpaceDE w:val="0"/>
        <w:autoSpaceDN w:val="0"/>
        <w:adjustRightInd w:val="0"/>
        <w:spacing w:line="360" w:lineRule="auto"/>
        <w:ind w:left="360"/>
        <w:jc w:val="both"/>
        <w:rPr>
          <w:rFonts w:ascii="Calibri" w:hAnsi="Calibri" w:cs="Helv"/>
          <w:bCs/>
          <w:color w:val="000000"/>
        </w:rPr>
      </w:pPr>
    </w:p>
    <w:p w14:paraId="6E517833" w14:textId="77777777" w:rsidR="00491FB5" w:rsidRPr="00BF7A92" w:rsidRDefault="00491FB5" w:rsidP="00D4352D">
      <w:pPr>
        <w:tabs>
          <w:tab w:val="num" w:pos="0"/>
        </w:tabs>
        <w:autoSpaceDE w:val="0"/>
        <w:autoSpaceDN w:val="0"/>
        <w:adjustRightInd w:val="0"/>
        <w:spacing w:line="360" w:lineRule="auto"/>
        <w:ind w:firstLine="720"/>
        <w:jc w:val="both"/>
        <w:rPr>
          <w:rFonts w:ascii="Calibri" w:hAnsi="Calibri" w:cs="Helv"/>
          <w:bCs/>
          <w:color w:val="000000"/>
        </w:rPr>
      </w:pPr>
      <w:r w:rsidRPr="00BF7A92">
        <w:rPr>
          <w:rFonts w:ascii="Calibri" w:hAnsi="Calibri" w:cs="Helv"/>
          <w:bCs/>
          <w:color w:val="000000"/>
        </w:rPr>
        <w:t xml:space="preserve">Yet </w:t>
      </w:r>
      <w:r>
        <w:rPr>
          <w:rFonts w:ascii="Calibri" w:hAnsi="Calibri" w:cs="Helv"/>
          <w:bCs/>
          <w:color w:val="000000"/>
        </w:rPr>
        <w:t>outright bequests are</w:t>
      </w:r>
      <w:r w:rsidRPr="00BF7A92">
        <w:rPr>
          <w:rFonts w:ascii="Calibri" w:hAnsi="Calibri" w:cs="Helv"/>
          <w:bCs/>
          <w:color w:val="000000"/>
        </w:rPr>
        <w:t xml:space="preserve"> not nearly as advantageous as using a trust</w:t>
      </w:r>
      <w:r w:rsidR="00E37595">
        <w:rPr>
          <w:rFonts w:ascii="Calibri" w:hAnsi="Calibri" w:cs="Helv"/>
          <w:bCs/>
          <w:color w:val="000000"/>
        </w:rPr>
        <w:t>, and there are various techniques discussed herein to avoid these three negatives</w:t>
      </w:r>
      <w:r w:rsidRPr="00BF7A92">
        <w:rPr>
          <w:rFonts w:ascii="Calibri" w:hAnsi="Calibri" w:cs="Helv"/>
          <w:bCs/>
          <w:color w:val="000000"/>
        </w:rPr>
        <w:t xml:space="preserve">.  </w:t>
      </w:r>
      <w:r>
        <w:rPr>
          <w:rFonts w:ascii="Calibri" w:hAnsi="Calibri" w:cs="Helv"/>
          <w:bCs/>
          <w:color w:val="000000"/>
        </w:rPr>
        <w:t>T</w:t>
      </w:r>
      <w:r w:rsidRPr="00BF7A92">
        <w:rPr>
          <w:rFonts w:ascii="Calibri" w:hAnsi="Calibri" w:cs="Helv"/>
          <w:bCs/>
          <w:color w:val="000000"/>
        </w:rPr>
        <w:t xml:space="preserve">he best planning </w:t>
      </w:r>
      <w:r>
        <w:rPr>
          <w:rFonts w:ascii="Calibri" w:hAnsi="Calibri" w:cs="Helv"/>
          <w:bCs/>
          <w:color w:val="000000"/>
        </w:rPr>
        <w:t>should probably</w:t>
      </w:r>
      <w:r w:rsidRPr="00BF7A92">
        <w:rPr>
          <w:rFonts w:ascii="Calibri" w:hAnsi="Calibri" w:cs="Helv"/>
          <w:bCs/>
          <w:color w:val="000000"/>
        </w:rPr>
        <w:t xml:space="preserve"> utilize a</w:t>
      </w:r>
      <w:r>
        <w:rPr>
          <w:rFonts w:ascii="Calibri" w:hAnsi="Calibri" w:cs="Helv"/>
          <w:bCs/>
          <w:color w:val="000000"/>
        </w:rPr>
        <w:t>n ongoing</w:t>
      </w:r>
      <w:r w:rsidRPr="00BF7A92">
        <w:rPr>
          <w:rFonts w:ascii="Calibri" w:hAnsi="Calibri" w:cs="Helv"/>
          <w:bCs/>
          <w:color w:val="000000"/>
        </w:rPr>
        <w:t xml:space="preserve"> trust </w:t>
      </w:r>
      <w:r w:rsidRPr="00666567">
        <w:rPr>
          <w:rFonts w:ascii="Calibri" w:hAnsi="Calibri" w:cs="Helv"/>
          <w:b/>
          <w:bCs/>
          <w:i/>
          <w:color w:val="000000"/>
        </w:rPr>
        <w:t xml:space="preserve">as well as </w:t>
      </w:r>
      <w:r w:rsidRPr="00BF7A92">
        <w:rPr>
          <w:rFonts w:ascii="Calibri" w:hAnsi="Calibri" w:cs="Helv"/>
          <w:bCs/>
          <w:color w:val="000000"/>
        </w:rPr>
        <w:t xml:space="preserve">exploit </w:t>
      </w:r>
      <w:r>
        <w:rPr>
          <w:rFonts w:ascii="Calibri" w:hAnsi="Calibri" w:cs="Helv"/>
          <w:bCs/>
          <w:color w:val="000000"/>
        </w:rPr>
        <w:t>portability, which will be discussed in the next section</w:t>
      </w:r>
      <w:r w:rsidRPr="00BF7A92">
        <w:rPr>
          <w:rFonts w:ascii="Calibri" w:hAnsi="Calibri" w:cs="Helv"/>
          <w:bCs/>
          <w:color w:val="000000"/>
        </w:rPr>
        <w:t>.</w:t>
      </w:r>
    </w:p>
    <w:p w14:paraId="467D2341" w14:textId="77777777" w:rsidR="00491FB5" w:rsidRDefault="00491FB5" w:rsidP="002F04FD">
      <w:pPr>
        <w:tabs>
          <w:tab w:val="num" w:pos="360"/>
        </w:tabs>
        <w:autoSpaceDE w:val="0"/>
        <w:autoSpaceDN w:val="0"/>
        <w:adjustRightInd w:val="0"/>
        <w:spacing w:line="360" w:lineRule="auto"/>
        <w:ind w:left="360" w:hanging="360"/>
        <w:jc w:val="both"/>
        <w:rPr>
          <w:rFonts w:ascii="Calibri" w:hAnsi="Calibri" w:cs="Helv"/>
          <w:b/>
          <w:bCs/>
          <w:color w:val="000000"/>
        </w:rPr>
      </w:pPr>
      <w:r>
        <w:rPr>
          <w:rFonts w:ascii="Calibri" w:hAnsi="Calibri" w:cs="Helv"/>
          <w:b/>
          <w:bCs/>
          <w:color w:val="000000"/>
        </w:rPr>
        <w:tab/>
      </w:r>
    </w:p>
    <w:p w14:paraId="49BE4FA7" w14:textId="77777777" w:rsidR="00491FB5" w:rsidRPr="00E37595" w:rsidRDefault="00491FB5" w:rsidP="00180FD1">
      <w:pPr>
        <w:pStyle w:val="ListParagraph"/>
        <w:numPr>
          <w:ilvl w:val="1"/>
          <w:numId w:val="11"/>
        </w:numPr>
        <w:tabs>
          <w:tab w:val="num" w:pos="360"/>
        </w:tabs>
        <w:autoSpaceDE w:val="0"/>
        <w:autoSpaceDN w:val="0"/>
        <w:adjustRightInd w:val="0"/>
        <w:spacing w:line="360" w:lineRule="auto"/>
        <w:ind w:hanging="1755"/>
        <w:jc w:val="both"/>
        <w:rPr>
          <w:rFonts w:ascii="Calibri" w:hAnsi="Calibri" w:cs="Helv"/>
          <w:b/>
          <w:bCs/>
          <w:color w:val="000000"/>
        </w:rPr>
      </w:pPr>
      <w:r w:rsidRPr="00E37595">
        <w:rPr>
          <w:rFonts w:ascii="Calibri" w:hAnsi="Calibri" w:cs="Helv"/>
          <w:b/>
          <w:bCs/>
          <w:color w:val="000000"/>
        </w:rPr>
        <w:t>Why not just skip the burdens of an ongoing trust?</w:t>
      </w:r>
      <w:r>
        <w:rPr>
          <w:rStyle w:val="FootnoteReference"/>
          <w:rFonts w:ascii="Calibri" w:hAnsi="Calibri" w:cs="Helv"/>
          <w:b/>
          <w:bCs/>
          <w:color w:val="000000"/>
        </w:rPr>
        <w:footnoteReference w:id="12"/>
      </w:r>
      <w:r w:rsidRPr="00E37595">
        <w:rPr>
          <w:rFonts w:ascii="Calibri" w:hAnsi="Calibri" w:cs="Helv"/>
          <w:b/>
          <w:bCs/>
          <w:color w:val="000000"/>
        </w:rPr>
        <w:t xml:space="preserve">  Here’s a quick </w:t>
      </w:r>
      <w:r w:rsidR="00602372" w:rsidRPr="00E37595">
        <w:rPr>
          <w:rFonts w:ascii="Calibri" w:hAnsi="Calibri" w:cs="Helv"/>
          <w:b/>
          <w:bCs/>
          <w:color w:val="000000"/>
        </w:rPr>
        <w:t xml:space="preserve">baker’s </w:t>
      </w:r>
      <w:r w:rsidRPr="00E37595">
        <w:rPr>
          <w:rFonts w:ascii="Calibri" w:hAnsi="Calibri" w:cs="Helv"/>
          <w:b/>
          <w:bCs/>
          <w:color w:val="000000"/>
        </w:rPr>
        <w:t>dozen:</w:t>
      </w:r>
    </w:p>
    <w:p w14:paraId="6D1E6833" w14:textId="77777777" w:rsidR="00491FB5" w:rsidRPr="00BF7A92" w:rsidRDefault="00491FB5" w:rsidP="002F04FD">
      <w:pPr>
        <w:tabs>
          <w:tab w:val="num" w:pos="360"/>
        </w:tabs>
        <w:autoSpaceDE w:val="0"/>
        <w:autoSpaceDN w:val="0"/>
        <w:adjustRightInd w:val="0"/>
        <w:spacing w:line="360" w:lineRule="auto"/>
        <w:ind w:left="360" w:hanging="360"/>
        <w:jc w:val="both"/>
        <w:rPr>
          <w:rFonts w:ascii="Calibri" w:hAnsi="Calibri" w:cs="Helv"/>
          <w:b/>
          <w:bCs/>
          <w:color w:val="000000"/>
        </w:rPr>
      </w:pPr>
      <w:r w:rsidRPr="00BF7A92">
        <w:rPr>
          <w:rFonts w:ascii="Calibri" w:hAnsi="Calibri" w:cs="Helv"/>
          <w:b/>
          <w:bCs/>
          <w:color w:val="000000"/>
        </w:rPr>
        <w:t xml:space="preserve"> </w:t>
      </w:r>
    </w:p>
    <w:p w14:paraId="4290671C" w14:textId="77777777" w:rsidR="00491FB5"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Cs/>
          <w:color w:val="000000"/>
        </w:rPr>
      </w:pPr>
      <w:r w:rsidRPr="00BF7A92">
        <w:rPr>
          <w:rFonts w:ascii="Calibri" w:hAnsi="Calibri" w:cs="Helv"/>
          <w:bCs/>
          <w:color w:val="000000"/>
        </w:rPr>
        <w:lastRenderedPageBreak/>
        <w:t xml:space="preserve">A trust allows the grantor to make certain that the assets are managed and distributed according to his/her wishes, keeping funds </w:t>
      </w:r>
      <w:r w:rsidRPr="00BF7A92">
        <w:rPr>
          <w:rFonts w:ascii="Calibri" w:hAnsi="Calibri" w:cs="Helv"/>
          <w:b/>
          <w:bCs/>
          <w:color w:val="000000"/>
        </w:rPr>
        <w:t>“in the family bloodline”</w:t>
      </w:r>
      <w:r>
        <w:rPr>
          <w:rFonts w:ascii="Calibri" w:hAnsi="Calibri" w:cs="Helv"/>
          <w:b/>
          <w:bCs/>
          <w:color w:val="000000"/>
        </w:rPr>
        <w:t xml:space="preserve">.  </w:t>
      </w:r>
      <w:r w:rsidRPr="003E3BF3">
        <w:rPr>
          <w:rFonts w:ascii="Calibri" w:hAnsi="Calibri" w:cs="Helv"/>
          <w:bCs/>
          <w:color w:val="000000"/>
        </w:rPr>
        <w:t xml:space="preserve">Sure, </w:t>
      </w:r>
      <w:r>
        <w:rPr>
          <w:rFonts w:ascii="Calibri" w:hAnsi="Calibri" w:cs="Helv"/>
          <w:bCs/>
          <w:color w:val="000000"/>
        </w:rPr>
        <w:t>spouses can</w:t>
      </w:r>
      <w:r w:rsidRPr="003E3BF3">
        <w:rPr>
          <w:rFonts w:ascii="Calibri" w:hAnsi="Calibri" w:cs="Helv"/>
          <w:bCs/>
          <w:color w:val="000000"/>
        </w:rPr>
        <w:t xml:space="preserve"> agree not to disinherit</w:t>
      </w:r>
      <w:r>
        <w:rPr>
          <w:rFonts w:ascii="Calibri" w:hAnsi="Calibri" w:cs="Helv"/>
          <w:bCs/>
          <w:color w:val="000000"/>
        </w:rPr>
        <w:t xml:space="preserve"> the first decedent’s</w:t>
      </w:r>
      <w:r w:rsidRPr="003E3BF3">
        <w:rPr>
          <w:rFonts w:ascii="Calibri" w:hAnsi="Calibri" w:cs="Helv"/>
          <w:bCs/>
          <w:color w:val="000000"/>
        </w:rPr>
        <w:t xml:space="preserve"> family</w:t>
      </w:r>
      <w:r>
        <w:rPr>
          <w:rFonts w:ascii="Calibri" w:hAnsi="Calibri" w:cs="Helv"/>
          <w:bCs/>
          <w:color w:val="000000"/>
        </w:rPr>
        <w:t>, but it happens all the time – people move away, get sick and get remarried – the more time passes, the more the likelihood of a surviving spouse remarrying or changing his or her testamentary disposition.</w:t>
      </w:r>
      <w:r>
        <w:rPr>
          <w:rStyle w:val="FootnoteReference"/>
          <w:rFonts w:ascii="Calibri" w:hAnsi="Calibri" w:cs="Helv"/>
          <w:bCs/>
          <w:color w:val="000000"/>
        </w:rPr>
        <w:footnoteReference w:id="13"/>
      </w:r>
      <w:r>
        <w:rPr>
          <w:rFonts w:ascii="Calibri" w:hAnsi="Calibri" w:cs="Helv"/>
          <w:bCs/>
          <w:color w:val="000000"/>
        </w:rPr>
        <w:t xml:space="preserve"> </w:t>
      </w:r>
    </w:p>
    <w:p w14:paraId="3163F4E6" w14:textId="77777777" w:rsidR="00491FB5" w:rsidRDefault="00491FB5" w:rsidP="00006D9E">
      <w:pPr>
        <w:tabs>
          <w:tab w:val="num" w:pos="0"/>
          <w:tab w:val="num" w:pos="1440"/>
        </w:tabs>
        <w:autoSpaceDE w:val="0"/>
        <w:autoSpaceDN w:val="0"/>
        <w:adjustRightInd w:val="0"/>
        <w:spacing w:line="360" w:lineRule="auto"/>
        <w:ind w:firstLine="360"/>
        <w:jc w:val="both"/>
        <w:rPr>
          <w:rFonts w:ascii="Calibri" w:hAnsi="Calibri" w:cs="Helv"/>
          <w:bCs/>
          <w:color w:val="000000"/>
        </w:rPr>
      </w:pPr>
    </w:p>
    <w:p w14:paraId="62B6F40B" w14:textId="77777777" w:rsidR="00491FB5"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Cs/>
          <w:color w:val="000000"/>
        </w:rPr>
      </w:pPr>
      <w:r>
        <w:rPr>
          <w:rFonts w:ascii="Calibri" w:hAnsi="Calibri" w:cs="Helv"/>
          <w:bCs/>
          <w:color w:val="000000"/>
        </w:rPr>
        <w:t>U</w:t>
      </w:r>
      <w:r w:rsidRPr="00BF7A92">
        <w:rPr>
          <w:rFonts w:ascii="Calibri" w:hAnsi="Calibri" w:cs="Helv"/>
          <w:bCs/>
          <w:color w:val="000000"/>
        </w:rPr>
        <w:t xml:space="preserve">nlike a trust, assets distributed outright have </w:t>
      </w:r>
      <w:r w:rsidRPr="00BF7A92">
        <w:rPr>
          <w:rFonts w:ascii="Calibri" w:hAnsi="Calibri" w:cs="Helv"/>
          <w:b/>
          <w:bCs/>
          <w:color w:val="000000"/>
        </w:rPr>
        <w:t xml:space="preserve">no asset protection </w:t>
      </w:r>
      <w:r>
        <w:rPr>
          <w:rFonts w:ascii="Calibri" w:hAnsi="Calibri" w:cs="Helv"/>
          <w:b/>
          <w:bCs/>
          <w:color w:val="000000"/>
        </w:rPr>
        <w:t xml:space="preserve">from outside creditors </w:t>
      </w:r>
      <w:r w:rsidRPr="00BF7A92">
        <w:rPr>
          <w:rFonts w:ascii="Calibri" w:hAnsi="Calibri" w:cs="Helv"/>
          <w:bCs/>
          <w:color w:val="000000"/>
        </w:rPr>
        <w:t>(unless</w:t>
      </w:r>
      <w:r>
        <w:rPr>
          <w:rFonts w:ascii="Calibri" w:hAnsi="Calibri" w:cs="Helv"/>
          <w:bCs/>
          <w:color w:val="000000"/>
        </w:rPr>
        <w:t>, like</w:t>
      </w:r>
      <w:r w:rsidRPr="00BF7A92">
        <w:rPr>
          <w:rFonts w:ascii="Calibri" w:hAnsi="Calibri" w:cs="Helv"/>
          <w:bCs/>
          <w:color w:val="000000"/>
        </w:rPr>
        <w:t xml:space="preserve"> an IRA or qualified plan, </w:t>
      </w:r>
      <w:r>
        <w:rPr>
          <w:rFonts w:ascii="Calibri" w:hAnsi="Calibri" w:cs="Helv"/>
          <w:bCs/>
          <w:color w:val="000000"/>
        </w:rPr>
        <w:t>the asset is protected in the hands of the new owner</w:t>
      </w:r>
      <w:r w:rsidRPr="00BF7A92">
        <w:rPr>
          <w:rFonts w:ascii="Calibri" w:hAnsi="Calibri" w:cs="Helv"/>
          <w:bCs/>
          <w:color w:val="000000"/>
        </w:rPr>
        <w:t>) - whereas a bypass trust is ordinarily well-protected from creditors;</w:t>
      </w:r>
    </w:p>
    <w:p w14:paraId="1FBD37B2" w14:textId="77777777" w:rsidR="00491FB5" w:rsidRDefault="00491FB5" w:rsidP="00006D9E">
      <w:pPr>
        <w:tabs>
          <w:tab w:val="num" w:pos="0"/>
          <w:tab w:val="num" w:pos="1440"/>
        </w:tabs>
        <w:autoSpaceDE w:val="0"/>
        <w:autoSpaceDN w:val="0"/>
        <w:adjustRightInd w:val="0"/>
        <w:spacing w:line="360" w:lineRule="auto"/>
        <w:ind w:firstLine="360"/>
        <w:jc w:val="both"/>
        <w:rPr>
          <w:rFonts w:ascii="Calibri" w:hAnsi="Calibri" w:cs="Helv"/>
          <w:bCs/>
          <w:color w:val="000000"/>
        </w:rPr>
      </w:pPr>
    </w:p>
    <w:p w14:paraId="390E5825" w14:textId="77777777" w:rsidR="00491FB5" w:rsidRPr="004D43EE"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
          <w:bCs/>
          <w:color w:val="000000"/>
        </w:rPr>
      </w:pPr>
      <w:r>
        <w:rPr>
          <w:rFonts w:ascii="Calibri" w:hAnsi="Calibri" w:cs="Helv"/>
          <w:bCs/>
          <w:color w:val="000000"/>
        </w:rPr>
        <w:t xml:space="preserve">Unlike a trust, assets distributed outright have </w:t>
      </w:r>
      <w:r w:rsidRPr="004D43EE">
        <w:rPr>
          <w:rFonts w:ascii="Calibri" w:hAnsi="Calibri" w:cs="Helv"/>
          <w:b/>
          <w:bCs/>
          <w:color w:val="000000"/>
        </w:rPr>
        <w:t xml:space="preserve">no asset protection from </w:t>
      </w:r>
      <w:r>
        <w:rPr>
          <w:rFonts w:ascii="Calibri" w:hAnsi="Calibri" w:cs="Helv"/>
          <w:b/>
          <w:bCs/>
          <w:color w:val="000000"/>
        </w:rPr>
        <w:t>subsequent</w:t>
      </w:r>
      <w:r w:rsidRPr="004D43EE">
        <w:rPr>
          <w:rFonts w:ascii="Calibri" w:hAnsi="Calibri" w:cs="Helv"/>
          <w:b/>
          <w:bCs/>
          <w:color w:val="000000"/>
        </w:rPr>
        <w:t xml:space="preserve"> spouses</w:t>
      </w:r>
      <w:r>
        <w:rPr>
          <w:rFonts w:ascii="Calibri" w:hAnsi="Calibri" w:cs="Helv"/>
          <w:b/>
          <w:bCs/>
          <w:color w:val="000000"/>
        </w:rPr>
        <w:t xml:space="preserve"> when the surviving spouse remarries.  </w:t>
      </w:r>
      <w:r w:rsidRPr="00744C13">
        <w:rPr>
          <w:rFonts w:ascii="Calibri" w:hAnsi="Calibri" w:cs="Helv"/>
          <w:bCs/>
          <w:color w:val="000000"/>
        </w:rPr>
        <w:t>P</w:t>
      </w:r>
      <w:r>
        <w:rPr>
          <w:rFonts w:ascii="Calibri" w:hAnsi="Calibri" w:cs="Helv"/>
          <w:bCs/>
          <w:color w:val="000000"/>
        </w:rPr>
        <w:t>roperty might be transmuted or commingled to be</w:t>
      </w:r>
      <w:r w:rsidR="009E6332">
        <w:rPr>
          <w:rFonts w:ascii="Calibri" w:hAnsi="Calibri" w:cs="Helv"/>
          <w:bCs/>
          <w:color w:val="000000"/>
        </w:rPr>
        <w:t>come</w:t>
      </w:r>
      <w:r>
        <w:rPr>
          <w:rFonts w:ascii="Calibri" w:hAnsi="Calibri" w:cs="Helv"/>
          <w:bCs/>
          <w:color w:val="000000"/>
        </w:rPr>
        <w:t xml:space="preserve"> marital/community property with new spouse.  If it is a 401(k) or other ERISA plan, it might be subject to spousal protections for the new spouse (which cannot be cured via prenup, and become mandatory after a year of marriage).</w:t>
      </w:r>
      <w:r>
        <w:rPr>
          <w:rStyle w:val="FootnoteReference"/>
          <w:rFonts w:ascii="Calibri" w:hAnsi="Calibri" w:cs="Helv"/>
          <w:bCs/>
          <w:color w:val="000000"/>
        </w:rPr>
        <w:footnoteReference w:id="14"/>
      </w:r>
      <w:r>
        <w:rPr>
          <w:rFonts w:ascii="Calibri" w:hAnsi="Calibri" w:cs="Helv"/>
          <w:bCs/>
          <w:color w:val="000000"/>
        </w:rPr>
        <w:t xml:space="preserve">  Most states also have spousal support statutes which require a spouse to support the other - and there is no distinction if it is a second, third or later marriage.   Also, most states have some form of spousal elective share statutes that could prevent a surviving spouse from leaving assets to children to the complete exclusion of a new spouse;</w:t>
      </w:r>
      <w:r w:rsidR="009E6332">
        <w:rPr>
          <w:rStyle w:val="FootnoteReference"/>
          <w:rFonts w:ascii="Calibri" w:hAnsi="Calibri" w:cs="Helv"/>
          <w:bCs/>
          <w:color w:val="000000"/>
        </w:rPr>
        <w:footnoteReference w:id="15"/>
      </w:r>
    </w:p>
    <w:p w14:paraId="75689B44" w14:textId="77777777" w:rsidR="00491FB5" w:rsidRPr="00BF7A92" w:rsidRDefault="00491FB5" w:rsidP="00006D9E">
      <w:pPr>
        <w:tabs>
          <w:tab w:val="num" w:pos="0"/>
          <w:tab w:val="num" w:pos="1440"/>
        </w:tabs>
        <w:autoSpaceDE w:val="0"/>
        <w:autoSpaceDN w:val="0"/>
        <w:adjustRightInd w:val="0"/>
        <w:spacing w:line="360" w:lineRule="auto"/>
        <w:ind w:firstLine="360"/>
        <w:jc w:val="both"/>
        <w:rPr>
          <w:rFonts w:ascii="Calibri" w:hAnsi="Calibri" w:cs="Helv"/>
          <w:bCs/>
          <w:color w:val="000000"/>
        </w:rPr>
      </w:pPr>
    </w:p>
    <w:p w14:paraId="49196C33" w14:textId="77777777" w:rsidR="00491FB5" w:rsidRPr="00E666FE"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Cs/>
          <w:color w:val="000000"/>
        </w:rPr>
      </w:pPr>
      <w:r w:rsidRPr="00BF7A92">
        <w:rPr>
          <w:rFonts w:ascii="Calibri" w:hAnsi="Calibri" w:cs="Helv"/>
          <w:bCs/>
          <w:color w:val="000000"/>
        </w:rPr>
        <w:t xml:space="preserve"> Unlike </w:t>
      </w:r>
      <w:r>
        <w:rPr>
          <w:rFonts w:ascii="Calibri" w:hAnsi="Calibri" w:cs="Helv"/>
          <w:bCs/>
          <w:color w:val="000000"/>
        </w:rPr>
        <w:t>a</w:t>
      </w:r>
      <w:r w:rsidRPr="00BF7A92">
        <w:rPr>
          <w:rFonts w:ascii="Calibri" w:hAnsi="Calibri" w:cs="Helv"/>
          <w:bCs/>
          <w:color w:val="000000"/>
        </w:rPr>
        <w:t xml:space="preserve"> trust, assets left outright </w:t>
      </w:r>
      <w:r>
        <w:rPr>
          <w:rFonts w:ascii="Calibri" w:hAnsi="Calibri" w:cs="Helv"/>
          <w:b/>
          <w:bCs/>
          <w:color w:val="000000"/>
        </w:rPr>
        <w:t>save</w:t>
      </w:r>
      <w:r w:rsidRPr="00BF7A92">
        <w:rPr>
          <w:rFonts w:ascii="Calibri" w:hAnsi="Calibri" w:cs="Helv"/>
          <w:b/>
          <w:bCs/>
          <w:color w:val="000000"/>
        </w:rPr>
        <w:t xml:space="preserve"> no STATE estate </w:t>
      </w:r>
      <w:r>
        <w:rPr>
          <w:rFonts w:ascii="Calibri" w:hAnsi="Calibri" w:cs="Helv"/>
          <w:b/>
          <w:bCs/>
          <w:color w:val="000000"/>
        </w:rPr>
        <w:t xml:space="preserve">or inheritance </w:t>
      </w:r>
      <w:r w:rsidRPr="00BF7A92">
        <w:rPr>
          <w:rFonts w:ascii="Calibri" w:hAnsi="Calibri" w:cs="Helv"/>
          <w:b/>
          <w:bCs/>
          <w:color w:val="000000"/>
        </w:rPr>
        <w:t>tax</w:t>
      </w:r>
      <w:r w:rsidRPr="00BF7A92">
        <w:rPr>
          <w:rFonts w:ascii="Calibri" w:hAnsi="Calibri" w:cs="Helv"/>
          <w:bCs/>
          <w:color w:val="000000"/>
        </w:rPr>
        <w:t xml:space="preserve"> unless a state amends its estate tax system to allow similar </w:t>
      </w:r>
      <w:r>
        <w:rPr>
          <w:rFonts w:ascii="Calibri" w:hAnsi="Calibri" w:cs="Helv"/>
          <w:bCs/>
          <w:color w:val="000000"/>
        </w:rPr>
        <w:t xml:space="preserve">DSUEA </w:t>
      </w:r>
      <w:r w:rsidRPr="00BF7A92">
        <w:rPr>
          <w:rFonts w:ascii="Calibri" w:hAnsi="Calibri" w:cs="Helv"/>
          <w:bCs/>
          <w:color w:val="000000"/>
        </w:rPr>
        <w:t>elections (don’t hold your breath</w:t>
      </w:r>
      <w:r>
        <w:rPr>
          <w:rFonts w:ascii="Calibri" w:hAnsi="Calibri" w:cs="Helv"/>
          <w:bCs/>
          <w:color w:val="000000"/>
        </w:rPr>
        <w:t xml:space="preserve"> – </w:t>
      </w:r>
      <w:r>
        <w:rPr>
          <w:rFonts w:ascii="Calibri" w:hAnsi="Calibri" w:cs="Helv"/>
          <w:bCs/>
          <w:color w:val="000000"/>
        </w:rPr>
        <w:lastRenderedPageBreak/>
        <w:t>none have yet</w:t>
      </w:r>
      <w:r w:rsidRPr="00BF7A92">
        <w:rPr>
          <w:rFonts w:ascii="Calibri" w:hAnsi="Calibri" w:cs="Helv"/>
          <w:bCs/>
          <w:color w:val="000000"/>
        </w:rPr>
        <w:t>)</w:t>
      </w:r>
      <w:r>
        <w:rPr>
          <w:rFonts w:ascii="Calibri" w:hAnsi="Calibri" w:cs="Helv"/>
          <w:bCs/>
          <w:color w:val="000000"/>
        </w:rPr>
        <w:t>.</w:t>
      </w:r>
      <w:r w:rsidR="008C77F2">
        <w:rPr>
          <w:rStyle w:val="FootnoteReference"/>
          <w:rFonts w:ascii="Calibri" w:hAnsi="Calibri" w:cs="Helv"/>
          <w:bCs/>
          <w:color w:val="000000"/>
        </w:rPr>
        <w:footnoteReference w:id="16"/>
      </w:r>
      <w:r>
        <w:rPr>
          <w:rFonts w:ascii="Calibri" w:hAnsi="Calibri" w:cs="Helv"/>
          <w:bCs/>
          <w:color w:val="000000"/>
        </w:rPr>
        <w:t xml:space="preserve">  This savings would be greater in states with higher exemptions and higher rates of tax, such as Washington State</w:t>
      </w:r>
      <w:r w:rsidR="002A5F3F">
        <w:rPr>
          <w:rFonts w:ascii="Calibri" w:hAnsi="Calibri" w:cs="Helv"/>
          <w:bCs/>
          <w:color w:val="000000"/>
        </w:rPr>
        <w:t xml:space="preserve"> (20</w:t>
      </w:r>
      <w:r>
        <w:rPr>
          <w:rFonts w:ascii="Calibri" w:hAnsi="Calibri" w:cs="Helv"/>
          <w:bCs/>
          <w:color w:val="000000"/>
        </w:rPr>
        <w:t>% top rate) or Vermont (16% top tax rate), both with $2</w:t>
      </w:r>
      <w:r w:rsidR="00657185">
        <w:rPr>
          <w:rFonts w:ascii="Calibri" w:hAnsi="Calibri" w:cs="Helv"/>
          <w:bCs/>
          <w:color w:val="000000"/>
        </w:rPr>
        <w:t xml:space="preserve"> m</w:t>
      </w:r>
      <w:r>
        <w:rPr>
          <w:rFonts w:ascii="Calibri" w:hAnsi="Calibri" w:cs="Helv"/>
          <w:bCs/>
          <w:color w:val="000000"/>
        </w:rPr>
        <w:t xml:space="preserve">illion exemptions. </w:t>
      </w:r>
      <w:r>
        <w:rPr>
          <w:rFonts w:ascii="Calibri" w:hAnsi="Calibri" w:cs="Helv"/>
          <w:bCs/>
          <w:color w:val="000000"/>
        </w:rPr>
        <w:tab/>
        <w:t>Assuming growth from $2 million to $3 million and a 16% state estate tax rate, that savings would be nearly $500,000!</w:t>
      </w:r>
    </w:p>
    <w:p w14:paraId="3A0978C9" w14:textId="77777777" w:rsidR="00491FB5" w:rsidRPr="00BF7A92" w:rsidRDefault="00491FB5" w:rsidP="00006D9E">
      <w:pPr>
        <w:tabs>
          <w:tab w:val="num" w:pos="0"/>
          <w:tab w:val="num" w:pos="1440"/>
        </w:tabs>
        <w:autoSpaceDE w:val="0"/>
        <w:autoSpaceDN w:val="0"/>
        <w:adjustRightInd w:val="0"/>
        <w:spacing w:line="360" w:lineRule="auto"/>
        <w:ind w:firstLine="360"/>
        <w:jc w:val="both"/>
        <w:rPr>
          <w:rFonts w:ascii="Calibri" w:hAnsi="Calibri" w:cs="Helv"/>
          <w:bCs/>
          <w:color w:val="000000"/>
        </w:rPr>
      </w:pPr>
    </w:p>
    <w:p w14:paraId="186B95F5" w14:textId="77777777" w:rsidR="00491FB5"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Cs/>
          <w:color w:val="000000"/>
        </w:rPr>
      </w:pPr>
      <w:r w:rsidRPr="00BF7A92">
        <w:rPr>
          <w:rFonts w:ascii="Calibri" w:hAnsi="Calibri" w:cs="Helv"/>
          <w:bCs/>
          <w:color w:val="000000"/>
        </w:rPr>
        <w:t xml:space="preserve">Unlike a bypass trust, income from assets left outright </w:t>
      </w:r>
      <w:r w:rsidRPr="00BF7A92">
        <w:rPr>
          <w:rFonts w:ascii="Calibri" w:hAnsi="Calibri" w:cs="Helv"/>
          <w:b/>
          <w:bCs/>
          <w:color w:val="000000"/>
        </w:rPr>
        <w:t>cannot be “sprayed”</w:t>
      </w:r>
      <w:r w:rsidRPr="00BF7A92">
        <w:rPr>
          <w:rFonts w:ascii="Calibri" w:hAnsi="Calibri" w:cs="Helv"/>
          <w:bCs/>
          <w:color w:val="000000"/>
        </w:rPr>
        <w:t xml:space="preserve"> to beneficiaries in </w:t>
      </w:r>
      <w:r w:rsidRPr="00BF7A92">
        <w:rPr>
          <w:rFonts w:ascii="Calibri" w:hAnsi="Calibri" w:cs="Helv"/>
          <w:b/>
          <w:bCs/>
          <w:color w:val="000000"/>
        </w:rPr>
        <w:t>lower tax brackets</w:t>
      </w:r>
      <w:r w:rsidRPr="00BF7A92">
        <w:rPr>
          <w:rFonts w:ascii="Calibri" w:hAnsi="Calibri" w:cs="Helv"/>
          <w:bCs/>
          <w:color w:val="000000"/>
        </w:rPr>
        <w:t xml:space="preserve">, which gets around gift tax </w:t>
      </w:r>
      <w:r>
        <w:rPr>
          <w:rFonts w:ascii="Calibri" w:hAnsi="Calibri" w:cs="Helv"/>
          <w:bCs/>
          <w:color w:val="000000"/>
        </w:rPr>
        <w:t>but more importantly for most families</w:t>
      </w:r>
      <w:r w:rsidRPr="00BF7A92">
        <w:rPr>
          <w:rFonts w:ascii="Calibri" w:hAnsi="Calibri" w:cs="Helv"/>
          <w:bCs/>
          <w:color w:val="000000"/>
        </w:rPr>
        <w:t xml:space="preserve"> can lower overall family income tax</w:t>
      </w:r>
      <w:r>
        <w:rPr>
          <w:rFonts w:ascii="Calibri" w:hAnsi="Calibri" w:cs="Helv"/>
          <w:bCs/>
          <w:color w:val="000000"/>
        </w:rPr>
        <w:t xml:space="preserve"> – remember, the 0% tax rate on qualified dividends and long-term capital gains is still around for lower income taxpayers!</w:t>
      </w:r>
    </w:p>
    <w:p w14:paraId="726490CC" w14:textId="77777777" w:rsidR="00491FB5" w:rsidRDefault="00491FB5" w:rsidP="00006D9E">
      <w:pPr>
        <w:tabs>
          <w:tab w:val="num" w:pos="0"/>
          <w:tab w:val="num" w:pos="1440"/>
        </w:tabs>
        <w:autoSpaceDE w:val="0"/>
        <w:autoSpaceDN w:val="0"/>
        <w:adjustRightInd w:val="0"/>
        <w:spacing w:line="360" w:lineRule="auto"/>
        <w:ind w:firstLine="360"/>
        <w:jc w:val="both"/>
        <w:rPr>
          <w:rFonts w:ascii="Calibri" w:hAnsi="Calibri" w:cs="Helv"/>
          <w:bCs/>
          <w:color w:val="000000"/>
        </w:rPr>
      </w:pPr>
    </w:p>
    <w:p w14:paraId="1713D62D" w14:textId="77777777" w:rsidR="00491FB5" w:rsidRPr="00BF7A92"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Cs/>
          <w:color w:val="000000"/>
        </w:rPr>
      </w:pPr>
      <w:r w:rsidRPr="00BF7A92">
        <w:rPr>
          <w:rFonts w:ascii="Calibri" w:hAnsi="Calibri" w:cs="Helv"/>
          <w:bCs/>
          <w:color w:val="000000"/>
        </w:rPr>
        <w:t xml:space="preserve">The Deceased Spousal Unused Exclusion Amount (DSUEA), once set, is </w:t>
      </w:r>
      <w:r w:rsidRPr="00BF7A92">
        <w:rPr>
          <w:rFonts w:ascii="Calibri" w:hAnsi="Calibri" w:cs="Helv"/>
          <w:b/>
          <w:bCs/>
          <w:color w:val="000000"/>
        </w:rPr>
        <w:t>not indexed for inflation</w:t>
      </w:r>
      <w:r w:rsidRPr="00BF7A92">
        <w:rPr>
          <w:rFonts w:ascii="Calibri" w:hAnsi="Calibri" w:cs="Helv"/>
          <w:bCs/>
          <w:color w:val="000000"/>
        </w:rPr>
        <w:t xml:space="preserve">, whereas </w:t>
      </w:r>
      <w:r>
        <w:rPr>
          <w:rFonts w:ascii="Calibri" w:hAnsi="Calibri" w:cs="Helv"/>
          <w:bCs/>
          <w:color w:val="000000"/>
        </w:rPr>
        <w:t>the Basic Exclusion Amount (the $5 million) is so adjusted a</w:t>
      </w:r>
      <w:r w:rsidR="00F43398">
        <w:rPr>
          <w:rFonts w:ascii="Calibri" w:hAnsi="Calibri" w:cs="Helv"/>
          <w:bCs/>
          <w:color w:val="000000"/>
        </w:rPr>
        <w:t>fter 2011 ($5.49 million in 2017</w:t>
      </w:r>
      <w:r>
        <w:rPr>
          <w:rFonts w:ascii="Calibri" w:hAnsi="Calibri" w:cs="Helv"/>
          <w:bCs/>
          <w:color w:val="000000"/>
        </w:rPr>
        <w:t xml:space="preserve">).  </w:t>
      </w:r>
      <w:r w:rsidRPr="00BF7A92">
        <w:rPr>
          <w:rFonts w:ascii="Calibri" w:hAnsi="Calibri" w:cs="Helv"/>
          <w:bCs/>
          <w:color w:val="000000"/>
        </w:rPr>
        <w:t xml:space="preserve">The </w:t>
      </w:r>
      <w:r w:rsidRPr="002F04FD">
        <w:rPr>
          <w:rFonts w:ascii="Calibri" w:hAnsi="Calibri" w:cs="Helv"/>
          <w:bCs/>
          <w:color w:val="000000"/>
        </w:rPr>
        <w:t>growth in a bypass trust remains outside the surviving spouse's estate</w:t>
      </w:r>
      <w:r>
        <w:rPr>
          <w:rFonts w:ascii="Calibri" w:hAnsi="Calibri" w:cs="Helv"/>
          <w:bCs/>
          <w:color w:val="000000"/>
        </w:rPr>
        <w:t>. This difference can matter tremendously where the c</w:t>
      </w:r>
      <w:r w:rsidR="00F43398">
        <w:rPr>
          <w:rFonts w:ascii="Calibri" w:hAnsi="Calibri" w:cs="Helv"/>
          <w:bCs/>
          <w:color w:val="000000"/>
        </w:rPr>
        <w:t>ombined assets approximate $10.98</w:t>
      </w:r>
      <w:r>
        <w:rPr>
          <w:rFonts w:ascii="Calibri" w:hAnsi="Calibri" w:cs="Helv"/>
          <w:bCs/>
          <w:color w:val="000000"/>
        </w:rPr>
        <w:t xml:space="preserve"> million and the surviving spouse outlives the decedent by many years, especially if inflation increases </w:t>
      </w:r>
      <w:r w:rsidR="00657185">
        <w:rPr>
          <w:rFonts w:ascii="Calibri" w:hAnsi="Calibri" w:cs="Helv"/>
          <w:bCs/>
          <w:color w:val="000000"/>
        </w:rPr>
        <w:t>and/</w:t>
      </w:r>
      <w:r>
        <w:rPr>
          <w:rFonts w:ascii="Calibri" w:hAnsi="Calibri" w:cs="Helv"/>
          <w:bCs/>
          <w:color w:val="000000"/>
        </w:rPr>
        <w:t>or the portfolio achieves good investment returns</w:t>
      </w:r>
      <w:r w:rsidRPr="00BF7A92">
        <w:rPr>
          <w:rFonts w:ascii="Calibri" w:hAnsi="Calibri" w:cs="Helv"/>
          <w:bCs/>
          <w:color w:val="000000"/>
        </w:rPr>
        <w:t xml:space="preserve">; </w:t>
      </w:r>
    </w:p>
    <w:p w14:paraId="6F0C3DC2" w14:textId="77777777" w:rsidR="00491FB5" w:rsidRPr="00BF7A92" w:rsidRDefault="00491FB5" w:rsidP="00006D9E">
      <w:pPr>
        <w:tabs>
          <w:tab w:val="num" w:pos="0"/>
          <w:tab w:val="num" w:pos="1440"/>
        </w:tabs>
        <w:autoSpaceDE w:val="0"/>
        <w:autoSpaceDN w:val="0"/>
        <w:adjustRightInd w:val="0"/>
        <w:spacing w:line="360" w:lineRule="auto"/>
        <w:ind w:firstLine="360"/>
        <w:jc w:val="both"/>
        <w:rPr>
          <w:rFonts w:ascii="Calibri" w:hAnsi="Calibri" w:cs="Helv"/>
          <w:bCs/>
          <w:color w:val="000000"/>
        </w:rPr>
      </w:pPr>
    </w:p>
    <w:p w14:paraId="43AA2B45" w14:textId="77777777" w:rsidR="00491FB5" w:rsidRPr="00BF7A92"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Cs/>
          <w:color w:val="000000"/>
        </w:rPr>
      </w:pPr>
      <w:r w:rsidRPr="00BF7A92">
        <w:rPr>
          <w:rFonts w:ascii="Calibri" w:hAnsi="Calibri" w:cs="Helv"/>
          <w:bCs/>
          <w:color w:val="000000"/>
        </w:rPr>
        <w:t xml:space="preserve">The </w:t>
      </w:r>
      <w:r>
        <w:rPr>
          <w:rFonts w:ascii="Calibri" w:hAnsi="Calibri" w:cs="Helv"/>
          <w:b/>
          <w:bCs/>
          <w:color w:val="000000"/>
        </w:rPr>
        <w:t>DSUEA</w:t>
      </w:r>
      <w:r w:rsidRPr="00BF7A92">
        <w:rPr>
          <w:rFonts w:ascii="Calibri" w:hAnsi="Calibri" w:cs="Helv"/>
          <w:b/>
          <w:bCs/>
          <w:color w:val="000000"/>
        </w:rPr>
        <w:t xml:space="preserve"> from the first deceased spouse is lost</w:t>
      </w:r>
      <w:r w:rsidRPr="00BF7A92">
        <w:rPr>
          <w:rFonts w:ascii="Calibri" w:hAnsi="Calibri" w:cs="Helv"/>
          <w:bCs/>
          <w:color w:val="000000"/>
        </w:rPr>
        <w:t xml:space="preserve"> </w:t>
      </w:r>
      <w:r w:rsidRPr="00BF7A92">
        <w:rPr>
          <w:rFonts w:ascii="Calibri" w:hAnsi="Calibri" w:cs="Helv"/>
          <w:b/>
          <w:bCs/>
          <w:color w:val="000000"/>
        </w:rPr>
        <w:t>if the surviving spouse remarries</w:t>
      </w:r>
      <w:r w:rsidRPr="00BF7A92">
        <w:rPr>
          <w:rFonts w:ascii="Calibri" w:hAnsi="Calibri" w:cs="Helv"/>
          <w:bCs/>
          <w:color w:val="000000"/>
        </w:rPr>
        <w:t xml:space="preserve"> </w:t>
      </w:r>
      <w:r w:rsidRPr="003C7ACA">
        <w:rPr>
          <w:rFonts w:ascii="Calibri" w:hAnsi="Calibri" w:cs="Helv"/>
          <w:b/>
          <w:bCs/>
          <w:color w:val="000000"/>
        </w:rPr>
        <w:t>and survives his/her next spouse’s death</w:t>
      </w:r>
      <w:r w:rsidRPr="00BF7A92">
        <w:rPr>
          <w:rFonts w:ascii="Calibri" w:hAnsi="Calibri" w:cs="Helv"/>
          <w:bCs/>
          <w:color w:val="000000"/>
        </w:rPr>
        <w:t xml:space="preserve"> (even if last </w:t>
      </w:r>
      <w:r>
        <w:rPr>
          <w:rFonts w:ascii="Calibri" w:hAnsi="Calibri" w:cs="Helv"/>
          <w:bCs/>
          <w:color w:val="000000"/>
        </w:rPr>
        <w:t>deceased spouse</w:t>
      </w:r>
      <w:r w:rsidRPr="00BF7A92">
        <w:rPr>
          <w:rFonts w:ascii="Calibri" w:hAnsi="Calibri" w:cs="Helv"/>
          <w:bCs/>
          <w:color w:val="000000"/>
        </w:rPr>
        <w:t xml:space="preserve">’s estate had </w:t>
      </w:r>
      <w:r w:rsidRPr="00BF7A92">
        <w:rPr>
          <w:rFonts w:ascii="Calibri" w:hAnsi="Calibri" w:cs="Helv"/>
          <w:b/>
          <w:bCs/>
          <w:color w:val="000000"/>
        </w:rPr>
        <w:t>no</w:t>
      </w:r>
      <w:r w:rsidRPr="00BF7A92">
        <w:rPr>
          <w:rFonts w:ascii="Calibri" w:hAnsi="Calibri" w:cs="Helv"/>
          <w:bCs/>
          <w:color w:val="000000"/>
        </w:rPr>
        <w:t xml:space="preserve"> unused amount and/or made no election).  This </w:t>
      </w:r>
      <w:r>
        <w:rPr>
          <w:rFonts w:ascii="Calibri" w:hAnsi="Calibri" w:cs="Helv"/>
          <w:bCs/>
          <w:color w:val="000000"/>
        </w:rPr>
        <w:t>result</w:t>
      </w:r>
      <w:r w:rsidRPr="00BF7A92">
        <w:rPr>
          <w:rFonts w:ascii="Calibri" w:hAnsi="Calibri" w:cs="Helv"/>
          <w:bCs/>
          <w:color w:val="000000"/>
        </w:rPr>
        <w:t>,</w:t>
      </w:r>
      <w:r>
        <w:rPr>
          <w:rFonts w:ascii="Calibri" w:hAnsi="Calibri" w:cs="Helv"/>
          <w:bCs/>
          <w:color w:val="000000"/>
        </w:rPr>
        <w:t xml:space="preserve"> conceivably costing heirs $2.1 m</w:t>
      </w:r>
      <w:r w:rsidRPr="00BF7A92">
        <w:rPr>
          <w:rFonts w:ascii="Calibri" w:hAnsi="Calibri" w:cs="Helv"/>
          <w:bCs/>
          <w:color w:val="000000"/>
        </w:rPr>
        <w:t xml:space="preserve">illion or more in tax, restrains remarriage and there is no </w:t>
      </w:r>
      <w:r>
        <w:rPr>
          <w:rFonts w:ascii="Calibri" w:hAnsi="Calibri" w:cs="Helv"/>
          <w:bCs/>
          <w:color w:val="000000"/>
        </w:rPr>
        <w:t xml:space="preserve">practical </w:t>
      </w:r>
      <w:r w:rsidRPr="00BF7A92">
        <w:rPr>
          <w:rFonts w:ascii="Calibri" w:hAnsi="Calibri" w:cs="Helv"/>
          <w:bCs/>
          <w:color w:val="000000"/>
        </w:rPr>
        <w:t>way to use a prenuptial (or postnuptial) agreement to get around it;</w:t>
      </w:r>
      <w:r w:rsidR="004941EE">
        <w:rPr>
          <w:rStyle w:val="FootnoteReference"/>
          <w:rFonts w:ascii="Calibri" w:hAnsi="Calibri" w:cs="Helv"/>
          <w:bCs/>
          <w:color w:val="000000"/>
        </w:rPr>
        <w:footnoteReference w:id="17"/>
      </w:r>
      <w:r w:rsidRPr="00BF7A92">
        <w:rPr>
          <w:rFonts w:ascii="Calibri" w:hAnsi="Calibri" w:cs="Helv"/>
          <w:bCs/>
          <w:color w:val="000000"/>
        </w:rPr>
        <w:t xml:space="preserve"> </w:t>
      </w:r>
    </w:p>
    <w:p w14:paraId="3B224870" w14:textId="77777777" w:rsidR="00491FB5" w:rsidRPr="00BF7A92" w:rsidRDefault="00491FB5" w:rsidP="00006D9E">
      <w:pPr>
        <w:tabs>
          <w:tab w:val="num" w:pos="0"/>
          <w:tab w:val="num" w:pos="1440"/>
        </w:tabs>
        <w:autoSpaceDE w:val="0"/>
        <w:autoSpaceDN w:val="0"/>
        <w:adjustRightInd w:val="0"/>
        <w:spacing w:line="360" w:lineRule="auto"/>
        <w:ind w:firstLine="360"/>
        <w:jc w:val="both"/>
        <w:rPr>
          <w:rFonts w:ascii="Calibri" w:hAnsi="Calibri" w:cs="Helv"/>
          <w:bCs/>
          <w:color w:val="000000"/>
        </w:rPr>
      </w:pPr>
    </w:p>
    <w:p w14:paraId="2D41B9BE" w14:textId="77777777" w:rsidR="00491FB5" w:rsidRPr="00BF7A92"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Cs/>
          <w:color w:val="000000"/>
        </w:rPr>
      </w:pPr>
      <w:r w:rsidRPr="00BF7A92">
        <w:rPr>
          <w:rFonts w:ascii="Calibri" w:hAnsi="Calibri" w:cs="Helv"/>
          <w:bCs/>
          <w:color w:val="000000"/>
        </w:rPr>
        <w:t xml:space="preserve"> </w:t>
      </w:r>
      <w:r w:rsidRPr="003C7ACA">
        <w:rPr>
          <w:rFonts w:ascii="Calibri" w:hAnsi="Calibri" w:cs="Helv"/>
          <w:b/>
          <w:bCs/>
          <w:color w:val="000000"/>
        </w:rPr>
        <w:t>There is</w:t>
      </w:r>
      <w:r w:rsidRPr="00BF7A92">
        <w:rPr>
          <w:rFonts w:ascii="Calibri" w:hAnsi="Calibri" w:cs="Helv"/>
          <w:bCs/>
          <w:color w:val="000000"/>
        </w:rPr>
        <w:t xml:space="preserve"> </w:t>
      </w:r>
      <w:r w:rsidRPr="00BF7A92">
        <w:rPr>
          <w:rFonts w:ascii="Calibri" w:hAnsi="Calibri" w:cs="Helv"/>
          <w:b/>
          <w:bCs/>
          <w:color w:val="000000"/>
        </w:rPr>
        <w:t>no DSUEA or “portability” of the GST exemption</w:t>
      </w:r>
      <w:r>
        <w:rPr>
          <w:rFonts w:ascii="Calibri" w:hAnsi="Calibri" w:cs="Helv"/>
          <w:bCs/>
          <w:color w:val="000000"/>
        </w:rPr>
        <w:t>.  A</w:t>
      </w:r>
      <w:r w:rsidRPr="00BF7A92">
        <w:rPr>
          <w:rFonts w:ascii="Calibri" w:hAnsi="Calibri" w:cs="Helv"/>
          <w:bCs/>
          <w:color w:val="000000"/>
        </w:rPr>
        <w:t xml:space="preserve"> couple using a bypass trust can exempt $10</w:t>
      </w:r>
      <w:r>
        <w:rPr>
          <w:rFonts w:ascii="Calibri" w:hAnsi="Calibri" w:cs="Helv"/>
          <w:bCs/>
          <w:color w:val="000000"/>
        </w:rPr>
        <w:t>.</w:t>
      </w:r>
      <w:r w:rsidR="00473B10">
        <w:rPr>
          <w:rFonts w:ascii="Calibri" w:hAnsi="Calibri" w:cs="Helv"/>
          <w:bCs/>
          <w:color w:val="000000"/>
        </w:rPr>
        <w:t>9</w:t>
      </w:r>
      <w:r>
        <w:rPr>
          <w:rFonts w:ascii="Calibri" w:hAnsi="Calibri" w:cs="Helv"/>
          <w:bCs/>
          <w:color w:val="000000"/>
        </w:rPr>
        <w:t xml:space="preserve"> m</w:t>
      </w:r>
      <w:r w:rsidRPr="00BF7A92">
        <w:rPr>
          <w:rFonts w:ascii="Calibri" w:hAnsi="Calibri" w:cs="Helv"/>
          <w:bCs/>
          <w:color w:val="000000"/>
        </w:rPr>
        <w:t xml:space="preserve">illion </w:t>
      </w:r>
      <w:r>
        <w:rPr>
          <w:rFonts w:ascii="Calibri" w:hAnsi="Calibri" w:cs="Helv"/>
          <w:bCs/>
          <w:color w:val="000000"/>
        </w:rPr>
        <w:t xml:space="preserve">or more </w:t>
      </w:r>
      <w:r w:rsidRPr="00BF7A92">
        <w:rPr>
          <w:rFonts w:ascii="Calibri" w:hAnsi="Calibri" w:cs="Helv"/>
          <w:bCs/>
          <w:color w:val="000000"/>
        </w:rPr>
        <w:t xml:space="preserve">from estate/GST forever, a couple relying on </w:t>
      </w:r>
      <w:r>
        <w:rPr>
          <w:rFonts w:ascii="Calibri" w:hAnsi="Calibri" w:cs="Helv"/>
          <w:bCs/>
          <w:color w:val="000000"/>
        </w:rPr>
        <w:t>portability</w:t>
      </w:r>
      <w:r w:rsidRPr="00BF7A92">
        <w:rPr>
          <w:rFonts w:ascii="Calibri" w:hAnsi="Calibri" w:cs="Helv"/>
          <w:bCs/>
          <w:color w:val="000000"/>
        </w:rPr>
        <w:t xml:space="preserve"> </w:t>
      </w:r>
      <w:r>
        <w:rPr>
          <w:rFonts w:ascii="Calibri" w:hAnsi="Calibri" w:cs="Helv"/>
          <w:bCs/>
          <w:color w:val="000000"/>
        </w:rPr>
        <w:t xml:space="preserve">alone </w:t>
      </w:r>
      <w:r w:rsidRPr="00BF7A92">
        <w:rPr>
          <w:rFonts w:ascii="Calibri" w:hAnsi="Calibri" w:cs="Helv"/>
          <w:bCs/>
          <w:color w:val="000000"/>
        </w:rPr>
        <w:t xml:space="preserve">can only exploit the </w:t>
      </w:r>
      <w:r>
        <w:rPr>
          <w:rFonts w:ascii="Calibri" w:hAnsi="Calibri" w:cs="Helv"/>
          <w:bCs/>
          <w:color w:val="000000"/>
        </w:rPr>
        <w:t>surviving</w:t>
      </w:r>
      <w:r w:rsidRPr="00BF7A92">
        <w:rPr>
          <w:rFonts w:ascii="Calibri" w:hAnsi="Calibri" w:cs="Helv"/>
          <w:bCs/>
          <w:color w:val="000000"/>
        </w:rPr>
        <w:t xml:space="preserve"> spouse’s $5</w:t>
      </w:r>
      <w:r w:rsidR="00473B10">
        <w:rPr>
          <w:rFonts w:ascii="Calibri" w:hAnsi="Calibri" w:cs="Helv"/>
          <w:bCs/>
          <w:color w:val="000000"/>
        </w:rPr>
        <w:t>.4</w:t>
      </w:r>
      <w:r>
        <w:rPr>
          <w:rFonts w:ascii="Calibri" w:hAnsi="Calibri" w:cs="Helv"/>
          <w:bCs/>
          <w:color w:val="000000"/>
        </w:rPr>
        <w:t>5 million GST exclusion</w:t>
      </w:r>
      <w:r w:rsidRPr="00BF7A92">
        <w:rPr>
          <w:rFonts w:ascii="Calibri" w:hAnsi="Calibri" w:cs="Helv"/>
          <w:bCs/>
          <w:color w:val="000000"/>
        </w:rPr>
        <w:t xml:space="preserve">.  This is </w:t>
      </w:r>
      <w:r w:rsidRPr="00BF7A92">
        <w:rPr>
          <w:rFonts w:ascii="Calibri" w:hAnsi="Calibri" w:cs="Helv"/>
          <w:bCs/>
          <w:color w:val="000000"/>
        </w:rPr>
        <w:lastRenderedPageBreak/>
        <w:t>more important when there are fewer children, and especially when these fewer children are successful</w:t>
      </w:r>
      <w:r>
        <w:rPr>
          <w:rFonts w:ascii="Calibri" w:hAnsi="Calibri" w:cs="Helv"/>
          <w:bCs/>
          <w:color w:val="000000"/>
        </w:rPr>
        <w:t xml:space="preserve"> (or marry successfully)</w:t>
      </w:r>
      <w:r w:rsidRPr="00BF7A92">
        <w:rPr>
          <w:rFonts w:ascii="Calibri" w:hAnsi="Calibri" w:cs="Helv"/>
          <w:bCs/>
          <w:color w:val="000000"/>
        </w:rPr>
        <w:t xml:space="preserve"> in their own right.  For example, a couple </w:t>
      </w:r>
      <w:r>
        <w:rPr>
          <w:rFonts w:ascii="Calibri" w:hAnsi="Calibri" w:cs="Helv"/>
          <w:bCs/>
          <w:color w:val="000000"/>
        </w:rPr>
        <w:t>has</w:t>
      </w:r>
      <w:r w:rsidRPr="00BF7A92">
        <w:rPr>
          <w:rFonts w:ascii="Calibri" w:hAnsi="Calibri" w:cs="Helv"/>
          <w:bCs/>
          <w:color w:val="000000"/>
        </w:rPr>
        <w:t xml:space="preserve"> a $10</w:t>
      </w:r>
      <w:r>
        <w:rPr>
          <w:rFonts w:ascii="Calibri" w:hAnsi="Calibri" w:cs="Helv"/>
          <w:bCs/>
          <w:color w:val="000000"/>
        </w:rPr>
        <w:t>.</w:t>
      </w:r>
      <w:r w:rsidR="00473B10">
        <w:rPr>
          <w:rFonts w:ascii="Calibri" w:hAnsi="Calibri" w:cs="Helv"/>
          <w:bCs/>
          <w:color w:val="000000"/>
        </w:rPr>
        <w:t>9</w:t>
      </w:r>
      <w:r>
        <w:rPr>
          <w:rFonts w:ascii="Calibri" w:hAnsi="Calibri" w:cs="Helv"/>
          <w:bCs/>
          <w:color w:val="000000"/>
        </w:rPr>
        <w:t xml:space="preserve"> million estate and leaves everything outright to each other (using DSUEA), then to a trust for an only child.  Half will go to a GST non-exempt trust (usually with a general power of appointment), which </w:t>
      </w:r>
      <w:r w:rsidRPr="00BF7A92">
        <w:rPr>
          <w:rFonts w:ascii="Calibri" w:hAnsi="Calibri" w:cs="Helv"/>
          <w:bCs/>
          <w:color w:val="000000"/>
        </w:rPr>
        <w:t>can lead to an additional $5</w:t>
      </w:r>
      <w:r>
        <w:rPr>
          <w:rFonts w:ascii="Calibri" w:hAnsi="Calibri" w:cs="Helv"/>
          <w:bCs/>
          <w:color w:val="000000"/>
        </w:rPr>
        <w:t>.</w:t>
      </w:r>
      <w:r w:rsidR="00473B10">
        <w:rPr>
          <w:rFonts w:ascii="Calibri" w:hAnsi="Calibri" w:cs="Helv"/>
          <w:bCs/>
          <w:color w:val="000000"/>
        </w:rPr>
        <w:t>4</w:t>
      </w:r>
      <w:r>
        <w:rPr>
          <w:rFonts w:ascii="Calibri" w:hAnsi="Calibri" w:cs="Helv"/>
          <w:bCs/>
          <w:color w:val="000000"/>
        </w:rPr>
        <w:t>5 m</w:t>
      </w:r>
      <w:r w:rsidRPr="00BF7A92">
        <w:rPr>
          <w:rFonts w:ascii="Calibri" w:hAnsi="Calibri" w:cs="Helv"/>
          <w:bCs/>
          <w:color w:val="000000"/>
        </w:rPr>
        <w:t xml:space="preserve">illion </w:t>
      </w:r>
      <w:r>
        <w:rPr>
          <w:rFonts w:ascii="Calibri" w:hAnsi="Calibri" w:cs="Helv"/>
          <w:bCs/>
          <w:color w:val="000000"/>
        </w:rPr>
        <w:t>added to</w:t>
      </w:r>
      <w:r w:rsidRPr="00BF7A92">
        <w:rPr>
          <w:rFonts w:ascii="Calibri" w:hAnsi="Calibri" w:cs="Helv"/>
          <w:bCs/>
          <w:color w:val="000000"/>
        </w:rPr>
        <w:t xml:space="preserve"> that child’s estate </w:t>
      </w:r>
      <w:r>
        <w:rPr>
          <w:rFonts w:ascii="Calibri" w:hAnsi="Calibri" w:cs="Helv"/>
          <w:bCs/>
          <w:color w:val="000000"/>
        </w:rPr>
        <w:t xml:space="preserve">– perhaps </w:t>
      </w:r>
      <w:r w:rsidRPr="00BF7A92">
        <w:rPr>
          <w:rFonts w:ascii="Calibri" w:hAnsi="Calibri" w:cs="Helv"/>
          <w:bCs/>
          <w:color w:val="000000"/>
        </w:rPr>
        <w:t xml:space="preserve">needlessly incurring </w:t>
      </w:r>
      <w:r>
        <w:rPr>
          <w:rFonts w:ascii="Calibri" w:hAnsi="Calibri" w:cs="Helv"/>
          <w:bCs/>
          <w:color w:val="000000"/>
        </w:rPr>
        <w:t>more than $2 million</w:t>
      </w:r>
      <w:r w:rsidRPr="00BF7A92">
        <w:rPr>
          <w:rFonts w:ascii="Calibri" w:hAnsi="Calibri" w:cs="Helv"/>
          <w:bCs/>
          <w:color w:val="000000"/>
        </w:rPr>
        <w:t xml:space="preserve"> in additional </w:t>
      </w:r>
      <w:r>
        <w:rPr>
          <w:rFonts w:ascii="Calibri" w:hAnsi="Calibri" w:cs="Helv"/>
          <w:bCs/>
          <w:color w:val="000000"/>
        </w:rPr>
        <w:t xml:space="preserve">estate </w:t>
      </w:r>
      <w:r w:rsidRPr="00BF7A92">
        <w:rPr>
          <w:rFonts w:ascii="Calibri" w:hAnsi="Calibri" w:cs="Helv"/>
          <w:bCs/>
          <w:color w:val="000000"/>
        </w:rPr>
        <w:t>tax</w:t>
      </w:r>
      <w:r w:rsidR="00473B10">
        <w:rPr>
          <w:rFonts w:ascii="Calibri" w:hAnsi="Calibri" w:cs="Helv"/>
          <w:bCs/>
          <w:color w:val="000000"/>
        </w:rPr>
        <w:t xml:space="preserve"> (potentially state as well as federal)</w:t>
      </w:r>
      <w:r>
        <w:rPr>
          <w:rFonts w:ascii="Calibri" w:hAnsi="Calibri" w:cs="Helv"/>
          <w:bCs/>
          <w:color w:val="000000"/>
        </w:rPr>
        <w:t xml:space="preserve">.  </w:t>
      </w:r>
    </w:p>
    <w:p w14:paraId="4D7F8BAF" w14:textId="77777777" w:rsidR="00491FB5" w:rsidRPr="00BF7A92" w:rsidRDefault="00491FB5" w:rsidP="00006D9E">
      <w:pPr>
        <w:tabs>
          <w:tab w:val="num" w:pos="0"/>
          <w:tab w:val="num" w:pos="1440"/>
        </w:tabs>
        <w:autoSpaceDE w:val="0"/>
        <w:autoSpaceDN w:val="0"/>
        <w:adjustRightInd w:val="0"/>
        <w:spacing w:line="360" w:lineRule="auto"/>
        <w:ind w:firstLine="360"/>
        <w:jc w:val="both"/>
        <w:rPr>
          <w:rFonts w:ascii="Calibri" w:hAnsi="Calibri" w:cs="Helv"/>
          <w:bCs/>
          <w:color w:val="000000"/>
        </w:rPr>
      </w:pPr>
    </w:p>
    <w:p w14:paraId="311E945D" w14:textId="77777777" w:rsidR="00491FB5" w:rsidRPr="00BF7A92"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Cs/>
          <w:color w:val="000000"/>
        </w:rPr>
      </w:pPr>
      <w:r w:rsidRPr="00BF7A92">
        <w:rPr>
          <w:rFonts w:ascii="Calibri" w:hAnsi="Calibri" w:cs="Helv"/>
          <w:bCs/>
          <w:color w:val="000000"/>
        </w:rPr>
        <w:t xml:space="preserve">Unlike </w:t>
      </w:r>
      <w:r>
        <w:rPr>
          <w:rFonts w:ascii="Calibri" w:hAnsi="Calibri" w:cs="Helv"/>
          <w:bCs/>
          <w:color w:val="000000"/>
        </w:rPr>
        <w:t xml:space="preserve">a </w:t>
      </w:r>
      <w:r w:rsidRPr="00BF7A92">
        <w:rPr>
          <w:rFonts w:ascii="Calibri" w:hAnsi="Calibri" w:cs="Helv"/>
          <w:bCs/>
          <w:color w:val="000000"/>
        </w:rPr>
        <w:t xml:space="preserve">bypass trust, </w:t>
      </w:r>
      <w:r w:rsidRPr="00056BAD">
        <w:rPr>
          <w:rFonts w:ascii="Calibri" w:hAnsi="Calibri" w:cs="Helv"/>
          <w:b/>
          <w:bCs/>
          <w:color w:val="000000"/>
        </w:rPr>
        <w:t>port</w:t>
      </w:r>
      <w:r w:rsidR="003F18DB">
        <w:rPr>
          <w:rFonts w:ascii="Calibri" w:hAnsi="Calibri" w:cs="Helv"/>
          <w:b/>
          <w:bCs/>
          <w:color w:val="000000"/>
        </w:rPr>
        <w:t xml:space="preserve">ability requires the executor </w:t>
      </w:r>
      <w:r w:rsidRPr="00056BAD">
        <w:rPr>
          <w:rFonts w:ascii="Calibri" w:hAnsi="Calibri" w:cs="Helv"/>
          <w:b/>
          <w:bCs/>
          <w:color w:val="000000"/>
        </w:rPr>
        <w:t>to timely and properly file an estate tax return</w:t>
      </w:r>
      <w:r>
        <w:rPr>
          <w:rFonts w:ascii="Calibri" w:hAnsi="Calibri" w:cs="Helv"/>
          <w:b/>
          <w:bCs/>
          <w:color w:val="000000"/>
        </w:rPr>
        <w:t xml:space="preserve"> </w:t>
      </w:r>
      <w:r>
        <w:rPr>
          <w:rFonts w:ascii="Calibri" w:hAnsi="Calibri" w:cs="Helv"/>
          <w:bCs/>
          <w:color w:val="000000"/>
        </w:rPr>
        <w:t>to exploit the exclusion</w:t>
      </w:r>
      <w:r w:rsidR="003F18DB">
        <w:rPr>
          <w:rFonts w:ascii="Calibri" w:hAnsi="Calibri" w:cs="Helv"/>
          <w:bCs/>
          <w:color w:val="000000"/>
        </w:rPr>
        <w:t>, and is irrevocable once elected</w:t>
      </w:r>
      <w:r w:rsidRPr="00BF7A92">
        <w:rPr>
          <w:rFonts w:ascii="Calibri" w:hAnsi="Calibri" w:cs="Helv"/>
          <w:bCs/>
          <w:color w:val="000000"/>
        </w:rPr>
        <w:t>.</w:t>
      </w:r>
      <w:r w:rsidR="003F18DB">
        <w:rPr>
          <w:rStyle w:val="FootnoteReference"/>
          <w:rFonts w:ascii="Calibri" w:hAnsi="Calibri" w:cs="Helv"/>
          <w:bCs/>
          <w:color w:val="000000"/>
        </w:rPr>
        <w:footnoteReference w:id="18"/>
      </w:r>
      <w:r w:rsidRPr="00BF7A92">
        <w:rPr>
          <w:rFonts w:ascii="Calibri" w:hAnsi="Calibri" w:cs="Helv"/>
          <w:bCs/>
          <w:color w:val="000000"/>
        </w:rPr>
        <w:t xml:space="preserve">  </w:t>
      </w:r>
      <w:r w:rsidR="003F18DB">
        <w:rPr>
          <w:rFonts w:ascii="Calibri" w:hAnsi="Calibri" w:cs="Helv"/>
          <w:bCs/>
          <w:color w:val="000000"/>
        </w:rPr>
        <w:t xml:space="preserve">This may require opening a probate </w:t>
      </w:r>
      <w:r w:rsidR="00657185">
        <w:rPr>
          <w:rFonts w:ascii="Calibri" w:hAnsi="Calibri" w:cs="Helv"/>
          <w:bCs/>
          <w:color w:val="000000"/>
        </w:rPr>
        <w:t xml:space="preserve">simply </w:t>
      </w:r>
      <w:r w:rsidR="003F18DB">
        <w:rPr>
          <w:rFonts w:ascii="Calibri" w:hAnsi="Calibri" w:cs="Helv"/>
          <w:bCs/>
          <w:color w:val="000000"/>
        </w:rPr>
        <w:t>to appoint an executor.</w:t>
      </w:r>
      <w:r w:rsidR="00657185">
        <w:rPr>
          <w:rStyle w:val="FootnoteReference"/>
          <w:rFonts w:ascii="Calibri" w:hAnsi="Calibri" w:cs="Helv"/>
          <w:bCs/>
          <w:color w:val="000000"/>
        </w:rPr>
        <w:footnoteReference w:id="19"/>
      </w:r>
      <w:r w:rsidR="003F18DB">
        <w:rPr>
          <w:rFonts w:ascii="Calibri" w:hAnsi="Calibri" w:cs="Helv"/>
          <w:bCs/>
          <w:color w:val="000000"/>
        </w:rPr>
        <w:t xml:space="preserve">  </w:t>
      </w:r>
      <w:r w:rsidRPr="00BF7A92">
        <w:rPr>
          <w:rFonts w:ascii="Calibri" w:hAnsi="Calibri" w:cs="Helv"/>
          <w:bCs/>
          <w:color w:val="000000"/>
        </w:rPr>
        <w:t>This is easy for non-professiona</w:t>
      </w:r>
      <w:r w:rsidR="003F18DB">
        <w:rPr>
          <w:rFonts w:ascii="Calibri" w:hAnsi="Calibri" w:cs="Helv"/>
          <w:bCs/>
          <w:color w:val="000000"/>
        </w:rPr>
        <w:t>l executor/trustees to overlook.  T</w:t>
      </w:r>
      <w:r>
        <w:rPr>
          <w:rFonts w:ascii="Calibri" w:hAnsi="Calibri" w:cs="Helv"/>
          <w:bCs/>
          <w:color w:val="000000"/>
        </w:rPr>
        <w:t xml:space="preserve">he IRS </w:t>
      </w:r>
      <w:r w:rsidR="00473B10" w:rsidRPr="00A05D50">
        <w:rPr>
          <w:rFonts w:ascii="Calibri" w:hAnsi="Calibri" w:cs="Helv"/>
          <w:b/>
          <w:bCs/>
          <w:color w:val="000000"/>
        </w:rPr>
        <w:t>may</w:t>
      </w:r>
      <w:r>
        <w:rPr>
          <w:rFonts w:ascii="Calibri" w:hAnsi="Calibri" w:cs="Helv"/>
          <w:bCs/>
          <w:color w:val="000000"/>
        </w:rPr>
        <w:t xml:space="preserve"> grant exceptions or extensions </w:t>
      </w:r>
      <w:r w:rsidR="00006D9E">
        <w:rPr>
          <w:rFonts w:ascii="Calibri" w:hAnsi="Calibri" w:cs="Helv"/>
          <w:bCs/>
          <w:color w:val="000000"/>
        </w:rPr>
        <w:t xml:space="preserve">of time </w:t>
      </w:r>
      <w:r>
        <w:rPr>
          <w:rFonts w:ascii="Calibri" w:hAnsi="Calibri" w:cs="Helv"/>
          <w:bCs/>
          <w:color w:val="000000"/>
        </w:rPr>
        <w:t xml:space="preserve">for </w:t>
      </w:r>
      <w:r w:rsidRPr="00A05D50">
        <w:rPr>
          <w:rFonts w:ascii="Calibri" w:hAnsi="Calibri" w:cs="Helv"/>
          <w:bCs/>
          <w:i/>
          <w:color w:val="000000"/>
        </w:rPr>
        <w:t>reasonable cause</w:t>
      </w:r>
      <w:r w:rsidR="003F18DB">
        <w:rPr>
          <w:rFonts w:ascii="Calibri" w:hAnsi="Calibri" w:cs="Helv"/>
          <w:bCs/>
          <w:color w:val="000000"/>
        </w:rPr>
        <w:t xml:space="preserve"> </w:t>
      </w:r>
      <w:r w:rsidR="007F642D">
        <w:rPr>
          <w:rFonts w:ascii="Calibri" w:hAnsi="Calibri" w:cs="Helv"/>
          <w:bCs/>
          <w:color w:val="000000"/>
        </w:rPr>
        <w:t>under</w:t>
      </w:r>
      <w:r w:rsidR="003F18DB">
        <w:rPr>
          <w:rFonts w:ascii="Calibri" w:hAnsi="Calibri" w:cs="Helv"/>
          <w:bCs/>
          <w:color w:val="000000"/>
        </w:rPr>
        <w:t xml:space="preserve"> </w:t>
      </w:r>
      <w:r w:rsidR="007F642D">
        <w:rPr>
          <w:rFonts w:ascii="Calibri" w:hAnsi="Calibri" w:cs="Helv"/>
          <w:color w:val="000000"/>
        </w:rPr>
        <w:t xml:space="preserve">Treas. Reg. §301.9100-3 </w:t>
      </w:r>
      <w:r w:rsidR="003F18DB" w:rsidRPr="00A05D50">
        <w:rPr>
          <w:rFonts w:ascii="Calibri" w:hAnsi="Calibri" w:cs="Helv"/>
          <w:b/>
          <w:bCs/>
          <w:color w:val="000000"/>
        </w:rPr>
        <w:t>if</w:t>
      </w:r>
      <w:r w:rsidR="003F18DB">
        <w:rPr>
          <w:rFonts w:ascii="Calibri" w:hAnsi="Calibri" w:cs="Helv"/>
          <w:bCs/>
          <w:color w:val="000000"/>
        </w:rPr>
        <w:t xml:space="preserve"> the estate value </w:t>
      </w:r>
      <w:r w:rsidR="004941EE">
        <w:rPr>
          <w:rFonts w:ascii="Calibri" w:hAnsi="Calibri" w:cs="Helv"/>
          <w:bCs/>
          <w:color w:val="000000"/>
        </w:rPr>
        <w:t>was</w:t>
      </w:r>
      <w:r w:rsidR="003F18DB">
        <w:rPr>
          <w:rFonts w:ascii="Calibri" w:hAnsi="Calibri" w:cs="Helv"/>
          <w:bCs/>
          <w:color w:val="000000"/>
        </w:rPr>
        <w:t xml:space="preserve"> under the threshold filing requirement</w:t>
      </w:r>
      <w:r w:rsidR="007F642D">
        <w:rPr>
          <w:rFonts w:ascii="Calibri" w:hAnsi="Calibri" w:cs="Helv"/>
          <w:bCs/>
          <w:color w:val="000000"/>
        </w:rPr>
        <w:t xml:space="preserve"> (i.e.</w:t>
      </w:r>
      <w:r w:rsidR="00473B10">
        <w:rPr>
          <w:rFonts w:ascii="Calibri" w:hAnsi="Calibri" w:cs="Helv"/>
          <w:bCs/>
          <w:color w:val="000000"/>
        </w:rPr>
        <w:t xml:space="preserve"> </w:t>
      </w:r>
      <w:r w:rsidR="007F642D">
        <w:rPr>
          <w:rFonts w:ascii="Calibri" w:hAnsi="Calibri" w:cs="Helv"/>
          <w:bCs/>
          <w:color w:val="000000"/>
        </w:rPr>
        <w:t xml:space="preserve">if no prior gifts, </w:t>
      </w:r>
      <w:r w:rsidR="00473B10">
        <w:rPr>
          <w:rFonts w:ascii="Calibri" w:hAnsi="Calibri" w:cs="Helv"/>
          <w:bCs/>
          <w:color w:val="000000"/>
        </w:rPr>
        <w:t>gross estate under $5.4</w:t>
      </w:r>
      <w:r w:rsidR="00F43398">
        <w:rPr>
          <w:rFonts w:ascii="Calibri" w:hAnsi="Calibri" w:cs="Helv"/>
          <w:bCs/>
          <w:color w:val="000000"/>
        </w:rPr>
        <w:t>9</w:t>
      </w:r>
      <w:r w:rsidR="004941EE">
        <w:rPr>
          <w:rFonts w:ascii="Calibri" w:hAnsi="Calibri" w:cs="Helv"/>
          <w:bCs/>
          <w:color w:val="000000"/>
        </w:rPr>
        <w:t xml:space="preserve"> million)</w:t>
      </w:r>
      <w:r w:rsidRPr="00BF7A92">
        <w:rPr>
          <w:rFonts w:ascii="Calibri" w:hAnsi="Calibri" w:cs="Helv"/>
          <w:bCs/>
          <w:color w:val="000000"/>
        </w:rPr>
        <w:t>;</w:t>
      </w:r>
      <w:r w:rsidR="00473B10">
        <w:rPr>
          <w:rStyle w:val="FootnoteReference"/>
          <w:rFonts w:ascii="Calibri" w:hAnsi="Calibri" w:cs="Helv"/>
          <w:bCs/>
          <w:color w:val="000000"/>
        </w:rPr>
        <w:footnoteReference w:id="20"/>
      </w:r>
    </w:p>
    <w:p w14:paraId="25CB3CC7" w14:textId="77777777" w:rsidR="00491FB5" w:rsidRPr="00BF7A92" w:rsidRDefault="00491FB5" w:rsidP="00006D9E">
      <w:pPr>
        <w:tabs>
          <w:tab w:val="num" w:pos="0"/>
          <w:tab w:val="num" w:pos="1440"/>
        </w:tabs>
        <w:autoSpaceDE w:val="0"/>
        <w:autoSpaceDN w:val="0"/>
        <w:adjustRightInd w:val="0"/>
        <w:spacing w:line="360" w:lineRule="auto"/>
        <w:ind w:firstLine="360"/>
        <w:jc w:val="both"/>
        <w:rPr>
          <w:rFonts w:ascii="Calibri" w:hAnsi="Calibri" w:cs="Helv"/>
          <w:bCs/>
          <w:color w:val="000000"/>
        </w:rPr>
      </w:pPr>
    </w:p>
    <w:p w14:paraId="00E76E78" w14:textId="77777777" w:rsidR="00491FB5" w:rsidRPr="00BF7A92"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Cs/>
          <w:color w:val="000000"/>
        </w:rPr>
      </w:pPr>
      <w:r w:rsidRPr="00BF7A92">
        <w:rPr>
          <w:rFonts w:ascii="Calibri" w:hAnsi="Calibri" w:cs="Helv"/>
          <w:bCs/>
          <w:color w:val="000000"/>
        </w:rPr>
        <w:t xml:space="preserve">Unlike a bypass trust, outright bequests cannot be structured to </w:t>
      </w:r>
      <w:r>
        <w:rPr>
          <w:rFonts w:ascii="Calibri" w:hAnsi="Calibri" w:cs="Helv"/>
          <w:bCs/>
          <w:color w:val="000000"/>
        </w:rPr>
        <w:t xml:space="preserve">better </w:t>
      </w:r>
      <w:r w:rsidRPr="00BF7A92">
        <w:rPr>
          <w:rFonts w:ascii="Calibri" w:hAnsi="Calibri" w:cs="Helv"/>
          <w:bCs/>
          <w:color w:val="000000"/>
        </w:rPr>
        <w:t xml:space="preserve">accommodate </w:t>
      </w:r>
      <w:r w:rsidRPr="00BF7A92">
        <w:rPr>
          <w:rFonts w:ascii="Calibri" w:hAnsi="Calibri" w:cs="Helv"/>
          <w:b/>
          <w:bCs/>
          <w:color w:val="000000"/>
        </w:rPr>
        <w:t>incapacity or government benefits (e.g. Medicaid) eligibility planning</w:t>
      </w:r>
      <w:r w:rsidRPr="00BF7A92">
        <w:rPr>
          <w:rFonts w:ascii="Calibri" w:hAnsi="Calibri" w:cs="Helv"/>
          <w:bCs/>
          <w:color w:val="000000"/>
        </w:rPr>
        <w:t>;</w:t>
      </w:r>
      <w:r>
        <w:rPr>
          <w:rStyle w:val="FootnoteReference"/>
          <w:rFonts w:ascii="Calibri" w:hAnsi="Calibri" w:cs="Helv"/>
          <w:bCs/>
          <w:color w:val="000000"/>
        </w:rPr>
        <w:footnoteReference w:id="21"/>
      </w:r>
    </w:p>
    <w:p w14:paraId="29259DAD" w14:textId="77777777" w:rsidR="00491FB5" w:rsidRPr="00BF7A92" w:rsidRDefault="00491FB5" w:rsidP="00006D9E">
      <w:pPr>
        <w:tabs>
          <w:tab w:val="num" w:pos="0"/>
          <w:tab w:val="num" w:pos="1440"/>
        </w:tabs>
        <w:autoSpaceDE w:val="0"/>
        <w:autoSpaceDN w:val="0"/>
        <w:adjustRightInd w:val="0"/>
        <w:spacing w:line="360" w:lineRule="auto"/>
        <w:ind w:firstLine="360"/>
        <w:jc w:val="both"/>
        <w:rPr>
          <w:rFonts w:ascii="Calibri" w:hAnsi="Calibri" w:cs="Helv"/>
          <w:bCs/>
          <w:color w:val="000000"/>
        </w:rPr>
      </w:pPr>
    </w:p>
    <w:p w14:paraId="231EC593" w14:textId="77777777" w:rsidR="00491FB5" w:rsidRPr="00BF7A92"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Cs/>
          <w:color w:val="000000"/>
        </w:rPr>
      </w:pPr>
      <w:r w:rsidRPr="00BF7A92">
        <w:rPr>
          <w:rFonts w:ascii="Calibri" w:hAnsi="Calibri" w:cs="Helv"/>
          <w:bCs/>
          <w:color w:val="000000"/>
        </w:rPr>
        <w:t xml:space="preserve">A </w:t>
      </w:r>
      <w:r w:rsidRPr="00BF7A92">
        <w:rPr>
          <w:rFonts w:ascii="Calibri" w:hAnsi="Calibri" w:cs="Helv"/>
          <w:b/>
          <w:bCs/>
          <w:color w:val="000000"/>
        </w:rPr>
        <w:t xml:space="preserve">bypass trust can exploit the </w:t>
      </w:r>
      <w:r>
        <w:rPr>
          <w:rFonts w:ascii="Calibri" w:hAnsi="Calibri" w:cs="Helv"/>
          <w:b/>
          <w:bCs/>
          <w:color w:val="000000"/>
        </w:rPr>
        <w:t>serial m</w:t>
      </w:r>
      <w:r w:rsidRPr="00BF7A92">
        <w:rPr>
          <w:rFonts w:ascii="Calibri" w:hAnsi="Calibri" w:cs="Helv"/>
          <w:b/>
          <w:bCs/>
          <w:color w:val="000000"/>
        </w:rPr>
        <w:t>arriage loophole</w:t>
      </w:r>
      <w:r w:rsidRPr="00BF7A92">
        <w:rPr>
          <w:rFonts w:ascii="Calibri" w:hAnsi="Calibri" w:cs="Helv"/>
          <w:bCs/>
          <w:color w:val="000000"/>
        </w:rPr>
        <w:t xml:space="preserve">.  Example:  John Doe dies leaving </w:t>
      </w:r>
      <w:r>
        <w:rPr>
          <w:rFonts w:ascii="Calibri" w:hAnsi="Calibri" w:cs="Helv"/>
          <w:bCs/>
          <w:color w:val="000000"/>
        </w:rPr>
        <w:t>his wife Jane</w:t>
      </w:r>
      <w:r w:rsidRPr="00BF7A92">
        <w:rPr>
          <w:rFonts w:ascii="Calibri" w:hAnsi="Calibri" w:cs="Helv"/>
          <w:bCs/>
          <w:color w:val="000000"/>
        </w:rPr>
        <w:t xml:space="preserve"> $5</w:t>
      </w:r>
      <w:r w:rsidR="00473B10">
        <w:rPr>
          <w:rFonts w:ascii="Calibri" w:hAnsi="Calibri" w:cs="Helv"/>
          <w:bCs/>
          <w:color w:val="000000"/>
        </w:rPr>
        <w:t>.4</w:t>
      </w:r>
      <w:r>
        <w:rPr>
          <w:rFonts w:ascii="Calibri" w:hAnsi="Calibri" w:cs="Helv"/>
          <w:bCs/>
          <w:color w:val="000000"/>
        </w:rPr>
        <w:t>5 m</w:t>
      </w:r>
      <w:r w:rsidRPr="00BF7A92">
        <w:rPr>
          <w:rFonts w:ascii="Calibri" w:hAnsi="Calibri" w:cs="Helv"/>
          <w:bCs/>
          <w:color w:val="000000"/>
        </w:rPr>
        <w:t xml:space="preserve">illion in </w:t>
      </w:r>
      <w:r>
        <w:rPr>
          <w:rFonts w:ascii="Calibri" w:hAnsi="Calibri" w:cs="Helv"/>
          <w:bCs/>
          <w:color w:val="000000"/>
        </w:rPr>
        <w:t xml:space="preserve">a </w:t>
      </w:r>
      <w:r w:rsidRPr="00BF7A92">
        <w:rPr>
          <w:rFonts w:ascii="Calibri" w:hAnsi="Calibri" w:cs="Helv"/>
          <w:bCs/>
          <w:color w:val="000000"/>
        </w:rPr>
        <w:t xml:space="preserve">bypass trust.  She remarries and </w:t>
      </w:r>
      <w:r>
        <w:rPr>
          <w:rFonts w:ascii="Calibri" w:hAnsi="Calibri" w:cs="Helv"/>
          <w:bCs/>
          <w:color w:val="000000"/>
        </w:rPr>
        <w:t>with g</w:t>
      </w:r>
      <w:r w:rsidR="00473B10">
        <w:rPr>
          <w:rFonts w:ascii="Calibri" w:hAnsi="Calibri" w:cs="Helv"/>
          <w:bCs/>
          <w:color w:val="000000"/>
        </w:rPr>
        <w:t>ift-splitting can now gift $10.9</w:t>
      </w:r>
      <w:r>
        <w:rPr>
          <w:rFonts w:ascii="Calibri" w:hAnsi="Calibri" w:cs="Helv"/>
          <w:bCs/>
          <w:color w:val="000000"/>
        </w:rPr>
        <w:t xml:space="preserve"> million tax-free.  If </w:t>
      </w:r>
      <w:r w:rsidRPr="00BF7A92">
        <w:rPr>
          <w:rFonts w:ascii="Calibri" w:hAnsi="Calibri" w:cs="Helv"/>
          <w:bCs/>
          <w:color w:val="000000"/>
        </w:rPr>
        <w:t xml:space="preserve">husband #2 dies using no exclusion – Jane </w:t>
      </w:r>
      <w:r>
        <w:rPr>
          <w:rFonts w:ascii="Calibri" w:hAnsi="Calibri" w:cs="Helv"/>
          <w:bCs/>
          <w:color w:val="000000"/>
        </w:rPr>
        <w:t xml:space="preserve">can </w:t>
      </w:r>
      <w:r w:rsidRPr="00BF7A92">
        <w:rPr>
          <w:rFonts w:ascii="Calibri" w:hAnsi="Calibri" w:cs="Helv"/>
          <w:bCs/>
          <w:color w:val="000000"/>
        </w:rPr>
        <w:t xml:space="preserve">make the </w:t>
      </w:r>
      <w:r w:rsidRPr="00BF7A92">
        <w:rPr>
          <w:rFonts w:ascii="Calibri" w:hAnsi="Calibri" w:cs="Helv"/>
          <w:bCs/>
          <w:color w:val="000000"/>
        </w:rPr>
        <w:lastRenderedPageBreak/>
        <w:t xml:space="preserve">DSUEA election and </w:t>
      </w:r>
      <w:r>
        <w:rPr>
          <w:rFonts w:ascii="Calibri" w:hAnsi="Calibri" w:cs="Helv"/>
          <w:bCs/>
          <w:color w:val="000000"/>
        </w:rPr>
        <w:t>have</w:t>
      </w:r>
      <w:r w:rsidRPr="00BF7A92">
        <w:rPr>
          <w:rFonts w:ascii="Calibri" w:hAnsi="Calibri" w:cs="Helv"/>
          <w:bCs/>
          <w:color w:val="000000"/>
        </w:rPr>
        <w:t xml:space="preserve"> </w:t>
      </w:r>
      <w:r>
        <w:rPr>
          <w:rFonts w:ascii="Calibri" w:hAnsi="Calibri" w:cs="Helv"/>
          <w:bCs/>
          <w:color w:val="000000"/>
        </w:rPr>
        <w:t xml:space="preserve">up to </w:t>
      </w:r>
      <w:r w:rsidRPr="00BF7A92">
        <w:rPr>
          <w:rFonts w:ascii="Calibri" w:hAnsi="Calibri" w:cs="Helv"/>
          <w:bCs/>
          <w:color w:val="000000"/>
        </w:rPr>
        <w:t>$10</w:t>
      </w:r>
      <w:r w:rsidR="00473B10">
        <w:rPr>
          <w:rFonts w:ascii="Calibri" w:hAnsi="Calibri" w:cs="Helv"/>
          <w:bCs/>
          <w:color w:val="000000"/>
        </w:rPr>
        <w:t>.9</w:t>
      </w:r>
      <w:r>
        <w:rPr>
          <w:rFonts w:ascii="Calibri" w:hAnsi="Calibri" w:cs="Helv"/>
          <w:bCs/>
          <w:color w:val="000000"/>
        </w:rPr>
        <w:t xml:space="preserve"> m</w:t>
      </w:r>
      <w:r w:rsidRPr="00BF7A92">
        <w:rPr>
          <w:rFonts w:ascii="Calibri" w:hAnsi="Calibri" w:cs="Helv"/>
          <w:bCs/>
          <w:color w:val="000000"/>
        </w:rPr>
        <w:t>illion Applicable Exclusion Amount</w:t>
      </w:r>
      <w:r>
        <w:rPr>
          <w:rFonts w:ascii="Calibri" w:hAnsi="Calibri" w:cs="Helv"/>
          <w:bCs/>
          <w:color w:val="000000"/>
        </w:rPr>
        <w:t xml:space="preserve"> (AEA)</w:t>
      </w:r>
      <w:r w:rsidRPr="00BF7A92">
        <w:rPr>
          <w:rFonts w:ascii="Calibri" w:hAnsi="Calibri" w:cs="Helv"/>
          <w:bCs/>
          <w:color w:val="000000"/>
        </w:rPr>
        <w:t xml:space="preserve">, even with </w:t>
      </w:r>
      <w:r>
        <w:rPr>
          <w:rFonts w:ascii="Calibri" w:hAnsi="Calibri" w:cs="Helv"/>
          <w:bCs/>
          <w:color w:val="000000"/>
        </w:rPr>
        <w:t>the</w:t>
      </w:r>
      <w:r w:rsidRPr="00BF7A92">
        <w:rPr>
          <w:rFonts w:ascii="Calibri" w:hAnsi="Calibri" w:cs="Helv"/>
          <w:bCs/>
          <w:color w:val="000000"/>
        </w:rPr>
        <w:t xml:space="preserve"> $5</w:t>
      </w:r>
      <w:r w:rsidR="00473B10">
        <w:rPr>
          <w:rFonts w:ascii="Calibri" w:hAnsi="Calibri" w:cs="Helv"/>
          <w:bCs/>
          <w:color w:val="000000"/>
        </w:rPr>
        <w:t>.4</w:t>
      </w:r>
      <w:r>
        <w:rPr>
          <w:rFonts w:ascii="Calibri" w:hAnsi="Calibri" w:cs="Helv"/>
          <w:bCs/>
          <w:color w:val="000000"/>
        </w:rPr>
        <w:t>5 m</w:t>
      </w:r>
      <w:r w:rsidRPr="00BF7A92">
        <w:rPr>
          <w:rFonts w:ascii="Calibri" w:hAnsi="Calibri" w:cs="Helv"/>
          <w:bCs/>
          <w:color w:val="000000"/>
        </w:rPr>
        <w:t>illion in</w:t>
      </w:r>
      <w:r>
        <w:rPr>
          <w:rFonts w:ascii="Calibri" w:hAnsi="Calibri" w:cs="Helv"/>
          <w:bCs/>
          <w:color w:val="000000"/>
        </w:rPr>
        <w:t xml:space="preserve"> the bypass trust John left her, </w:t>
      </w:r>
      <w:r w:rsidR="007968C7">
        <w:rPr>
          <w:rFonts w:ascii="Calibri" w:hAnsi="Calibri" w:cs="Helv"/>
          <w:b/>
          <w:bCs/>
          <w:color w:val="000000"/>
        </w:rPr>
        <w:t>sheltering over $16.3</w:t>
      </w:r>
      <w:r w:rsidRPr="00056BAD">
        <w:rPr>
          <w:rFonts w:ascii="Calibri" w:hAnsi="Calibri" w:cs="Helv"/>
          <w:b/>
          <w:bCs/>
          <w:color w:val="000000"/>
        </w:rPr>
        <w:t>5 million</w:t>
      </w:r>
      <w:r>
        <w:rPr>
          <w:rFonts w:ascii="Calibri" w:hAnsi="Calibri" w:cs="Helv"/>
          <w:bCs/>
          <w:color w:val="000000"/>
        </w:rPr>
        <w:t xml:space="preserve"> (three exclusion amounts, not adjusting for inflation increases) for their children without any complex planning, not even counting growth/inflation.  Had John </w:t>
      </w:r>
      <w:r w:rsidR="004941EE">
        <w:rPr>
          <w:rFonts w:ascii="Calibri" w:hAnsi="Calibri" w:cs="Helv"/>
          <w:bCs/>
          <w:color w:val="000000"/>
        </w:rPr>
        <w:t>left his estate to Jane</w:t>
      </w:r>
      <w:r>
        <w:rPr>
          <w:rFonts w:ascii="Calibri" w:hAnsi="Calibri" w:cs="Helv"/>
          <w:bCs/>
          <w:color w:val="000000"/>
        </w:rPr>
        <w:t xml:space="preserve"> outright or</w:t>
      </w:r>
      <w:r w:rsidR="004941EE">
        <w:rPr>
          <w:rFonts w:ascii="Calibri" w:hAnsi="Calibri" w:cs="Helv"/>
          <w:bCs/>
          <w:color w:val="000000"/>
        </w:rPr>
        <w:t xml:space="preserve"> in</w:t>
      </w:r>
      <w:r>
        <w:rPr>
          <w:rFonts w:ascii="Calibri" w:hAnsi="Calibri" w:cs="Helv"/>
          <w:bCs/>
          <w:color w:val="000000"/>
        </w:rPr>
        <w:t xml:space="preserve"> marital trust, even w/DSUEA, </w:t>
      </w:r>
      <w:r w:rsidR="007968C7">
        <w:rPr>
          <w:rFonts w:ascii="Calibri" w:hAnsi="Calibri" w:cs="Helv"/>
          <w:bCs/>
          <w:color w:val="000000"/>
        </w:rPr>
        <w:t>Jane’s</w:t>
      </w:r>
      <w:r>
        <w:rPr>
          <w:rFonts w:ascii="Calibri" w:hAnsi="Calibri" w:cs="Helv"/>
          <w:bCs/>
          <w:color w:val="000000"/>
        </w:rPr>
        <w:t xml:space="preserve"> combined AEA would be capped at two exclusion amounts ($10.</w:t>
      </w:r>
      <w:r w:rsidR="007968C7">
        <w:rPr>
          <w:rFonts w:ascii="Calibri" w:hAnsi="Calibri" w:cs="Helv"/>
          <w:bCs/>
          <w:color w:val="000000"/>
        </w:rPr>
        <w:t>9</w:t>
      </w:r>
      <w:r>
        <w:rPr>
          <w:rFonts w:ascii="Calibri" w:hAnsi="Calibri" w:cs="Helv"/>
          <w:bCs/>
          <w:color w:val="000000"/>
        </w:rPr>
        <w:t xml:space="preserve"> million, not adjusting for inflation increases</w:t>
      </w:r>
      <w:r w:rsidR="007968C7">
        <w:rPr>
          <w:rFonts w:ascii="Calibri" w:hAnsi="Calibri" w:cs="Helv"/>
          <w:bCs/>
          <w:color w:val="000000"/>
        </w:rPr>
        <w:t>, since husband #2’s DSUE replaced husband #1’s</w:t>
      </w:r>
      <w:r>
        <w:rPr>
          <w:rFonts w:ascii="Calibri" w:hAnsi="Calibri" w:cs="Helv"/>
          <w:bCs/>
          <w:color w:val="000000"/>
        </w:rPr>
        <w:t>) – a potential loss of over $2 million in estate tax.</w:t>
      </w:r>
      <w:r w:rsidR="00842956">
        <w:rPr>
          <w:rStyle w:val="FootnoteReference"/>
          <w:rFonts w:ascii="Calibri" w:hAnsi="Calibri" w:cs="Helv"/>
          <w:bCs/>
          <w:color w:val="000000"/>
        </w:rPr>
        <w:footnoteReference w:id="22"/>
      </w:r>
    </w:p>
    <w:p w14:paraId="6588B6D2" w14:textId="77777777" w:rsidR="00491FB5" w:rsidRDefault="00491FB5" w:rsidP="00006D9E">
      <w:pPr>
        <w:tabs>
          <w:tab w:val="num" w:pos="0"/>
          <w:tab w:val="num" w:pos="1440"/>
        </w:tabs>
        <w:autoSpaceDE w:val="0"/>
        <w:autoSpaceDN w:val="0"/>
        <w:adjustRightInd w:val="0"/>
        <w:spacing w:line="360" w:lineRule="auto"/>
        <w:ind w:firstLine="360"/>
        <w:jc w:val="both"/>
        <w:rPr>
          <w:rFonts w:ascii="Calibri" w:hAnsi="Calibri" w:cs="Helv"/>
          <w:bCs/>
          <w:color w:val="000000"/>
        </w:rPr>
      </w:pPr>
    </w:p>
    <w:p w14:paraId="48DA7ED0" w14:textId="77777777" w:rsidR="00491FB5" w:rsidRPr="005E6103" w:rsidRDefault="00491FB5" w:rsidP="00006D9E">
      <w:pPr>
        <w:numPr>
          <w:ilvl w:val="0"/>
          <w:numId w:val="1"/>
        </w:numPr>
        <w:tabs>
          <w:tab w:val="clear" w:pos="1440"/>
          <w:tab w:val="num" w:pos="0"/>
          <w:tab w:val="num" w:pos="720"/>
        </w:tabs>
        <w:autoSpaceDE w:val="0"/>
        <w:autoSpaceDN w:val="0"/>
        <w:adjustRightInd w:val="0"/>
        <w:spacing w:line="360" w:lineRule="auto"/>
        <w:ind w:left="0" w:firstLine="360"/>
        <w:jc w:val="both"/>
        <w:rPr>
          <w:rFonts w:ascii="Calibri" w:hAnsi="Calibri" w:cs="Helv"/>
          <w:bCs/>
          <w:color w:val="000000"/>
          <w:sz w:val="18"/>
        </w:rPr>
      </w:pPr>
      <w:r>
        <w:rPr>
          <w:rFonts w:ascii="Calibri" w:hAnsi="Calibri" w:cs="Helv"/>
          <w:bCs/>
          <w:color w:val="000000"/>
        </w:rPr>
        <w:t xml:space="preserve">Portability only helps when there is a </w:t>
      </w:r>
      <w:r w:rsidRPr="000F6C64">
        <w:rPr>
          <w:rFonts w:ascii="Calibri" w:hAnsi="Calibri" w:cs="Helv"/>
          <w:bCs/>
          <w:i/>
          <w:color w:val="000000"/>
        </w:rPr>
        <w:t>surviving</w:t>
      </w:r>
      <w:r>
        <w:rPr>
          <w:rFonts w:ascii="Calibri" w:hAnsi="Calibri" w:cs="Helv"/>
          <w:bCs/>
          <w:color w:val="000000"/>
        </w:rPr>
        <w:t xml:space="preserve"> spouse.  It may not work in a </w:t>
      </w:r>
      <w:r w:rsidRPr="00745CB1">
        <w:rPr>
          <w:rFonts w:ascii="Calibri" w:hAnsi="Calibri" w:cs="Helv"/>
          <w:b/>
          <w:bCs/>
          <w:color w:val="000000"/>
        </w:rPr>
        <w:t xml:space="preserve">simultaneous death </w:t>
      </w:r>
      <w:r>
        <w:rPr>
          <w:rFonts w:ascii="Calibri" w:hAnsi="Calibri" w:cs="Helv"/>
          <w:bCs/>
          <w:color w:val="000000"/>
        </w:rPr>
        <w:t xml:space="preserve">situation, whereas a bypass trust with proper funding or a simultaneous death clause imputing John as the first to die and Jane as survivor </w:t>
      </w:r>
      <w:r>
        <w:rPr>
          <w:rFonts w:ascii="Calibri" w:hAnsi="Calibri" w:cs="Helv"/>
          <w:b/>
          <w:bCs/>
          <w:color w:val="000000"/>
        </w:rPr>
        <w:t>would</w:t>
      </w:r>
      <w:r>
        <w:rPr>
          <w:rFonts w:ascii="Calibri" w:hAnsi="Calibri" w:cs="Helv"/>
          <w:bCs/>
          <w:color w:val="000000"/>
        </w:rPr>
        <w:t>.</w:t>
      </w:r>
      <w:r>
        <w:rPr>
          <w:rStyle w:val="FootnoteReference"/>
          <w:rFonts w:ascii="Calibri" w:hAnsi="Calibri" w:cs="Helv"/>
          <w:bCs/>
          <w:color w:val="000000"/>
        </w:rPr>
        <w:footnoteReference w:id="23"/>
      </w:r>
      <w:r>
        <w:rPr>
          <w:rFonts w:ascii="Calibri" w:hAnsi="Calibri" w:cs="Helv"/>
          <w:bCs/>
          <w:color w:val="000000"/>
        </w:rPr>
        <w:t xml:space="preserve">  </w:t>
      </w:r>
    </w:p>
    <w:p w14:paraId="09A7065C" w14:textId="77777777" w:rsidR="00491FB5" w:rsidRPr="005E6103" w:rsidRDefault="00491FB5" w:rsidP="00006D9E">
      <w:pPr>
        <w:tabs>
          <w:tab w:val="num" w:pos="0"/>
          <w:tab w:val="num" w:pos="1440"/>
        </w:tabs>
        <w:autoSpaceDE w:val="0"/>
        <w:autoSpaceDN w:val="0"/>
        <w:adjustRightInd w:val="0"/>
        <w:spacing w:line="320" w:lineRule="atLeast"/>
        <w:ind w:firstLine="360"/>
        <w:jc w:val="both"/>
        <w:rPr>
          <w:rFonts w:ascii="Calibri" w:hAnsi="Calibri" w:cs="Helv"/>
          <w:bCs/>
          <w:color w:val="000000"/>
          <w:sz w:val="12"/>
        </w:rPr>
      </w:pPr>
    </w:p>
    <w:p w14:paraId="67AB9BFC" w14:textId="77777777" w:rsidR="00491FB5" w:rsidRDefault="00491FB5" w:rsidP="00006D9E">
      <w:pPr>
        <w:tabs>
          <w:tab w:val="num" w:pos="0"/>
          <w:tab w:val="num" w:pos="720"/>
        </w:tabs>
        <w:autoSpaceDE w:val="0"/>
        <w:autoSpaceDN w:val="0"/>
        <w:adjustRightInd w:val="0"/>
        <w:spacing w:line="320" w:lineRule="atLeast"/>
        <w:ind w:firstLine="360"/>
        <w:jc w:val="both"/>
        <w:rPr>
          <w:rFonts w:ascii="Calibri" w:hAnsi="Calibri" w:cs="Helv"/>
          <w:bCs/>
          <w:color w:val="000000"/>
        </w:rPr>
      </w:pPr>
      <w:r>
        <w:rPr>
          <w:rFonts w:ascii="Calibri" w:hAnsi="Calibri" w:cs="Helv"/>
          <w:bCs/>
          <w:color w:val="000000"/>
        </w:rPr>
        <w:t>Example:  John has</w:t>
      </w:r>
      <w:r w:rsidR="007968C7">
        <w:rPr>
          <w:rFonts w:ascii="Calibri" w:hAnsi="Calibri" w:cs="Helv"/>
          <w:bCs/>
          <w:color w:val="000000"/>
        </w:rPr>
        <w:t xml:space="preserve"> $8 million in assets, Jane $2.9</w:t>
      </w:r>
      <w:r>
        <w:rPr>
          <w:rFonts w:ascii="Calibri" w:hAnsi="Calibri" w:cs="Helv"/>
          <w:bCs/>
          <w:color w:val="000000"/>
        </w:rPr>
        <w:t xml:space="preserve"> million.  There is no community property.  John believes the popular press and thinks he can rely on portability and the DSUEA to kick in and shelter their $10.</w:t>
      </w:r>
      <w:r w:rsidR="007968C7">
        <w:rPr>
          <w:rFonts w:ascii="Calibri" w:hAnsi="Calibri" w:cs="Helv"/>
          <w:bCs/>
          <w:color w:val="000000"/>
        </w:rPr>
        <w:t>9</w:t>
      </w:r>
      <w:r>
        <w:rPr>
          <w:rFonts w:ascii="Calibri" w:hAnsi="Calibri" w:cs="Helv"/>
          <w:bCs/>
          <w:color w:val="000000"/>
        </w:rPr>
        <w:t xml:space="preserve"> million.  But, John and Jane are in a tragic accident together.  </w:t>
      </w:r>
      <w:r w:rsidRPr="000D06EF">
        <w:rPr>
          <w:rFonts w:ascii="Calibri" w:hAnsi="Calibri" w:cs="Helv"/>
          <w:bCs/>
          <w:i/>
          <w:color w:val="000000"/>
        </w:rPr>
        <w:t>Neither John nor Jane</w:t>
      </w:r>
      <w:r>
        <w:rPr>
          <w:rFonts w:ascii="Calibri" w:hAnsi="Calibri" w:cs="Helv"/>
          <w:bCs/>
          <w:color w:val="000000"/>
        </w:rPr>
        <w:t xml:space="preserve"> </w:t>
      </w:r>
      <w:r w:rsidRPr="00B450B1">
        <w:rPr>
          <w:rFonts w:ascii="Calibri" w:hAnsi="Calibri" w:cs="Helv"/>
          <w:bCs/>
          <w:i/>
          <w:color w:val="000000"/>
        </w:rPr>
        <w:t>has a surviving spouse</w:t>
      </w:r>
      <w:r>
        <w:rPr>
          <w:rFonts w:ascii="Calibri" w:hAnsi="Calibri" w:cs="Helv"/>
          <w:bCs/>
          <w:color w:val="000000"/>
        </w:rPr>
        <w:t xml:space="preserve">.  John’s estate cannot elect to use $2.75 million of Jane’s wasted Basic Exclusion Amount and now their family needlessly pays a tax on John’s estate of </w:t>
      </w:r>
      <w:r>
        <w:rPr>
          <w:rFonts w:ascii="Calibri" w:hAnsi="Calibri" w:cs="Helv"/>
          <w:b/>
          <w:bCs/>
          <w:color w:val="000000"/>
        </w:rPr>
        <w:t>$1,10</w:t>
      </w:r>
      <w:r w:rsidRPr="00A342A4">
        <w:rPr>
          <w:rFonts w:ascii="Calibri" w:hAnsi="Calibri" w:cs="Helv"/>
          <w:b/>
          <w:bCs/>
          <w:color w:val="000000"/>
        </w:rPr>
        <w:t>0,000</w:t>
      </w:r>
      <w:r w:rsidR="00230858">
        <w:rPr>
          <w:rFonts w:ascii="Calibri" w:hAnsi="Calibri" w:cs="Helv"/>
          <w:bCs/>
          <w:color w:val="000000"/>
        </w:rPr>
        <w:t xml:space="preserve"> ($2.75 million x</w:t>
      </w:r>
      <w:r>
        <w:rPr>
          <w:rFonts w:ascii="Calibri" w:hAnsi="Calibri" w:cs="Helv"/>
          <w:bCs/>
          <w:color w:val="000000"/>
        </w:rPr>
        <w:t xml:space="preserve"> 40%).</w:t>
      </w:r>
    </w:p>
    <w:p w14:paraId="3D8C1077" w14:textId="77777777" w:rsidR="00491FB5" w:rsidRDefault="00491FB5" w:rsidP="00006D9E">
      <w:pPr>
        <w:tabs>
          <w:tab w:val="num" w:pos="0"/>
          <w:tab w:val="num" w:pos="720"/>
        </w:tabs>
        <w:autoSpaceDE w:val="0"/>
        <w:autoSpaceDN w:val="0"/>
        <w:adjustRightInd w:val="0"/>
        <w:spacing w:line="320" w:lineRule="atLeast"/>
        <w:ind w:firstLine="360"/>
        <w:jc w:val="both"/>
        <w:rPr>
          <w:rFonts w:ascii="Calibri" w:hAnsi="Calibri" w:cs="Helv"/>
          <w:bCs/>
          <w:color w:val="000000"/>
        </w:rPr>
      </w:pPr>
      <w:r>
        <w:rPr>
          <w:rFonts w:ascii="Calibri" w:hAnsi="Calibri" w:cs="Helv"/>
          <w:bCs/>
          <w:color w:val="000000"/>
        </w:rPr>
        <w:tab/>
      </w:r>
      <w:r>
        <w:rPr>
          <w:rFonts w:ascii="Calibri" w:hAnsi="Calibri" w:cs="Helv"/>
          <w:bCs/>
          <w:color w:val="000000"/>
        </w:rPr>
        <w:tab/>
      </w:r>
    </w:p>
    <w:p w14:paraId="41607567" w14:textId="77777777" w:rsidR="00D31822" w:rsidRDefault="00E473F5" w:rsidP="00006D9E">
      <w:pPr>
        <w:numPr>
          <w:ilvl w:val="0"/>
          <w:numId w:val="1"/>
        </w:numPr>
        <w:tabs>
          <w:tab w:val="clear" w:pos="1440"/>
          <w:tab w:val="num" w:pos="0"/>
          <w:tab w:val="num" w:pos="1080"/>
        </w:tabs>
        <w:autoSpaceDE w:val="0"/>
        <w:autoSpaceDN w:val="0"/>
        <w:adjustRightInd w:val="0"/>
        <w:spacing w:line="360" w:lineRule="auto"/>
        <w:ind w:left="0" w:firstLine="360"/>
        <w:jc w:val="both"/>
        <w:rPr>
          <w:rFonts w:ascii="Calibri" w:hAnsi="Calibri" w:cs="Calibri"/>
          <w:color w:val="000000"/>
        </w:rPr>
      </w:pPr>
      <w:r>
        <w:rPr>
          <w:rFonts w:ascii="Calibri" w:hAnsi="Calibri" w:cs="Calibri"/>
          <w:color w:val="000000"/>
        </w:rPr>
        <w:t xml:space="preserve">Tax Apportionment under §2207A and state law shafts the first to die’s children </w:t>
      </w:r>
      <w:r w:rsidR="00D31822">
        <w:rPr>
          <w:rFonts w:ascii="Calibri" w:hAnsi="Calibri" w:cs="Calibri"/>
          <w:color w:val="000000"/>
        </w:rPr>
        <w:t>when</w:t>
      </w:r>
      <w:r>
        <w:rPr>
          <w:rFonts w:ascii="Calibri" w:hAnsi="Calibri" w:cs="Calibri"/>
          <w:color w:val="000000"/>
        </w:rPr>
        <w:t xml:space="preserve"> relying on portability.  </w:t>
      </w:r>
    </w:p>
    <w:p w14:paraId="2C84D7E5" w14:textId="77777777" w:rsidR="00174DB5" w:rsidRDefault="00E473F5" w:rsidP="00006D9E">
      <w:pPr>
        <w:tabs>
          <w:tab w:val="num" w:pos="360"/>
        </w:tabs>
        <w:autoSpaceDE w:val="0"/>
        <w:autoSpaceDN w:val="0"/>
        <w:adjustRightInd w:val="0"/>
        <w:spacing w:line="320" w:lineRule="exact"/>
        <w:ind w:left="360"/>
        <w:jc w:val="both"/>
        <w:rPr>
          <w:rFonts w:ascii="Calibri" w:hAnsi="Calibri" w:cs="Calibri"/>
          <w:color w:val="000000"/>
        </w:rPr>
      </w:pPr>
      <w:r>
        <w:rPr>
          <w:rFonts w:ascii="Calibri" w:hAnsi="Calibri" w:cs="Calibri"/>
          <w:color w:val="000000"/>
        </w:rPr>
        <w:t xml:space="preserve">Example: </w:t>
      </w:r>
      <w:r w:rsidR="00D31822">
        <w:rPr>
          <w:rFonts w:ascii="Calibri" w:hAnsi="Calibri" w:cs="Calibri"/>
          <w:color w:val="000000"/>
        </w:rPr>
        <w:t>John</w:t>
      </w:r>
      <w:r>
        <w:rPr>
          <w:rFonts w:ascii="Calibri" w:hAnsi="Calibri" w:cs="Calibri"/>
          <w:color w:val="000000"/>
        </w:rPr>
        <w:t xml:space="preserve"> has $10</w:t>
      </w:r>
      <w:r w:rsidR="00D31822">
        <w:rPr>
          <w:rFonts w:ascii="Calibri" w:hAnsi="Calibri" w:cs="Calibri"/>
          <w:color w:val="000000"/>
        </w:rPr>
        <w:t>.</w:t>
      </w:r>
      <w:r w:rsidR="00591A7F">
        <w:rPr>
          <w:rFonts w:ascii="Calibri" w:hAnsi="Calibri" w:cs="Calibri"/>
          <w:color w:val="000000"/>
        </w:rPr>
        <w:t>4</w:t>
      </w:r>
      <w:r w:rsidR="00D31822">
        <w:rPr>
          <w:rFonts w:ascii="Calibri" w:hAnsi="Calibri" w:cs="Calibri"/>
          <w:color w:val="000000"/>
        </w:rPr>
        <w:t>5</w:t>
      </w:r>
      <w:r>
        <w:rPr>
          <w:rFonts w:ascii="Calibri" w:hAnsi="Calibri" w:cs="Calibri"/>
          <w:color w:val="000000"/>
        </w:rPr>
        <w:t xml:space="preserve"> million, </w:t>
      </w:r>
      <w:r w:rsidR="00D31822">
        <w:rPr>
          <w:rFonts w:ascii="Calibri" w:hAnsi="Calibri" w:cs="Calibri"/>
          <w:color w:val="000000"/>
        </w:rPr>
        <w:t>Jane</w:t>
      </w:r>
      <w:r>
        <w:rPr>
          <w:rFonts w:ascii="Calibri" w:hAnsi="Calibri" w:cs="Calibri"/>
          <w:color w:val="000000"/>
        </w:rPr>
        <w:t xml:space="preserve"> has $10</w:t>
      </w:r>
      <w:r w:rsidR="00591A7F">
        <w:rPr>
          <w:rFonts w:ascii="Calibri" w:hAnsi="Calibri" w:cs="Calibri"/>
          <w:color w:val="000000"/>
        </w:rPr>
        <w:t>.4</w:t>
      </w:r>
      <w:r w:rsidR="00D31822">
        <w:rPr>
          <w:rFonts w:ascii="Calibri" w:hAnsi="Calibri" w:cs="Calibri"/>
          <w:color w:val="000000"/>
        </w:rPr>
        <w:t>5</w:t>
      </w:r>
      <w:r>
        <w:rPr>
          <w:rFonts w:ascii="Calibri" w:hAnsi="Calibri" w:cs="Calibri"/>
          <w:color w:val="000000"/>
        </w:rPr>
        <w:t xml:space="preserve"> million.  </w:t>
      </w:r>
      <w:r w:rsidR="00D31822">
        <w:rPr>
          <w:rFonts w:ascii="Calibri" w:hAnsi="Calibri" w:cs="Calibri"/>
          <w:color w:val="000000"/>
        </w:rPr>
        <w:t>John</w:t>
      </w:r>
      <w:r>
        <w:rPr>
          <w:rFonts w:ascii="Calibri" w:hAnsi="Calibri" w:cs="Calibri"/>
          <w:color w:val="000000"/>
        </w:rPr>
        <w:t xml:space="preserve"> dies, leaving </w:t>
      </w:r>
      <w:r w:rsidR="00591A7F">
        <w:rPr>
          <w:rFonts w:ascii="Calibri" w:hAnsi="Calibri" w:cs="Calibri"/>
          <w:color w:val="000000"/>
        </w:rPr>
        <w:t xml:space="preserve">his </w:t>
      </w:r>
      <w:r>
        <w:rPr>
          <w:rFonts w:ascii="Calibri" w:hAnsi="Calibri" w:cs="Calibri"/>
          <w:color w:val="000000"/>
        </w:rPr>
        <w:t xml:space="preserve">assets in a QTIP for </w:t>
      </w:r>
      <w:r w:rsidR="00D31822">
        <w:rPr>
          <w:rFonts w:ascii="Calibri" w:hAnsi="Calibri" w:cs="Calibri"/>
          <w:color w:val="000000"/>
        </w:rPr>
        <w:t>Jane</w:t>
      </w:r>
      <w:r>
        <w:rPr>
          <w:rFonts w:ascii="Calibri" w:hAnsi="Calibri" w:cs="Calibri"/>
          <w:color w:val="000000"/>
        </w:rPr>
        <w:t xml:space="preserve"> to “get a second step up”, </w:t>
      </w:r>
      <w:r w:rsidR="00E96343">
        <w:rPr>
          <w:rFonts w:ascii="Calibri" w:hAnsi="Calibri" w:cs="Calibri"/>
          <w:color w:val="000000"/>
        </w:rPr>
        <w:t>believing his kids are assured equal treatment and protection via QTIP</w:t>
      </w:r>
      <w:r w:rsidR="00D31822">
        <w:rPr>
          <w:rFonts w:ascii="Calibri" w:hAnsi="Calibri" w:cs="Calibri"/>
          <w:color w:val="000000"/>
        </w:rPr>
        <w:t>, thus</w:t>
      </w:r>
      <w:r w:rsidR="00E96343">
        <w:rPr>
          <w:rFonts w:ascii="Calibri" w:hAnsi="Calibri" w:cs="Calibri"/>
          <w:color w:val="000000"/>
        </w:rPr>
        <w:t xml:space="preserve"> </w:t>
      </w:r>
      <w:r>
        <w:rPr>
          <w:rFonts w:ascii="Calibri" w:hAnsi="Calibri" w:cs="Calibri"/>
          <w:color w:val="000000"/>
        </w:rPr>
        <w:t>$5</w:t>
      </w:r>
      <w:r w:rsidR="00D31822">
        <w:rPr>
          <w:rFonts w:ascii="Calibri" w:hAnsi="Calibri" w:cs="Calibri"/>
          <w:color w:val="000000"/>
        </w:rPr>
        <w:t>.</w:t>
      </w:r>
      <w:r w:rsidR="00591A7F">
        <w:rPr>
          <w:rFonts w:ascii="Calibri" w:hAnsi="Calibri" w:cs="Calibri"/>
          <w:color w:val="000000"/>
        </w:rPr>
        <w:t>4</w:t>
      </w:r>
      <w:r w:rsidR="00D31822">
        <w:rPr>
          <w:rFonts w:ascii="Calibri" w:hAnsi="Calibri" w:cs="Calibri"/>
          <w:color w:val="000000"/>
        </w:rPr>
        <w:t>5 million</w:t>
      </w:r>
      <w:r>
        <w:rPr>
          <w:rFonts w:ascii="Calibri" w:hAnsi="Calibri" w:cs="Calibri"/>
          <w:color w:val="000000"/>
        </w:rPr>
        <w:t xml:space="preserve"> </w:t>
      </w:r>
      <w:r w:rsidR="00602372">
        <w:rPr>
          <w:rFonts w:ascii="Calibri" w:hAnsi="Calibri" w:cs="Calibri"/>
          <w:color w:val="000000"/>
        </w:rPr>
        <w:t xml:space="preserve">DSUE </w:t>
      </w:r>
      <w:r>
        <w:rPr>
          <w:rFonts w:ascii="Calibri" w:hAnsi="Calibri" w:cs="Calibri"/>
          <w:color w:val="000000"/>
        </w:rPr>
        <w:t xml:space="preserve">is ported.  </w:t>
      </w:r>
      <w:r w:rsidR="00D31822">
        <w:rPr>
          <w:rFonts w:ascii="Calibri" w:hAnsi="Calibri" w:cs="Calibri"/>
          <w:color w:val="000000"/>
        </w:rPr>
        <w:t>Jane</w:t>
      </w:r>
      <w:r>
        <w:rPr>
          <w:rFonts w:ascii="Calibri" w:hAnsi="Calibri" w:cs="Calibri"/>
          <w:color w:val="000000"/>
        </w:rPr>
        <w:t xml:space="preserve"> dies</w:t>
      </w:r>
      <w:r w:rsidR="00602372">
        <w:rPr>
          <w:rFonts w:ascii="Calibri" w:hAnsi="Calibri" w:cs="Calibri"/>
          <w:color w:val="000000"/>
        </w:rPr>
        <w:t xml:space="preserve"> with $10</w:t>
      </w:r>
      <w:r w:rsidR="00591A7F">
        <w:rPr>
          <w:rFonts w:ascii="Calibri" w:hAnsi="Calibri" w:cs="Calibri"/>
          <w:color w:val="000000"/>
        </w:rPr>
        <w:t>.9</w:t>
      </w:r>
      <w:r w:rsidR="00D31822">
        <w:rPr>
          <w:rFonts w:ascii="Calibri" w:hAnsi="Calibri" w:cs="Calibri"/>
          <w:color w:val="000000"/>
        </w:rPr>
        <w:t xml:space="preserve"> million</w:t>
      </w:r>
      <w:r w:rsidR="00602372">
        <w:rPr>
          <w:rFonts w:ascii="Calibri" w:hAnsi="Calibri" w:cs="Calibri"/>
          <w:color w:val="000000"/>
        </w:rPr>
        <w:t xml:space="preserve"> applicable exclusion amount (AEA), but </w:t>
      </w:r>
      <w:r w:rsidR="00D31822">
        <w:rPr>
          <w:rFonts w:ascii="Calibri" w:hAnsi="Calibri" w:cs="Calibri"/>
          <w:color w:val="000000"/>
        </w:rPr>
        <w:t xml:space="preserve">a </w:t>
      </w:r>
      <w:r w:rsidR="00602372">
        <w:rPr>
          <w:rFonts w:ascii="Calibri" w:hAnsi="Calibri" w:cs="Calibri"/>
          <w:color w:val="000000"/>
        </w:rPr>
        <w:t>$20</w:t>
      </w:r>
      <w:r w:rsidR="00591A7F">
        <w:rPr>
          <w:rFonts w:ascii="Calibri" w:hAnsi="Calibri" w:cs="Calibri"/>
          <w:color w:val="000000"/>
        </w:rPr>
        <w:t>.9</w:t>
      </w:r>
      <w:r w:rsidR="00602372">
        <w:rPr>
          <w:rFonts w:ascii="Calibri" w:hAnsi="Calibri" w:cs="Calibri"/>
          <w:color w:val="000000"/>
        </w:rPr>
        <w:t xml:space="preserve"> million estate</w:t>
      </w:r>
      <w:r>
        <w:rPr>
          <w:rFonts w:ascii="Calibri" w:hAnsi="Calibri" w:cs="Calibri"/>
          <w:color w:val="000000"/>
        </w:rPr>
        <w:t xml:space="preserve">.  </w:t>
      </w:r>
      <w:r w:rsidR="00D31822">
        <w:rPr>
          <w:rFonts w:ascii="Calibri" w:hAnsi="Calibri" w:cs="Calibri"/>
          <w:color w:val="000000"/>
        </w:rPr>
        <w:t>This causes a</w:t>
      </w:r>
      <w:r>
        <w:rPr>
          <w:rFonts w:ascii="Calibri" w:hAnsi="Calibri" w:cs="Calibri"/>
          <w:color w:val="000000"/>
        </w:rPr>
        <w:t xml:space="preserve">pproximately </w:t>
      </w:r>
      <w:r>
        <w:rPr>
          <w:rFonts w:ascii="Calibri" w:hAnsi="Calibri" w:cs="Calibri"/>
          <w:color w:val="000000"/>
        </w:rPr>
        <w:lastRenderedPageBreak/>
        <w:t xml:space="preserve">$4 million </w:t>
      </w:r>
      <w:r w:rsidR="00602372">
        <w:rPr>
          <w:rFonts w:ascii="Calibri" w:hAnsi="Calibri" w:cs="Calibri"/>
          <w:color w:val="000000"/>
        </w:rPr>
        <w:t xml:space="preserve">estate </w:t>
      </w:r>
      <w:r>
        <w:rPr>
          <w:rFonts w:ascii="Calibri" w:hAnsi="Calibri" w:cs="Calibri"/>
          <w:color w:val="000000"/>
        </w:rPr>
        <w:t>tax due</w:t>
      </w:r>
      <w:r w:rsidR="00602372">
        <w:rPr>
          <w:rFonts w:ascii="Calibri" w:hAnsi="Calibri" w:cs="Calibri"/>
          <w:color w:val="000000"/>
        </w:rPr>
        <w:t xml:space="preserve"> (or </w:t>
      </w:r>
      <w:r w:rsidR="00D31822">
        <w:rPr>
          <w:rFonts w:ascii="Calibri" w:hAnsi="Calibri" w:cs="Calibri"/>
          <w:color w:val="000000"/>
        </w:rPr>
        <w:t xml:space="preserve">much </w:t>
      </w:r>
      <w:r w:rsidR="00602372">
        <w:rPr>
          <w:rFonts w:ascii="Calibri" w:hAnsi="Calibri" w:cs="Calibri"/>
          <w:color w:val="000000"/>
        </w:rPr>
        <w:t>more, depending on the state)</w:t>
      </w:r>
      <w:r>
        <w:rPr>
          <w:rFonts w:ascii="Calibri" w:hAnsi="Calibri" w:cs="Calibri"/>
          <w:color w:val="000000"/>
        </w:rPr>
        <w:t xml:space="preserve">.  </w:t>
      </w:r>
      <w:r w:rsidRPr="00D31822">
        <w:rPr>
          <w:rFonts w:ascii="Calibri" w:hAnsi="Calibri" w:cs="Calibri"/>
          <w:i/>
          <w:color w:val="000000"/>
        </w:rPr>
        <w:t>Guess who</w:t>
      </w:r>
      <w:r w:rsidR="00E96343" w:rsidRPr="00D31822">
        <w:rPr>
          <w:rFonts w:ascii="Calibri" w:hAnsi="Calibri" w:cs="Calibri"/>
          <w:i/>
          <w:color w:val="000000"/>
        </w:rPr>
        <w:t>se</w:t>
      </w:r>
      <w:r w:rsidRPr="00D31822">
        <w:rPr>
          <w:rFonts w:ascii="Calibri" w:hAnsi="Calibri" w:cs="Calibri"/>
          <w:i/>
          <w:color w:val="000000"/>
        </w:rPr>
        <w:t xml:space="preserve"> kids pay </w:t>
      </w:r>
      <w:r w:rsidR="00D31822">
        <w:rPr>
          <w:rFonts w:ascii="Calibri" w:hAnsi="Calibri" w:cs="Calibri"/>
          <w:i/>
          <w:color w:val="000000"/>
        </w:rPr>
        <w:t xml:space="preserve">all </w:t>
      </w:r>
      <w:r w:rsidRPr="00D31822">
        <w:rPr>
          <w:rFonts w:ascii="Calibri" w:hAnsi="Calibri" w:cs="Calibri"/>
          <w:i/>
          <w:color w:val="000000"/>
        </w:rPr>
        <w:t>the tax?</w:t>
      </w:r>
      <w:r>
        <w:rPr>
          <w:rFonts w:ascii="Calibri" w:hAnsi="Calibri" w:cs="Calibri"/>
          <w:color w:val="000000"/>
        </w:rPr>
        <w:t xml:space="preserve">  That’s right – </w:t>
      </w:r>
      <w:r w:rsidR="00D31822">
        <w:rPr>
          <w:rFonts w:ascii="Calibri" w:hAnsi="Calibri" w:cs="Calibri"/>
          <w:color w:val="000000"/>
        </w:rPr>
        <w:t xml:space="preserve">John, </w:t>
      </w:r>
      <w:r>
        <w:rPr>
          <w:rFonts w:ascii="Calibri" w:hAnsi="Calibri" w:cs="Calibri"/>
          <w:color w:val="000000"/>
        </w:rPr>
        <w:t>the first to die’s</w:t>
      </w:r>
      <w:r w:rsidR="00D31822">
        <w:rPr>
          <w:rFonts w:ascii="Calibri" w:hAnsi="Calibri" w:cs="Calibri"/>
          <w:color w:val="000000"/>
        </w:rPr>
        <w:t>,</w:t>
      </w:r>
      <w:r>
        <w:rPr>
          <w:rFonts w:ascii="Calibri" w:hAnsi="Calibri" w:cs="Calibri"/>
          <w:color w:val="000000"/>
        </w:rPr>
        <w:t xml:space="preserve"> kids </w:t>
      </w:r>
      <w:r w:rsidR="00D31822">
        <w:rPr>
          <w:rFonts w:ascii="Calibri" w:hAnsi="Calibri" w:cs="Calibri"/>
          <w:color w:val="000000"/>
        </w:rPr>
        <w:t>(through John</w:t>
      </w:r>
      <w:r w:rsidR="00E96343">
        <w:rPr>
          <w:rFonts w:ascii="Calibri" w:hAnsi="Calibri" w:cs="Calibri"/>
          <w:color w:val="000000"/>
        </w:rPr>
        <w:t xml:space="preserve">’s QTIP) </w:t>
      </w:r>
      <w:r>
        <w:rPr>
          <w:rFonts w:ascii="Calibri" w:hAnsi="Calibri" w:cs="Calibri"/>
          <w:color w:val="000000"/>
        </w:rPr>
        <w:t xml:space="preserve">pay ALL of the </w:t>
      </w:r>
      <w:r w:rsidR="00602372">
        <w:rPr>
          <w:rFonts w:ascii="Calibri" w:hAnsi="Calibri" w:cs="Calibri"/>
          <w:color w:val="000000"/>
        </w:rPr>
        <w:t xml:space="preserve">federal </w:t>
      </w:r>
      <w:r>
        <w:rPr>
          <w:rFonts w:ascii="Calibri" w:hAnsi="Calibri" w:cs="Calibri"/>
          <w:color w:val="000000"/>
        </w:rPr>
        <w:t>estate tax</w:t>
      </w:r>
      <w:r w:rsidR="00602372">
        <w:rPr>
          <w:rFonts w:ascii="Calibri" w:hAnsi="Calibri" w:cs="Calibri"/>
          <w:color w:val="000000"/>
        </w:rPr>
        <w:t xml:space="preserve"> (and probably much more of any state estate tax</w:t>
      </w:r>
      <w:r w:rsidR="00D31822">
        <w:rPr>
          <w:rFonts w:ascii="Calibri" w:hAnsi="Calibri" w:cs="Calibri"/>
          <w:color w:val="000000"/>
        </w:rPr>
        <w:t>, depending on the state</w:t>
      </w:r>
      <w:r w:rsidR="00602372">
        <w:rPr>
          <w:rFonts w:ascii="Calibri" w:hAnsi="Calibri" w:cs="Calibri"/>
          <w:color w:val="000000"/>
        </w:rPr>
        <w:t>)</w:t>
      </w:r>
      <w:r w:rsidR="00E96343">
        <w:rPr>
          <w:rFonts w:ascii="Calibri" w:hAnsi="Calibri" w:cs="Calibri"/>
          <w:color w:val="000000"/>
        </w:rPr>
        <w:t xml:space="preserve">, </w:t>
      </w:r>
      <w:r w:rsidR="00E96343" w:rsidRPr="00D31822">
        <w:rPr>
          <w:rFonts w:ascii="Calibri" w:hAnsi="Calibri" w:cs="Calibri"/>
          <w:b/>
          <w:color w:val="000000"/>
        </w:rPr>
        <w:t>not</w:t>
      </w:r>
      <w:r w:rsidR="00E96343">
        <w:rPr>
          <w:rFonts w:ascii="Calibri" w:hAnsi="Calibri" w:cs="Calibri"/>
          <w:color w:val="000000"/>
        </w:rPr>
        <w:t xml:space="preserve"> half or pro-rata</w:t>
      </w:r>
      <w:r w:rsidR="00602372">
        <w:rPr>
          <w:rFonts w:ascii="Calibri" w:hAnsi="Calibri" w:cs="Calibri"/>
          <w:color w:val="000000"/>
        </w:rPr>
        <w:t xml:space="preserve"> as some may expect</w:t>
      </w:r>
      <w:r>
        <w:rPr>
          <w:rFonts w:ascii="Calibri" w:hAnsi="Calibri" w:cs="Calibri"/>
          <w:color w:val="000000"/>
        </w:rPr>
        <w:t>.</w:t>
      </w:r>
      <w:r w:rsidR="00CA356B">
        <w:rPr>
          <w:rStyle w:val="FootnoteReference"/>
          <w:rFonts w:ascii="Calibri" w:hAnsi="Calibri" w:cs="Calibri"/>
          <w:color w:val="000000"/>
        </w:rPr>
        <w:footnoteReference w:id="24"/>
      </w:r>
      <w:r w:rsidR="00D31822">
        <w:rPr>
          <w:rFonts w:ascii="Calibri" w:hAnsi="Calibri" w:cs="Calibri"/>
          <w:color w:val="000000"/>
        </w:rPr>
        <w:t xml:space="preserve">  Jane’s </w:t>
      </w:r>
      <w:r w:rsidR="001C48ED">
        <w:rPr>
          <w:rFonts w:ascii="Calibri" w:hAnsi="Calibri" w:cs="Calibri"/>
          <w:color w:val="000000"/>
        </w:rPr>
        <w:t xml:space="preserve">kids, through her </w:t>
      </w:r>
      <w:r w:rsidR="00D31822">
        <w:rPr>
          <w:rFonts w:ascii="Calibri" w:hAnsi="Calibri" w:cs="Calibri"/>
          <w:color w:val="000000"/>
        </w:rPr>
        <w:t>estate</w:t>
      </w:r>
      <w:r w:rsidR="001C48ED">
        <w:rPr>
          <w:rFonts w:ascii="Calibri" w:hAnsi="Calibri" w:cs="Calibri"/>
          <w:color w:val="000000"/>
        </w:rPr>
        <w:t>, pay</w:t>
      </w:r>
      <w:r w:rsidR="00D31822">
        <w:rPr>
          <w:rFonts w:ascii="Calibri" w:hAnsi="Calibri" w:cs="Calibri"/>
          <w:color w:val="000000"/>
        </w:rPr>
        <w:t xml:space="preserve"> none</w:t>
      </w:r>
      <w:r w:rsidR="001C48ED">
        <w:rPr>
          <w:rFonts w:ascii="Calibri" w:hAnsi="Calibri" w:cs="Calibri"/>
          <w:color w:val="000000"/>
        </w:rPr>
        <w:t>, unless she specifically overrides the state and federal apportionment statutes in her Will/trust</w:t>
      </w:r>
      <w:r w:rsidR="00591A7F">
        <w:rPr>
          <w:rFonts w:ascii="Calibri" w:hAnsi="Calibri" w:cs="Calibri"/>
          <w:color w:val="000000"/>
        </w:rPr>
        <w:t xml:space="preserve"> (fat chance)</w:t>
      </w:r>
      <w:r w:rsidR="00D31822">
        <w:rPr>
          <w:rFonts w:ascii="Calibri" w:hAnsi="Calibri" w:cs="Calibri"/>
          <w:color w:val="000000"/>
        </w:rPr>
        <w:t>.</w:t>
      </w:r>
    </w:p>
    <w:p w14:paraId="6AB75CCB" w14:textId="77777777" w:rsidR="00CA356B" w:rsidRDefault="00CA356B" w:rsidP="00006D9E">
      <w:pPr>
        <w:tabs>
          <w:tab w:val="num" w:pos="0"/>
        </w:tabs>
        <w:autoSpaceDE w:val="0"/>
        <w:autoSpaceDN w:val="0"/>
        <w:adjustRightInd w:val="0"/>
        <w:spacing w:line="320" w:lineRule="exact"/>
        <w:ind w:firstLine="360"/>
        <w:jc w:val="both"/>
        <w:rPr>
          <w:rFonts w:ascii="Calibri" w:hAnsi="Calibri" w:cs="Calibri"/>
          <w:color w:val="000000"/>
        </w:rPr>
      </w:pPr>
    </w:p>
    <w:p w14:paraId="176FC3DF" w14:textId="77777777" w:rsidR="0086152E" w:rsidRPr="00ED0C49" w:rsidRDefault="002F4581" w:rsidP="00006D9E">
      <w:pPr>
        <w:pStyle w:val="ListParagraph"/>
        <w:numPr>
          <w:ilvl w:val="0"/>
          <w:numId w:val="1"/>
        </w:numPr>
        <w:tabs>
          <w:tab w:val="clear" w:pos="1440"/>
          <w:tab w:val="num" w:pos="0"/>
        </w:tabs>
        <w:autoSpaceDE w:val="0"/>
        <w:autoSpaceDN w:val="0"/>
        <w:adjustRightInd w:val="0"/>
        <w:spacing w:line="360" w:lineRule="auto"/>
        <w:ind w:left="0" w:firstLine="360"/>
        <w:jc w:val="both"/>
        <w:rPr>
          <w:rFonts w:ascii="Calibri" w:hAnsi="Calibri" w:cs="Calibri"/>
          <w:color w:val="000000"/>
        </w:rPr>
      </w:pPr>
      <w:r>
        <w:rPr>
          <w:rFonts w:ascii="Calibri" w:hAnsi="Calibri" w:cs="Calibri"/>
          <w:color w:val="000000"/>
        </w:rPr>
        <w:t xml:space="preserve"> </w:t>
      </w:r>
      <w:r w:rsidR="0086152E">
        <w:rPr>
          <w:rFonts w:ascii="Calibri" w:hAnsi="Calibri" w:cs="Calibri"/>
          <w:color w:val="000000"/>
        </w:rPr>
        <w:t xml:space="preserve">Bonus </w:t>
      </w:r>
      <w:r w:rsidR="001714DC">
        <w:rPr>
          <w:rFonts w:ascii="Calibri" w:hAnsi="Calibri" w:cs="Calibri"/>
          <w:color w:val="000000"/>
        </w:rPr>
        <w:t>–</w:t>
      </w:r>
      <w:r w:rsidR="0086152E">
        <w:rPr>
          <w:rFonts w:ascii="Calibri" w:hAnsi="Calibri" w:cs="Calibri"/>
          <w:color w:val="000000"/>
        </w:rPr>
        <w:t xml:space="preserve"> </w:t>
      </w:r>
      <w:r w:rsidR="001714DC" w:rsidRPr="00ED0C49">
        <w:rPr>
          <w:rFonts w:ascii="Calibri" w:hAnsi="Calibri" w:cs="Calibri"/>
          <w:color w:val="000000"/>
        </w:rPr>
        <w:t>The surviving spouse’s new</w:t>
      </w:r>
      <w:r w:rsidR="00EF4A86">
        <w:rPr>
          <w:rFonts w:ascii="Calibri" w:hAnsi="Calibri" w:cs="Calibri"/>
          <w:color w:val="000000"/>
        </w:rPr>
        <w:t xml:space="preserve"> spouse can </w:t>
      </w:r>
      <w:r w:rsidR="00351CA0">
        <w:rPr>
          <w:rFonts w:ascii="Calibri" w:hAnsi="Calibri" w:cs="Calibri"/>
          <w:color w:val="000000"/>
        </w:rPr>
        <w:t>waste</w:t>
      </w:r>
      <w:r w:rsidR="00EF4A86">
        <w:rPr>
          <w:rFonts w:ascii="Calibri" w:hAnsi="Calibri" w:cs="Calibri"/>
          <w:color w:val="000000"/>
        </w:rPr>
        <w:t xml:space="preserve"> all the DSUE</w:t>
      </w:r>
      <w:r w:rsidR="001714DC" w:rsidRPr="00ED0C49">
        <w:rPr>
          <w:rFonts w:ascii="Calibri" w:hAnsi="Calibri" w:cs="Calibri"/>
          <w:color w:val="000000"/>
        </w:rPr>
        <w:t xml:space="preserve"> if the surviving spouse agrees to </w:t>
      </w:r>
      <w:r w:rsidR="001714DC" w:rsidRPr="00591A7F">
        <w:rPr>
          <w:rFonts w:ascii="Calibri" w:hAnsi="Calibri" w:cs="Calibri"/>
          <w:b/>
          <w:i/>
          <w:color w:val="000000"/>
        </w:rPr>
        <w:t>gift split</w:t>
      </w:r>
      <w:r w:rsidR="007968C7">
        <w:rPr>
          <w:rFonts w:ascii="Calibri" w:hAnsi="Calibri" w:cs="Calibri"/>
          <w:color w:val="000000"/>
        </w:rPr>
        <w:t>.  Example: John leaves $5.4</w:t>
      </w:r>
      <w:r w:rsidR="001714DC">
        <w:rPr>
          <w:rFonts w:ascii="Calibri" w:hAnsi="Calibri" w:cs="Calibri"/>
          <w:color w:val="000000"/>
        </w:rPr>
        <w:t>5 million to QTIP for wife Mary, who remarries and her new wealthy husb</w:t>
      </w:r>
      <w:r w:rsidR="00ED0C49">
        <w:rPr>
          <w:rFonts w:ascii="Calibri" w:hAnsi="Calibri" w:cs="Calibri"/>
          <w:color w:val="000000"/>
        </w:rPr>
        <w:t xml:space="preserve">and convinces her to split </w:t>
      </w:r>
      <w:r w:rsidR="00ED0C49" w:rsidRPr="00BF6E5E">
        <w:rPr>
          <w:rFonts w:ascii="Calibri" w:hAnsi="Calibri" w:cs="Calibri"/>
          <w:i/>
          <w:color w:val="000000"/>
        </w:rPr>
        <w:t>his</w:t>
      </w:r>
      <w:r w:rsidR="00ED0C49">
        <w:rPr>
          <w:rFonts w:ascii="Calibri" w:hAnsi="Calibri" w:cs="Calibri"/>
          <w:color w:val="000000"/>
        </w:rPr>
        <w:t xml:space="preserve"> </w:t>
      </w:r>
      <w:r>
        <w:rPr>
          <w:rFonts w:ascii="Calibri" w:hAnsi="Calibri" w:cs="Calibri"/>
          <w:color w:val="000000"/>
        </w:rPr>
        <w:t xml:space="preserve">$10.9 million </w:t>
      </w:r>
      <w:r w:rsidR="00ED0C49">
        <w:rPr>
          <w:rFonts w:ascii="Calibri" w:hAnsi="Calibri" w:cs="Calibri"/>
          <w:color w:val="000000"/>
        </w:rPr>
        <w:t>gift.</w:t>
      </w:r>
      <w:r>
        <w:rPr>
          <w:rFonts w:ascii="Calibri" w:hAnsi="Calibri" w:cs="Calibri"/>
          <w:color w:val="000000"/>
        </w:rPr>
        <w:t xml:space="preserve">  John and Mary’s children may now pay another $2 million </w:t>
      </w:r>
      <w:r w:rsidR="00591A7F">
        <w:rPr>
          <w:rFonts w:ascii="Calibri" w:hAnsi="Calibri" w:cs="Calibri"/>
          <w:color w:val="000000"/>
        </w:rPr>
        <w:t>or more</w:t>
      </w:r>
      <w:r>
        <w:rPr>
          <w:rFonts w:ascii="Calibri" w:hAnsi="Calibri" w:cs="Calibri"/>
          <w:color w:val="000000"/>
        </w:rPr>
        <w:t xml:space="preserve"> estate tax at Mary’s death.</w:t>
      </w:r>
    </w:p>
    <w:p w14:paraId="35B9F99C" w14:textId="77777777" w:rsidR="005338E2" w:rsidRDefault="005338E2">
      <w:pPr>
        <w:rPr>
          <w:rFonts w:ascii="Calibri" w:hAnsi="Calibri" w:cs="Helv"/>
          <w:b/>
          <w:bCs/>
          <w:color w:val="000000"/>
        </w:rPr>
      </w:pPr>
      <w:r>
        <w:rPr>
          <w:rFonts w:ascii="Calibri" w:hAnsi="Calibri" w:cs="Helv"/>
          <w:b/>
          <w:bCs/>
          <w:color w:val="000000"/>
        </w:rPr>
        <w:br w:type="page"/>
      </w:r>
    </w:p>
    <w:p w14:paraId="3AA9A6F8" w14:textId="77777777" w:rsidR="00491FB5" w:rsidRPr="0014415F" w:rsidRDefault="00491FB5" w:rsidP="00174DB5">
      <w:pPr>
        <w:autoSpaceDE w:val="0"/>
        <w:autoSpaceDN w:val="0"/>
        <w:adjustRightInd w:val="0"/>
        <w:spacing w:line="360" w:lineRule="auto"/>
        <w:jc w:val="both"/>
        <w:rPr>
          <w:rFonts w:ascii="Calibri" w:hAnsi="Calibri" w:cs="Helv"/>
          <w:b/>
          <w:bCs/>
          <w:color w:val="000000"/>
        </w:rPr>
      </w:pPr>
      <w:r>
        <w:rPr>
          <w:rFonts w:ascii="Calibri" w:hAnsi="Calibri" w:cs="Helv"/>
          <w:b/>
          <w:bCs/>
          <w:color w:val="000000"/>
        </w:rPr>
        <w:lastRenderedPageBreak/>
        <w:t xml:space="preserve">Part II - </w:t>
      </w:r>
      <w:r w:rsidRPr="0014415F">
        <w:rPr>
          <w:rFonts w:ascii="Calibri" w:hAnsi="Calibri" w:cs="Helv"/>
          <w:b/>
          <w:bCs/>
          <w:color w:val="000000"/>
        </w:rPr>
        <w:t>Using Marital Deduction Trusts</w:t>
      </w:r>
      <w:r>
        <w:rPr>
          <w:rFonts w:ascii="Calibri" w:hAnsi="Calibri" w:cs="Helv"/>
          <w:b/>
          <w:bCs/>
          <w:color w:val="000000"/>
        </w:rPr>
        <w:t xml:space="preserve"> and Other Options to Avoid Basis Stagnation</w:t>
      </w:r>
    </w:p>
    <w:p w14:paraId="19775502" w14:textId="77777777" w:rsidR="00FD4295" w:rsidRDefault="00FD4295" w:rsidP="008463E1">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w:t>
      </w:r>
      <w:r w:rsidR="00F268C3" w:rsidRPr="00174DB5">
        <w:rPr>
          <w:rFonts w:ascii="Calibri" w:hAnsi="Calibri" w:cs="Helv"/>
          <w:bCs/>
          <w:i/>
          <w:color w:val="000000"/>
        </w:rPr>
        <w:t>Primum, non nocere</w:t>
      </w:r>
      <w:r w:rsidR="00F268C3">
        <w:rPr>
          <w:rFonts w:ascii="Calibri" w:hAnsi="Calibri" w:cs="Helv"/>
          <w:bCs/>
          <w:color w:val="000000"/>
        </w:rPr>
        <w:t xml:space="preserve">.” </w:t>
      </w:r>
      <w:r w:rsidRPr="0073340D">
        <w:rPr>
          <w:rFonts w:ascii="Calibri" w:hAnsi="Calibri" w:cs="Helv"/>
          <w:bCs/>
          <w:i/>
          <w:color w:val="000000"/>
        </w:rPr>
        <w:t>First, do no harm</w:t>
      </w:r>
      <w:r>
        <w:rPr>
          <w:rFonts w:ascii="Calibri" w:hAnsi="Calibri" w:cs="Helv"/>
          <w:bCs/>
          <w:color w:val="000000"/>
        </w:rPr>
        <w:t>. –</w:t>
      </w:r>
      <w:r w:rsidR="00F268C3">
        <w:rPr>
          <w:rFonts w:ascii="Calibri" w:hAnsi="Calibri" w:cs="Helv"/>
          <w:bCs/>
          <w:color w:val="000000"/>
        </w:rPr>
        <w:t xml:space="preserve"> dictate from physician’s</w:t>
      </w:r>
      <w:r>
        <w:rPr>
          <w:rFonts w:ascii="Calibri" w:hAnsi="Calibri" w:cs="Helv"/>
          <w:bCs/>
          <w:color w:val="000000"/>
        </w:rPr>
        <w:t xml:space="preserve"> Hippocratic Oath</w:t>
      </w:r>
    </w:p>
    <w:p w14:paraId="1204EA32" w14:textId="77777777" w:rsidR="009E7215" w:rsidRDefault="009E7215" w:rsidP="009E7215">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There are other alternatives that get us closer to preserving the best basis increase and income tax result for the family.  First, let’s consider variations to enable/disable or limit funding of marital trusts to maximize post-mortem flexibility, then explore the variations of marital deduction trusts</w:t>
      </w:r>
      <w:r w:rsidR="00F6677A">
        <w:rPr>
          <w:rFonts w:ascii="Calibri" w:hAnsi="Calibri" w:cs="Helv"/>
          <w:bCs/>
          <w:color w:val="000000"/>
        </w:rPr>
        <w:t>.  Remember that a marital deduction trust,</w:t>
      </w:r>
      <w:r>
        <w:rPr>
          <w:rFonts w:ascii="Calibri" w:hAnsi="Calibri" w:cs="Helv"/>
          <w:bCs/>
          <w:color w:val="000000"/>
        </w:rPr>
        <w:t xml:space="preserve"> even when it would not be needed to reduce estate tax</w:t>
      </w:r>
      <w:r w:rsidR="00F6677A">
        <w:rPr>
          <w:rFonts w:ascii="Calibri" w:hAnsi="Calibri" w:cs="Helv"/>
          <w:bCs/>
          <w:color w:val="000000"/>
        </w:rPr>
        <w:t>, does have the advantage of a second step up in basis at the surviving spouse’s death</w:t>
      </w:r>
      <w:r>
        <w:rPr>
          <w:rFonts w:ascii="Calibri" w:hAnsi="Calibri" w:cs="Helv"/>
          <w:bCs/>
          <w:color w:val="000000"/>
        </w:rPr>
        <w:t>.</w:t>
      </w:r>
      <w:r w:rsidR="00487855">
        <w:rPr>
          <w:rFonts w:ascii="Calibri" w:hAnsi="Calibri" w:cs="Helv"/>
          <w:bCs/>
          <w:color w:val="000000"/>
        </w:rPr>
        <w:t xml:space="preserve">  The question is whether all the other downsides to this structure outweigh the benefits in light of other basis-increasing options available.</w:t>
      </w:r>
      <w:r>
        <w:rPr>
          <w:rFonts w:ascii="Calibri" w:hAnsi="Calibri" w:cs="Helv"/>
          <w:bCs/>
          <w:color w:val="000000"/>
        </w:rPr>
        <w:t xml:space="preserve">  </w:t>
      </w:r>
      <w:r w:rsidRPr="00BF7A92">
        <w:rPr>
          <w:rFonts w:ascii="Calibri" w:hAnsi="Calibri" w:cs="Helv"/>
          <w:bCs/>
          <w:color w:val="000000"/>
        </w:rPr>
        <w:t xml:space="preserve">    </w:t>
      </w:r>
    </w:p>
    <w:p w14:paraId="61994A0B" w14:textId="77777777" w:rsidR="009E7215" w:rsidRDefault="009E7215" w:rsidP="009E7215">
      <w:pPr>
        <w:spacing w:line="360" w:lineRule="auto"/>
        <w:rPr>
          <w:rFonts w:ascii="Calibri" w:hAnsi="Calibri" w:cs="Helv"/>
          <w:b/>
          <w:bCs/>
          <w:color w:val="000000"/>
        </w:rPr>
      </w:pPr>
    </w:p>
    <w:p w14:paraId="50BA6595" w14:textId="77777777" w:rsidR="009E7215" w:rsidRPr="00DA2CAD" w:rsidRDefault="009E7215" w:rsidP="00180FD1">
      <w:pPr>
        <w:pStyle w:val="ListParagraph"/>
        <w:numPr>
          <w:ilvl w:val="0"/>
          <w:numId w:val="17"/>
        </w:numPr>
        <w:spacing w:line="360" w:lineRule="auto"/>
        <w:ind w:hanging="720"/>
        <w:rPr>
          <w:rFonts w:ascii="Calibri" w:hAnsi="Calibri" w:cs="Helv"/>
          <w:b/>
          <w:bCs/>
          <w:color w:val="000000"/>
        </w:rPr>
      </w:pPr>
      <w:r w:rsidRPr="00DA2CAD">
        <w:rPr>
          <w:rFonts w:ascii="Calibri" w:hAnsi="Calibri" w:cs="Helv"/>
          <w:b/>
          <w:bCs/>
          <w:color w:val="000000"/>
        </w:rPr>
        <w:t>Thinking Outside the “Outright v. Bypass Trust” Box: Clayton QTIP v. Disclaimer</w:t>
      </w:r>
    </w:p>
    <w:p w14:paraId="19D7D9F3" w14:textId="77777777" w:rsidR="009E7215" w:rsidRPr="009E7215" w:rsidRDefault="009E7215" w:rsidP="009E7215">
      <w:pPr>
        <w:autoSpaceDE w:val="0"/>
        <w:autoSpaceDN w:val="0"/>
        <w:adjustRightInd w:val="0"/>
        <w:spacing w:line="360" w:lineRule="auto"/>
        <w:ind w:firstLine="720"/>
        <w:jc w:val="both"/>
        <w:rPr>
          <w:rFonts w:ascii="Calibri" w:hAnsi="Calibri" w:cs="Helv"/>
          <w:bCs/>
          <w:color w:val="000000"/>
        </w:rPr>
      </w:pPr>
      <w:r w:rsidRPr="009E7215">
        <w:rPr>
          <w:rFonts w:ascii="Calibri" w:hAnsi="Calibri" w:cs="Helv"/>
          <w:bCs/>
          <w:color w:val="000000"/>
        </w:rPr>
        <w:t>Of course, simple outright gifts and traditional bypass trust planning are not the only two options – and they need not be “all or nothing”.  Disclaimer funded bypass trusts allow the surviving spouse to choose how much is allocated between those two</w:t>
      </w:r>
      <w:r w:rsidR="00F6677A">
        <w:rPr>
          <w:rFonts w:ascii="Calibri" w:hAnsi="Calibri" w:cs="Helv"/>
          <w:bCs/>
          <w:color w:val="000000"/>
        </w:rPr>
        <w:t xml:space="preserve"> (or more)</w:t>
      </w:r>
      <w:r w:rsidRPr="009E7215">
        <w:rPr>
          <w:rFonts w:ascii="Calibri" w:hAnsi="Calibri" w:cs="Helv"/>
          <w:bCs/>
          <w:color w:val="000000"/>
        </w:rPr>
        <w:t xml:space="preserve"> options.  The chief disadvantage of disclaimer planning is that it usually prohibits the surviving spouse from using powers of appointment for greater flexibility (see Part IV) and requires timely and proactive analysis and action (and, just as importantly, restraint) immediately after the death of a loved one.  As discussed further herein, </w:t>
      </w:r>
      <w:r w:rsidRPr="009E7215">
        <w:rPr>
          <w:rFonts w:ascii="Calibri" w:hAnsi="Calibri" w:cs="Helv"/>
          <w:bCs/>
          <w:i/>
          <w:color w:val="000000"/>
        </w:rPr>
        <w:t>this loss in flexibility may cost the family dearly</w:t>
      </w:r>
      <w:r w:rsidRPr="009E7215">
        <w:rPr>
          <w:rFonts w:ascii="Calibri" w:hAnsi="Calibri" w:cs="Helv"/>
          <w:bCs/>
          <w:color w:val="000000"/>
        </w:rPr>
        <w:t>.</w:t>
      </w:r>
    </w:p>
    <w:p w14:paraId="08D10A6F" w14:textId="77777777" w:rsidR="009E7215" w:rsidRPr="009E7215" w:rsidRDefault="009E7215" w:rsidP="009E7215">
      <w:pPr>
        <w:autoSpaceDE w:val="0"/>
        <w:autoSpaceDN w:val="0"/>
        <w:adjustRightInd w:val="0"/>
        <w:spacing w:line="360" w:lineRule="auto"/>
        <w:ind w:firstLine="720"/>
        <w:jc w:val="both"/>
        <w:rPr>
          <w:rFonts w:ascii="Calibri" w:hAnsi="Calibri" w:cs="Calibri"/>
          <w:color w:val="000000"/>
        </w:rPr>
      </w:pPr>
      <w:r w:rsidRPr="009E7215">
        <w:rPr>
          <w:rFonts w:ascii="Calibri" w:hAnsi="Calibri" w:cs="Helv"/>
          <w:bCs/>
          <w:color w:val="000000"/>
        </w:rPr>
        <w:t>Attorneys may wish to consider a savings clause/funding variant similar to the Clayton QTIP</w:t>
      </w:r>
      <w:r w:rsidRPr="009E7215">
        <w:rPr>
          <w:rFonts w:ascii="Calibri" w:hAnsi="Calibri" w:cs="Helv"/>
          <w:bCs/>
          <w:color w:val="000000"/>
          <w:vertAlign w:val="superscript"/>
        </w:rPr>
        <w:footnoteReference w:id="25"/>
      </w:r>
      <w:r w:rsidRPr="009E7215">
        <w:rPr>
          <w:rFonts w:ascii="Calibri" w:hAnsi="Calibri" w:cs="Helv"/>
          <w:bCs/>
          <w:color w:val="000000"/>
        </w:rPr>
        <w:t xml:space="preserve">  to save the use of the exclusion via bypass trust even if the Form 706 filing to claim portability is botched.</w:t>
      </w:r>
      <w:r w:rsidRPr="009E7215">
        <w:rPr>
          <w:rFonts w:ascii="Calibri" w:hAnsi="Calibri" w:cs="Calibri"/>
          <w:color w:val="000000"/>
          <w:vertAlign w:val="superscript"/>
        </w:rPr>
        <w:footnoteReference w:id="26"/>
      </w:r>
      <w:r w:rsidRPr="009E7215">
        <w:rPr>
          <w:rFonts w:ascii="Calibri" w:hAnsi="Calibri" w:cs="Calibri"/>
          <w:color w:val="000000"/>
        </w:rPr>
        <w:t xml:space="preserve">  </w:t>
      </w:r>
      <w:r w:rsidRPr="009E7215">
        <w:rPr>
          <w:rFonts w:ascii="Calibri" w:hAnsi="Calibri" w:cs="Helv"/>
          <w:bCs/>
          <w:color w:val="000000"/>
        </w:rPr>
        <w:t>The Clayton QTIP/bypass trust combination may also save additional basis if the surviving spouse dies within 15 months.</w:t>
      </w:r>
      <w:r w:rsidRPr="009E7215">
        <w:rPr>
          <w:rFonts w:ascii="Calibri" w:hAnsi="Calibri" w:cs="Helv"/>
          <w:bCs/>
          <w:color w:val="000000"/>
          <w:vertAlign w:val="superscript"/>
        </w:rPr>
        <w:footnoteReference w:id="27"/>
      </w:r>
    </w:p>
    <w:p w14:paraId="63BFFDDD" w14:textId="77777777" w:rsidR="009E7215" w:rsidRPr="009E7215" w:rsidRDefault="009E7215" w:rsidP="009E7215">
      <w:pPr>
        <w:autoSpaceDE w:val="0"/>
        <w:autoSpaceDN w:val="0"/>
        <w:adjustRightInd w:val="0"/>
        <w:spacing w:line="260" w:lineRule="atLeast"/>
        <w:ind w:left="720"/>
        <w:jc w:val="both"/>
        <w:rPr>
          <w:rFonts w:ascii="Calibri" w:hAnsi="Calibri" w:cs="Calibri"/>
          <w:color w:val="000000"/>
        </w:rPr>
      </w:pPr>
      <w:r w:rsidRPr="009E7215">
        <w:rPr>
          <w:rFonts w:ascii="Calibri" w:hAnsi="Calibri" w:cs="Calibri"/>
          <w:color w:val="000000"/>
        </w:rPr>
        <w:lastRenderedPageBreak/>
        <w:t>Example: John dies leaving $1.25 million IRA outright and $4 million in non-IRA assets to his wife Jane in trust.  To the extent a QTIP election is not made, the $4 million will go into a flexible bypass trust.  If the QTIP election is made, the $4 million will go into a QTIP trust for Jane.  Jane dies a year later with $5 million of her own assets (including the rollover IRA), and John’s trust has since appreciated to $5 million.  John’s estate makes the QTIP election and elects to port all $5.25 million DSEU, Jane’s estate includes her $5 million, plus the $5 million QTIP, and the entire estate receives a new basis (absent IRD/IRA assets etc</w:t>
      </w:r>
      <w:r w:rsidR="004D41CD">
        <w:rPr>
          <w:rFonts w:ascii="Calibri" w:hAnsi="Calibri" w:cs="Calibri"/>
          <w:color w:val="000000"/>
        </w:rPr>
        <w:t>.</w:t>
      </w:r>
      <w:r w:rsidRPr="009E7215">
        <w:rPr>
          <w:rFonts w:ascii="Calibri" w:hAnsi="Calibri" w:cs="Calibri"/>
          <w:color w:val="000000"/>
        </w:rPr>
        <w:t xml:space="preserve">).  Conversely, John’s executor would </w:t>
      </w:r>
      <w:r w:rsidRPr="009E7215">
        <w:rPr>
          <w:rFonts w:ascii="Calibri" w:hAnsi="Calibri" w:cs="Calibri"/>
          <w:b/>
          <w:color w:val="000000"/>
        </w:rPr>
        <w:t>not</w:t>
      </w:r>
      <w:r w:rsidRPr="009E7215">
        <w:rPr>
          <w:rFonts w:ascii="Calibri" w:hAnsi="Calibri" w:cs="Calibri"/>
          <w:color w:val="000000"/>
        </w:rPr>
        <w:t xml:space="preserve"> make the QTIP election had the market dipped and John’s trust </w:t>
      </w:r>
      <w:r w:rsidRPr="009E7215">
        <w:rPr>
          <w:rFonts w:ascii="Calibri" w:hAnsi="Calibri" w:cs="Calibri"/>
          <w:i/>
          <w:color w:val="000000"/>
        </w:rPr>
        <w:t>depreciated</w:t>
      </w:r>
      <w:r w:rsidRPr="009E7215">
        <w:rPr>
          <w:rFonts w:ascii="Calibri" w:hAnsi="Calibri" w:cs="Calibri"/>
          <w:color w:val="000000"/>
        </w:rPr>
        <w:t xml:space="preserve"> to $3 million, to save the estate from a “step down” in basis.  </w:t>
      </w:r>
    </w:p>
    <w:p w14:paraId="577B0431" w14:textId="77777777" w:rsidR="009E7215" w:rsidRPr="009E7215" w:rsidRDefault="009E7215" w:rsidP="009E7215">
      <w:pPr>
        <w:autoSpaceDE w:val="0"/>
        <w:autoSpaceDN w:val="0"/>
        <w:adjustRightInd w:val="0"/>
        <w:spacing w:line="360" w:lineRule="auto"/>
        <w:ind w:firstLine="720"/>
        <w:jc w:val="both"/>
        <w:rPr>
          <w:rFonts w:ascii="Calibri" w:hAnsi="Calibri" w:cs="Calibri"/>
          <w:color w:val="000000"/>
        </w:rPr>
      </w:pPr>
    </w:p>
    <w:p w14:paraId="255C9DC6" w14:textId="77777777" w:rsidR="009E7215" w:rsidRPr="009E7215" w:rsidRDefault="009E7215" w:rsidP="009E7215">
      <w:pPr>
        <w:autoSpaceDE w:val="0"/>
        <w:autoSpaceDN w:val="0"/>
        <w:adjustRightInd w:val="0"/>
        <w:spacing w:line="360" w:lineRule="auto"/>
        <w:ind w:firstLine="720"/>
        <w:jc w:val="both"/>
        <w:rPr>
          <w:rFonts w:ascii="Calibri" w:hAnsi="Calibri" w:cs="Calibri"/>
          <w:color w:val="000000"/>
        </w:rPr>
      </w:pPr>
      <w:r w:rsidRPr="009E7215">
        <w:rPr>
          <w:rFonts w:ascii="Calibri" w:hAnsi="Calibri" w:cs="Calibri"/>
          <w:color w:val="000000"/>
        </w:rPr>
        <w:t xml:space="preserve">Clayton QTIP arrangements have the added benefit over disclaimer funded trusts of permitting limited powers of appointment, as well as the six months of additional window of opportunity.  Moreover, they do not have dicey acceptance and control issues as with qualified disclaimer rules, nor the </w:t>
      </w:r>
      <w:r w:rsidR="00351CA0">
        <w:rPr>
          <w:rFonts w:ascii="Calibri" w:hAnsi="Calibri" w:cs="Calibri"/>
          <w:color w:val="000000"/>
        </w:rPr>
        <w:t xml:space="preserve">same </w:t>
      </w:r>
      <w:r w:rsidRPr="009E7215">
        <w:rPr>
          <w:rFonts w:ascii="Calibri" w:hAnsi="Calibri" w:cs="Calibri"/>
          <w:color w:val="000000"/>
        </w:rPr>
        <w:t xml:space="preserve">potential for fraudulent transfer, Medicaid or tax lien issues </w:t>
      </w:r>
      <w:r w:rsidR="00F6677A">
        <w:rPr>
          <w:rFonts w:ascii="Calibri" w:hAnsi="Calibri" w:cs="Calibri"/>
          <w:color w:val="000000"/>
        </w:rPr>
        <w:t>affecting</w:t>
      </w:r>
      <w:r w:rsidRPr="009E7215">
        <w:rPr>
          <w:rFonts w:ascii="Calibri" w:hAnsi="Calibri" w:cs="Calibri"/>
          <w:color w:val="000000"/>
        </w:rPr>
        <w:t xml:space="preserve"> disclaimants.</w:t>
      </w:r>
      <w:r w:rsidRPr="009E7215">
        <w:rPr>
          <w:rFonts w:ascii="Calibri" w:hAnsi="Calibri" w:cs="Calibri"/>
          <w:color w:val="000000"/>
          <w:vertAlign w:val="superscript"/>
        </w:rPr>
        <w:footnoteReference w:id="28"/>
      </w:r>
      <w:r w:rsidRPr="009E7215">
        <w:rPr>
          <w:rFonts w:ascii="Calibri" w:hAnsi="Calibri" w:cs="Calibri"/>
          <w:color w:val="000000"/>
        </w:rPr>
        <w:t xml:space="preserve">  Parties often assume joint brokerage accounts, for instance, can easily be disclaimed but tracing who contributed the funds may be crucial to disclaiming </w:t>
      </w:r>
      <w:r w:rsidRPr="009E7215">
        <w:rPr>
          <w:rFonts w:ascii="Calibri" w:hAnsi="Calibri" w:cs="Calibri"/>
          <w:color w:val="000000"/>
        </w:rPr>
        <w:lastRenderedPageBreak/>
        <w:t>such accounts.</w:t>
      </w:r>
      <w:r w:rsidRPr="009E7215">
        <w:rPr>
          <w:rFonts w:ascii="Calibri" w:hAnsi="Calibri" w:cs="Calibri"/>
          <w:color w:val="000000"/>
          <w:vertAlign w:val="superscript"/>
        </w:rPr>
        <w:footnoteReference w:id="29"/>
      </w:r>
      <w:r w:rsidRPr="009E7215">
        <w:rPr>
          <w:rFonts w:ascii="Calibri" w:hAnsi="Calibri" w:cs="Calibri"/>
          <w:color w:val="000000"/>
        </w:rPr>
        <w:t xml:space="preserve"> However, Clayton QTIP arrangements are best made with an independent executor, whereas the identity of the executor with disclaimers is </w:t>
      </w:r>
      <w:r w:rsidR="00F6677A">
        <w:rPr>
          <w:rFonts w:ascii="Calibri" w:hAnsi="Calibri" w:cs="Calibri"/>
          <w:color w:val="000000"/>
        </w:rPr>
        <w:t xml:space="preserve">completely </w:t>
      </w:r>
      <w:r w:rsidRPr="009E7215">
        <w:rPr>
          <w:rFonts w:ascii="Calibri" w:hAnsi="Calibri" w:cs="Calibri"/>
          <w:color w:val="000000"/>
        </w:rPr>
        <w:t>irrelevant.</w:t>
      </w:r>
      <w:r w:rsidR="001E6DD3">
        <w:rPr>
          <w:rStyle w:val="FootnoteReference"/>
          <w:rFonts w:ascii="Calibri" w:hAnsi="Calibri" w:cs="Calibri"/>
          <w:color w:val="000000"/>
        </w:rPr>
        <w:footnoteReference w:id="30"/>
      </w:r>
    </w:p>
    <w:p w14:paraId="16242FD9" w14:textId="77777777" w:rsidR="009E7215" w:rsidRDefault="009E7215" w:rsidP="009E7215">
      <w:pPr>
        <w:autoSpaceDE w:val="0"/>
        <w:autoSpaceDN w:val="0"/>
        <w:adjustRightInd w:val="0"/>
        <w:spacing w:line="360" w:lineRule="auto"/>
        <w:ind w:firstLine="720"/>
        <w:jc w:val="both"/>
        <w:rPr>
          <w:rFonts w:ascii="Calibri" w:hAnsi="Calibri" w:cs="Calibri"/>
          <w:color w:val="000000"/>
        </w:rPr>
      </w:pPr>
      <w:r w:rsidRPr="009E7215">
        <w:rPr>
          <w:rFonts w:ascii="Calibri" w:hAnsi="Calibri" w:cs="Calibri"/>
          <w:color w:val="000000"/>
        </w:rPr>
        <w:t>Extreme, but not uncommon, scenarios such as this could save hundreds of thousands of dollars in basis by building flexibility into the plan. Even a heavy bond portfolio (approximately 10 y</w:t>
      </w:r>
      <w:r w:rsidR="007A7D82">
        <w:rPr>
          <w:rFonts w:ascii="Calibri" w:hAnsi="Calibri" w:cs="Calibri"/>
          <w:color w:val="000000"/>
        </w:rPr>
        <w:t>ea</w:t>
      </w:r>
      <w:r w:rsidRPr="009E7215">
        <w:rPr>
          <w:rFonts w:ascii="Calibri" w:hAnsi="Calibri" w:cs="Calibri"/>
          <w:color w:val="000000"/>
        </w:rPr>
        <w:t>r duration) could easily decrease in value 25% if interest rates went up a couple percentage points.</w:t>
      </w:r>
      <w:r w:rsidRPr="009E7215">
        <w:rPr>
          <w:rFonts w:ascii="Calibri" w:hAnsi="Calibri" w:cs="Calibri"/>
          <w:color w:val="000000"/>
          <w:vertAlign w:val="superscript"/>
        </w:rPr>
        <w:footnoteReference w:id="31"/>
      </w:r>
      <w:r w:rsidRPr="009E7215">
        <w:rPr>
          <w:rFonts w:ascii="Calibri" w:hAnsi="Calibri" w:cs="Calibri"/>
          <w:color w:val="000000"/>
        </w:rPr>
        <w:t xml:space="preserve">  </w:t>
      </w:r>
      <w:r w:rsidRPr="009E7215">
        <w:rPr>
          <w:rFonts w:ascii="Calibri" w:hAnsi="Calibri" w:cs="Calibri"/>
          <w:i/>
          <w:color w:val="000000"/>
        </w:rPr>
        <w:t>Practitioners should file for a six month extension on Form 706 even if no estate tax would be due to buy additional time</w:t>
      </w:r>
      <w:r w:rsidR="00082990">
        <w:rPr>
          <w:rFonts w:ascii="Calibri" w:hAnsi="Calibri" w:cs="Calibri"/>
          <w:i/>
          <w:color w:val="000000"/>
        </w:rPr>
        <w:t xml:space="preserve"> for basis adjustment</w:t>
      </w:r>
      <w:r w:rsidRPr="009E7215">
        <w:rPr>
          <w:rFonts w:ascii="Calibri" w:hAnsi="Calibri" w:cs="Calibri"/>
          <w:color w:val="000000"/>
        </w:rPr>
        <w:t>, even if one of the preferred Optimal Basis Increase Trust design options, discussed in Part III, is utilized.</w:t>
      </w:r>
    </w:p>
    <w:p w14:paraId="5B25A50B" w14:textId="77777777" w:rsidR="005F5DEA" w:rsidRDefault="005F5DEA" w:rsidP="009E7215">
      <w:pPr>
        <w:autoSpaceDE w:val="0"/>
        <w:autoSpaceDN w:val="0"/>
        <w:adjustRightInd w:val="0"/>
        <w:spacing w:line="360" w:lineRule="auto"/>
        <w:ind w:firstLine="720"/>
        <w:jc w:val="both"/>
        <w:rPr>
          <w:rFonts w:ascii="Calibri" w:hAnsi="Calibri" w:cs="Calibri"/>
          <w:color w:val="000000"/>
        </w:rPr>
      </w:pPr>
    </w:p>
    <w:p w14:paraId="4E3972EF" w14:textId="77777777" w:rsidR="009E7215" w:rsidRPr="00FF4C1A" w:rsidRDefault="009E7215" w:rsidP="00180FD1">
      <w:pPr>
        <w:pStyle w:val="ListParagraph"/>
        <w:numPr>
          <w:ilvl w:val="0"/>
          <w:numId w:val="17"/>
        </w:numPr>
        <w:autoSpaceDE w:val="0"/>
        <w:autoSpaceDN w:val="0"/>
        <w:adjustRightInd w:val="0"/>
        <w:spacing w:line="360" w:lineRule="auto"/>
        <w:ind w:hanging="720"/>
        <w:jc w:val="both"/>
        <w:rPr>
          <w:rFonts w:ascii="Calibri" w:hAnsi="Calibri" w:cs="Helv"/>
          <w:b/>
          <w:bCs/>
          <w:color w:val="000000"/>
        </w:rPr>
      </w:pPr>
      <w:r w:rsidRPr="00FF4C1A">
        <w:rPr>
          <w:rFonts w:ascii="Calibri" w:hAnsi="Calibri" w:cs="Helv"/>
          <w:b/>
          <w:bCs/>
          <w:color w:val="000000"/>
        </w:rPr>
        <w:t>Variations in Marital Trusts</w:t>
      </w:r>
      <w:r w:rsidR="00F6677A" w:rsidRPr="00FF4C1A">
        <w:rPr>
          <w:rFonts w:ascii="Calibri" w:hAnsi="Calibri" w:cs="Helv"/>
          <w:b/>
          <w:bCs/>
          <w:color w:val="000000"/>
        </w:rPr>
        <w:t xml:space="preserve"> – </w:t>
      </w:r>
      <w:r w:rsidR="003038B0" w:rsidRPr="00FF4C1A">
        <w:rPr>
          <w:rFonts w:ascii="Calibri" w:hAnsi="Calibri" w:cs="Helv"/>
          <w:b/>
          <w:bCs/>
          <w:color w:val="000000"/>
        </w:rPr>
        <w:t>Differences between</w:t>
      </w:r>
      <w:r w:rsidR="00F6677A" w:rsidRPr="00FF4C1A">
        <w:rPr>
          <w:rFonts w:ascii="Calibri" w:hAnsi="Calibri" w:cs="Helv"/>
          <w:b/>
          <w:bCs/>
          <w:color w:val="000000"/>
        </w:rPr>
        <w:t xml:space="preserve"> GPOA</w:t>
      </w:r>
      <w:r w:rsidR="0014649C">
        <w:rPr>
          <w:rFonts w:ascii="Calibri" w:hAnsi="Calibri" w:cs="Helv"/>
          <w:b/>
          <w:bCs/>
          <w:color w:val="000000"/>
        </w:rPr>
        <w:t>, Estate</w:t>
      </w:r>
      <w:r w:rsidR="00F6677A" w:rsidRPr="00FF4C1A">
        <w:rPr>
          <w:rFonts w:ascii="Calibri" w:hAnsi="Calibri" w:cs="Helv"/>
          <w:b/>
          <w:bCs/>
          <w:color w:val="000000"/>
        </w:rPr>
        <w:t xml:space="preserve"> and QTIP Trusts</w:t>
      </w:r>
      <w:r w:rsidR="003038B0" w:rsidRPr="003038B0">
        <w:t xml:space="preserve"> </w:t>
      </w:r>
    </w:p>
    <w:p w14:paraId="0CFB0FCC" w14:textId="77777777" w:rsidR="00491FB5" w:rsidRPr="00BF7A92" w:rsidRDefault="0073340D" w:rsidP="00EC70D0">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Aside from the potential </w:t>
      </w:r>
      <w:r w:rsidRPr="0073340D">
        <w:rPr>
          <w:rFonts w:ascii="Calibri" w:hAnsi="Calibri" w:cs="Helv"/>
          <w:bCs/>
          <w:i/>
          <w:color w:val="000000"/>
        </w:rPr>
        <w:t>state</w:t>
      </w:r>
      <w:r>
        <w:rPr>
          <w:rFonts w:ascii="Calibri" w:hAnsi="Calibri" w:cs="Helv"/>
          <w:bCs/>
          <w:color w:val="000000"/>
        </w:rPr>
        <w:t xml:space="preserve"> estate tax deferral/savings</w:t>
      </w:r>
      <w:r w:rsidR="00491FB5" w:rsidRPr="00BF7A92">
        <w:rPr>
          <w:rFonts w:ascii="Calibri" w:hAnsi="Calibri" w:cs="Helv"/>
          <w:bCs/>
          <w:color w:val="000000"/>
        </w:rPr>
        <w:t xml:space="preserve">, </w:t>
      </w:r>
      <w:r w:rsidR="00F57BB1">
        <w:rPr>
          <w:rFonts w:ascii="Calibri" w:hAnsi="Calibri" w:cs="Helv"/>
          <w:bCs/>
          <w:color w:val="000000"/>
        </w:rPr>
        <w:t>marital trusts</w:t>
      </w:r>
      <w:r w:rsidR="00491FB5">
        <w:rPr>
          <w:rFonts w:ascii="Calibri" w:hAnsi="Calibri" w:cs="Helv"/>
          <w:bCs/>
          <w:color w:val="000000"/>
        </w:rPr>
        <w:t xml:space="preserve"> </w:t>
      </w:r>
      <w:r w:rsidR="00F57BB1">
        <w:rPr>
          <w:rFonts w:ascii="Calibri" w:hAnsi="Calibri" w:cs="Helv"/>
          <w:bCs/>
          <w:color w:val="000000"/>
        </w:rPr>
        <w:t>receive</w:t>
      </w:r>
      <w:r w:rsidR="00491FB5" w:rsidRPr="00BF7A92">
        <w:rPr>
          <w:rFonts w:ascii="Calibri" w:hAnsi="Calibri" w:cs="Helv"/>
          <w:bCs/>
          <w:color w:val="000000"/>
        </w:rPr>
        <w:t xml:space="preserve"> a second step up in basis </w:t>
      </w:r>
      <w:r w:rsidR="00491FB5">
        <w:rPr>
          <w:rFonts w:ascii="Calibri" w:hAnsi="Calibri" w:cs="Helv"/>
          <w:bCs/>
          <w:color w:val="000000"/>
        </w:rPr>
        <w:t xml:space="preserve">without sacrificing </w:t>
      </w:r>
      <w:r w:rsidR="0068219D">
        <w:rPr>
          <w:rFonts w:ascii="Calibri" w:hAnsi="Calibri" w:cs="Helv"/>
          <w:bCs/>
          <w:color w:val="000000"/>
        </w:rPr>
        <w:t>most of the</w:t>
      </w:r>
      <w:r w:rsidR="00491FB5" w:rsidRPr="00BF7A92">
        <w:rPr>
          <w:rFonts w:ascii="Calibri" w:hAnsi="Calibri" w:cs="Helv"/>
          <w:bCs/>
          <w:color w:val="000000"/>
        </w:rPr>
        <w:t xml:space="preserve"> protection and control of a trust.</w:t>
      </w:r>
      <w:r w:rsidR="00491FB5">
        <w:rPr>
          <w:rFonts w:ascii="Calibri" w:hAnsi="Calibri" w:cs="Helv"/>
          <w:bCs/>
          <w:color w:val="000000"/>
        </w:rPr>
        <w:t xml:space="preserve">  Succeeding trusts/beneficiaries generally receive a new basis when assets are in the </w:t>
      </w:r>
      <w:r w:rsidR="00F57BB1">
        <w:rPr>
          <w:rFonts w:ascii="Calibri" w:hAnsi="Calibri" w:cs="Helv"/>
          <w:bCs/>
          <w:color w:val="000000"/>
        </w:rPr>
        <w:t>surviving spouse’s</w:t>
      </w:r>
      <w:r w:rsidR="00491FB5">
        <w:rPr>
          <w:rFonts w:ascii="Calibri" w:hAnsi="Calibri" w:cs="Helv"/>
          <w:bCs/>
          <w:color w:val="000000"/>
        </w:rPr>
        <w:t xml:space="preserve"> estate</w:t>
      </w:r>
      <w:r w:rsidR="00B644DA">
        <w:rPr>
          <w:rFonts w:ascii="Calibri" w:hAnsi="Calibri" w:cs="Helv"/>
          <w:bCs/>
          <w:color w:val="000000"/>
        </w:rPr>
        <w:t>, which marital trusts are</w:t>
      </w:r>
      <w:r w:rsidR="0014649C">
        <w:rPr>
          <w:rFonts w:ascii="Calibri" w:hAnsi="Calibri" w:cs="Helv"/>
          <w:bCs/>
          <w:color w:val="000000"/>
        </w:rPr>
        <w:t>.</w:t>
      </w:r>
      <w:r w:rsidR="00B26781">
        <w:rPr>
          <w:rStyle w:val="FootnoteReference"/>
          <w:rFonts w:ascii="Calibri" w:hAnsi="Calibri" w:cs="Helv"/>
          <w:bCs/>
          <w:color w:val="000000"/>
        </w:rPr>
        <w:footnoteReference w:id="32"/>
      </w:r>
      <w:r w:rsidR="0014649C">
        <w:rPr>
          <w:rFonts w:ascii="Calibri" w:hAnsi="Calibri" w:cs="Helv"/>
          <w:bCs/>
          <w:color w:val="000000"/>
        </w:rPr>
        <w:t xml:space="preserve">  </w:t>
      </w:r>
      <w:r w:rsidR="00B644DA">
        <w:rPr>
          <w:rFonts w:ascii="Calibri" w:hAnsi="Calibri" w:cs="Helv"/>
          <w:bCs/>
          <w:color w:val="000000"/>
        </w:rPr>
        <w:t>V</w:t>
      </w:r>
      <w:r w:rsidR="0014649C">
        <w:rPr>
          <w:rFonts w:ascii="Calibri" w:hAnsi="Calibri" w:cs="Helv"/>
          <w:bCs/>
          <w:color w:val="000000"/>
        </w:rPr>
        <w:t xml:space="preserve">arieties include the estate trust, </w:t>
      </w:r>
      <w:r w:rsidR="00491FB5">
        <w:rPr>
          <w:rFonts w:ascii="Calibri" w:hAnsi="Calibri" w:cs="Helv"/>
          <w:bCs/>
          <w:color w:val="000000"/>
        </w:rPr>
        <w:t>general power of app</w:t>
      </w:r>
      <w:r w:rsidR="0014649C">
        <w:rPr>
          <w:rFonts w:ascii="Calibri" w:hAnsi="Calibri" w:cs="Helv"/>
          <w:bCs/>
          <w:color w:val="000000"/>
        </w:rPr>
        <w:t xml:space="preserve">ointment marital trust and </w:t>
      </w:r>
      <w:r w:rsidR="00491FB5">
        <w:rPr>
          <w:rFonts w:ascii="Calibri" w:hAnsi="Calibri" w:cs="Helv"/>
          <w:bCs/>
          <w:color w:val="000000"/>
        </w:rPr>
        <w:t>qualified terminal interest property (QTIP) marital trust.</w:t>
      </w:r>
    </w:p>
    <w:p w14:paraId="222E6576" w14:textId="77777777" w:rsidR="006C4D31" w:rsidRDefault="0014649C" w:rsidP="0014415F">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An estate trust is very rarely used – it requires the</w:t>
      </w:r>
      <w:r w:rsidR="006C4D31">
        <w:rPr>
          <w:rFonts w:ascii="Calibri" w:hAnsi="Calibri" w:cs="Helv"/>
          <w:bCs/>
          <w:color w:val="000000"/>
        </w:rPr>
        <w:t xml:space="preserve"> spouse to be the only beneficiary and that the</w:t>
      </w:r>
      <w:r>
        <w:rPr>
          <w:rFonts w:ascii="Calibri" w:hAnsi="Calibri" w:cs="Helv"/>
          <w:bCs/>
          <w:color w:val="000000"/>
        </w:rPr>
        <w:t xml:space="preserve"> trust pay to the surviving spouse’s estate</w:t>
      </w:r>
      <w:r w:rsidR="006C4D31">
        <w:rPr>
          <w:rFonts w:ascii="Calibri" w:hAnsi="Calibri" w:cs="Helv"/>
          <w:bCs/>
          <w:color w:val="000000"/>
        </w:rPr>
        <w:t xml:space="preserve"> (but unlike other varieties, permits the trustee to accumulate income and retain property unproductive of income)</w:t>
      </w:r>
      <w:r>
        <w:rPr>
          <w:rFonts w:ascii="Calibri" w:hAnsi="Calibri" w:cs="Helv"/>
          <w:bCs/>
          <w:color w:val="000000"/>
        </w:rPr>
        <w:t>.</w:t>
      </w:r>
      <w:r w:rsidR="0006156D">
        <w:rPr>
          <w:rStyle w:val="FootnoteReference"/>
          <w:rFonts w:ascii="Calibri" w:hAnsi="Calibri" w:cs="Helv"/>
          <w:bCs/>
          <w:color w:val="000000"/>
        </w:rPr>
        <w:footnoteReference w:id="33"/>
      </w:r>
      <w:r>
        <w:rPr>
          <w:rFonts w:ascii="Calibri" w:hAnsi="Calibri" w:cs="Helv"/>
          <w:bCs/>
          <w:color w:val="000000"/>
        </w:rPr>
        <w:t xml:space="preserve">  </w:t>
      </w:r>
    </w:p>
    <w:p w14:paraId="6A09E480" w14:textId="77777777" w:rsidR="006C4D31" w:rsidRDefault="0014649C" w:rsidP="0014415F">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A GPOA marital </w:t>
      </w:r>
      <w:r w:rsidR="006C4D31">
        <w:rPr>
          <w:rFonts w:ascii="Calibri" w:hAnsi="Calibri" w:cs="Helv"/>
          <w:bCs/>
          <w:color w:val="000000"/>
        </w:rPr>
        <w:t xml:space="preserve">trust </w:t>
      </w:r>
      <w:r>
        <w:rPr>
          <w:rFonts w:ascii="Calibri" w:hAnsi="Calibri" w:cs="Helv"/>
          <w:bCs/>
          <w:color w:val="000000"/>
        </w:rPr>
        <w:t xml:space="preserve">is </w:t>
      </w:r>
      <w:r w:rsidR="0006156D">
        <w:rPr>
          <w:rFonts w:ascii="Calibri" w:hAnsi="Calibri" w:cs="Helv"/>
          <w:bCs/>
          <w:color w:val="000000"/>
        </w:rPr>
        <w:t xml:space="preserve">only slightly </w:t>
      </w:r>
      <w:r>
        <w:rPr>
          <w:rFonts w:ascii="Calibri" w:hAnsi="Calibri" w:cs="Helv"/>
          <w:bCs/>
          <w:color w:val="000000"/>
        </w:rPr>
        <w:t>more protective of a settlor’s intent at the second death – it must grant the spouse the power to appoint to his/her estate without any</w:t>
      </w:r>
      <w:r w:rsidR="00B644DA">
        <w:rPr>
          <w:rFonts w:ascii="Calibri" w:hAnsi="Calibri" w:cs="Helv"/>
          <w:bCs/>
          <w:color w:val="000000"/>
        </w:rPr>
        <w:t xml:space="preserve"> other consenting party</w:t>
      </w:r>
      <w:r w:rsidR="006C4D31">
        <w:rPr>
          <w:rFonts w:ascii="Calibri" w:hAnsi="Calibri" w:cs="Helv"/>
          <w:bCs/>
          <w:color w:val="000000"/>
        </w:rPr>
        <w:t xml:space="preserve"> (a power to appoint to creditors is not enough)</w:t>
      </w:r>
      <w:r>
        <w:rPr>
          <w:rFonts w:ascii="Calibri" w:hAnsi="Calibri" w:cs="Helv"/>
          <w:bCs/>
          <w:color w:val="000000"/>
        </w:rPr>
        <w:t>.</w:t>
      </w:r>
      <w:r w:rsidR="00B26781">
        <w:rPr>
          <w:rStyle w:val="FootnoteReference"/>
          <w:rFonts w:ascii="Calibri" w:hAnsi="Calibri" w:cs="Helv"/>
          <w:bCs/>
          <w:color w:val="000000"/>
        </w:rPr>
        <w:footnoteReference w:id="34"/>
      </w:r>
      <w:r>
        <w:rPr>
          <w:rFonts w:ascii="Calibri" w:hAnsi="Calibri" w:cs="Helv"/>
          <w:bCs/>
          <w:color w:val="000000"/>
        </w:rPr>
        <w:t xml:space="preserve"> </w:t>
      </w:r>
      <w:r w:rsidR="00B26781">
        <w:rPr>
          <w:rFonts w:ascii="Calibri" w:hAnsi="Calibri" w:cs="Helv"/>
          <w:bCs/>
          <w:color w:val="000000"/>
        </w:rPr>
        <w:t xml:space="preserve"> </w:t>
      </w:r>
    </w:p>
    <w:p w14:paraId="652F62CE" w14:textId="77777777" w:rsidR="00491FB5" w:rsidRDefault="00491FB5" w:rsidP="0014415F">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lastRenderedPageBreak/>
        <w:t>The QTIP marital trust can be</w:t>
      </w:r>
      <w:r w:rsidR="0014649C">
        <w:rPr>
          <w:rFonts w:ascii="Calibri" w:hAnsi="Calibri" w:cs="Helv"/>
          <w:bCs/>
          <w:color w:val="000000"/>
        </w:rPr>
        <w:t xml:space="preserve"> much </w:t>
      </w:r>
      <w:r>
        <w:rPr>
          <w:rFonts w:ascii="Calibri" w:hAnsi="Calibri" w:cs="Helv"/>
          <w:bCs/>
          <w:color w:val="000000"/>
        </w:rPr>
        <w:t>more restrictive at second death than a</w:t>
      </w:r>
      <w:r w:rsidR="0014649C">
        <w:rPr>
          <w:rFonts w:ascii="Calibri" w:hAnsi="Calibri" w:cs="Helv"/>
          <w:bCs/>
          <w:color w:val="000000"/>
        </w:rPr>
        <w:t>n estate or</w:t>
      </w:r>
      <w:r>
        <w:rPr>
          <w:rFonts w:ascii="Calibri" w:hAnsi="Calibri" w:cs="Helv"/>
          <w:bCs/>
          <w:color w:val="000000"/>
        </w:rPr>
        <w:t xml:space="preserve"> GPOA marital trust, by restricting or even </w:t>
      </w:r>
      <w:r w:rsidR="00B26781">
        <w:rPr>
          <w:rFonts w:ascii="Calibri" w:hAnsi="Calibri" w:cs="Helv"/>
          <w:bCs/>
          <w:color w:val="000000"/>
        </w:rPr>
        <w:t>omitting</w:t>
      </w:r>
      <w:r>
        <w:rPr>
          <w:rFonts w:ascii="Calibri" w:hAnsi="Calibri" w:cs="Helv"/>
          <w:bCs/>
          <w:color w:val="000000"/>
        </w:rPr>
        <w:t xml:space="preserve"> the surviving spouse’s power to appoint.</w:t>
      </w:r>
      <w:r>
        <w:rPr>
          <w:rStyle w:val="FootnoteReference"/>
          <w:rFonts w:ascii="Calibri" w:hAnsi="Calibri" w:cs="Helv"/>
          <w:bCs/>
          <w:color w:val="000000"/>
        </w:rPr>
        <w:footnoteReference w:id="35"/>
      </w:r>
      <w:r>
        <w:rPr>
          <w:rFonts w:ascii="Calibri" w:hAnsi="Calibri" w:cs="Helv"/>
          <w:bCs/>
          <w:color w:val="000000"/>
        </w:rPr>
        <w:t xml:space="preserve">  </w:t>
      </w:r>
      <w:r w:rsidR="006E1652">
        <w:rPr>
          <w:rFonts w:ascii="Calibri" w:hAnsi="Calibri" w:cs="Helv"/>
          <w:bCs/>
          <w:color w:val="000000"/>
        </w:rPr>
        <w:t xml:space="preserve">Because </w:t>
      </w:r>
      <w:r w:rsidR="003B655A">
        <w:rPr>
          <w:rFonts w:ascii="Calibri" w:hAnsi="Calibri" w:cs="Helv"/>
          <w:bCs/>
          <w:color w:val="000000"/>
        </w:rPr>
        <w:t xml:space="preserve">of this </w:t>
      </w:r>
      <w:r w:rsidR="006B623F">
        <w:rPr>
          <w:rFonts w:ascii="Calibri" w:hAnsi="Calibri" w:cs="Helv"/>
          <w:bCs/>
          <w:color w:val="000000"/>
        </w:rPr>
        <w:t xml:space="preserve">and other advantages, </w:t>
      </w:r>
      <w:r w:rsidR="003B655A">
        <w:rPr>
          <w:rFonts w:ascii="Calibri" w:hAnsi="Calibri" w:cs="Helv"/>
          <w:bCs/>
          <w:color w:val="000000"/>
        </w:rPr>
        <w:t>QTIPs are by far the most preferred.</w:t>
      </w:r>
      <w:r w:rsidR="006B623F">
        <w:rPr>
          <w:rStyle w:val="FootnoteReference"/>
          <w:rFonts w:ascii="Calibri" w:hAnsi="Calibri" w:cs="Helv"/>
          <w:bCs/>
          <w:color w:val="000000"/>
        </w:rPr>
        <w:footnoteReference w:id="36"/>
      </w:r>
      <w:r w:rsidR="006E1652">
        <w:rPr>
          <w:rFonts w:ascii="Calibri" w:hAnsi="Calibri" w:cs="Helv"/>
          <w:bCs/>
          <w:color w:val="000000"/>
        </w:rPr>
        <w:t xml:space="preserve"> </w:t>
      </w:r>
      <w:r>
        <w:rPr>
          <w:rFonts w:ascii="Calibri" w:hAnsi="Calibri" w:cs="Helv"/>
          <w:bCs/>
          <w:color w:val="000000"/>
        </w:rPr>
        <w:t xml:space="preserve">However, especially in smaller estates of </w:t>
      </w:r>
      <w:r w:rsidR="004C0803">
        <w:rPr>
          <w:rFonts w:ascii="Calibri" w:hAnsi="Calibri" w:cs="Helv"/>
          <w:bCs/>
          <w:color w:val="000000"/>
        </w:rPr>
        <w:t xml:space="preserve">older </w:t>
      </w:r>
      <w:r>
        <w:rPr>
          <w:rFonts w:ascii="Calibri" w:hAnsi="Calibri" w:cs="Helv"/>
          <w:bCs/>
          <w:color w:val="000000"/>
        </w:rPr>
        <w:t xml:space="preserve">couples with children of the same marriage, and </w:t>
      </w:r>
      <w:r w:rsidR="004C0803">
        <w:rPr>
          <w:rFonts w:ascii="Calibri" w:hAnsi="Calibri" w:cs="Helv"/>
          <w:bCs/>
          <w:color w:val="000000"/>
        </w:rPr>
        <w:t xml:space="preserve">in </w:t>
      </w:r>
      <w:r>
        <w:rPr>
          <w:rFonts w:ascii="Calibri" w:hAnsi="Calibri" w:cs="Helv"/>
          <w:bCs/>
          <w:color w:val="000000"/>
        </w:rPr>
        <w:t>states with no stat</w:t>
      </w:r>
      <w:r w:rsidR="006B623F">
        <w:rPr>
          <w:rFonts w:ascii="Calibri" w:hAnsi="Calibri" w:cs="Helv"/>
          <w:bCs/>
          <w:color w:val="000000"/>
        </w:rPr>
        <w:t>e estate tax</w:t>
      </w:r>
      <w:r>
        <w:rPr>
          <w:rFonts w:ascii="Calibri" w:hAnsi="Calibri" w:cs="Helv"/>
          <w:bCs/>
          <w:color w:val="000000"/>
        </w:rPr>
        <w:t xml:space="preserve">, </w:t>
      </w:r>
      <w:r w:rsidRPr="003C6701">
        <w:rPr>
          <w:rFonts w:ascii="Calibri" w:hAnsi="Calibri" w:cs="Helv"/>
          <w:b/>
          <w:bCs/>
          <w:i/>
          <w:color w:val="000000"/>
        </w:rPr>
        <w:t xml:space="preserve">the </w:t>
      </w:r>
      <w:r w:rsidR="0014649C">
        <w:rPr>
          <w:rFonts w:ascii="Calibri" w:hAnsi="Calibri" w:cs="Helv"/>
          <w:b/>
          <w:bCs/>
          <w:i/>
          <w:color w:val="000000"/>
        </w:rPr>
        <w:t xml:space="preserve">estate and </w:t>
      </w:r>
      <w:r w:rsidRPr="003C6701">
        <w:rPr>
          <w:rFonts w:ascii="Calibri" w:hAnsi="Calibri" w:cs="Helv"/>
          <w:b/>
          <w:bCs/>
          <w:i/>
          <w:color w:val="000000"/>
        </w:rPr>
        <w:t xml:space="preserve">GPOA marital </w:t>
      </w:r>
      <w:r>
        <w:rPr>
          <w:rFonts w:ascii="Calibri" w:hAnsi="Calibri" w:cs="Helv"/>
          <w:b/>
          <w:bCs/>
          <w:i/>
          <w:color w:val="000000"/>
        </w:rPr>
        <w:t>trust</w:t>
      </w:r>
      <w:r w:rsidR="0014649C">
        <w:rPr>
          <w:rFonts w:ascii="Calibri" w:hAnsi="Calibri" w:cs="Helv"/>
          <w:b/>
          <w:bCs/>
          <w:i/>
          <w:color w:val="000000"/>
        </w:rPr>
        <w:t>s</w:t>
      </w:r>
      <w:r>
        <w:rPr>
          <w:rFonts w:ascii="Calibri" w:hAnsi="Calibri" w:cs="Helv"/>
          <w:b/>
          <w:bCs/>
          <w:i/>
          <w:color w:val="000000"/>
        </w:rPr>
        <w:t xml:space="preserve"> </w:t>
      </w:r>
      <w:r w:rsidR="003B655A">
        <w:rPr>
          <w:rFonts w:ascii="Calibri" w:hAnsi="Calibri" w:cs="Helv"/>
          <w:b/>
          <w:bCs/>
          <w:i/>
          <w:color w:val="000000"/>
        </w:rPr>
        <w:t>may</w:t>
      </w:r>
      <w:r w:rsidRPr="003C6701">
        <w:rPr>
          <w:rFonts w:ascii="Calibri" w:hAnsi="Calibri" w:cs="Helv"/>
          <w:b/>
          <w:bCs/>
          <w:i/>
          <w:color w:val="000000"/>
        </w:rPr>
        <w:t xml:space="preserve"> see a rise in popularity</w:t>
      </w:r>
      <w:r w:rsidRPr="003C6701">
        <w:rPr>
          <w:rFonts w:ascii="Calibri" w:hAnsi="Calibri" w:cs="Helv"/>
          <w:b/>
          <w:bCs/>
          <w:color w:val="000000"/>
        </w:rPr>
        <w:t xml:space="preserve"> </w:t>
      </w:r>
      <w:r>
        <w:rPr>
          <w:rFonts w:ascii="Calibri" w:hAnsi="Calibri" w:cs="Helv"/>
          <w:bCs/>
          <w:color w:val="000000"/>
        </w:rPr>
        <w:t xml:space="preserve">because </w:t>
      </w:r>
      <w:r w:rsidR="006B623F">
        <w:rPr>
          <w:rFonts w:ascii="Calibri" w:hAnsi="Calibri" w:cs="Helv"/>
          <w:bCs/>
          <w:color w:val="000000"/>
        </w:rPr>
        <w:t xml:space="preserve">couples </w:t>
      </w:r>
      <w:r w:rsidR="004875D9">
        <w:rPr>
          <w:rFonts w:ascii="Calibri" w:hAnsi="Calibri" w:cs="Helv"/>
          <w:bCs/>
          <w:color w:val="000000"/>
        </w:rPr>
        <w:t xml:space="preserve">with smaller estates </w:t>
      </w:r>
      <w:r w:rsidR="006B623F">
        <w:rPr>
          <w:rFonts w:ascii="Calibri" w:hAnsi="Calibri" w:cs="Helv"/>
          <w:bCs/>
          <w:color w:val="000000"/>
        </w:rPr>
        <w:t>don’t</w:t>
      </w:r>
      <w:r>
        <w:rPr>
          <w:rFonts w:ascii="Calibri" w:hAnsi="Calibri" w:cs="Helv"/>
          <w:bCs/>
          <w:color w:val="000000"/>
        </w:rPr>
        <w:t xml:space="preserve"> nee</w:t>
      </w:r>
      <w:r w:rsidR="00B644DA">
        <w:rPr>
          <w:rFonts w:ascii="Calibri" w:hAnsi="Calibri" w:cs="Helv"/>
          <w:bCs/>
          <w:color w:val="000000"/>
        </w:rPr>
        <w:t xml:space="preserve">d to file a Form 706 to get a </w:t>
      </w:r>
      <w:r>
        <w:rPr>
          <w:rFonts w:ascii="Calibri" w:hAnsi="Calibri" w:cs="Helv"/>
          <w:bCs/>
          <w:color w:val="000000"/>
        </w:rPr>
        <w:t>second ste</w:t>
      </w:r>
      <w:r w:rsidR="00197989">
        <w:rPr>
          <w:rFonts w:ascii="Calibri" w:hAnsi="Calibri" w:cs="Helv"/>
          <w:bCs/>
          <w:color w:val="000000"/>
        </w:rPr>
        <w:t>p up in basis</w:t>
      </w:r>
      <w:r>
        <w:rPr>
          <w:rFonts w:ascii="Calibri" w:hAnsi="Calibri" w:cs="Helv"/>
          <w:bCs/>
          <w:color w:val="000000"/>
        </w:rPr>
        <w:t xml:space="preserve"> and </w:t>
      </w:r>
      <w:r w:rsidR="006B623F">
        <w:rPr>
          <w:rFonts w:ascii="Calibri" w:hAnsi="Calibri" w:cs="Helv"/>
          <w:bCs/>
          <w:color w:val="000000"/>
        </w:rPr>
        <w:t xml:space="preserve">won’t get hit with </w:t>
      </w:r>
      <w:r w:rsidR="00E66E09">
        <w:rPr>
          <w:rFonts w:ascii="Calibri" w:hAnsi="Calibri" w:cs="Helv"/>
          <w:bCs/>
          <w:color w:val="000000"/>
        </w:rPr>
        <w:t xml:space="preserve">additional </w:t>
      </w:r>
      <w:r>
        <w:rPr>
          <w:rFonts w:ascii="Calibri" w:hAnsi="Calibri" w:cs="Helv"/>
          <w:bCs/>
          <w:color w:val="000000"/>
        </w:rPr>
        <w:t>valuation dis</w:t>
      </w:r>
      <w:r w:rsidR="003B655A">
        <w:rPr>
          <w:rFonts w:ascii="Calibri" w:hAnsi="Calibri" w:cs="Helv"/>
          <w:bCs/>
          <w:color w:val="000000"/>
        </w:rPr>
        <w:t>counts hampering basis increase</w:t>
      </w:r>
      <w:r w:rsidR="00D40BC1">
        <w:rPr>
          <w:rFonts w:ascii="Calibri" w:hAnsi="Calibri" w:cs="Helv"/>
          <w:bCs/>
          <w:color w:val="000000"/>
        </w:rPr>
        <w:t xml:space="preserve"> (discussed in next section)</w:t>
      </w:r>
      <w:r w:rsidR="003B655A">
        <w:rPr>
          <w:rFonts w:ascii="Calibri" w:hAnsi="Calibri" w:cs="Helv"/>
          <w:bCs/>
          <w:color w:val="000000"/>
        </w:rPr>
        <w:t>.</w:t>
      </w:r>
      <w:r w:rsidR="00EA55E9">
        <w:rPr>
          <w:rFonts w:ascii="Calibri" w:hAnsi="Calibri" w:cs="Helv"/>
          <w:bCs/>
          <w:color w:val="000000"/>
        </w:rPr>
        <w:t xml:space="preserve">  Additionally, GPOA marital trusts can allow tax shifting to other parties, whereas QTIP trusts cannot (see Part VIII.l herein).</w:t>
      </w:r>
    </w:p>
    <w:p w14:paraId="3AFB70C8" w14:textId="77777777" w:rsidR="00EF00CE" w:rsidRDefault="00491FB5" w:rsidP="00EF00CE">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Example: John </w:t>
      </w:r>
      <w:r w:rsidR="00082990">
        <w:rPr>
          <w:rFonts w:ascii="Calibri" w:hAnsi="Calibri" w:cs="Helv"/>
          <w:bCs/>
          <w:color w:val="000000"/>
        </w:rPr>
        <w:t>and Jane, married, in their mid-</w:t>
      </w:r>
      <w:r>
        <w:rPr>
          <w:rFonts w:ascii="Calibri" w:hAnsi="Calibri" w:cs="Helv"/>
          <w:bCs/>
          <w:color w:val="000000"/>
        </w:rPr>
        <w:t xml:space="preserve">70s, have less than $1 million each.   They wish to leave assets in trust to each other for all the various non-tax reasons herein, but want to preserve the second step up in basis at the second death.  Using a QTIP design requires the first decedent’s executor to file a costly Form 706 with the appropriate QTIP election - otherwise, it’s no different than a bypass trust, and won’t get a step up in basis at the second spouse’s death.  However, using a GPOA marital trust does not require such a filing.  Even if </w:t>
      </w:r>
      <w:r w:rsidRPr="00F97B69">
        <w:rPr>
          <w:rFonts w:ascii="Calibri" w:hAnsi="Calibri" w:cs="Helv"/>
          <w:bCs/>
          <w:i/>
          <w:color w:val="000000"/>
        </w:rPr>
        <w:t xml:space="preserve">no </w:t>
      </w:r>
      <w:r w:rsidRPr="00F97B69">
        <w:rPr>
          <w:rFonts w:ascii="Calibri" w:hAnsi="Calibri" w:cs="Helv"/>
          <w:bCs/>
          <w:color w:val="000000"/>
        </w:rPr>
        <w:t>Form 706</w:t>
      </w:r>
      <w:r w:rsidR="00AC1B9F">
        <w:rPr>
          <w:rFonts w:ascii="Calibri" w:hAnsi="Calibri" w:cs="Helv"/>
          <w:bCs/>
          <w:color w:val="000000"/>
        </w:rPr>
        <w:t xml:space="preserve"> is filed at the first death, </w:t>
      </w:r>
      <w:r>
        <w:rPr>
          <w:rFonts w:ascii="Calibri" w:hAnsi="Calibri" w:cs="Helv"/>
          <w:bCs/>
          <w:color w:val="000000"/>
        </w:rPr>
        <w:t xml:space="preserve">assets in </w:t>
      </w:r>
      <w:r w:rsidR="00AC1B9F">
        <w:rPr>
          <w:rFonts w:ascii="Calibri" w:hAnsi="Calibri" w:cs="Helv"/>
          <w:bCs/>
          <w:color w:val="000000"/>
        </w:rPr>
        <w:t>a</w:t>
      </w:r>
      <w:r>
        <w:rPr>
          <w:rFonts w:ascii="Calibri" w:hAnsi="Calibri" w:cs="Helv"/>
          <w:bCs/>
          <w:color w:val="000000"/>
        </w:rPr>
        <w:t xml:space="preserve"> GPOA marital get a new adjusted basis at the second death</w:t>
      </w:r>
      <w:r w:rsidR="00AC1B9F">
        <w:rPr>
          <w:rFonts w:ascii="Calibri" w:hAnsi="Calibri" w:cs="Helv"/>
          <w:bCs/>
          <w:color w:val="000000"/>
        </w:rPr>
        <w:t>, even if the estate of the first spouse is still being settled</w:t>
      </w:r>
      <w:r>
        <w:rPr>
          <w:rFonts w:ascii="Calibri" w:hAnsi="Calibri" w:cs="Helv"/>
          <w:bCs/>
          <w:color w:val="000000"/>
        </w:rPr>
        <w:t>.</w:t>
      </w:r>
      <w:r>
        <w:rPr>
          <w:rStyle w:val="FootnoteReference"/>
          <w:rFonts w:ascii="Calibri" w:hAnsi="Calibri" w:cs="Helv"/>
          <w:bCs/>
          <w:color w:val="000000"/>
        </w:rPr>
        <w:footnoteReference w:id="37"/>
      </w:r>
      <w:r>
        <w:rPr>
          <w:rFonts w:ascii="Calibri" w:hAnsi="Calibri" w:cs="Helv"/>
          <w:bCs/>
          <w:color w:val="000000"/>
        </w:rPr>
        <w:t xml:space="preserve">  </w:t>
      </w:r>
    </w:p>
    <w:p w14:paraId="56F4E84C" w14:textId="77777777" w:rsidR="00491FB5" w:rsidRDefault="00491FB5" w:rsidP="00DE703B">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GPOA trusts may also be preferred for taxpayers in states such as New York and New Jersey that do not permit a separate state QTIP election.</w:t>
      </w:r>
      <w:r>
        <w:rPr>
          <w:rStyle w:val="FootnoteReference"/>
          <w:rFonts w:ascii="Calibri" w:hAnsi="Calibri" w:cs="Helv"/>
          <w:bCs/>
          <w:color w:val="000000"/>
        </w:rPr>
        <w:footnoteReference w:id="38"/>
      </w:r>
    </w:p>
    <w:p w14:paraId="3C01E221" w14:textId="77777777" w:rsidR="0068219D" w:rsidRPr="0068219D" w:rsidRDefault="0068219D" w:rsidP="0014415F">
      <w:pPr>
        <w:autoSpaceDE w:val="0"/>
        <w:autoSpaceDN w:val="0"/>
        <w:adjustRightInd w:val="0"/>
        <w:spacing w:line="360" w:lineRule="auto"/>
        <w:ind w:firstLine="720"/>
        <w:jc w:val="both"/>
        <w:rPr>
          <w:rFonts w:ascii="Calibri" w:hAnsi="Calibri" w:cs="Helv"/>
          <w:b/>
          <w:bCs/>
          <w:color w:val="000000"/>
        </w:rPr>
      </w:pPr>
      <w:r w:rsidRPr="0068219D">
        <w:rPr>
          <w:rFonts w:ascii="Calibri" w:hAnsi="Calibri" w:cs="Helv"/>
          <w:bCs/>
          <w:color w:val="000000"/>
        </w:rPr>
        <w:t>c.</w:t>
      </w:r>
      <w:r w:rsidRPr="0068219D">
        <w:rPr>
          <w:rFonts w:ascii="Calibri" w:hAnsi="Calibri" w:cs="Helv"/>
          <w:bCs/>
          <w:color w:val="000000"/>
        </w:rPr>
        <w:tab/>
      </w:r>
      <w:r w:rsidRPr="0068219D">
        <w:rPr>
          <w:rFonts w:ascii="Calibri" w:hAnsi="Calibri" w:cs="Helv"/>
          <w:b/>
          <w:bCs/>
          <w:color w:val="000000"/>
        </w:rPr>
        <w:t>Rev. Proc. 2001-38 for QTIPs</w:t>
      </w:r>
      <w:r w:rsidR="00FE0068">
        <w:rPr>
          <w:rFonts w:ascii="Calibri" w:hAnsi="Calibri" w:cs="Helv"/>
          <w:b/>
          <w:bCs/>
          <w:color w:val="000000"/>
        </w:rPr>
        <w:t xml:space="preserve"> Superseded by Rev. Proc. 2016-49</w:t>
      </w:r>
      <w:r w:rsidR="001B065A">
        <w:rPr>
          <w:rStyle w:val="FootnoteReference"/>
          <w:rFonts w:ascii="Calibri" w:hAnsi="Calibri" w:cs="Helv"/>
          <w:b/>
          <w:bCs/>
          <w:color w:val="000000"/>
        </w:rPr>
        <w:footnoteReference w:id="39"/>
      </w:r>
      <w:r w:rsidRPr="0068219D">
        <w:rPr>
          <w:rFonts w:ascii="Calibri" w:hAnsi="Calibri" w:cs="Helv"/>
          <w:b/>
          <w:bCs/>
          <w:color w:val="000000"/>
        </w:rPr>
        <w:t xml:space="preserve"> </w:t>
      </w:r>
    </w:p>
    <w:p w14:paraId="31034B41" w14:textId="77777777" w:rsidR="008A5133" w:rsidRDefault="00044225" w:rsidP="0014415F">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lastRenderedPageBreak/>
        <w:t>Some practitioners may have turned to</w:t>
      </w:r>
      <w:r w:rsidR="00491FB5">
        <w:rPr>
          <w:rFonts w:ascii="Calibri" w:hAnsi="Calibri" w:cs="Helv"/>
          <w:bCs/>
          <w:color w:val="000000"/>
        </w:rPr>
        <w:t xml:space="preserve"> marital GPOA trusts </w:t>
      </w:r>
      <w:r>
        <w:rPr>
          <w:rFonts w:ascii="Calibri" w:hAnsi="Calibri" w:cs="Helv"/>
          <w:bCs/>
          <w:color w:val="000000"/>
        </w:rPr>
        <w:t>f</w:t>
      </w:r>
      <w:r w:rsidR="00491FB5">
        <w:rPr>
          <w:rFonts w:ascii="Calibri" w:hAnsi="Calibri" w:cs="Helv"/>
          <w:bCs/>
          <w:color w:val="000000"/>
        </w:rPr>
        <w:t xml:space="preserve">or taxpayers with estates under the applicable exclusion amount </w:t>
      </w:r>
      <w:r>
        <w:rPr>
          <w:rFonts w:ascii="Calibri" w:hAnsi="Calibri" w:cs="Helv"/>
          <w:bCs/>
          <w:color w:val="000000"/>
        </w:rPr>
        <w:t xml:space="preserve">because of </w:t>
      </w:r>
      <w:r w:rsidR="001237DF">
        <w:rPr>
          <w:rFonts w:ascii="Calibri" w:hAnsi="Calibri" w:cs="Helv"/>
          <w:bCs/>
          <w:color w:val="000000"/>
        </w:rPr>
        <w:t xml:space="preserve">the </w:t>
      </w:r>
      <w:r w:rsidR="00491FB5">
        <w:rPr>
          <w:rFonts w:ascii="Calibri" w:hAnsi="Calibri" w:cs="Helv"/>
          <w:bCs/>
          <w:color w:val="000000"/>
        </w:rPr>
        <w:t xml:space="preserve">potential threat </w:t>
      </w:r>
      <w:r>
        <w:rPr>
          <w:rFonts w:ascii="Calibri" w:hAnsi="Calibri" w:cs="Helv"/>
          <w:bCs/>
          <w:color w:val="000000"/>
        </w:rPr>
        <w:t xml:space="preserve">some had feared was </w:t>
      </w:r>
      <w:r w:rsidR="00491FB5">
        <w:rPr>
          <w:rFonts w:ascii="Calibri" w:hAnsi="Calibri" w:cs="Helv"/>
          <w:bCs/>
          <w:color w:val="000000"/>
        </w:rPr>
        <w:t>posed by IRS Rev. Proc. 2001-38.   Rev. Proc. 2001-38 outline</w:t>
      </w:r>
      <w:r w:rsidR="00FE0068">
        <w:rPr>
          <w:rFonts w:ascii="Calibri" w:hAnsi="Calibri" w:cs="Helv"/>
          <w:bCs/>
          <w:color w:val="000000"/>
        </w:rPr>
        <w:t>d</w:t>
      </w:r>
      <w:r w:rsidR="00491FB5">
        <w:rPr>
          <w:rFonts w:ascii="Calibri" w:hAnsi="Calibri" w:cs="Helv"/>
          <w:bCs/>
          <w:color w:val="000000"/>
        </w:rPr>
        <w:t xml:space="preserve"> a procedure </w:t>
      </w:r>
      <w:r w:rsidR="008A5133">
        <w:rPr>
          <w:rFonts w:ascii="Calibri" w:hAnsi="Calibri" w:cs="Helv"/>
          <w:bCs/>
          <w:color w:val="000000"/>
        </w:rPr>
        <w:t>whereupon, pursuant to taxpayer petition,</w:t>
      </w:r>
      <w:r w:rsidR="00491FB5">
        <w:rPr>
          <w:rFonts w:ascii="Calibri" w:hAnsi="Calibri" w:cs="Helv"/>
          <w:bCs/>
          <w:color w:val="000000"/>
        </w:rPr>
        <w:t xml:space="preserve"> a </w:t>
      </w:r>
      <w:r>
        <w:rPr>
          <w:rFonts w:ascii="Calibri" w:hAnsi="Calibri" w:cs="Helv"/>
          <w:bCs/>
          <w:color w:val="000000"/>
        </w:rPr>
        <w:t xml:space="preserve">prior </w:t>
      </w:r>
      <w:r w:rsidR="00491FB5">
        <w:rPr>
          <w:rFonts w:ascii="Calibri" w:hAnsi="Calibri" w:cs="Helv"/>
          <w:bCs/>
          <w:color w:val="000000"/>
        </w:rPr>
        <w:t>QTIP election</w:t>
      </w:r>
      <w:r w:rsidR="008A5133">
        <w:rPr>
          <w:rFonts w:ascii="Calibri" w:hAnsi="Calibri" w:cs="Helv"/>
          <w:bCs/>
          <w:color w:val="000000"/>
        </w:rPr>
        <w:t xml:space="preserve"> </w:t>
      </w:r>
      <w:r>
        <w:rPr>
          <w:rFonts w:ascii="Calibri" w:hAnsi="Calibri" w:cs="Helv"/>
          <w:bCs/>
          <w:color w:val="000000"/>
        </w:rPr>
        <w:t>would</w:t>
      </w:r>
      <w:r w:rsidR="008A5133">
        <w:rPr>
          <w:rFonts w:ascii="Calibri" w:hAnsi="Calibri" w:cs="Helv"/>
          <w:bCs/>
          <w:color w:val="000000"/>
        </w:rPr>
        <w:t xml:space="preserve"> be disregarded</w:t>
      </w:r>
      <w:r w:rsidR="00491FB5">
        <w:rPr>
          <w:rFonts w:ascii="Calibri" w:hAnsi="Calibri" w:cs="Helv"/>
          <w:bCs/>
          <w:color w:val="000000"/>
        </w:rPr>
        <w:t>,</w:t>
      </w:r>
      <w:r w:rsidR="00491FB5" w:rsidRPr="007066EF">
        <w:rPr>
          <w:rFonts w:ascii="Calibri" w:hAnsi="Calibri" w:cs="Helv"/>
          <w:bCs/>
          <w:color w:val="000000"/>
        </w:rPr>
        <w:t xml:space="preserve"> </w:t>
      </w:r>
      <w:r w:rsidR="00491FB5">
        <w:rPr>
          <w:rFonts w:ascii="Calibri" w:hAnsi="Calibri" w:cs="Helv"/>
          <w:bCs/>
          <w:color w:val="000000"/>
        </w:rPr>
        <w:t xml:space="preserve">even though the election is irrevocable, under certain circumstances.  </w:t>
      </w:r>
      <w:r>
        <w:rPr>
          <w:rFonts w:ascii="Calibri" w:hAnsi="Calibri" w:cs="Helv"/>
          <w:bCs/>
          <w:color w:val="000000"/>
        </w:rPr>
        <w:t>The procedure</w:t>
      </w:r>
      <w:r w:rsidR="00491FB5">
        <w:rPr>
          <w:rFonts w:ascii="Calibri" w:hAnsi="Calibri" w:cs="Helv"/>
          <w:bCs/>
          <w:color w:val="000000"/>
        </w:rPr>
        <w:t xml:space="preserve"> was clearly designed to </w:t>
      </w:r>
      <w:r w:rsidR="008A5133">
        <w:rPr>
          <w:rFonts w:ascii="Calibri" w:hAnsi="Calibri" w:cs="Helv"/>
          <w:bCs/>
          <w:color w:val="000000"/>
        </w:rPr>
        <w:t>help taxpayers who</w:t>
      </w:r>
      <w:r w:rsidR="00491FB5">
        <w:rPr>
          <w:rFonts w:ascii="Calibri" w:hAnsi="Calibri" w:cs="Helv"/>
          <w:bCs/>
          <w:color w:val="000000"/>
        </w:rPr>
        <w:t xml:space="preserve"> over-qtipped what should have remained a bypass trust</w:t>
      </w:r>
      <w:r w:rsidR="008A5133">
        <w:rPr>
          <w:rFonts w:ascii="Calibri" w:hAnsi="Calibri" w:cs="Helv"/>
          <w:bCs/>
          <w:color w:val="000000"/>
        </w:rPr>
        <w:t xml:space="preserve"> where it was unnecessary to reduce estate tax</w:t>
      </w:r>
      <w:r w:rsidR="00491FB5">
        <w:rPr>
          <w:rFonts w:ascii="Calibri" w:hAnsi="Calibri" w:cs="Helv"/>
          <w:bCs/>
          <w:color w:val="000000"/>
        </w:rPr>
        <w:t xml:space="preserve">.  </w:t>
      </w:r>
      <w:r w:rsidR="00FE0068">
        <w:rPr>
          <w:rFonts w:ascii="Calibri" w:hAnsi="Calibri" w:cs="Helv"/>
          <w:bCs/>
          <w:color w:val="000000"/>
        </w:rPr>
        <w:t>Practitioners had feared</w:t>
      </w:r>
      <w:r w:rsidR="00491FB5">
        <w:rPr>
          <w:rFonts w:ascii="Calibri" w:hAnsi="Calibri" w:cs="Helv"/>
          <w:bCs/>
          <w:color w:val="000000"/>
        </w:rPr>
        <w:t xml:space="preserve"> the IRS </w:t>
      </w:r>
      <w:r w:rsidR="007A7D82">
        <w:rPr>
          <w:rFonts w:ascii="Calibri" w:hAnsi="Calibri" w:cs="Helv"/>
          <w:bCs/>
          <w:color w:val="000000"/>
        </w:rPr>
        <w:t>would</w:t>
      </w:r>
      <w:r w:rsidR="00491FB5">
        <w:rPr>
          <w:rFonts w:ascii="Calibri" w:hAnsi="Calibri" w:cs="Helv"/>
          <w:bCs/>
          <w:color w:val="000000"/>
        </w:rPr>
        <w:t xml:space="preserve"> use it as a weapon against a taxpayer’s interests, </w:t>
      </w:r>
      <w:r w:rsidR="00FE0068">
        <w:rPr>
          <w:rFonts w:ascii="Calibri" w:hAnsi="Calibri" w:cs="Helv"/>
          <w:bCs/>
          <w:color w:val="000000"/>
        </w:rPr>
        <w:t xml:space="preserve">because it </w:t>
      </w:r>
      <w:r w:rsidR="00491FB5">
        <w:rPr>
          <w:rFonts w:ascii="Calibri" w:hAnsi="Calibri" w:cs="Helv"/>
          <w:bCs/>
          <w:color w:val="000000"/>
        </w:rPr>
        <w:t>purportedly allow</w:t>
      </w:r>
      <w:r w:rsidR="00FE0068">
        <w:rPr>
          <w:rFonts w:ascii="Calibri" w:hAnsi="Calibri" w:cs="Helv"/>
          <w:bCs/>
          <w:color w:val="000000"/>
        </w:rPr>
        <w:t>ed</w:t>
      </w:r>
      <w:r w:rsidR="00491FB5">
        <w:rPr>
          <w:rFonts w:ascii="Calibri" w:hAnsi="Calibri" w:cs="Helv"/>
          <w:bCs/>
          <w:color w:val="000000"/>
        </w:rPr>
        <w:t xml:space="preserve"> them to “disregard the [QTIP] election and treat it as null and void for purposes of sections 2044(a), 2056(b)(7), 2519(a) and 2652.”</w:t>
      </w:r>
      <w:r w:rsidR="00491FB5">
        <w:rPr>
          <w:rStyle w:val="FootnoteReference"/>
          <w:rFonts w:ascii="Calibri" w:hAnsi="Calibri" w:cs="Helv"/>
          <w:bCs/>
          <w:color w:val="000000"/>
        </w:rPr>
        <w:footnoteReference w:id="40"/>
      </w:r>
      <w:r w:rsidR="00491FB5">
        <w:rPr>
          <w:rFonts w:ascii="Calibri" w:hAnsi="Calibri" w:cs="Helv"/>
          <w:bCs/>
          <w:color w:val="000000"/>
        </w:rPr>
        <w:t xml:space="preserve">  Since the basis rules under IRC §1014(b)(10) reference inclusion via IRC §2044, this would be a problem in preserving a second basis increase, because denying the QTIP election would deny inclusion under IRC §2044, and hence deny the new basis.  </w:t>
      </w:r>
    </w:p>
    <w:p w14:paraId="28FD30FB" w14:textId="77777777" w:rsidR="004875D9" w:rsidRDefault="00FE0068" w:rsidP="0014415F">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This fear was always misguided (the IRS cannot simply overrule a statutory right), but </w:t>
      </w:r>
      <w:r w:rsidR="007A7D82">
        <w:rPr>
          <w:rFonts w:ascii="Calibri" w:hAnsi="Calibri" w:cs="Helv"/>
          <w:bCs/>
          <w:color w:val="000000"/>
        </w:rPr>
        <w:t xml:space="preserve">thankfully </w:t>
      </w:r>
      <w:r>
        <w:rPr>
          <w:rFonts w:ascii="Calibri" w:hAnsi="Calibri" w:cs="Helv"/>
          <w:bCs/>
          <w:color w:val="000000"/>
        </w:rPr>
        <w:t xml:space="preserve">the IRS confirmed </w:t>
      </w:r>
      <w:r w:rsidR="00044225">
        <w:rPr>
          <w:rFonts w:ascii="Calibri" w:hAnsi="Calibri" w:cs="Helv"/>
          <w:bCs/>
          <w:color w:val="000000"/>
        </w:rPr>
        <w:t xml:space="preserve">this </w:t>
      </w:r>
      <w:r>
        <w:rPr>
          <w:rFonts w:ascii="Calibri" w:hAnsi="Calibri" w:cs="Helv"/>
          <w:bCs/>
          <w:color w:val="000000"/>
        </w:rPr>
        <w:t xml:space="preserve">in </w:t>
      </w:r>
      <w:r w:rsidR="00044225">
        <w:rPr>
          <w:rFonts w:ascii="Calibri" w:hAnsi="Calibri" w:cs="Helv"/>
          <w:bCs/>
          <w:color w:val="000000"/>
        </w:rPr>
        <w:t xml:space="preserve">issuing </w:t>
      </w:r>
      <w:r>
        <w:rPr>
          <w:rFonts w:ascii="Calibri" w:hAnsi="Calibri" w:cs="Helv"/>
          <w:bCs/>
          <w:color w:val="000000"/>
        </w:rPr>
        <w:t xml:space="preserve">Rev. Proc. 2016-49, which supersedes Rev. Proc. 2001-38. </w:t>
      </w:r>
      <w:r w:rsidR="00044225">
        <w:rPr>
          <w:rFonts w:ascii="Calibri" w:hAnsi="Calibri" w:cs="Helv"/>
          <w:bCs/>
          <w:color w:val="000000"/>
        </w:rPr>
        <w:t>The IRS confirmed that it will not unilaterally attempt to undo a valid QTIP election, even if it is unnecessary to reduce the estate tax.</w:t>
      </w:r>
    </w:p>
    <w:p w14:paraId="144CE24E" w14:textId="77777777" w:rsidR="00491FB5" w:rsidRDefault="00C46C54" w:rsidP="00C46C54">
      <w:pPr>
        <w:autoSpaceDE w:val="0"/>
        <w:autoSpaceDN w:val="0"/>
        <w:adjustRightInd w:val="0"/>
        <w:spacing w:line="360" w:lineRule="auto"/>
        <w:ind w:firstLine="720"/>
        <w:jc w:val="both"/>
        <w:rPr>
          <w:rFonts w:ascii="Calibri" w:hAnsi="Calibri" w:cs="Helv"/>
          <w:bCs/>
          <w:color w:val="000000"/>
        </w:rPr>
      </w:pPr>
      <w:r w:rsidRPr="00C46C54">
        <w:rPr>
          <w:rFonts w:ascii="Calibri" w:hAnsi="Calibri" w:cs="Helv"/>
          <w:bCs/>
          <w:color w:val="000000"/>
        </w:rPr>
        <w:t xml:space="preserve">While the updated </w:t>
      </w:r>
      <w:r w:rsidR="002B14D4">
        <w:rPr>
          <w:rFonts w:ascii="Calibri" w:hAnsi="Calibri" w:cs="Helv"/>
          <w:bCs/>
          <w:color w:val="000000"/>
        </w:rPr>
        <w:t xml:space="preserve">revenue </w:t>
      </w:r>
      <w:r w:rsidRPr="00C46C54">
        <w:rPr>
          <w:rFonts w:ascii="Calibri" w:hAnsi="Calibri" w:cs="Helv"/>
          <w:bCs/>
          <w:color w:val="000000"/>
        </w:rPr>
        <w:t>procedure is</w:t>
      </w:r>
      <w:r>
        <w:rPr>
          <w:rFonts w:ascii="Calibri" w:hAnsi="Calibri" w:cs="Helv"/>
          <w:bCs/>
          <w:color w:val="000000"/>
        </w:rPr>
        <w:t xml:space="preserve"> </w:t>
      </w:r>
      <w:r w:rsidRPr="00C46C54">
        <w:rPr>
          <w:rFonts w:ascii="Calibri" w:hAnsi="Calibri" w:cs="Helv"/>
          <w:bCs/>
          <w:color w:val="000000"/>
        </w:rPr>
        <w:t>mostly welcome news, there is a new provision that shut downs any</w:t>
      </w:r>
      <w:r>
        <w:rPr>
          <w:rFonts w:ascii="Calibri" w:hAnsi="Calibri" w:cs="Helv"/>
          <w:bCs/>
          <w:color w:val="000000"/>
        </w:rPr>
        <w:t xml:space="preserve"> </w:t>
      </w:r>
      <w:r w:rsidRPr="00C46C54">
        <w:rPr>
          <w:rFonts w:ascii="Calibri" w:hAnsi="Calibri" w:cs="Helv"/>
          <w:bCs/>
          <w:color w:val="000000"/>
        </w:rPr>
        <w:t>opportunity to undo the QTIP election whenever portability is elected</w:t>
      </w:r>
      <w:r>
        <w:rPr>
          <w:rFonts w:ascii="Calibri" w:hAnsi="Calibri" w:cs="Helv"/>
          <w:bCs/>
          <w:color w:val="000000"/>
        </w:rPr>
        <w:t xml:space="preserve">, closing a loophole </w:t>
      </w:r>
      <w:r w:rsidR="002B14D4">
        <w:rPr>
          <w:rFonts w:ascii="Calibri" w:hAnsi="Calibri" w:cs="Helv"/>
          <w:bCs/>
          <w:color w:val="000000"/>
        </w:rPr>
        <w:t xml:space="preserve">that had been </w:t>
      </w:r>
      <w:r>
        <w:rPr>
          <w:rFonts w:ascii="Calibri" w:hAnsi="Calibri" w:cs="Helv"/>
          <w:bCs/>
          <w:color w:val="000000"/>
        </w:rPr>
        <w:t>left open in Rev. Proc 2001-38</w:t>
      </w:r>
      <w:r w:rsidRPr="00C46C54">
        <w:rPr>
          <w:rFonts w:ascii="Calibri" w:hAnsi="Calibri" w:cs="Helv"/>
          <w:bCs/>
          <w:color w:val="000000"/>
        </w:rPr>
        <w:t xml:space="preserve">. </w:t>
      </w:r>
      <w:r w:rsidR="002B14D4">
        <w:rPr>
          <w:rFonts w:ascii="Calibri" w:hAnsi="Calibri" w:cs="Helv"/>
          <w:bCs/>
          <w:color w:val="000000"/>
        </w:rPr>
        <w:t xml:space="preserve"> </w:t>
      </w:r>
      <w:r w:rsidR="007A7D82">
        <w:rPr>
          <w:rFonts w:ascii="Calibri" w:hAnsi="Calibri" w:cs="Helv"/>
          <w:bCs/>
          <w:color w:val="000000"/>
        </w:rPr>
        <w:t>This does create a potential</w:t>
      </w:r>
      <w:r w:rsidRPr="00C46C54">
        <w:rPr>
          <w:rFonts w:ascii="Calibri" w:hAnsi="Calibri" w:cs="Helv"/>
          <w:bCs/>
          <w:color w:val="000000"/>
        </w:rPr>
        <w:t xml:space="preserve"> tax </w:t>
      </w:r>
      <w:r w:rsidRPr="00A9014A">
        <w:rPr>
          <w:rFonts w:ascii="Calibri" w:hAnsi="Calibri" w:cs="Helv"/>
          <w:bCs/>
          <w:i/>
          <w:color w:val="000000"/>
        </w:rPr>
        <w:t>opportunity cost</w:t>
      </w:r>
      <w:r w:rsidRPr="00C46C54">
        <w:rPr>
          <w:rFonts w:ascii="Calibri" w:hAnsi="Calibri" w:cs="Helv"/>
          <w:bCs/>
          <w:color w:val="000000"/>
        </w:rPr>
        <w:t xml:space="preserve"> for</w:t>
      </w:r>
      <w:r>
        <w:rPr>
          <w:rFonts w:ascii="Calibri" w:hAnsi="Calibri" w:cs="Helv"/>
          <w:bCs/>
          <w:color w:val="000000"/>
        </w:rPr>
        <w:t xml:space="preserve"> </w:t>
      </w:r>
      <w:r w:rsidRPr="00C46C54">
        <w:rPr>
          <w:rFonts w:ascii="Calibri" w:hAnsi="Calibri" w:cs="Helv"/>
          <w:bCs/>
          <w:color w:val="000000"/>
        </w:rPr>
        <w:t>estates with QTIP trusts making portability elections.</w:t>
      </w:r>
    </w:p>
    <w:p w14:paraId="64928AFF" w14:textId="77777777" w:rsidR="00044225" w:rsidRDefault="002B14D4" w:rsidP="0014415F">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To explain these latter points, imagine the</w:t>
      </w:r>
      <w:r w:rsidR="0068219D" w:rsidRPr="0068219D">
        <w:rPr>
          <w:rFonts w:ascii="Calibri" w:hAnsi="Calibri" w:cs="Helv"/>
          <w:bCs/>
          <w:color w:val="000000"/>
        </w:rPr>
        <w:t xml:space="preserve"> surviving spouse dies after a “market correction”, be it the bond market, stock market, real estate market, </w:t>
      </w:r>
      <w:r w:rsidR="00367405">
        <w:rPr>
          <w:rFonts w:ascii="Calibri" w:hAnsi="Calibri" w:cs="Helv"/>
          <w:bCs/>
          <w:color w:val="000000"/>
        </w:rPr>
        <w:t xml:space="preserve">or other, </w:t>
      </w:r>
      <w:r>
        <w:rPr>
          <w:rFonts w:ascii="Calibri" w:hAnsi="Calibri" w:cs="Helv"/>
          <w:bCs/>
          <w:color w:val="000000"/>
        </w:rPr>
        <w:t xml:space="preserve">such that the second death causes a step </w:t>
      </w:r>
      <w:r w:rsidRPr="002B14D4">
        <w:rPr>
          <w:rFonts w:ascii="Calibri" w:hAnsi="Calibri" w:cs="Helv"/>
          <w:bCs/>
          <w:i/>
          <w:color w:val="000000"/>
        </w:rPr>
        <w:t>down</w:t>
      </w:r>
      <w:r>
        <w:rPr>
          <w:rFonts w:ascii="Calibri" w:hAnsi="Calibri" w:cs="Helv"/>
          <w:bCs/>
          <w:color w:val="000000"/>
        </w:rPr>
        <w:t xml:space="preserve">, not a step </w:t>
      </w:r>
      <w:r w:rsidRPr="002B14D4">
        <w:rPr>
          <w:rFonts w:ascii="Calibri" w:hAnsi="Calibri" w:cs="Helv"/>
          <w:bCs/>
          <w:i/>
          <w:color w:val="000000"/>
        </w:rPr>
        <w:t>up</w:t>
      </w:r>
      <w:r w:rsidR="0068219D" w:rsidRPr="0068219D">
        <w:rPr>
          <w:rFonts w:ascii="Calibri" w:hAnsi="Calibri" w:cs="Helv"/>
          <w:bCs/>
          <w:color w:val="000000"/>
        </w:rPr>
        <w:t xml:space="preserve">.  </w:t>
      </w:r>
      <w:r w:rsidR="008A5133">
        <w:rPr>
          <w:rFonts w:ascii="Calibri" w:hAnsi="Calibri" w:cs="Helv"/>
          <w:bCs/>
          <w:color w:val="000000"/>
        </w:rPr>
        <w:t xml:space="preserve">For example, </w:t>
      </w:r>
      <w:r w:rsidR="00F43398">
        <w:rPr>
          <w:rFonts w:ascii="Calibri" w:hAnsi="Calibri" w:cs="Helv"/>
          <w:bCs/>
          <w:color w:val="000000"/>
        </w:rPr>
        <w:t>the</w:t>
      </w:r>
      <w:r w:rsidR="0068219D" w:rsidRPr="0068219D">
        <w:rPr>
          <w:rFonts w:ascii="Calibri" w:hAnsi="Calibri" w:cs="Helv"/>
          <w:bCs/>
          <w:color w:val="000000"/>
        </w:rPr>
        <w:t xml:space="preserve"> QTIP </w:t>
      </w:r>
      <w:r w:rsidR="00F43398">
        <w:rPr>
          <w:rFonts w:ascii="Calibri" w:hAnsi="Calibri" w:cs="Helv"/>
          <w:bCs/>
          <w:color w:val="000000"/>
        </w:rPr>
        <w:t>holds</w:t>
      </w:r>
      <w:r w:rsidR="00F279B4">
        <w:rPr>
          <w:rFonts w:ascii="Calibri" w:hAnsi="Calibri" w:cs="Helv"/>
          <w:bCs/>
          <w:color w:val="000000"/>
        </w:rPr>
        <w:t xml:space="preserve"> assets</w:t>
      </w:r>
      <w:r w:rsidR="0068219D" w:rsidRPr="0068219D">
        <w:rPr>
          <w:rFonts w:ascii="Calibri" w:hAnsi="Calibri" w:cs="Helv"/>
          <w:bCs/>
          <w:color w:val="000000"/>
        </w:rPr>
        <w:t xml:space="preserve"> worth $3 million, with </w:t>
      </w:r>
      <w:r w:rsidR="00F43398">
        <w:rPr>
          <w:rFonts w:ascii="Calibri" w:hAnsi="Calibri" w:cs="Helv"/>
          <w:bCs/>
          <w:color w:val="000000"/>
        </w:rPr>
        <w:t xml:space="preserve">a </w:t>
      </w:r>
      <w:r w:rsidR="0068219D" w:rsidRPr="0068219D">
        <w:rPr>
          <w:rFonts w:ascii="Calibri" w:hAnsi="Calibri" w:cs="Helv"/>
          <w:bCs/>
          <w:color w:val="000000"/>
        </w:rPr>
        <w:t>basis</w:t>
      </w:r>
      <w:r w:rsidR="00F43398">
        <w:rPr>
          <w:rFonts w:ascii="Calibri" w:hAnsi="Calibri" w:cs="Helv"/>
          <w:bCs/>
          <w:color w:val="000000"/>
        </w:rPr>
        <w:t xml:space="preserve"> of</w:t>
      </w:r>
      <w:r w:rsidR="0068219D" w:rsidRPr="0068219D">
        <w:rPr>
          <w:rFonts w:ascii="Calibri" w:hAnsi="Calibri" w:cs="Helv"/>
          <w:bCs/>
          <w:color w:val="000000"/>
        </w:rPr>
        <w:t xml:space="preserve"> </w:t>
      </w:r>
      <w:r w:rsidR="0068219D" w:rsidRPr="00367405">
        <w:rPr>
          <w:rFonts w:ascii="Calibri" w:hAnsi="Calibri" w:cs="Helv"/>
          <w:bCs/>
          <w:i/>
          <w:color w:val="000000"/>
        </w:rPr>
        <w:t>$4 million</w:t>
      </w:r>
      <w:r w:rsidR="0068219D" w:rsidRPr="0068219D">
        <w:rPr>
          <w:rFonts w:ascii="Calibri" w:hAnsi="Calibri" w:cs="Helv"/>
          <w:bCs/>
          <w:color w:val="000000"/>
        </w:rPr>
        <w:t>.  The QTIP election wasn’t needed</w:t>
      </w:r>
      <w:r w:rsidR="008A5133">
        <w:rPr>
          <w:rFonts w:ascii="Calibri" w:hAnsi="Calibri" w:cs="Helv"/>
          <w:bCs/>
          <w:color w:val="000000"/>
        </w:rPr>
        <w:t xml:space="preserve"> </w:t>
      </w:r>
      <w:r w:rsidR="00F43398">
        <w:rPr>
          <w:rFonts w:ascii="Calibri" w:hAnsi="Calibri" w:cs="Helv"/>
          <w:bCs/>
          <w:color w:val="000000"/>
        </w:rPr>
        <w:t xml:space="preserve">for estate or income tax purposes </w:t>
      </w:r>
      <w:r w:rsidR="008A5133">
        <w:rPr>
          <w:rFonts w:ascii="Calibri" w:hAnsi="Calibri" w:cs="Helv"/>
          <w:bCs/>
          <w:color w:val="000000"/>
        </w:rPr>
        <w:t>and, with 20/20 hindsight,</w:t>
      </w:r>
      <w:r w:rsidR="0068219D" w:rsidRPr="0068219D">
        <w:rPr>
          <w:rFonts w:ascii="Calibri" w:hAnsi="Calibri" w:cs="Helv"/>
          <w:bCs/>
          <w:color w:val="000000"/>
        </w:rPr>
        <w:t xml:space="preserve"> isn</w:t>
      </w:r>
      <w:r w:rsidR="00F279B4">
        <w:rPr>
          <w:rFonts w:ascii="Calibri" w:hAnsi="Calibri" w:cs="Helv"/>
          <w:bCs/>
          <w:color w:val="000000"/>
        </w:rPr>
        <w:t>’t desired</w:t>
      </w:r>
      <w:r w:rsidR="008A5133">
        <w:rPr>
          <w:rFonts w:ascii="Calibri" w:hAnsi="Calibri" w:cs="Helv"/>
          <w:bCs/>
          <w:color w:val="000000"/>
        </w:rPr>
        <w:t xml:space="preserve">. </w:t>
      </w:r>
      <w:r w:rsidR="00F279B4">
        <w:rPr>
          <w:rFonts w:ascii="Calibri" w:hAnsi="Calibri" w:cs="Helv"/>
          <w:bCs/>
          <w:color w:val="000000"/>
        </w:rPr>
        <w:t xml:space="preserve"> </w:t>
      </w:r>
      <w:r w:rsidR="008A5133">
        <w:rPr>
          <w:rFonts w:ascii="Calibri" w:hAnsi="Calibri" w:cs="Helv"/>
          <w:bCs/>
          <w:color w:val="000000"/>
        </w:rPr>
        <w:t>It</w:t>
      </w:r>
      <w:r w:rsidR="0068219D" w:rsidRPr="0068219D">
        <w:rPr>
          <w:rFonts w:ascii="Calibri" w:hAnsi="Calibri" w:cs="Helv"/>
          <w:bCs/>
          <w:color w:val="000000"/>
        </w:rPr>
        <w:t xml:space="preserve"> was made purely on assumption that </w:t>
      </w:r>
      <w:r w:rsidR="008A5133">
        <w:rPr>
          <w:rFonts w:ascii="Calibri" w:hAnsi="Calibri" w:cs="Helv"/>
          <w:bCs/>
          <w:color w:val="000000"/>
        </w:rPr>
        <w:t xml:space="preserve">FMV would </w:t>
      </w:r>
      <w:r w:rsidR="008A5133" w:rsidRPr="008A5133">
        <w:rPr>
          <w:rFonts w:ascii="Calibri" w:hAnsi="Calibri" w:cs="Helv"/>
          <w:bCs/>
          <w:i/>
          <w:color w:val="000000"/>
        </w:rPr>
        <w:t>exceed</w:t>
      </w:r>
      <w:r w:rsidR="008A5133">
        <w:rPr>
          <w:rFonts w:ascii="Calibri" w:hAnsi="Calibri" w:cs="Helv"/>
          <w:bCs/>
          <w:color w:val="000000"/>
        </w:rPr>
        <w:t xml:space="preserve"> basis</w:t>
      </w:r>
      <w:r w:rsidR="0068219D" w:rsidRPr="0068219D">
        <w:rPr>
          <w:rFonts w:ascii="Calibri" w:hAnsi="Calibri" w:cs="Helv"/>
          <w:bCs/>
          <w:color w:val="000000"/>
        </w:rPr>
        <w:t xml:space="preserve"> by the second death.  </w:t>
      </w:r>
      <w:r>
        <w:rPr>
          <w:rFonts w:ascii="Calibri" w:hAnsi="Calibri" w:cs="Helv"/>
          <w:bCs/>
          <w:color w:val="000000"/>
        </w:rPr>
        <w:t>Previously,</w:t>
      </w:r>
      <w:r w:rsidR="0068219D" w:rsidRPr="0068219D">
        <w:rPr>
          <w:rFonts w:ascii="Calibri" w:hAnsi="Calibri" w:cs="Helv"/>
          <w:bCs/>
          <w:color w:val="000000"/>
        </w:rPr>
        <w:t xml:space="preserve"> the surviving spouse’s executor</w:t>
      </w:r>
      <w:r>
        <w:rPr>
          <w:rFonts w:ascii="Calibri" w:hAnsi="Calibri" w:cs="Helv"/>
          <w:bCs/>
          <w:color w:val="000000"/>
        </w:rPr>
        <w:t xml:space="preserve"> could have used</w:t>
      </w:r>
      <w:r w:rsidR="0068219D" w:rsidRPr="0068219D">
        <w:rPr>
          <w:rFonts w:ascii="Calibri" w:hAnsi="Calibri" w:cs="Helv"/>
          <w:bCs/>
          <w:color w:val="000000"/>
        </w:rPr>
        <w:t xml:space="preserve"> </w:t>
      </w:r>
      <w:r w:rsidRPr="0068219D">
        <w:rPr>
          <w:rFonts w:ascii="Calibri" w:hAnsi="Calibri" w:cs="Helv"/>
          <w:bCs/>
          <w:color w:val="000000"/>
        </w:rPr>
        <w:t>Rev. Proc. 2001-38</w:t>
      </w:r>
      <w:r>
        <w:rPr>
          <w:rFonts w:ascii="Calibri" w:hAnsi="Calibri" w:cs="Helv"/>
          <w:bCs/>
          <w:color w:val="000000"/>
        </w:rPr>
        <w:t xml:space="preserve"> to </w:t>
      </w:r>
      <w:r w:rsidR="0068219D" w:rsidRPr="0068219D">
        <w:rPr>
          <w:rFonts w:ascii="Calibri" w:hAnsi="Calibri" w:cs="Helv"/>
          <w:bCs/>
          <w:color w:val="000000"/>
        </w:rPr>
        <w:t xml:space="preserve">simply “undo” the QTIP election </w:t>
      </w:r>
      <w:r w:rsidR="00F279B4">
        <w:rPr>
          <w:rFonts w:ascii="Calibri" w:hAnsi="Calibri" w:cs="Helv"/>
          <w:bCs/>
          <w:color w:val="000000"/>
        </w:rPr>
        <w:t xml:space="preserve">made in the first </w:t>
      </w:r>
      <w:r w:rsidR="00F279B4">
        <w:rPr>
          <w:rFonts w:ascii="Calibri" w:hAnsi="Calibri" w:cs="Helv"/>
          <w:bCs/>
          <w:color w:val="000000"/>
        </w:rPr>
        <w:lastRenderedPageBreak/>
        <w:t xml:space="preserve">spouse’s estate </w:t>
      </w:r>
      <w:r w:rsidR="008A5133">
        <w:rPr>
          <w:rFonts w:ascii="Calibri" w:hAnsi="Calibri" w:cs="Helv"/>
          <w:bCs/>
          <w:color w:val="000000"/>
        </w:rPr>
        <w:t xml:space="preserve">to restore the original $4 million basis and prevent the step </w:t>
      </w:r>
      <w:r w:rsidR="008A5133" w:rsidRPr="008A5133">
        <w:rPr>
          <w:rFonts w:ascii="Calibri" w:hAnsi="Calibri" w:cs="Helv"/>
          <w:bCs/>
          <w:i/>
          <w:color w:val="000000"/>
        </w:rPr>
        <w:t>down</w:t>
      </w:r>
      <w:r>
        <w:rPr>
          <w:rFonts w:ascii="Calibri" w:hAnsi="Calibri" w:cs="Helv"/>
          <w:bCs/>
          <w:color w:val="000000"/>
        </w:rPr>
        <w:t xml:space="preserve">, but the new Rev. Proc. 2016-49 closes this door and only allows revisiting the QTIP election if portability were </w:t>
      </w:r>
      <w:r w:rsidRPr="00A9014A">
        <w:rPr>
          <w:rFonts w:ascii="Calibri" w:hAnsi="Calibri" w:cs="Helv"/>
          <w:bCs/>
          <w:i/>
          <w:color w:val="000000"/>
        </w:rPr>
        <w:t>not</w:t>
      </w:r>
      <w:r>
        <w:rPr>
          <w:rFonts w:ascii="Calibri" w:hAnsi="Calibri" w:cs="Helv"/>
          <w:bCs/>
          <w:color w:val="000000"/>
        </w:rPr>
        <w:t xml:space="preserve"> elected in the first spouse to die’s estate.  For spouses anticipating </w:t>
      </w:r>
      <w:r w:rsidR="00A9014A">
        <w:rPr>
          <w:rFonts w:ascii="Calibri" w:hAnsi="Calibri" w:cs="Helv"/>
          <w:bCs/>
          <w:color w:val="000000"/>
        </w:rPr>
        <w:t>combined</w:t>
      </w:r>
      <w:r>
        <w:rPr>
          <w:rFonts w:ascii="Calibri" w:hAnsi="Calibri" w:cs="Helv"/>
          <w:bCs/>
          <w:color w:val="000000"/>
        </w:rPr>
        <w:t xml:space="preserve"> estates well under $5.49 </w:t>
      </w:r>
      <w:r w:rsidR="00A9014A">
        <w:rPr>
          <w:rFonts w:ascii="Calibri" w:hAnsi="Calibri" w:cs="Helv"/>
          <w:bCs/>
          <w:color w:val="000000"/>
        </w:rPr>
        <w:t>million (now $11.18 million in 2018</w:t>
      </w:r>
      <w:r w:rsidR="00390B32">
        <w:rPr>
          <w:rFonts w:ascii="Calibri" w:hAnsi="Calibri" w:cs="Helv"/>
          <w:bCs/>
          <w:color w:val="000000"/>
        </w:rPr>
        <w:t>, $11.4 million in 2019</w:t>
      </w:r>
      <w:r w:rsidR="00A9014A">
        <w:rPr>
          <w:rFonts w:ascii="Calibri" w:hAnsi="Calibri" w:cs="Helv"/>
          <w:bCs/>
          <w:color w:val="000000"/>
        </w:rPr>
        <w:t xml:space="preserve">) </w:t>
      </w:r>
      <w:r>
        <w:rPr>
          <w:rFonts w:ascii="Calibri" w:hAnsi="Calibri" w:cs="Helv"/>
          <w:bCs/>
          <w:color w:val="000000"/>
        </w:rPr>
        <w:t xml:space="preserve">total, </w:t>
      </w:r>
      <w:r w:rsidRPr="00A9014A">
        <w:rPr>
          <w:rFonts w:ascii="Calibri" w:hAnsi="Calibri" w:cs="Helv"/>
          <w:b/>
          <w:bCs/>
          <w:color w:val="000000"/>
        </w:rPr>
        <w:t>not</w:t>
      </w:r>
      <w:r>
        <w:rPr>
          <w:rFonts w:ascii="Calibri" w:hAnsi="Calibri" w:cs="Helv"/>
          <w:bCs/>
          <w:color w:val="000000"/>
        </w:rPr>
        <w:t xml:space="preserve"> electing portability after the first spouse’s death allow</w:t>
      </w:r>
      <w:r w:rsidR="00A9014A">
        <w:rPr>
          <w:rFonts w:ascii="Calibri" w:hAnsi="Calibri" w:cs="Helv"/>
          <w:bCs/>
          <w:color w:val="000000"/>
        </w:rPr>
        <w:t>s</w:t>
      </w:r>
      <w:r>
        <w:rPr>
          <w:rFonts w:ascii="Calibri" w:hAnsi="Calibri" w:cs="Helv"/>
          <w:bCs/>
          <w:color w:val="000000"/>
        </w:rPr>
        <w:t xml:space="preserve"> the QTIP election to be revisited, but this means giving </w:t>
      </w:r>
      <w:r w:rsidR="00044225">
        <w:rPr>
          <w:rFonts w:ascii="Calibri" w:hAnsi="Calibri" w:cs="Helv"/>
          <w:bCs/>
          <w:color w:val="000000"/>
        </w:rPr>
        <w:t>up portability, which would be a hard decision for those with estates</w:t>
      </w:r>
      <w:r w:rsidR="007A7D82">
        <w:rPr>
          <w:rFonts w:ascii="Calibri" w:hAnsi="Calibri" w:cs="Helv"/>
          <w:bCs/>
          <w:color w:val="000000"/>
        </w:rPr>
        <w:t xml:space="preserve"> approaching one exclusion amount (or for those who fear the exclusion amount may someday decrease)</w:t>
      </w:r>
      <w:r w:rsidR="00044225">
        <w:rPr>
          <w:rFonts w:ascii="Calibri" w:hAnsi="Calibri" w:cs="Helv"/>
          <w:bCs/>
          <w:color w:val="000000"/>
        </w:rPr>
        <w:t>.</w:t>
      </w:r>
      <w:r w:rsidR="00390B32">
        <w:rPr>
          <w:rFonts w:ascii="Calibri" w:hAnsi="Calibri" w:cs="Helv"/>
          <w:bCs/>
          <w:color w:val="000000"/>
        </w:rPr>
        <w:t xml:space="preserve">  Still, there is a slight downside to electing portability for small estates that is usually overlooked.</w:t>
      </w:r>
    </w:p>
    <w:p w14:paraId="64EB4F79" w14:textId="77777777" w:rsidR="0068219D" w:rsidRPr="009A77E8" w:rsidRDefault="002B14D4" w:rsidP="0014415F">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  </w:t>
      </w:r>
      <w:r w:rsidR="0068219D" w:rsidRPr="0068219D">
        <w:rPr>
          <w:rFonts w:ascii="Calibri" w:hAnsi="Calibri" w:cs="Helv"/>
          <w:bCs/>
          <w:color w:val="000000"/>
        </w:rPr>
        <w:t xml:space="preserve">    </w:t>
      </w:r>
    </w:p>
    <w:p w14:paraId="3254B1F2" w14:textId="77777777" w:rsidR="00D40BC1" w:rsidRPr="00866F46" w:rsidRDefault="00D40BC1" w:rsidP="00180FD1">
      <w:pPr>
        <w:pStyle w:val="ListParagraph"/>
        <w:numPr>
          <w:ilvl w:val="1"/>
          <w:numId w:val="11"/>
        </w:numPr>
        <w:tabs>
          <w:tab w:val="num" w:pos="720"/>
        </w:tabs>
        <w:autoSpaceDE w:val="0"/>
        <w:autoSpaceDN w:val="0"/>
        <w:adjustRightInd w:val="0"/>
        <w:spacing w:line="360" w:lineRule="auto"/>
        <w:ind w:hanging="1755"/>
        <w:jc w:val="both"/>
        <w:rPr>
          <w:rFonts w:ascii="Calibri" w:hAnsi="Calibri" w:cs="Helv"/>
          <w:b/>
          <w:bCs/>
          <w:color w:val="000000"/>
        </w:rPr>
      </w:pPr>
      <w:r w:rsidRPr="00866F46">
        <w:rPr>
          <w:rFonts w:ascii="Calibri" w:hAnsi="Calibri" w:cs="Helv"/>
          <w:b/>
          <w:bCs/>
          <w:color w:val="000000"/>
        </w:rPr>
        <w:t xml:space="preserve">The Estate/Basis/Valuation Advantage </w:t>
      </w:r>
      <w:r w:rsidR="00866F46" w:rsidRPr="00866F46">
        <w:rPr>
          <w:rFonts w:ascii="Calibri" w:hAnsi="Calibri" w:cs="Helv"/>
          <w:b/>
          <w:bCs/>
          <w:color w:val="000000"/>
        </w:rPr>
        <w:t>(</w:t>
      </w:r>
      <w:r w:rsidRPr="00866F46">
        <w:rPr>
          <w:rFonts w:ascii="Calibri" w:hAnsi="Calibri" w:cs="Helv"/>
          <w:b/>
          <w:bCs/>
          <w:color w:val="000000"/>
        </w:rPr>
        <w:t xml:space="preserve">for </w:t>
      </w:r>
      <w:r w:rsidR="00866F46" w:rsidRPr="00866F46">
        <w:rPr>
          <w:rFonts w:ascii="Calibri" w:hAnsi="Calibri" w:cs="Helv"/>
          <w:b/>
          <w:bCs/>
          <w:color w:val="000000"/>
        </w:rPr>
        <w:t>&lt;</w:t>
      </w:r>
      <w:r w:rsidRPr="00866F46">
        <w:rPr>
          <w:rFonts w:ascii="Calibri" w:hAnsi="Calibri" w:cs="Helv"/>
          <w:b/>
          <w:bCs/>
          <w:color w:val="000000"/>
        </w:rPr>
        <w:t>1%</w:t>
      </w:r>
      <w:r w:rsidR="00866F46" w:rsidRPr="00866F46">
        <w:rPr>
          <w:rFonts w:ascii="Calibri" w:hAnsi="Calibri" w:cs="Helv"/>
          <w:b/>
          <w:bCs/>
          <w:color w:val="000000"/>
        </w:rPr>
        <w:t>)</w:t>
      </w:r>
      <w:r w:rsidRPr="00866F46">
        <w:rPr>
          <w:rFonts w:ascii="Calibri" w:hAnsi="Calibri" w:cs="Helv"/>
          <w:b/>
          <w:bCs/>
          <w:color w:val="000000"/>
        </w:rPr>
        <w:t xml:space="preserve">, and Pitfall (for </w:t>
      </w:r>
      <w:r w:rsidR="00866F46" w:rsidRPr="00866F46">
        <w:rPr>
          <w:rFonts w:ascii="Calibri" w:hAnsi="Calibri" w:cs="Helv"/>
          <w:b/>
          <w:bCs/>
          <w:color w:val="000000"/>
        </w:rPr>
        <w:t>&gt;</w:t>
      </w:r>
      <w:r w:rsidRPr="00866F46">
        <w:rPr>
          <w:rFonts w:ascii="Calibri" w:hAnsi="Calibri" w:cs="Helv"/>
          <w:b/>
          <w:bCs/>
          <w:color w:val="000000"/>
        </w:rPr>
        <w:t>99%) of QTIPs</w:t>
      </w:r>
    </w:p>
    <w:p w14:paraId="763B5459" w14:textId="77777777" w:rsidR="00D40BC1" w:rsidRPr="00D40BC1" w:rsidRDefault="00D40BC1" w:rsidP="00D40BC1">
      <w:pPr>
        <w:tabs>
          <w:tab w:val="num" w:pos="360"/>
        </w:tabs>
        <w:autoSpaceDE w:val="0"/>
        <w:autoSpaceDN w:val="0"/>
        <w:adjustRightInd w:val="0"/>
        <w:spacing w:line="360" w:lineRule="auto"/>
        <w:jc w:val="both"/>
        <w:rPr>
          <w:rFonts w:ascii="Calibri" w:hAnsi="Calibri" w:cs="Helv"/>
          <w:bCs/>
          <w:color w:val="000000"/>
        </w:rPr>
      </w:pPr>
      <w:r>
        <w:rPr>
          <w:rFonts w:ascii="Calibri" w:hAnsi="Calibri" w:cs="Helv"/>
          <w:bCs/>
          <w:color w:val="000000"/>
        </w:rPr>
        <w:tab/>
      </w:r>
      <w:r>
        <w:rPr>
          <w:rFonts w:ascii="Calibri" w:hAnsi="Calibri" w:cs="Helv"/>
          <w:bCs/>
          <w:color w:val="000000"/>
        </w:rPr>
        <w:tab/>
      </w:r>
      <w:r w:rsidRPr="00D40BC1">
        <w:rPr>
          <w:rFonts w:ascii="Calibri" w:hAnsi="Calibri" w:cs="Helv"/>
          <w:bCs/>
          <w:color w:val="000000"/>
        </w:rPr>
        <w:t>GPOA trusts may also be preferred for taxpayers in the 99% who would fund a portion of real estate or fractional interests in LLCs/LP/S Corps, e.g., into trust.</w:t>
      </w:r>
    </w:p>
    <w:p w14:paraId="5D1FC674" w14:textId="77777777" w:rsidR="005E0191" w:rsidRDefault="00D40BC1" w:rsidP="001B065A">
      <w:pPr>
        <w:tabs>
          <w:tab w:val="num" w:pos="360"/>
        </w:tabs>
        <w:autoSpaceDE w:val="0"/>
        <w:autoSpaceDN w:val="0"/>
        <w:adjustRightInd w:val="0"/>
        <w:spacing w:line="280" w:lineRule="atLeast"/>
        <w:ind w:left="720"/>
        <w:jc w:val="both"/>
        <w:rPr>
          <w:rFonts w:ascii="Calibri" w:hAnsi="Calibri" w:cs="Helv"/>
          <w:bCs/>
          <w:color w:val="000000"/>
        </w:rPr>
      </w:pPr>
      <w:r w:rsidRPr="00D40BC1">
        <w:rPr>
          <w:rFonts w:ascii="Calibri" w:hAnsi="Calibri" w:cs="Helv"/>
          <w:bCs/>
          <w:color w:val="000000"/>
        </w:rPr>
        <w:t>Example: John and Jane, in the example above, plan to fund their trust with their 50% interest in a home, total value $600,000 and 50% of rental property LLC, underlying asset value $500,000.  If a QTIP is used, the surviving spouse’s estate must value the ½ in the QTIP and the ½ in the surviving spouse’s estate separately, generating a fractional interest, and/or marketability, non-controlling interest “discount”.   At second death, these “fair market values” might total $500,000 and $300,000 respectively, rathe</w:t>
      </w:r>
      <w:r w:rsidR="00B91212">
        <w:rPr>
          <w:rFonts w:ascii="Calibri" w:hAnsi="Calibri" w:cs="Helv"/>
          <w:bCs/>
          <w:color w:val="000000"/>
        </w:rPr>
        <w:t>r than $600,000 and $500,000 (a 50%</w:t>
      </w:r>
      <w:r w:rsidRPr="00D40BC1">
        <w:rPr>
          <w:rFonts w:ascii="Calibri" w:hAnsi="Calibri" w:cs="Helv"/>
          <w:bCs/>
          <w:color w:val="000000"/>
        </w:rPr>
        <w:t xml:space="preserve"> LLC </w:t>
      </w:r>
      <w:r w:rsidR="00B91212">
        <w:rPr>
          <w:rFonts w:ascii="Calibri" w:hAnsi="Calibri" w:cs="Helv"/>
          <w:bCs/>
          <w:color w:val="000000"/>
        </w:rPr>
        <w:t xml:space="preserve">interest </w:t>
      </w:r>
      <w:r w:rsidRPr="00D40BC1">
        <w:rPr>
          <w:rFonts w:ascii="Calibri" w:hAnsi="Calibri" w:cs="Helv"/>
          <w:bCs/>
          <w:color w:val="000000"/>
        </w:rPr>
        <w:t xml:space="preserve">would probably have a greater discount than a 50% tenancy in common interest).  </w:t>
      </w:r>
      <w:r w:rsidR="00917252">
        <w:rPr>
          <w:rFonts w:ascii="Calibri" w:hAnsi="Calibri" w:cs="Helv"/>
          <w:bCs/>
          <w:color w:val="000000"/>
        </w:rPr>
        <w:t xml:space="preserve">This effect would be exacerbated further if John and Jane owned less than 100% of the LLC, since a 49% or less interest would be typically be discounted more than 50%. </w:t>
      </w:r>
    </w:p>
    <w:p w14:paraId="270D2E2D" w14:textId="77777777" w:rsidR="001B065A" w:rsidRDefault="001B065A" w:rsidP="005E0191">
      <w:pPr>
        <w:tabs>
          <w:tab w:val="num" w:pos="360"/>
        </w:tabs>
        <w:autoSpaceDE w:val="0"/>
        <w:autoSpaceDN w:val="0"/>
        <w:adjustRightInd w:val="0"/>
        <w:spacing w:line="360" w:lineRule="auto"/>
        <w:jc w:val="both"/>
        <w:rPr>
          <w:rFonts w:ascii="Calibri" w:hAnsi="Calibri" w:cs="Helv"/>
          <w:bCs/>
          <w:color w:val="000000"/>
        </w:rPr>
      </w:pPr>
    </w:p>
    <w:p w14:paraId="3FB14C9D" w14:textId="77777777" w:rsidR="00D40BC1" w:rsidRPr="00D40BC1" w:rsidRDefault="001B065A" w:rsidP="005E0191">
      <w:pPr>
        <w:tabs>
          <w:tab w:val="num" w:pos="360"/>
        </w:tabs>
        <w:autoSpaceDE w:val="0"/>
        <w:autoSpaceDN w:val="0"/>
        <w:adjustRightInd w:val="0"/>
        <w:spacing w:line="360" w:lineRule="auto"/>
        <w:jc w:val="both"/>
        <w:rPr>
          <w:rFonts w:ascii="Calibri" w:hAnsi="Calibri" w:cs="Helv"/>
          <w:bCs/>
          <w:color w:val="000000"/>
        </w:rPr>
      </w:pPr>
      <w:r>
        <w:rPr>
          <w:rFonts w:ascii="Calibri" w:hAnsi="Calibri" w:cs="Helv"/>
          <w:bCs/>
          <w:color w:val="000000"/>
        </w:rPr>
        <w:tab/>
      </w:r>
      <w:r>
        <w:rPr>
          <w:rFonts w:ascii="Calibri" w:hAnsi="Calibri" w:cs="Helv"/>
          <w:bCs/>
          <w:color w:val="000000"/>
        </w:rPr>
        <w:tab/>
      </w:r>
      <w:r w:rsidR="00D40BC1" w:rsidRPr="00D40BC1">
        <w:rPr>
          <w:rFonts w:ascii="Calibri" w:hAnsi="Calibri" w:cs="Helv"/>
          <w:bCs/>
          <w:color w:val="000000"/>
        </w:rPr>
        <w:t xml:space="preserve">This reduction in valuation would be optimal planning if Jane had a taxable estate, but </w:t>
      </w:r>
      <w:r w:rsidR="00D40BC1" w:rsidRPr="004862E6">
        <w:rPr>
          <w:rFonts w:ascii="Calibri" w:hAnsi="Calibri" w:cs="Helv"/>
          <w:bCs/>
          <w:i/>
          <w:color w:val="000000"/>
        </w:rPr>
        <w:t xml:space="preserve">for most people, </w:t>
      </w:r>
      <w:r w:rsidR="00D40BC1" w:rsidRPr="00D40BC1">
        <w:rPr>
          <w:rFonts w:ascii="Calibri" w:hAnsi="Calibri" w:cs="Helv"/>
          <w:bCs/>
          <w:color w:val="000000"/>
        </w:rPr>
        <w:t>“</w:t>
      </w:r>
      <w:r w:rsidR="00D40BC1" w:rsidRPr="005E0191">
        <w:rPr>
          <w:rFonts w:ascii="Calibri" w:hAnsi="Calibri" w:cs="Helv"/>
          <w:bCs/>
          <w:i/>
          <w:color w:val="000000"/>
        </w:rPr>
        <w:t>discounting” will save no estate tax and cost the heirs significant basis increase</w:t>
      </w:r>
      <w:r w:rsidR="00D40BC1" w:rsidRPr="00D40BC1">
        <w:rPr>
          <w:rFonts w:ascii="Calibri" w:hAnsi="Calibri" w:cs="Helv"/>
          <w:bCs/>
          <w:color w:val="000000"/>
        </w:rPr>
        <w:t xml:space="preserve"> – for Jane and John’s family, $300,000.  Had the 50% interest in the home and 50% LLC interest gone to a GPOA marital trust for the survivor, </w:t>
      </w:r>
      <w:r w:rsidR="005E0191">
        <w:rPr>
          <w:rFonts w:ascii="Calibri" w:hAnsi="Calibri" w:cs="Helv"/>
          <w:bCs/>
          <w:color w:val="000000"/>
        </w:rPr>
        <w:t xml:space="preserve">or through any other trust with a testamentary general power, as discussed in Part III, </w:t>
      </w:r>
      <w:r w:rsidR="00D40BC1" w:rsidRPr="00D40BC1">
        <w:rPr>
          <w:rFonts w:ascii="Calibri" w:hAnsi="Calibri" w:cs="Helv"/>
          <w:bCs/>
          <w:color w:val="000000"/>
        </w:rPr>
        <w:t xml:space="preserve">the two halves would be valued together for estate tax at the second death, and therefore retain full </w:t>
      </w:r>
      <w:r w:rsidR="005E0191">
        <w:rPr>
          <w:rFonts w:ascii="Calibri" w:hAnsi="Calibri" w:cs="Helv"/>
          <w:bCs/>
          <w:color w:val="000000"/>
        </w:rPr>
        <w:t>“undiscounted”</w:t>
      </w:r>
      <w:r w:rsidR="00D40BC1" w:rsidRPr="00D40BC1">
        <w:rPr>
          <w:rFonts w:ascii="Calibri" w:hAnsi="Calibri" w:cs="Helv"/>
          <w:bCs/>
          <w:color w:val="000000"/>
        </w:rPr>
        <w:t xml:space="preserve"> basis.</w:t>
      </w:r>
      <w:r w:rsidR="002E082C">
        <w:rPr>
          <w:rStyle w:val="FootnoteReference"/>
          <w:rFonts w:ascii="Calibri" w:hAnsi="Calibri" w:cs="Helv"/>
          <w:bCs/>
          <w:color w:val="000000"/>
        </w:rPr>
        <w:footnoteReference w:id="41"/>
      </w:r>
      <w:r w:rsidR="00D40BC1" w:rsidRPr="00D40BC1">
        <w:rPr>
          <w:rFonts w:ascii="Calibri" w:hAnsi="Calibri" w:cs="Helv"/>
          <w:bCs/>
          <w:color w:val="000000"/>
        </w:rPr>
        <w:t xml:space="preserve"> </w:t>
      </w:r>
    </w:p>
    <w:p w14:paraId="78CDB0DB" w14:textId="77777777" w:rsidR="00D40BC1" w:rsidRPr="00D40BC1" w:rsidRDefault="00D40BC1" w:rsidP="00866F46">
      <w:pPr>
        <w:tabs>
          <w:tab w:val="num" w:pos="0"/>
        </w:tabs>
        <w:autoSpaceDE w:val="0"/>
        <w:autoSpaceDN w:val="0"/>
        <w:adjustRightInd w:val="0"/>
        <w:spacing w:line="360" w:lineRule="auto"/>
        <w:jc w:val="both"/>
        <w:rPr>
          <w:rFonts w:ascii="Calibri" w:hAnsi="Calibri" w:cs="Helv"/>
          <w:b/>
          <w:bCs/>
          <w:color w:val="000000"/>
        </w:rPr>
      </w:pPr>
      <w:r w:rsidRPr="00D40BC1">
        <w:rPr>
          <w:rFonts w:ascii="Calibri" w:hAnsi="Calibri" w:cs="Helv"/>
          <w:b/>
          <w:bCs/>
          <w:color w:val="000000"/>
        </w:rPr>
        <w:lastRenderedPageBreak/>
        <w:t>e.</w:t>
      </w:r>
      <w:r w:rsidRPr="00D40BC1">
        <w:rPr>
          <w:rFonts w:ascii="Calibri" w:hAnsi="Calibri" w:cs="Helv"/>
          <w:b/>
          <w:bCs/>
          <w:color w:val="000000"/>
        </w:rPr>
        <w:tab/>
        <w:t>How to Adapt QTIPs for Better “Step Up”</w:t>
      </w:r>
    </w:p>
    <w:p w14:paraId="0606AE49" w14:textId="77777777" w:rsidR="00866F46" w:rsidRDefault="00D40BC1" w:rsidP="00253C82">
      <w:pPr>
        <w:tabs>
          <w:tab w:val="num" w:pos="720"/>
        </w:tabs>
        <w:autoSpaceDE w:val="0"/>
        <w:autoSpaceDN w:val="0"/>
        <w:adjustRightInd w:val="0"/>
        <w:spacing w:line="360" w:lineRule="auto"/>
        <w:jc w:val="both"/>
        <w:rPr>
          <w:rFonts w:ascii="Calibri" w:hAnsi="Calibri" w:cs="Helv"/>
          <w:bCs/>
          <w:color w:val="000000"/>
        </w:rPr>
      </w:pPr>
      <w:r>
        <w:rPr>
          <w:rFonts w:ascii="Calibri" w:hAnsi="Calibri" w:cs="Helv"/>
          <w:bCs/>
          <w:color w:val="000000"/>
        </w:rPr>
        <w:tab/>
      </w:r>
      <w:r w:rsidRPr="00D40BC1">
        <w:rPr>
          <w:rFonts w:ascii="Calibri" w:hAnsi="Calibri" w:cs="Helv"/>
          <w:bCs/>
          <w:color w:val="000000"/>
        </w:rPr>
        <w:t xml:space="preserve">There </w:t>
      </w:r>
      <w:r w:rsidR="00C30893">
        <w:rPr>
          <w:rFonts w:ascii="Calibri" w:hAnsi="Calibri" w:cs="Helv"/>
          <w:bCs/>
          <w:color w:val="000000"/>
        </w:rPr>
        <w:t>are several</w:t>
      </w:r>
      <w:r w:rsidRPr="00D40BC1">
        <w:rPr>
          <w:rFonts w:ascii="Calibri" w:hAnsi="Calibri" w:cs="Helv"/>
          <w:bCs/>
          <w:color w:val="000000"/>
        </w:rPr>
        <w:t xml:space="preserve"> solution</w:t>
      </w:r>
      <w:r w:rsidR="00C30893">
        <w:rPr>
          <w:rFonts w:ascii="Calibri" w:hAnsi="Calibri" w:cs="Helv"/>
          <w:bCs/>
          <w:color w:val="000000"/>
        </w:rPr>
        <w:t>s</w:t>
      </w:r>
      <w:r w:rsidRPr="00D40BC1">
        <w:rPr>
          <w:rFonts w:ascii="Calibri" w:hAnsi="Calibri" w:cs="Helv"/>
          <w:bCs/>
          <w:color w:val="000000"/>
        </w:rPr>
        <w:t xml:space="preserve"> for the </w:t>
      </w:r>
      <w:r w:rsidR="00253C82">
        <w:rPr>
          <w:rFonts w:ascii="Calibri" w:hAnsi="Calibri" w:cs="Helv"/>
          <w:bCs/>
          <w:color w:val="000000"/>
        </w:rPr>
        <w:t>fractional interest discount</w:t>
      </w:r>
      <w:r w:rsidRPr="00D40BC1">
        <w:rPr>
          <w:rFonts w:ascii="Calibri" w:hAnsi="Calibri" w:cs="Helv"/>
          <w:bCs/>
          <w:color w:val="000000"/>
        </w:rPr>
        <w:t xml:space="preserve"> issue, although m</w:t>
      </w:r>
      <w:r w:rsidR="00C30893">
        <w:rPr>
          <w:rFonts w:ascii="Calibri" w:hAnsi="Calibri" w:cs="Helv"/>
          <w:bCs/>
          <w:color w:val="000000"/>
        </w:rPr>
        <w:t>any practitioners will find them</w:t>
      </w:r>
      <w:r w:rsidRPr="00D40BC1">
        <w:rPr>
          <w:rFonts w:ascii="Calibri" w:hAnsi="Calibri" w:cs="Helv"/>
          <w:bCs/>
          <w:color w:val="000000"/>
        </w:rPr>
        <w:t xml:space="preserve"> odd and counterintuitive</w:t>
      </w:r>
      <w:r>
        <w:rPr>
          <w:rFonts w:ascii="Calibri" w:hAnsi="Calibri" w:cs="Helv"/>
          <w:bCs/>
          <w:color w:val="000000"/>
        </w:rPr>
        <w:t xml:space="preserve"> </w:t>
      </w:r>
      <w:r w:rsidRPr="00D40BC1">
        <w:rPr>
          <w:rFonts w:ascii="Calibri" w:hAnsi="Calibri" w:cs="Helv"/>
          <w:bCs/>
          <w:color w:val="000000"/>
        </w:rPr>
        <w:t xml:space="preserve">– </w:t>
      </w:r>
      <w:r w:rsidR="00C30893">
        <w:rPr>
          <w:rFonts w:ascii="Calibri" w:hAnsi="Calibri" w:cs="Helv"/>
          <w:bCs/>
          <w:color w:val="000000"/>
        </w:rPr>
        <w:t xml:space="preserve">first, </w:t>
      </w:r>
      <w:r w:rsidRPr="00D40BC1">
        <w:rPr>
          <w:rFonts w:ascii="Calibri" w:hAnsi="Calibri" w:cs="Helv"/>
          <w:bCs/>
          <w:color w:val="000000"/>
        </w:rPr>
        <w:t xml:space="preserve">use a formula general power of appointment </w:t>
      </w:r>
      <w:r>
        <w:rPr>
          <w:rFonts w:ascii="Calibri" w:hAnsi="Calibri" w:cs="Helv"/>
          <w:bCs/>
          <w:color w:val="000000"/>
        </w:rPr>
        <w:t xml:space="preserve">(discussed in Part III) </w:t>
      </w:r>
      <w:r w:rsidRPr="00D40BC1">
        <w:rPr>
          <w:rFonts w:ascii="Calibri" w:hAnsi="Calibri" w:cs="Helv"/>
          <w:bCs/>
          <w:color w:val="000000"/>
        </w:rPr>
        <w:t xml:space="preserve">designed to pull such assets into the estate under </w:t>
      </w:r>
      <w:r>
        <w:rPr>
          <w:rFonts w:ascii="Calibri" w:hAnsi="Calibri" w:cs="Helv"/>
          <w:bCs/>
          <w:color w:val="000000"/>
        </w:rPr>
        <w:t xml:space="preserve">IRC § </w:t>
      </w:r>
      <w:r w:rsidRPr="00D40BC1">
        <w:rPr>
          <w:rFonts w:ascii="Calibri" w:hAnsi="Calibri" w:cs="Helv"/>
          <w:bCs/>
          <w:color w:val="000000"/>
        </w:rPr>
        <w:t xml:space="preserve">2041 </w:t>
      </w:r>
      <w:r w:rsidR="004862E6" w:rsidRPr="00553C88">
        <w:rPr>
          <w:rFonts w:ascii="Calibri" w:hAnsi="Calibri" w:cs="Helv"/>
          <w:bCs/>
          <w:i/>
          <w:color w:val="000000"/>
        </w:rPr>
        <w:t>as well as</w:t>
      </w:r>
      <w:r w:rsidRPr="00D40BC1">
        <w:rPr>
          <w:rFonts w:ascii="Calibri" w:hAnsi="Calibri" w:cs="Helv"/>
          <w:bCs/>
          <w:color w:val="000000"/>
        </w:rPr>
        <w:t xml:space="preserve"> </w:t>
      </w:r>
      <w:r>
        <w:rPr>
          <w:rFonts w:ascii="Calibri" w:hAnsi="Calibri" w:cs="Helv"/>
          <w:bCs/>
          <w:color w:val="000000"/>
        </w:rPr>
        <w:t>IRC §</w:t>
      </w:r>
      <w:r w:rsidRPr="00D40BC1">
        <w:rPr>
          <w:rFonts w:ascii="Calibri" w:hAnsi="Calibri" w:cs="Helv"/>
          <w:bCs/>
          <w:color w:val="000000"/>
        </w:rPr>
        <w:t xml:space="preserve">2044 to accomplish consolidation for valuation purposes.  Such a power would be designed </w:t>
      </w:r>
      <w:r w:rsidR="004862E6">
        <w:rPr>
          <w:rFonts w:ascii="Calibri" w:hAnsi="Calibri" w:cs="Helv"/>
          <w:bCs/>
          <w:color w:val="000000"/>
        </w:rPr>
        <w:t>so as not to</w:t>
      </w:r>
      <w:r w:rsidRPr="00D40BC1">
        <w:rPr>
          <w:rFonts w:ascii="Calibri" w:hAnsi="Calibri" w:cs="Helv"/>
          <w:bCs/>
          <w:color w:val="000000"/>
        </w:rPr>
        <w:t xml:space="preserve"> qualify the trust under IRC §2056(b)(5), yet be permitted to be retained under IRC §2056(b)(7).</w:t>
      </w:r>
      <w:r w:rsidR="00206545">
        <w:rPr>
          <w:rStyle w:val="FootnoteReference"/>
          <w:rFonts w:ascii="Calibri" w:hAnsi="Calibri" w:cs="Helv"/>
          <w:bCs/>
          <w:color w:val="000000"/>
        </w:rPr>
        <w:footnoteReference w:id="42"/>
      </w:r>
      <w:r w:rsidRPr="00D40BC1">
        <w:rPr>
          <w:rFonts w:ascii="Calibri" w:hAnsi="Calibri" w:cs="Helv"/>
          <w:bCs/>
          <w:color w:val="000000"/>
        </w:rPr>
        <w:t xml:space="preserve"> </w:t>
      </w:r>
      <w:r w:rsidR="00253C82">
        <w:rPr>
          <w:rFonts w:ascii="Calibri" w:hAnsi="Calibri" w:cs="Helv"/>
          <w:bCs/>
          <w:color w:val="000000"/>
        </w:rPr>
        <w:t xml:space="preserve"> The public policy behind the consolidation for valuation purposes is that the surviving spouse, via GPOA, effectively controls 100% of the combined assets</w:t>
      </w:r>
      <w:r w:rsidR="00553C88">
        <w:rPr>
          <w:rFonts w:ascii="Calibri" w:hAnsi="Calibri" w:cs="Helv"/>
          <w:bCs/>
          <w:color w:val="000000"/>
        </w:rPr>
        <w:t xml:space="preserve"> (whereas a QTIP often offers little if any control)</w:t>
      </w:r>
      <w:r w:rsidR="00253C82">
        <w:rPr>
          <w:rFonts w:ascii="Calibri" w:hAnsi="Calibri" w:cs="Helv"/>
          <w:bCs/>
          <w:color w:val="000000"/>
        </w:rPr>
        <w:t xml:space="preserve">.  </w:t>
      </w:r>
      <w:r w:rsidR="00DE1E76">
        <w:rPr>
          <w:rFonts w:ascii="Calibri" w:hAnsi="Calibri" w:cs="Helv"/>
          <w:bCs/>
          <w:color w:val="000000"/>
        </w:rPr>
        <w:t>There is nothing in §2056(b)(7) that precludes adding this feature, and since the assets are included in the estate anyway, there is littl</w:t>
      </w:r>
      <w:r w:rsidR="00390B32">
        <w:rPr>
          <w:rFonts w:ascii="Calibri" w:hAnsi="Calibri" w:cs="Helv"/>
          <w:bCs/>
          <w:color w:val="000000"/>
        </w:rPr>
        <w:t>e to be lost even under a worst-</w:t>
      </w:r>
      <w:r w:rsidR="00DE1E76">
        <w:rPr>
          <w:rFonts w:ascii="Calibri" w:hAnsi="Calibri" w:cs="Helv"/>
          <w:bCs/>
          <w:color w:val="000000"/>
        </w:rPr>
        <w:t xml:space="preserve">case scenario.  The difficulty would lie in crafting the power to be capped or negated in the unlikely scenario that the increase in valuation due to aggregation would cause a federal or state estate tax.  </w:t>
      </w:r>
      <w:r w:rsidR="00DE1E76" w:rsidRPr="00367405">
        <w:rPr>
          <w:rFonts w:ascii="Calibri" w:hAnsi="Calibri" w:cs="Helv"/>
          <w:b/>
          <w:bCs/>
          <w:color w:val="000000"/>
        </w:rPr>
        <w:t>For example</w:t>
      </w:r>
      <w:r w:rsidR="00DE1E76">
        <w:rPr>
          <w:rFonts w:ascii="Calibri" w:hAnsi="Calibri" w:cs="Helv"/>
          <w:bCs/>
          <w:color w:val="000000"/>
        </w:rPr>
        <w:t xml:space="preserve">: Jane has </w:t>
      </w:r>
      <w:r w:rsidR="00367405">
        <w:rPr>
          <w:rFonts w:ascii="Calibri" w:hAnsi="Calibri" w:cs="Helv"/>
          <w:bCs/>
          <w:color w:val="000000"/>
        </w:rPr>
        <w:t xml:space="preserve">a </w:t>
      </w:r>
      <w:r w:rsidR="00DE1E76">
        <w:rPr>
          <w:rFonts w:ascii="Calibri" w:hAnsi="Calibri" w:cs="Helv"/>
          <w:bCs/>
          <w:color w:val="000000"/>
        </w:rPr>
        <w:t xml:space="preserve">$2 million </w:t>
      </w:r>
      <w:r w:rsidR="00367405">
        <w:rPr>
          <w:rFonts w:ascii="Calibri" w:hAnsi="Calibri" w:cs="Helv"/>
          <w:bCs/>
          <w:color w:val="000000"/>
        </w:rPr>
        <w:t>in assets of her own</w:t>
      </w:r>
      <w:r w:rsidR="00DE1E76">
        <w:rPr>
          <w:rFonts w:ascii="Calibri" w:hAnsi="Calibri" w:cs="Helv"/>
          <w:bCs/>
          <w:color w:val="000000"/>
        </w:rPr>
        <w:t xml:space="preserve">, $3 million in </w:t>
      </w:r>
      <w:r w:rsidR="00367405">
        <w:rPr>
          <w:rFonts w:ascii="Calibri" w:hAnsi="Calibri" w:cs="Helv"/>
          <w:bCs/>
          <w:color w:val="000000"/>
        </w:rPr>
        <w:t xml:space="preserve">her late husband’s </w:t>
      </w:r>
      <w:r w:rsidR="00DE1E76">
        <w:rPr>
          <w:rFonts w:ascii="Calibri" w:hAnsi="Calibri" w:cs="Helv"/>
          <w:bCs/>
          <w:color w:val="000000"/>
        </w:rPr>
        <w:t>QTIP</w:t>
      </w:r>
      <w:r w:rsidR="00367405">
        <w:rPr>
          <w:rFonts w:ascii="Calibri" w:hAnsi="Calibri" w:cs="Helv"/>
          <w:bCs/>
          <w:color w:val="000000"/>
        </w:rPr>
        <w:t xml:space="preserve"> trust.  Part of Jane’s assets is</w:t>
      </w:r>
      <w:r w:rsidR="00DE1E76">
        <w:rPr>
          <w:rFonts w:ascii="Calibri" w:hAnsi="Calibri" w:cs="Helv"/>
          <w:bCs/>
          <w:color w:val="000000"/>
        </w:rPr>
        <w:t xml:space="preserve"> </w:t>
      </w:r>
      <w:r w:rsidR="00367405">
        <w:rPr>
          <w:rFonts w:ascii="Calibri" w:hAnsi="Calibri" w:cs="Helv"/>
          <w:bCs/>
          <w:color w:val="000000"/>
        </w:rPr>
        <w:t xml:space="preserve">a 50% interest in an LLC that owns </w:t>
      </w:r>
      <w:r w:rsidR="00DE1E76">
        <w:rPr>
          <w:rFonts w:ascii="Calibri" w:hAnsi="Calibri" w:cs="Helv"/>
          <w:bCs/>
          <w:color w:val="000000"/>
        </w:rPr>
        <w:t>$</w:t>
      </w:r>
      <w:r w:rsidR="00200569">
        <w:rPr>
          <w:rFonts w:ascii="Calibri" w:hAnsi="Calibri" w:cs="Helv"/>
          <w:bCs/>
          <w:color w:val="000000"/>
        </w:rPr>
        <w:t>2</w:t>
      </w:r>
      <w:r w:rsidR="00367405">
        <w:rPr>
          <w:rFonts w:ascii="Calibri" w:hAnsi="Calibri" w:cs="Helv"/>
          <w:bCs/>
          <w:color w:val="000000"/>
        </w:rPr>
        <w:t xml:space="preserve"> million in property.  Part of the </w:t>
      </w:r>
      <w:r w:rsidR="00DE1E76">
        <w:rPr>
          <w:rFonts w:ascii="Calibri" w:hAnsi="Calibri" w:cs="Helv"/>
          <w:bCs/>
          <w:color w:val="000000"/>
        </w:rPr>
        <w:t>QTIP</w:t>
      </w:r>
      <w:r w:rsidR="00367405">
        <w:rPr>
          <w:rFonts w:ascii="Calibri" w:hAnsi="Calibri" w:cs="Helv"/>
          <w:bCs/>
          <w:color w:val="000000"/>
        </w:rPr>
        <w:t xml:space="preserve">’s assets is the other 50%.  These 50% LLC interests are </w:t>
      </w:r>
      <w:r w:rsidR="00DE1E76">
        <w:rPr>
          <w:rFonts w:ascii="Calibri" w:hAnsi="Calibri" w:cs="Helv"/>
          <w:bCs/>
          <w:color w:val="000000"/>
        </w:rPr>
        <w:t>valued at $</w:t>
      </w:r>
      <w:r w:rsidR="00200569">
        <w:rPr>
          <w:rFonts w:ascii="Calibri" w:hAnsi="Calibri" w:cs="Helv"/>
          <w:bCs/>
          <w:color w:val="000000"/>
        </w:rPr>
        <w:t xml:space="preserve">700,000 </w:t>
      </w:r>
      <w:r w:rsidR="00367405">
        <w:rPr>
          <w:rFonts w:ascii="Calibri" w:hAnsi="Calibri" w:cs="Helv"/>
          <w:bCs/>
          <w:color w:val="000000"/>
        </w:rPr>
        <w:t xml:space="preserve">separately </w:t>
      </w:r>
      <w:r w:rsidR="00200569">
        <w:rPr>
          <w:rFonts w:ascii="Calibri" w:hAnsi="Calibri" w:cs="Helv"/>
          <w:bCs/>
          <w:color w:val="000000"/>
        </w:rPr>
        <w:t>for each interest</w:t>
      </w:r>
      <w:r w:rsidR="004862E6">
        <w:rPr>
          <w:rFonts w:ascii="Calibri" w:hAnsi="Calibri" w:cs="Helv"/>
          <w:bCs/>
          <w:color w:val="000000"/>
        </w:rPr>
        <w:t xml:space="preserve"> (discounted </w:t>
      </w:r>
      <w:r w:rsidR="00367405">
        <w:rPr>
          <w:rFonts w:ascii="Calibri" w:hAnsi="Calibri" w:cs="Helv"/>
          <w:bCs/>
          <w:color w:val="000000"/>
        </w:rPr>
        <w:t xml:space="preserve">30% </w:t>
      </w:r>
      <w:r w:rsidR="004862E6">
        <w:rPr>
          <w:rFonts w:ascii="Calibri" w:hAnsi="Calibri" w:cs="Helv"/>
          <w:bCs/>
          <w:color w:val="000000"/>
        </w:rPr>
        <w:t>from $1 million each)</w:t>
      </w:r>
      <w:r w:rsidR="00200569">
        <w:rPr>
          <w:rFonts w:ascii="Calibri" w:hAnsi="Calibri" w:cs="Helv"/>
          <w:bCs/>
          <w:color w:val="000000"/>
        </w:rPr>
        <w:t xml:space="preserve">.  </w:t>
      </w:r>
      <w:r w:rsidR="00A3331C">
        <w:rPr>
          <w:rFonts w:ascii="Calibri" w:hAnsi="Calibri" w:cs="Helv"/>
          <w:bCs/>
          <w:color w:val="000000"/>
        </w:rPr>
        <w:t xml:space="preserve">This discounting would be great planning if Jane had a taxable estate, but with DSUE she has $10.86 million AEA.  </w:t>
      </w:r>
      <w:r w:rsidR="00200569">
        <w:rPr>
          <w:rFonts w:ascii="Calibri" w:hAnsi="Calibri" w:cs="Helv"/>
          <w:bCs/>
          <w:color w:val="000000"/>
        </w:rPr>
        <w:t xml:space="preserve">A GPOA would aggregate the valuation </w:t>
      </w:r>
      <w:r w:rsidR="00A3331C">
        <w:rPr>
          <w:rFonts w:ascii="Calibri" w:hAnsi="Calibri" w:cs="Helv"/>
          <w:bCs/>
          <w:color w:val="000000"/>
        </w:rPr>
        <w:t xml:space="preserve">at Jane’s death </w:t>
      </w:r>
      <w:r w:rsidR="00200569">
        <w:rPr>
          <w:rFonts w:ascii="Calibri" w:hAnsi="Calibri" w:cs="Helv"/>
          <w:bCs/>
          <w:color w:val="000000"/>
        </w:rPr>
        <w:t xml:space="preserve">so </w:t>
      </w:r>
      <w:r w:rsidR="00A3331C">
        <w:rPr>
          <w:rFonts w:ascii="Calibri" w:hAnsi="Calibri" w:cs="Helv"/>
          <w:bCs/>
          <w:color w:val="000000"/>
        </w:rPr>
        <w:t xml:space="preserve">as </w:t>
      </w:r>
      <w:r w:rsidR="00200569">
        <w:rPr>
          <w:rFonts w:ascii="Calibri" w:hAnsi="Calibri" w:cs="Helv"/>
          <w:bCs/>
          <w:color w:val="000000"/>
        </w:rPr>
        <w:t xml:space="preserve">to increase the gross estate </w:t>
      </w:r>
      <w:r w:rsidR="00A3331C">
        <w:rPr>
          <w:rFonts w:ascii="Calibri" w:hAnsi="Calibri" w:cs="Helv"/>
          <w:bCs/>
          <w:color w:val="000000"/>
        </w:rPr>
        <w:t xml:space="preserve">from $5 million </w:t>
      </w:r>
      <w:r w:rsidR="00200569">
        <w:rPr>
          <w:rFonts w:ascii="Calibri" w:hAnsi="Calibri" w:cs="Helv"/>
          <w:bCs/>
          <w:color w:val="000000"/>
        </w:rPr>
        <w:t>to $5.6 million</w:t>
      </w:r>
      <w:r w:rsidR="004862E6">
        <w:rPr>
          <w:rFonts w:ascii="Calibri" w:hAnsi="Calibri" w:cs="Helv"/>
          <w:bCs/>
          <w:color w:val="000000"/>
        </w:rPr>
        <w:t xml:space="preserve"> (100% of LLC should normally have little if any discount)</w:t>
      </w:r>
      <w:r w:rsidR="00200569">
        <w:rPr>
          <w:rFonts w:ascii="Calibri" w:hAnsi="Calibri" w:cs="Helv"/>
          <w:bCs/>
          <w:color w:val="000000"/>
        </w:rPr>
        <w:t xml:space="preserve">, </w:t>
      </w:r>
      <w:r w:rsidR="00A3331C">
        <w:rPr>
          <w:rFonts w:ascii="Calibri" w:hAnsi="Calibri" w:cs="Helv"/>
          <w:bCs/>
          <w:color w:val="000000"/>
        </w:rPr>
        <w:t>adding</w:t>
      </w:r>
      <w:r w:rsidR="00200569">
        <w:rPr>
          <w:rFonts w:ascii="Calibri" w:hAnsi="Calibri" w:cs="Helv"/>
          <w:bCs/>
          <w:color w:val="000000"/>
        </w:rPr>
        <w:t xml:space="preserve"> $600,000 of basis.  </w:t>
      </w:r>
      <w:r w:rsidR="00DE1E76">
        <w:rPr>
          <w:rFonts w:ascii="Calibri" w:hAnsi="Calibri" w:cs="Helv"/>
          <w:bCs/>
          <w:color w:val="000000"/>
        </w:rPr>
        <w:t>S</w:t>
      </w:r>
      <w:r w:rsidR="00200569">
        <w:rPr>
          <w:rFonts w:ascii="Calibri" w:hAnsi="Calibri" w:cs="Helv"/>
          <w:bCs/>
          <w:color w:val="000000"/>
        </w:rPr>
        <w:t>ee various examples in appendix and discussion of capping GPOAs</w:t>
      </w:r>
      <w:r w:rsidR="004862E6">
        <w:rPr>
          <w:rFonts w:ascii="Calibri" w:hAnsi="Calibri" w:cs="Helv"/>
          <w:bCs/>
          <w:color w:val="000000"/>
        </w:rPr>
        <w:t xml:space="preserve"> to prevent estate tax</w:t>
      </w:r>
      <w:r w:rsidR="00200569">
        <w:rPr>
          <w:rFonts w:ascii="Calibri" w:hAnsi="Calibri" w:cs="Helv"/>
          <w:bCs/>
          <w:color w:val="000000"/>
        </w:rPr>
        <w:t xml:space="preserve"> in Part III.</w:t>
      </w:r>
    </w:p>
    <w:p w14:paraId="6E2BFA46" w14:textId="77777777" w:rsidR="00253C82" w:rsidRDefault="00866F46" w:rsidP="00253C82">
      <w:pPr>
        <w:tabs>
          <w:tab w:val="num" w:pos="720"/>
        </w:tabs>
        <w:autoSpaceDE w:val="0"/>
        <w:autoSpaceDN w:val="0"/>
        <w:adjustRightInd w:val="0"/>
        <w:spacing w:line="360" w:lineRule="auto"/>
        <w:jc w:val="both"/>
        <w:rPr>
          <w:rFonts w:ascii="Calibri" w:hAnsi="Calibri" w:cs="Helv"/>
          <w:bCs/>
          <w:color w:val="000000"/>
        </w:rPr>
      </w:pPr>
      <w:r>
        <w:rPr>
          <w:rFonts w:ascii="Calibri" w:hAnsi="Calibri" w:cs="Helv"/>
          <w:bCs/>
          <w:color w:val="000000"/>
        </w:rPr>
        <w:lastRenderedPageBreak/>
        <w:tab/>
      </w:r>
      <w:r w:rsidR="00186420">
        <w:rPr>
          <w:rFonts w:ascii="Calibri" w:hAnsi="Calibri" w:cs="Helv"/>
          <w:bCs/>
          <w:color w:val="000000"/>
        </w:rPr>
        <w:t>Would</w:t>
      </w:r>
      <w:r w:rsidR="00253C82">
        <w:rPr>
          <w:rFonts w:ascii="Calibri" w:hAnsi="Calibri" w:cs="Helv"/>
          <w:bCs/>
          <w:color w:val="000000"/>
        </w:rPr>
        <w:t xml:space="preserve"> </w:t>
      </w:r>
      <w:r w:rsidR="004862E6">
        <w:rPr>
          <w:rFonts w:ascii="Calibri" w:hAnsi="Calibri" w:cs="Helv"/>
          <w:bCs/>
          <w:color w:val="000000"/>
        </w:rPr>
        <w:t xml:space="preserve">QTIP </w:t>
      </w:r>
      <w:r w:rsidR="00253C82">
        <w:rPr>
          <w:rFonts w:ascii="Calibri" w:hAnsi="Calibri" w:cs="Helv"/>
          <w:bCs/>
          <w:color w:val="000000"/>
        </w:rPr>
        <w:t>inclusion via IRC §2041(a)(3) (using a limited testam</w:t>
      </w:r>
      <w:r w:rsidR="00186420">
        <w:rPr>
          <w:rFonts w:ascii="Calibri" w:hAnsi="Calibri" w:cs="Helv"/>
          <w:bCs/>
          <w:color w:val="000000"/>
        </w:rPr>
        <w:t xml:space="preserve">entary power of appointment to trigger </w:t>
      </w:r>
      <w:r w:rsidR="00253C82">
        <w:rPr>
          <w:rFonts w:ascii="Calibri" w:hAnsi="Calibri" w:cs="Helv"/>
          <w:bCs/>
          <w:color w:val="000000"/>
        </w:rPr>
        <w:t xml:space="preserve">the Delaware tax trap) lead to the same </w:t>
      </w:r>
      <w:r w:rsidR="00200569">
        <w:rPr>
          <w:rFonts w:ascii="Calibri" w:hAnsi="Calibri" w:cs="Helv"/>
          <w:bCs/>
          <w:color w:val="000000"/>
        </w:rPr>
        <w:t>aggregation</w:t>
      </w:r>
      <w:r w:rsidR="00253C82">
        <w:rPr>
          <w:rFonts w:ascii="Calibri" w:hAnsi="Calibri" w:cs="Helv"/>
          <w:bCs/>
          <w:color w:val="000000"/>
        </w:rPr>
        <w:t xml:space="preserve">?  While it is triggering the same statute causing </w:t>
      </w:r>
      <w:r w:rsidR="007D551E">
        <w:rPr>
          <w:rFonts w:ascii="Calibri" w:hAnsi="Calibri" w:cs="Helv"/>
          <w:bCs/>
          <w:color w:val="000000"/>
        </w:rPr>
        <w:t xml:space="preserve">estate </w:t>
      </w:r>
      <w:r w:rsidR="00253C82">
        <w:rPr>
          <w:rFonts w:ascii="Calibri" w:hAnsi="Calibri" w:cs="Helv"/>
          <w:bCs/>
          <w:color w:val="000000"/>
        </w:rPr>
        <w:t>inclusion</w:t>
      </w:r>
      <w:r w:rsidR="00200569">
        <w:rPr>
          <w:rFonts w:ascii="Calibri" w:hAnsi="Calibri" w:cs="Helv"/>
          <w:bCs/>
          <w:color w:val="000000"/>
        </w:rPr>
        <w:t xml:space="preserve"> (§2041)</w:t>
      </w:r>
      <w:r w:rsidR="00253C82">
        <w:rPr>
          <w:rFonts w:ascii="Calibri" w:hAnsi="Calibri" w:cs="Helv"/>
          <w:bCs/>
          <w:color w:val="000000"/>
        </w:rPr>
        <w:t xml:space="preserve">, the same public policy argument </w:t>
      </w:r>
      <w:r>
        <w:rPr>
          <w:rFonts w:ascii="Calibri" w:hAnsi="Calibri" w:cs="Helv"/>
          <w:bCs/>
          <w:color w:val="000000"/>
        </w:rPr>
        <w:t xml:space="preserve">discussed in </w:t>
      </w:r>
      <w:r w:rsidR="00186420" w:rsidRPr="00186420">
        <w:rPr>
          <w:rFonts w:ascii="Calibri" w:hAnsi="Calibri" w:cs="Helv"/>
          <w:bCs/>
          <w:i/>
          <w:color w:val="000000"/>
        </w:rPr>
        <w:t>Fontana</w:t>
      </w:r>
      <w:r>
        <w:rPr>
          <w:rFonts w:ascii="Calibri" w:hAnsi="Calibri" w:cs="Helv"/>
          <w:bCs/>
          <w:color w:val="000000"/>
        </w:rPr>
        <w:t xml:space="preserve"> </w:t>
      </w:r>
      <w:r w:rsidR="00200569">
        <w:rPr>
          <w:rFonts w:ascii="Calibri" w:hAnsi="Calibri" w:cs="Helv"/>
          <w:bCs/>
          <w:color w:val="000000"/>
        </w:rPr>
        <w:t xml:space="preserve">and </w:t>
      </w:r>
      <w:r w:rsidR="00186420">
        <w:rPr>
          <w:rFonts w:ascii="Calibri" w:hAnsi="Calibri" w:cs="Helv"/>
          <w:bCs/>
          <w:color w:val="000000"/>
        </w:rPr>
        <w:t xml:space="preserve">the </w:t>
      </w:r>
      <w:r w:rsidR="00200569">
        <w:rPr>
          <w:rFonts w:ascii="Calibri" w:hAnsi="Calibri" w:cs="Helv"/>
          <w:bCs/>
          <w:color w:val="000000"/>
        </w:rPr>
        <w:t xml:space="preserve">IRS memos </w:t>
      </w:r>
      <w:r>
        <w:rPr>
          <w:rFonts w:ascii="Calibri" w:hAnsi="Calibri" w:cs="Helv"/>
          <w:bCs/>
          <w:color w:val="000000"/>
        </w:rPr>
        <w:t>justifying the valuation aggregation</w:t>
      </w:r>
      <w:r w:rsidR="007D551E">
        <w:rPr>
          <w:rFonts w:ascii="Calibri" w:hAnsi="Calibri" w:cs="Helv"/>
          <w:bCs/>
          <w:color w:val="000000"/>
        </w:rPr>
        <w:t xml:space="preserve"> for GPOAs</w:t>
      </w:r>
      <w:r>
        <w:rPr>
          <w:rFonts w:ascii="Calibri" w:hAnsi="Calibri" w:cs="Helv"/>
          <w:bCs/>
          <w:color w:val="000000"/>
        </w:rPr>
        <w:t xml:space="preserve"> </w:t>
      </w:r>
      <w:r w:rsidR="00253C82">
        <w:rPr>
          <w:rFonts w:ascii="Calibri" w:hAnsi="Calibri" w:cs="Helv"/>
          <w:bCs/>
          <w:color w:val="000000"/>
        </w:rPr>
        <w:t xml:space="preserve">is not </w:t>
      </w:r>
      <w:r>
        <w:rPr>
          <w:rFonts w:ascii="Calibri" w:hAnsi="Calibri" w:cs="Helv"/>
          <w:bCs/>
          <w:color w:val="000000"/>
        </w:rPr>
        <w:t>quite the</w:t>
      </w:r>
      <w:r w:rsidR="004862E6">
        <w:rPr>
          <w:rFonts w:ascii="Calibri" w:hAnsi="Calibri" w:cs="Helv"/>
          <w:bCs/>
          <w:color w:val="000000"/>
        </w:rPr>
        <w:t xml:space="preserve"> same</w:t>
      </w:r>
      <w:r>
        <w:rPr>
          <w:rFonts w:ascii="Calibri" w:hAnsi="Calibri" w:cs="Helv"/>
          <w:bCs/>
          <w:color w:val="000000"/>
        </w:rPr>
        <w:t>.</w:t>
      </w:r>
      <w:r w:rsidR="00DE1E76">
        <w:rPr>
          <w:rFonts w:ascii="Calibri" w:hAnsi="Calibri" w:cs="Helv"/>
          <w:bCs/>
          <w:color w:val="000000"/>
        </w:rPr>
        <w:t xml:space="preserve">  In short, </w:t>
      </w:r>
      <w:r w:rsidR="00682EAA">
        <w:rPr>
          <w:rFonts w:ascii="Calibri" w:hAnsi="Calibri" w:cs="Helv"/>
          <w:bCs/>
          <w:color w:val="000000"/>
        </w:rPr>
        <w:t>there is</w:t>
      </w:r>
      <w:r w:rsidR="00DE1E76">
        <w:rPr>
          <w:rFonts w:ascii="Calibri" w:hAnsi="Calibri" w:cs="Helv"/>
          <w:bCs/>
          <w:color w:val="000000"/>
        </w:rPr>
        <w:t xml:space="preserve"> a </w:t>
      </w:r>
      <w:r w:rsidR="00682EAA">
        <w:rPr>
          <w:rFonts w:ascii="Calibri" w:hAnsi="Calibri" w:cs="Helv"/>
          <w:bCs/>
          <w:color w:val="000000"/>
        </w:rPr>
        <w:t>compelling</w:t>
      </w:r>
      <w:r w:rsidR="00DE1E76">
        <w:rPr>
          <w:rFonts w:ascii="Calibri" w:hAnsi="Calibri" w:cs="Helv"/>
          <w:bCs/>
          <w:color w:val="000000"/>
        </w:rPr>
        <w:t xml:space="preserve"> argument </w:t>
      </w:r>
      <w:r w:rsidR="00682EAA">
        <w:rPr>
          <w:rFonts w:ascii="Calibri" w:hAnsi="Calibri" w:cs="Helv"/>
          <w:bCs/>
          <w:color w:val="000000"/>
        </w:rPr>
        <w:t>that assets appointed under a “Delaware tax trapping” LPOA (discussed in Part II</w:t>
      </w:r>
      <w:r w:rsidR="004862E6">
        <w:rPr>
          <w:rFonts w:ascii="Calibri" w:hAnsi="Calibri" w:cs="Helv"/>
          <w:bCs/>
          <w:color w:val="000000"/>
        </w:rPr>
        <w:t>I) should be aggregated with a QTIP spouse and</w:t>
      </w:r>
      <w:r w:rsidR="00682EAA">
        <w:rPr>
          <w:rFonts w:ascii="Calibri" w:hAnsi="Calibri" w:cs="Helv"/>
          <w:bCs/>
          <w:color w:val="000000"/>
        </w:rPr>
        <w:t xml:space="preserve"> power holder’s other assets for </w:t>
      </w:r>
      <w:r w:rsidR="004862E6">
        <w:rPr>
          <w:rFonts w:ascii="Calibri" w:hAnsi="Calibri" w:cs="Helv"/>
          <w:bCs/>
          <w:color w:val="000000"/>
        </w:rPr>
        <w:t xml:space="preserve">estate tax </w:t>
      </w:r>
      <w:r w:rsidR="00682EAA">
        <w:rPr>
          <w:rFonts w:ascii="Calibri" w:hAnsi="Calibri" w:cs="Helv"/>
          <w:bCs/>
          <w:color w:val="000000"/>
        </w:rPr>
        <w:t xml:space="preserve">valuation, </w:t>
      </w:r>
      <w:r w:rsidR="00DE1E76">
        <w:rPr>
          <w:rFonts w:ascii="Calibri" w:hAnsi="Calibri" w:cs="Helv"/>
          <w:bCs/>
          <w:color w:val="000000"/>
        </w:rPr>
        <w:t xml:space="preserve">but </w:t>
      </w:r>
      <w:r w:rsidR="004862E6">
        <w:rPr>
          <w:rFonts w:ascii="Calibri" w:hAnsi="Calibri" w:cs="Helv"/>
          <w:bCs/>
          <w:color w:val="000000"/>
        </w:rPr>
        <w:t xml:space="preserve">it is </w:t>
      </w:r>
      <w:r w:rsidR="00682EAA">
        <w:rPr>
          <w:rFonts w:ascii="Calibri" w:hAnsi="Calibri" w:cs="Helv"/>
          <w:bCs/>
          <w:color w:val="000000"/>
        </w:rPr>
        <w:t>not as certain as with “standard GPOA” assets</w:t>
      </w:r>
      <w:r w:rsidR="004862E6">
        <w:rPr>
          <w:rFonts w:ascii="Calibri" w:hAnsi="Calibri" w:cs="Helv"/>
          <w:bCs/>
          <w:color w:val="000000"/>
        </w:rPr>
        <w:t>, since there is no case law on point yet</w:t>
      </w:r>
      <w:r w:rsidR="00DE1E76">
        <w:rPr>
          <w:rFonts w:ascii="Calibri" w:hAnsi="Calibri" w:cs="Helv"/>
          <w:bCs/>
          <w:color w:val="000000"/>
        </w:rPr>
        <w:t>.</w:t>
      </w:r>
    </w:p>
    <w:p w14:paraId="282D5195" w14:textId="77777777" w:rsidR="00200569" w:rsidRDefault="00553C88" w:rsidP="00253C82">
      <w:pPr>
        <w:tabs>
          <w:tab w:val="num" w:pos="720"/>
        </w:tabs>
        <w:autoSpaceDE w:val="0"/>
        <w:autoSpaceDN w:val="0"/>
        <w:adjustRightInd w:val="0"/>
        <w:spacing w:line="360" w:lineRule="auto"/>
        <w:jc w:val="both"/>
        <w:rPr>
          <w:rFonts w:ascii="Calibri" w:hAnsi="Calibri" w:cs="Helv"/>
          <w:bCs/>
          <w:color w:val="000000"/>
        </w:rPr>
      </w:pPr>
      <w:r>
        <w:rPr>
          <w:rFonts w:ascii="Calibri" w:hAnsi="Calibri" w:cs="Helv"/>
          <w:bCs/>
          <w:color w:val="000000"/>
        </w:rPr>
        <w:tab/>
        <w:t>Adding a formula testamentary general po</w:t>
      </w:r>
      <w:r w:rsidR="00390B32">
        <w:rPr>
          <w:rFonts w:ascii="Calibri" w:hAnsi="Calibri" w:cs="Helv"/>
          <w:bCs/>
          <w:color w:val="000000"/>
        </w:rPr>
        <w:t>wer would also add another nine-</w:t>
      </w:r>
      <w:r>
        <w:rPr>
          <w:rFonts w:ascii="Calibri" w:hAnsi="Calibri" w:cs="Helv"/>
          <w:bCs/>
          <w:color w:val="000000"/>
        </w:rPr>
        <w:t>month window for subsequent beneficiaries to disclaim after the second death</w:t>
      </w:r>
      <w:r w:rsidR="002F4581">
        <w:rPr>
          <w:rFonts w:ascii="Calibri" w:hAnsi="Calibri" w:cs="Helv"/>
          <w:bCs/>
          <w:color w:val="000000"/>
        </w:rPr>
        <w:t xml:space="preserve"> (at least for the portion subject to a general power)</w:t>
      </w:r>
      <w:r>
        <w:rPr>
          <w:rFonts w:ascii="Calibri" w:hAnsi="Calibri" w:cs="Helv"/>
          <w:bCs/>
          <w:color w:val="000000"/>
        </w:rPr>
        <w:t>, as discussed in Part II and IV.</w:t>
      </w:r>
    </w:p>
    <w:p w14:paraId="6D9F883C" w14:textId="77777777" w:rsidR="00C30893" w:rsidRDefault="00C30893" w:rsidP="00253C82">
      <w:pPr>
        <w:tabs>
          <w:tab w:val="num" w:pos="720"/>
        </w:tabs>
        <w:autoSpaceDE w:val="0"/>
        <w:autoSpaceDN w:val="0"/>
        <w:adjustRightInd w:val="0"/>
        <w:spacing w:line="360" w:lineRule="auto"/>
        <w:jc w:val="both"/>
        <w:rPr>
          <w:rFonts w:ascii="Calibri" w:hAnsi="Calibri" w:cs="Helv"/>
          <w:bCs/>
          <w:color w:val="000000"/>
        </w:rPr>
      </w:pPr>
      <w:r>
        <w:rPr>
          <w:rFonts w:ascii="Calibri" w:hAnsi="Calibri" w:cs="Helv"/>
          <w:bCs/>
          <w:color w:val="000000"/>
        </w:rPr>
        <w:tab/>
        <w:t xml:space="preserve">Second, the LLC (or Tenancy in Common) agreement can be drafted or amended to essentially remove the discounts </w:t>
      </w:r>
      <w:r w:rsidR="002F4581">
        <w:rPr>
          <w:rFonts w:ascii="Calibri" w:hAnsi="Calibri" w:cs="Helv"/>
          <w:bCs/>
          <w:color w:val="000000"/>
        </w:rPr>
        <w:t xml:space="preserve">in the right situations </w:t>
      </w:r>
      <w:r>
        <w:rPr>
          <w:rFonts w:ascii="Calibri" w:hAnsi="Calibri" w:cs="Helv"/>
          <w:bCs/>
          <w:color w:val="000000"/>
        </w:rPr>
        <w:t>provided all the parties agree.  In the LLC context, I call this the Optimal Basis Increase LLC.</w:t>
      </w:r>
      <w:r>
        <w:rPr>
          <w:rStyle w:val="FootnoteReference"/>
          <w:rFonts w:ascii="Calibri" w:hAnsi="Calibri" w:cs="Helv"/>
          <w:bCs/>
          <w:color w:val="000000"/>
        </w:rPr>
        <w:footnoteReference w:id="43"/>
      </w:r>
      <w:r>
        <w:rPr>
          <w:rFonts w:ascii="Calibri" w:hAnsi="Calibri" w:cs="Helv"/>
          <w:bCs/>
          <w:color w:val="000000"/>
        </w:rPr>
        <w:t xml:space="preserve">  In some cases this would be necessary to optimize basis </w:t>
      </w:r>
      <w:r w:rsidRPr="002F4581">
        <w:rPr>
          <w:rFonts w:ascii="Calibri" w:hAnsi="Calibri" w:cs="Helv"/>
          <w:bCs/>
          <w:i/>
          <w:color w:val="000000"/>
        </w:rPr>
        <w:t>in addition</w:t>
      </w:r>
      <w:r>
        <w:rPr>
          <w:rFonts w:ascii="Calibri" w:hAnsi="Calibri" w:cs="Helv"/>
          <w:bCs/>
          <w:color w:val="000000"/>
        </w:rPr>
        <w:t xml:space="preserve"> to a general power of appointment (e.g. if the surviving spouse and spouse’s trust together did not own 100%).  This would basically entail adding some of the provisions that we’ve been taught to avoid in order to achieve valuation discounts – put rights, rights to force a dissolution, rights to a pro rata portion of </w:t>
      </w:r>
      <w:r w:rsidR="002F4581">
        <w:rPr>
          <w:rFonts w:ascii="Calibri" w:hAnsi="Calibri" w:cs="Helv"/>
          <w:bCs/>
          <w:color w:val="000000"/>
        </w:rPr>
        <w:t>the total value of the entity, etc.</w:t>
      </w:r>
    </w:p>
    <w:p w14:paraId="03D2E8EE" w14:textId="77777777" w:rsidR="005F5DEA" w:rsidRDefault="005F5DEA" w:rsidP="00253C82">
      <w:pPr>
        <w:tabs>
          <w:tab w:val="num" w:pos="720"/>
        </w:tabs>
        <w:autoSpaceDE w:val="0"/>
        <w:autoSpaceDN w:val="0"/>
        <w:adjustRightInd w:val="0"/>
        <w:spacing w:line="360" w:lineRule="auto"/>
        <w:jc w:val="both"/>
        <w:rPr>
          <w:rFonts w:ascii="Calibri" w:hAnsi="Calibri" w:cs="Helv"/>
          <w:bCs/>
          <w:color w:val="000000"/>
        </w:rPr>
      </w:pPr>
    </w:p>
    <w:p w14:paraId="4D3EAFC0" w14:textId="77777777" w:rsidR="00253C82" w:rsidRPr="00866F46" w:rsidRDefault="00253C82" w:rsidP="00180FD1">
      <w:pPr>
        <w:pStyle w:val="ListParagraph"/>
        <w:numPr>
          <w:ilvl w:val="0"/>
          <w:numId w:val="18"/>
        </w:numPr>
        <w:tabs>
          <w:tab w:val="num" w:pos="720"/>
        </w:tabs>
        <w:autoSpaceDE w:val="0"/>
        <w:autoSpaceDN w:val="0"/>
        <w:adjustRightInd w:val="0"/>
        <w:spacing w:line="360" w:lineRule="auto"/>
        <w:ind w:hanging="720"/>
        <w:jc w:val="both"/>
        <w:rPr>
          <w:rFonts w:ascii="Calibri" w:hAnsi="Calibri" w:cs="Helv"/>
          <w:b/>
          <w:bCs/>
          <w:color w:val="000000"/>
        </w:rPr>
      </w:pPr>
      <w:r w:rsidRPr="00866F46">
        <w:rPr>
          <w:rFonts w:ascii="Calibri" w:hAnsi="Calibri" w:cs="Helv"/>
          <w:b/>
          <w:bCs/>
          <w:color w:val="000000"/>
        </w:rPr>
        <w:t>Summarizing Benefits and Drawbacks</w:t>
      </w:r>
      <w:r w:rsidR="00866F46">
        <w:rPr>
          <w:rFonts w:ascii="Calibri" w:hAnsi="Calibri" w:cs="Helv"/>
          <w:b/>
          <w:bCs/>
          <w:color w:val="000000"/>
        </w:rPr>
        <w:t xml:space="preserve"> Endemic to all Marital Trusts</w:t>
      </w:r>
    </w:p>
    <w:p w14:paraId="78E948EA" w14:textId="77777777" w:rsidR="00491FB5" w:rsidRDefault="00253C82" w:rsidP="00253C82">
      <w:pPr>
        <w:tabs>
          <w:tab w:val="num" w:pos="720"/>
        </w:tabs>
        <w:autoSpaceDE w:val="0"/>
        <w:autoSpaceDN w:val="0"/>
        <w:adjustRightInd w:val="0"/>
        <w:spacing w:line="360" w:lineRule="auto"/>
        <w:jc w:val="both"/>
        <w:rPr>
          <w:rFonts w:ascii="Calibri" w:hAnsi="Calibri" w:cs="Helv"/>
          <w:bCs/>
          <w:color w:val="000000"/>
        </w:rPr>
      </w:pPr>
      <w:r>
        <w:rPr>
          <w:rFonts w:ascii="Calibri" w:hAnsi="Calibri" w:cs="Helv"/>
          <w:bCs/>
          <w:color w:val="000000"/>
        </w:rPr>
        <w:tab/>
      </w:r>
      <w:r w:rsidR="00491FB5" w:rsidRPr="008463E1">
        <w:rPr>
          <w:rFonts w:ascii="Calibri" w:hAnsi="Calibri" w:cs="Helv"/>
          <w:bCs/>
          <w:color w:val="000000"/>
        </w:rPr>
        <w:t xml:space="preserve">Thus, marital trust planning can combine </w:t>
      </w:r>
      <w:r w:rsidR="00186420">
        <w:rPr>
          <w:rFonts w:ascii="Calibri" w:hAnsi="Calibri" w:cs="Helv"/>
          <w:bCs/>
          <w:color w:val="000000"/>
        </w:rPr>
        <w:t xml:space="preserve">most of </w:t>
      </w:r>
      <w:r w:rsidR="00491FB5" w:rsidRPr="008463E1">
        <w:rPr>
          <w:rFonts w:ascii="Calibri" w:hAnsi="Calibri" w:cs="Helv"/>
          <w:bCs/>
          <w:color w:val="000000"/>
        </w:rPr>
        <w:t xml:space="preserve">the income tax basis benefit of the outright/portability option with the estate preservation and </w:t>
      </w:r>
      <w:r w:rsidR="00186420" w:rsidRPr="002F4581">
        <w:rPr>
          <w:rFonts w:ascii="Calibri" w:hAnsi="Calibri" w:cs="Helv"/>
          <w:bCs/>
          <w:i/>
          <w:color w:val="000000"/>
        </w:rPr>
        <w:t>most</w:t>
      </w:r>
      <w:r w:rsidR="00186420">
        <w:rPr>
          <w:rFonts w:ascii="Calibri" w:hAnsi="Calibri" w:cs="Helv"/>
          <w:bCs/>
          <w:color w:val="000000"/>
        </w:rPr>
        <w:t xml:space="preserve"> of </w:t>
      </w:r>
      <w:r w:rsidR="00491FB5">
        <w:rPr>
          <w:rFonts w:ascii="Calibri" w:hAnsi="Calibri" w:cs="Helv"/>
          <w:bCs/>
          <w:color w:val="000000"/>
        </w:rPr>
        <w:t xml:space="preserve">the </w:t>
      </w:r>
      <w:r w:rsidR="00491FB5" w:rsidRPr="008463E1">
        <w:rPr>
          <w:rFonts w:ascii="Calibri" w:hAnsi="Calibri" w:cs="Helv"/>
          <w:bCs/>
          <w:color w:val="000000"/>
        </w:rPr>
        <w:t xml:space="preserve">asset protection planning advantages of a </w:t>
      </w:r>
      <w:r w:rsidR="00491FB5">
        <w:rPr>
          <w:rFonts w:ascii="Calibri" w:hAnsi="Calibri" w:cs="Helv"/>
          <w:bCs/>
          <w:color w:val="000000"/>
        </w:rPr>
        <w:t xml:space="preserve">bypass </w:t>
      </w:r>
      <w:r w:rsidR="00491FB5" w:rsidRPr="008463E1">
        <w:rPr>
          <w:rFonts w:ascii="Calibri" w:hAnsi="Calibri" w:cs="Helv"/>
          <w:bCs/>
          <w:color w:val="000000"/>
        </w:rPr>
        <w:t>trust.</w:t>
      </w:r>
      <w:r w:rsidR="00491FB5">
        <w:rPr>
          <w:rFonts w:ascii="Calibri" w:hAnsi="Calibri" w:cs="Helv"/>
          <w:bCs/>
          <w:color w:val="000000"/>
        </w:rPr>
        <w:t xml:space="preserve">  Marital trusts can </w:t>
      </w:r>
      <w:r w:rsidR="003038B0">
        <w:rPr>
          <w:rFonts w:ascii="Calibri" w:hAnsi="Calibri" w:cs="Helv"/>
          <w:bCs/>
          <w:color w:val="000000"/>
        </w:rPr>
        <w:t xml:space="preserve">at least partially </w:t>
      </w:r>
      <w:r w:rsidR="00491FB5">
        <w:rPr>
          <w:rFonts w:ascii="Calibri" w:hAnsi="Calibri" w:cs="Helv"/>
          <w:bCs/>
          <w:color w:val="000000"/>
        </w:rPr>
        <w:t xml:space="preserve">solve the first major drawback of the bypass trust discussed above </w:t>
      </w:r>
      <w:r w:rsidR="003038B0">
        <w:rPr>
          <w:rFonts w:ascii="Calibri" w:hAnsi="Calibri" w:cs="Helv"/>
          <w:bCs/>
          <w:color w:val="000000"/>
        </w:rPr>
        <w:t>–</w:t>
      </w:r>
      <w:r w:rsidR="00491FB5">
        <w:rPr>
          <w:rFonts w:ascii="Calibri" w:hAnsi="Calibri" w:cs="Helv"/>
          <w:bCs/>
          <w:color w:val="000000"/>
        </w:rPr>
        <w:t xml:space="preserve"> </w:t>
      </w:r>
      <w:r w:rsidR="005F5A52">
        <w:rPr>
          <w:rFonts w:ascii="Calibri" w:hAnsi="Calibri" w:cs="Helv"/>
          <w:bCs/>
          <w:color w:val="000000"/>
        </w:rPr>
        <w:t xml:space="preserve">increased </w:t>
      </w:r>
      <w:r w:rsidR="00491FB5">
        <w:rPr>
          <w:rFonts w:ascii="Calibri" w:hAnsi="Calibri" w:cs="Helv"/>
          <w:bCs/>
          <w:color w:val="000000"/>
        </w:rPr>
        <w:t>basis</w:t>
      </w:r>
      <w:r w:rsidR="003038B0">
        <w:rPr>
          <w:rFonts w:ascii="Calibri" w:hAnsi="Calibri" w:cs="Helv"/>
          <w:bCs/>
          <w:color w:val="000000"/>
        </w:rPr>
        <w:t xml:space="preserve"> at the second death</w:t>
      </w:r>
      <w:r w:rsidR="00491FB5">
        <w:rPr>
          <w:rFonts w:ascii="Calibri" w:hAnsi="Calibri" w:cs="Helv"/>
          <w:bCs/>
          <w:color w:val="000000"/>
        </w:rPr>
        <w:t xml:space="preserve">, and can solve </w:t>
      </w:r>
      <w:r w:rsidR="00491FB5" w:rsidRPr="00C23FED">
        <w:rPr>
          <w:rFonts w:ascii="Calibri" w:hAnsi="Calibri" w:cs="Helv"/>
          <w:bCs/>
          <w:i/>
          <w:color w:val="000000"/>
        </w:rPr>
        <w:t>most</w:t>
      </w:r>
      <w:r w:rsidR="00491FB5">
        <w:rPr>
          <w:rFonts w:ascii="Calibri" w:hAnsi="Calibri" w:cs="Helv"/>
          <w:bCs/>
          <w:color w:val="000000"/>
        </w:rPr>
        <w:t xml:space="preserve"> of the </w:t>
      </w:r>
      <w:r w:rsidR="000A176D">
        <w:rPr>
          <w:rFonts w:ascii="Calibri" w:hAnsi="Calibri" w:cs="Helv"/>
          <w:bCs/>
          <w:color w:val="000000"/>
        </w:rPr>
        <w:t>baker’s dozen</w:t>
      </w:r>
      <w:r w:rsidR="00491FB5">
        <w:rPr>
          <w:rFonts w:ascii="Calibri" w:hAnsi="Calibri" w:cs="Helv"/>
          <w:bCs/>
          <w:color w:val="000000"/>
        </w:rPr>
        <w:t xml:space="preserve"> </w:t>
      </w:r>
      <w:r w:rsidR="00390B32">
        <w:rPr>
          <w:rFonts w:ascii="Calibri" w:hAnsi="Calibri" w:cs="Helv"/>
          <w:bCs/>
          <w:color w:val="000000"/>
        </w:rPr>
        <w:t>of drawbacks to</w:t>
      </w:r>
      <w:r w:rsidR="00491FB5">
        <w:rPr>
          <w:rFonts w:ascii="Calibri" w:hAnsi="Calibri" w:cs="Helv"/>
          <w:bCs/>
          <w:color w:val="000000"/>
        </w:rPr>
        <w:t xml:space="preserve"> outright planning discussed </w:t>
      </w:r>
      <w:r w:rsidR="00197989">
        <w:rPr>
          <w:rFonts w:ascii="Calibri" w:hAnsi="Calibri" w:cs="Helv"/>
          <w:bCs/>
          <w:color w:val="000000"/>
        </w:rPr>
        <w:t>in Part I above</w:t>
      </w:r>
      <w:r w:rsidR="00491FB5">
        <w:rPr>
          <w:rFonts w:ascii="Calibri" w:hAnsi="Calibri" w:cs="Helv"/>
          <w:bCs/>
          <w:color w:val="000000"/>
        </w:rPr>
        <w:t>.</w:t>
      </w:r>
    </w:p>
    <w:p w14:paraId="289F35FD" w14:textId="77777777" w:rsidR="00491FB5" w:rsidRDefault="00491FB5" w:rsidP="00EC70D0">
      <w:pPr>
        <w:tabs>
          <w:tab w:val="num" w:pos="360"/>
        </w:tabs>
        <w:autoSpaceDE w:val="0"/>
        <w:autoSpaceDN w:val="0"/>
        <w:adjustRightInd w:val="0"/>
        <w:spacing w:line="360" w:lineRule="auto"/>
        <w:jc w:val="both"/>
        <w:rPr>
          <w:rFonts w:ascii="Calibri" w:hAnsi="Calibri" w:cs="Helv"/>
          <w:bCs/>
          <w:color w:val="000000"/>
        </w:rPr>
      </w:pPr>
      <w:r>
        <w:rPr>
          <w:rFonts w:ascii="Calibri" w:hAnsi="Calibri" w:cs="Helv"/>
          <w:bCs/>
          <w:color w:val="000000"/>
        </w:rPr>
        <w:tab/>
      </w:r>
      <w:r>
        <w:rPr>
          <w:rFonts w:ascii="Calibri" w:hAnsi="Calibri" w:cs="Helv"/>
          <w:bCs/>
          <w:color w:val="000000"/>
        </w:rPr>
        <w:tab/>
      </w:r>
      <w:r w:rsidRPr="002F4581">
        <w:rPr>
          <w:rFonts w:ascii="Calibri" w:hAnsi="Calibri" w:cs="Helv"/>
          <w:bCs/>
          <w:i/>
          <w:color w:val="000000"/>
        </w:rPr>
        <w:t xml:space="preserve">But we </w:t>
      </w:r>
      <w:r w:rsidR="007C2B3F" w:rsidRPr="002F4581">
        <w:rPr>
          <w:rFonts w:ascii="Calibri" w:hAnsi="Calibri" w:cs="Helv"/>
          <w:bCs/>
          <w:i/>
          <w:color w:val="000000"/>
        </w:rPr>
        <w:t>might</w:t>
      </w:r>
      <w:r w:rsidRPr="002F4581">
        <w:rPr>
          <w:rFonts w:ascii="Calibri" w:hAnsi="Calibri" w:cs="Helv"/>
          <w:bCs/>
          <w:i/>
          <w:color w:val="000000"/>
        </w:rPr>
        <w:t xml:space="preserve"> do even better</w:t>
      </w:r>
      <w:r>
        <w:rPr>
          <w:rFonts w:ascii="Calibri" w:hAnsi="Calibri" w:cs="Helv"/>
          <w:bCs/>
          <w:color w:val="000000"/>
        </w:rPr>
        <w:t xml:space="preserve">.  After all, marital trusts typically don’t solve the higher ongoing income tax issue, </w:t>
      </w:r>
      <w:r w:rsidR="00186420">
        <w:rPr>
          <w:rFonts w:ascii="Calibri" w:hAnsi="Calibri" w:cs="Helv"/>
          <w:bCs/>
          <w:color w:val="000000"/>
        </w:rPr>
        <w:t xml:space="preserve">which is probably of greater concern to surviving spouses, </w:t>
      </w:r>
      <w:r>
        <w:rPr>
          <w:rFonts w:ascii="Calibri" w:hAnsi="Calibri" w:cs="Helv"/>
          <w:bCs/>
          <w:color w:val="000000"/>
        </w:rPr>
        <w:t xml:space="preserve">and are </w:t>
      </w:r>
      <w:r>
        <w:rPr>
          <w:rFonts w:ascii="Calibri" w:hAnsi="Calibri" w:cs="Helv"/>
          <w:bCs/>
          <w:color w:val="000000"/>
        </w:rPr>
        <w:lastRenderedPageBreak/>
        <w:t xml:space="preserve">problematic in that they also receive a second step </w:t>
      </w:r>
      <w:r w:rsidRPr="00974DCD">
        <w:rPr>
          <w:rFonts w:ascii="Calibri" w:hAnsi="Calibri" w:cs="Helv"/>
          <w:b/>
          <w:bCs/>
          <w:i/>
          <w:color w:val="000000"/>
        </w:rPr>
        <w:t>down</w:t>
      </w:r>
      <w:r w:rsidR="00186420">
        <w:rPr>
          <w:rFonts w:ascii="Calibri" w:hAnsi="Calibri" w:cs="Helv"/>
          <w:b/>
          <w:bCs/>
          <w:i/>
          <w:color w:val="000000"/>
        </w:rPr>
        <w:t xml:space="preserve"> </w:t>
      </w:r>
      <w:r>
        <w:rPr>
          <w:rFonts w:ascii="Calibri" w:hAnsi="Calibri" w:cs="Helv"/>
          <w:bCs/>
          <w:color w:val="000000"/>
        </w:rPr>
        <w:t xml:space="preserve">in basis.  Moreover, they cannot spray income as a bypass trust could and they are leaky for both asset protection and tax reasons, because of the mandatory income requirement.  </w:t>
      </w:r>
      <w:r w:rsidR="00186420">
        <w:rPr>
          <w:rFonts w:ascii="Calibri" w:hAnsi="Calibri" w:cs="Helv"/>
          <w:bCs/>
          <w:color w:val="000000"/>
        </w:rPr>
        <w:t xml:space="preserve">They cannot be structured as </w:t>
      </w:r>
      <w:bookmarkStart w:id="0" w:name="_Hlk19457600"/>
      <w:r w:rsidR="00186420">
        <w:rPr>
          <w:rFonts w:ascii="Calibri" w:hAnsi="Calibri" w:cs="Helv"/>
          <w:bCs/>
          <w:color w:val="000000"/>
        </w:rPr>
        <w:t>third party created wholly discretionary trusts not counted as a resource or income for Medicaid or other benefit purposes</w:t>
      </w:r>
      <w:bookmarkEnd w:id="0"/>
      <w:r w:rsidR="00186420">
        <w:rPr>
          <w:rFonts w:ascii="Calibri" w:hAnsi="Calibri" w:cs="Helv"/>
          <w:bCs/>
          <w:color w:val="000000"/>
        </w:rPr>
        <w:t xml:space="preserve">. </w:t>
      </w:r>
      <w:r w:rsidR="001500CA">
        <w:rPr>
          <w:rFonts w:ascii="Calibri" w:hAnsi="Calibri" w:cs="Helv"/>
          <w:bCs/>
          <w:color w:val="000000"/>
        </w:rPr>
        <w:t xml:space="preserve">They cannot have protective forfeiture provisions like a bypass trust might.  </w:t>
      </w:r>
      <w:r>
        <w:rPr>
          <w:rFonts w:ascii="Calibri" w:hAnsi="Calibri" w:cs="Helv"/>
          <w:bCs/>
          <w:color w:val="000000"/>
        </w:rPr>
        <w:t>They provide greater complications for see-through trust status (aka “stretch IRAs”), especially for GPOA marital trusts</w:t>
      </w:r>
      <w:r w:rsidR="000A176D">
        <w:rPr>
          <w:rFonts w:ascii="Calibri" w:hAnsi="Calibri" w:cs="Helv"/>
          <w:bCs/>
          <w:color w:val="000000"/>
        </w:rPr>
        <w:t>, and may force out IRA distributions where none would otherwise be required</w:t>
      </w:r>
      <w:r>
        <w:rPr>
          <w:rFonts w:ascii="Calibri" w:hAnsi="Calibri" w:cs="Helv"/>
          <w:bCs/>
          <w:color w:val="000000"/>
        </w:rPr>
        <w:t>.</w:t>
      </w:r>
      <w:r w:rsidR="000A176D">
        <w:rPr>
          <w:rStyle w:val="FootnoteReference"/>
          <w:rFonts w:ascii="Calibri" w:hAnsi="Calibri" w:cs="Helv"/>
          <w:bCs/>
          <w:color w:val="000000"/>
        </w:rPr>
        <w:footnoteReference w:id="44"/>
      </w:r>
      <w:r>
        <w:rPr>
          <w:rFonts w:ascii="Calibri" w:hAnsi="Calibri" w:cs="Helv"/>
          <w:bCs/>
          <w:color w:val="000000"/>
        </w:rPr>
        <w:t xml:space="preserve">  They cannot use </w:t>
      </w:r>
      <w:r w:rsidR="001237DF">
        <w:rPr>
          <w:rFonts w:ascii="Calibri" w:hAnsi="Calibri" w:cs="Helv"/>
          <w:bCs/>
          <w:color w:val="000000"/>
        </w:rPr>
        <w:t xml:space="preserve">broad </w:t>
      </w:r>
      <w:r w:rsidRPr="001237DF">
        <w:rPr>
          <w:rFonts w:ascii="Calibri" w:hAnsi="Calibri" w:cs="Helv"/>
          <w:bCs/>
          <w:i/>
          <w:color w:val="000000"/>
        </w:rPr>
        <w:t>lifetime</w:t>
      </w:r>
      <w:r>
        <w:rPr>
          <w:rFonts w:ascii="Calibri" w:hAnsi="Calibri" w:cs="Helv"/>
          <w:bCs/>
          <w:color w:val="000000"/>
        </w:rPr>
        <w:t xml:space="preserve"> limited powers of appointment</w:t>
      </w:r>
      <w:r w:rsidR="00197989">
        <w:rPr>
          <w:rFonts w:ascii="Calibri" w:hAnsi="Calibri" w:cs="Helv"/>
          <w:bCs/>
          <w:color w:val="000000"/>
        </w:rPr>
        <w:t xml:space="preserve"> – </w:t>
      </w:r>
      <w:r w:rsidR="00BA389C">
        <w:rPr>
          <w:rFonts w:ascii="Calibri" w:hAnsi="Calibri" w:cs="Helv"/>
          <w:bCs/>
          <w:color w:val="000000"/>
        </w:rPr>
        <w:t xml:space="preserve">which can be </w:t>
      </w:r>
      <w:r w:rsidR="00197989">
        <w:rPr>
          <w:rFonts w:ascii="Calibri" w:hAnsi="Calibri" w:cs="Helv"/>
          <w:bCs/>
          <w:color w:val="000000"/>
        </w:rPr>
        <w:t xml:space="preserve">important </w:t>
      </w:r>
      <w:r w:rsidR="00BA389C">
        <w:rPr>
          <w:rFonts w:ascii="Calibri" w:hAnsi="Calibri" w:cs="Helv"/>
          <w:bCs/>
          <w:color w:val="000000"/>
        </w:rPr>
        <w:t xml:space="preserve">for </w:t>
      </w:r>
      <w:r w:rsidR="00197989">
        <w:rPr>
          <w:rFonts w:ascii="Calibri" w:hAnsi="Calibri" w:cs="Helv"/>
          <w:bCs/>
          <w:color w:val="000000"/>
        </w:rPr>
        <w:t>gifting and income tax planning technique</w:t>
      </w:r>
      <w:r w:rsidR="00BA389C">
        <w:rPr>
          <w:rFonts w:ascii="Calibri" w:hAnsi="Calibri" w:cs="Helv"/>
          <w:bCs/>
          <w:color w:val="000000"/>
        </w:rPr>
        <w:t>s discussed in Part VIII</w:t>
      </w:r>
      <w:r>
        <w:rPr>
          <w:rFonts w:ascii="Calibri" w:hAnsi="Calibri" w:cs="Helv"/>
          <w:bCs/>
          <w:color w:val="000000"/>
        </w:rPr>
        <w:t>.</w:t>
      </w:r>
      <w:r w:rsidR="008C13E8">
        <w:rPr>
          <w:rStyle w:val="FootnoteReference"/>
          <w:rFonts w:ascii="Calibri" w:hAnsi="Calibri" w:cs="Helv"/>
          <w:bCs/>
          <w:color w:val="000000"/>
        </w:rPr>
        <w:footnoteReference w:id="45"/>
      </w:r>
      <w:r>
        <w:rPr>
          <w:rFonts w:ascii="Calibri" w:hAnsi="Calibri" w:cs="Helv"/>
          <w:bCs/>
          <w:color w:val="000000"/>
        </w:rPr>
        <w:t xml:space="preserve">  </w:t>
      </w:r>
      <w:bookmarkStart w:id="1" w:name="_Hlk19466934"/>
      <w:r>
        <w:rPr>
          <w:rFonts w:ascii="Calibri" w:hAnsi="Calibri" w:cs="Helv"/>
          <w:bCs/>
          <w:color w:val="000000"/>
        </w:rPr>
        <w:t>They cannot be used by non-traditional couples who are not officially recognized as “married.”</w:t>
      </w:r>
      <w:bookmarkEnd w:id="1"/>
      <w:r w:rsidR="00BA389C">
        <w:rPr>
          <w:rStyle w:val="FootnoteReference"/>
          <w:rFonts w:ascii="Calibri" w:hAnsi="Calibri" w:cs="Helv"/>
          <w:bCs/>
          <w:color w:val="000000"/>
        </w:rPr>
        <w:footnoteReference w:id="46"/>
      </w:r>
      <w:r>
        <w:rPr>
          <w:rFonts w:ascii="Calibri" w:hAnsi="Calibri" w:cs="Helv"/>
          <w:bCs/>
          <w:color w:val="000000"/>
        </w:rPr>
        <w:t xml:space="preserve"> </w:t>
      </w:r>
      <w:r w:rsidR="00FD1590">
        <w:rPr>
          <w:rFonts w:ascii="Calibri" w:hAnsi="Calibri" w:cs="Helv"/>
          <w:bCs/>
          <w:color w:val="000000"/>
        </w:rPr>
        <w:t xml:space="preserve">QTIPs have more onerous </w:t>
      </w:r>
      <w:r w:rsidR="008A4471">
        <w:rPr>
          <w:rFonts w:ascii="Calibri" w:hAnsi="Calibri" w:cs="Helv"/>
          <w:bCs/>
          <w:color w:val="000000"/>
        </w:rPr>
        <w:t xml:space="preserve">and complicated </w:t>
      </w:r>
      <w:r w:rsidR="00FD1590">
        <w:rPr>
          <w:rFonts w:ascii="Calibri" w:hAnsi="Calibri" w:cs="Helv"/>
          <w:bCs/>
          <w:color w:val="000000"/>
        </w:rPr>
        <w:t>tax apportionment.</w:t>
      </w:r>
      <w:r w:rsidR="00FD1590">
        <w:rPr>
          <w:rStyle w:val="FootnoteReference"/>
          <w:rFonts w:ascii="Calibri" w:hAnsi="Calibri" w:cs="Helv"/>
          <w:bCs/>
          <w:color w:val="000000"/>
        </w:rPr>
        <w:footnoteReference w:id="47"/>
      </w:r>
      <w:r w:rsidR="00FD1590">
        <w:rPr>
          <w:rFonts w:ascii="Calibri" w:hAnsi="Calibri" w:cs="Helv"/>
          <w:bCs/>
          <w:color w:val="000000"/>
        </w:rPr>
        <w:t xml:space="preserve">  </w:t>
      </w:r>
      <w:r>
        <w:rPr>
          <w:rFonts w:ascii="Calibri" w:hAnsi="Calibri" w:cs="Helv"/>
          <w:bCs/>
          <w:color w:val="000000"/>
        </w:rPr>
        <w:t xml:space="preserve"> </w:t>
      </w:r>
      <w:r w:rsidR="001B3F71">
        <w:rPr>
          <w:rFonts w:ascii="Calibri" w:hAnsi="Calibri" w:cs="Helv"/>
          <w:bCs/>
          <w:color w:val="000000"/>
        </w:rPr>
        <w:t xml:space="preserve">QTIPs have more problematic issues with estate freeze, entity planning and gifting/termination due to §2519.  </w:t>
      </w:r>
      <w:r w:rsidR="00FD1590">
        <w:rPr>
          <w:rFonts w:ascii="Calibri" w:hAnsi="Calibri" w:cs="Helv"/>
          <w:bCs/>
          <w:color w:val="000000"/>
        </w:rPr>
        <w:t>DSUE gained through overuse of marital trusts can be lost</w:t>
      </w:r>
      <w:r w:rsidR="00186420">
        <w:rPr>
          <w:rFonts w:ascii="Calibri" w:hAnsi="Calibri" w:cs="Helv"/>
          <w:bCs/>
          <w:color w:val="000000"/>
        </w:rPr>
        <w:t xml:space="preserve"> via botched </w:t>
      </w:r>
      <w:r w:rsidR="002F4581">
        <w:rPr>
          <w:rFonts w:ascii="Calibri" w:hAnsi="Calibri" w:cs="Helv"/>
          <w:bCs/>
          <w:color w:val="000000"/>
        </w:rPr>
        <w:t xml:space="preserve">Form 706 </w:t>
      </w:r>
      <w:r w:rsidR="00186420">
        <w:rPr>
          <w:rFonts w:ascii="Calibri" w:hAnsi="Calibri" w:cs="Helv"/>
          <w:bCs/>
          <w:color w:val="000000"/>
        </w:rPr>
        <w:t>filing, or remarriage combined with split gifts or a</w:t>
      </w:r>
      <w:r w:rsidR="00777DF2">
        <w:rPr>
          <w:rFonts w:ascii="Calibri" w:hAnsi="Calibri" w:cs="Helv"/>
          <w:bCs/>
          <w:color w:val="000000"/>
        </w:rPr>
        <w:t xml:space="preserve"> subsequently</w:t>
      </w:r>
      <w:r w:rsidR="00186420">
        <w:rPr>
          <w:rFonts w:ascii="Calibri" w:hAnsi="Calibri" w:cs="Helv"/>
          <w:bCs/>
          <w:color w:val="000000"/>
        </w:rPr>
        <w:t xml:space="preserve"> deceased 2</w:t>
      </w:r>
      <w:r w:rsidR="00186420" w:rsidRPr="00186420">
        <w:rPr>
          <w:rFonts w:ascii="Calibri" w:hAnsi="Calibri" w:cs="Helv"/>
          <w:bCs/>
          <w:color w:val="000000"/>
          <w:vertAlign w:val="superscript"/>
        </w:rPr>
        <w:t>nd</w:t>
      </w:r>
      <w:r w:rsidR="00186420">
        <w:rPr>
          <w:rFonts w:ascii="Calibri" w:hAnsi="Calibri" w:cs="Helv"/>
          <w:bCs/>
          <w:color w:val="000000"/>
        </w:rPr>
        <w:t xml:space="preserve"> spouse</w:t>
      </w:r>
      <w:r w:rsidR="00FD1590">
        <w:rPr>
          <w:rFonts w:ascii="Calibri" w:hAnsi="Calibri" w:cs="Helv"/>
          <w:bCs/>
          <w:color w:val="000000"/>
        </w:rPr>
        <w:t xml:space="preserve">.  </w:t>
      </w:r>
      <w:r w:rsidR="00A3331C">
        <w:rPr>
          <w:rFonts w:ascii="Calibri" w:hAnsi="Calibri" w:cs="Helv"/>
          <w:bCs/>
          <w:color w:val="000000"/>
        </w:rPr>
        <w:t xml:space="preserve">Marital trusts have much more limited adaptability under most trust protector/amendment clauses and state decanting statutes.  They risk greater “discounts” and </w:t>
      </w:r>
      <w:r w:rsidR="002F4581">
        <w:rPr>
          <w:rFonts w:ascii="Calibri" w:hAnsi="Calibri" w:cs="Helv"/>
          <w:bCs/>
          <w:color w:val="000000"/>
        </w:rPr>
        <w:t xml:space="preserve">therefore </w:t>
      </w:r>
      <w:r w:rsidR="00A3331C">
        <w:rPr>
          <w:rFonts w:ascii="Calibri" w:hAnsi="Calibri" w:cs="Helv"/>
          <w:bCs/>
          <w:color w:val="000000"/>
        </w:rPr>
        <w:t>lower basis when the spouse and QTIP own fractional i</w:t>
      </w:r>
      <w:r w:rsidR="00B439AD">
        <w:rPr>
          <w:rFonts w:ascii="Calibri" w:hAnsi="Calibri" w:cs="Helv"/>
          <w:bCs/>
          <w:color w:val="000000"/>
        </w:rPr>
        <w:t>nterests in the same property</w:t>
      </w:r>
      <w:r w:rsidR="00834AD5">
        <w:rPr>
          <w:rFonts w:ascii="Calibri" w:hAnsi="Calibri" w:cs="Helv"/>
          <w:bCs/>
          <w:color w:val="000000"/>
        </w:rPr>
        <w:t xml:space="preserve">. </w:t>
      </w:r>
      <w:r w:rsidR="008A4471">
        <w:rPr>
          <w:rFonts w:ascii="Calibri" w:hAnsi="Calibri" w:cs="Helv"/>
          <w:bCs/>
          <w:color w:val="000000"/>
        </w:rPr>
        <w:t xml:space="preserve"> </w:t>
      </w:r>
      <w:r w:rsidR="00AF30E1">
        <w:rPr>
          <w:rFonts w:ascii="Calibri" w:hAnsi="Calibri" w:cs="Helv"/>
          <w:bCs/>
          <w:color w:val="000000"/>
        </w:rPr>
        <w:t>Overuse of portability may cause the surviving spouse’s estate to go above the gross filing threshold, forcing the spouse’s estate to file Form 706 and the nasty new Form 8971</w:t>
      </w:r>
      <w:r w:rsidR="00B439AD">
        <w:rPr>
          <w:rFonts w:ascii="Calibri" w:hAnsi="Calibri" w:cs="Helv"/>
          <w:bCs/>
          <w:color w:val="000000"/>
        </w:rPr>
        <w:t xml:space="preserve"> schedules</w:t>
      </w:r>
      <w:r w:rsidR="00AF30E1">
        <w:rPr>
          <w:rFonts w:ascii="Calibri" w:hAnsi="Calibri" w:cs="Helv"/>
          <w:bCs/>
          <w:color w:val="000000"/>
        </w:rPr>
        <w:t xml:space="preserve"> with the “zero basis” problem wh</w:t>
      </w:r>
      <w:r w:rsidR="00A2362B">
        <w:rPr>
          <w:rFonts w:ascii="Calibri" w:hAnsi="Calibri" w:cs="Helv"/>
          <w:bCs/>
          <w:color w:val="000000"/>
        </w:rPr>
        <w:t>ereas</w:t>
      </w:r>
      <w:r w:rsidR="00AF30E1">
        <w:rPr>
          <w:rFonts w:ascii="Calibri" w:hAnsi="Calibri" w:cs="Helv"/>
          <w:bCs/>
          <w:color w:val="000000"/>
        </w:rPr>
        <w:t xml:space="preserve"> bypass trust usage </w:t>
      </w:r>
      <w:r w:rsidR="002F4581">
        <w:rPr>
          <w:rFonts w:ascii="Calibri" w:hAnsi="Calibri" w:cs="Helv"/>
          <w:bCs/>
          <w:color w:val="000000"/>
        </w:rPr>
        <w:t>in many cases may avoid</w:t>
      </w:r>
      <w:r w:rsidR="00AF30E1">
        <w:rPr>
          <w:rFonts w:ascii="Calibri" w:hAnsi="Calibri" w:cs="Helv"/>
          <w:bCs/>
          <w:color w:val="000000"/>
        </w:rPr>
        <w:t xml:space="preserve"> that</w:t>
      </w:r>
      <w:r w:rsidR="00B439AD">
        <w:rPr>
          <w:rFonts w:ascii="Calibri" w:hAnsi="Calibri" w:cs="Helv"/>
          <w:bCs/>
          <w:color w:val="000000"/>
        </w:rPr>
        <w:t xml:space="preserve"> by keeping both estates under the </w:t>
      </w:r>
      <w:r w:rsidR="00B439AD">
        <w:rPr>
          <w:rFonts w:ascii="Calibri" w:hAnsi="Calibri" w:cs="Helv"/>
          <w:bCs/>
          <w:color w:val="000000"/>
        </w:rPr>
        <w:lastRenderedPageBreak/>
        <w:t>filing threshold</w:t>
      </w:r>
      <w:r w:rsidR="00AF30E1">
        <w:rPr>
          <w:rFonts w:ascii="Calibri" w:hAnsi="Calibri" w:cs="Helv"/>
          <w:bCs/>
          <w:color w:val="000000"/>
        </w:rPr>
        <w:t>.</w:t>
      </w:r>
      <w:r w:rsidR="00AF30E1">
        <w:rPr>
          <w:rStyle w:val="FootnoteReference"/>
          <w:rFonts w:ascii="Calibri" w:hAnsi="Calibri" w:cs="Helv"/>
          <w:bCs/>
          <w:color w:val="000000"/>
        </w:rPr>
        <w:footnoteReference w:id="48"/>
      </w:r>
      <w:r w:rsidR="00AF30E1">
        <w:rPr>
          <w:rFonts w:ascii="Calibri" w:hAnsi="Calibri" w:cs="Helv"/>
          <w:bCs/>
          <w:color w:val="000000"/>
        </w:rPr>
        <w:t xml:space="preserve">  </w:t>
      </w:r>
      <w:r w:rsidR="00186420">
        <w:rPr>
          <w:rFonts w:ascii="Calibri" w:hAnsi="Calibri" w:cs="Helv"/>
          <w:bCs/>
          <w:color w:val="000000"/>
        </w:rPr>
        <w:t>Furthermore, marital trusts</w:t>
      </w:r>
      <w:r>
        <w:rPr>
          <w:rFonts w:ascii="Calibri" w:hAnsi="Calibri" w:cs="Helv"/>
          <w:bCs/>
          <w:color w:val="000000"/>
        </w:rPr>
        <w:t xml:space="preserve"> simply won’t be as efficient in saving state estate taxes or federal estate taxes</w:t>
      </w:r>
      <w:r w:rsidR="00FD1590">
        <w:rPr>
          <w:rFonts w:ascii="Calibri" w:hAnsi="Calibri" w:cs="Helv"/>
          <w:bCs/>
          <w:color w:val="000000"/>
        </w:rPr>
        <w:t xml:space="preserve"> for estates close to the </w:t>
      </w:r>
      <w:r w:rsidR="00834AD5">
        <w:rPr>
          <w:rFonts w:ascii="Calibri" w:hAnsi="Calibri" w:cs="Helv"/>
          <w:bCs/>
          <w:color w:val="000000"/>
        </w:rPr>
        <w:t xml:space="preserve">state or federal </w:t>
      </w:r>
      <w:r w:rsidR="00FD1590">
        <w:rPr>
          <w:rFonts w:ascii="Calibri" w:hAnsi="Calibri" w:cs="Helv"/>
          <w:bCs/>
          <w:color w:val="000000"/>
        </w:rPr>
        <w:t>applicable exclusion amount</w:t>
      </w:r>
      <w:r>
        <w:rPr>
          <w:rFonts w:ascii="Calibri" w:hAnsi="Calibri" w:cs="Helv"/>
          <w:bCs/>
          <w:color w:val="000000"/>
        </w:rPr>
        <w:t>, especially if</w:t>
      </w:r>
      <w:r w:rsidR="00834AD5">
        <w:rPr>
          <w:rFonts w:ascii="Calibri" w:hAnsi="Calibri" w:cs="Helv"/>
          <w:bCs/>
          <w:color w:val="000000"/>
        </w:rPr>
        <w:t xml:space="preserve"> the surviving spouse lives </w:t>
      </w:r>
      <w:r>
        <w:rPr>
          <w:rFonts w:ascii="Calibri" w:hAnsi="Calibri" w:cs="Helv"/>
          <w:bCs/>
          <w:color w:val="000000"/>
        </w:rPr>
        <w:t>long and assets appreciate significantly, since the DSUE amount is not indexed for inflation.</w:t>
      </w:r>
    </w:p>
    <w:p w14:paraId="0B4C422D" w14:textId="77777777" w:rsidR="00491FB5" w:rsidRPr="00866F46" w:rsidRDefault="00491FB5" w:rsidP="00180FD1">
      <w:pPr>
        <w:pStyle w:val="ListParagraph"/>
        <w:numPr>
          <w:ilvl w:val="0"/>
          <w:numId w:val="18"/>
        </w:numPr>
        <w:tabs>
          <w:tab w:val="num" w:pos="720"/>
        </w:tabs>
        <w:autoSpaceDE w:val="0"/>
        <w:autoSpaceDN w:val="0"/>
        <w:adjustRightInd w:val="0"/>
        <w:spacing w:line="360" w:lineRule="auto"/>
        <w:ind w:hanging="720"/>
        <w:jc w:val="both"/>
        <w:rPr>
          <w:rFonts w:ascii="Calibri" w:hAnsi="Calibri" w:cs="Helv"/>
          <w:bCs/>
          <w:color w:val="000000"/>
        </w:rPr>
      </w:pPr>
      <w:r w:rsidRPr="00866F46">
        <w:rPr>
          <w:rFonts w:ascii="Calibri" w:hAnsi="Calibri" w:cs="Helv"/>
          <w:b/>
          <w:bCs/>
          <w:color w:val="000000"/>
        </w:rPr>
        <w:t>What ways other than using marital deduction trusts could we achieve a second step up in basis at the surviving spouse’s death on assets in a bypass trust?</w:t>
      </w:r>
      <w:r w:rsidRPr="00866F46">
        <w:rPr>
          <w:rFonts w:ascii="Calibri" w:hAnsi="Calibri" w:cs="Helv"/>
          <w:bCs/>
          <w:color w:val="000000"/>
        </w:rPr>
        <w:t xml:space="preserve">  </w:t>
      </w:r>
    </w:p>
    <w:p w14:paraId="07937C16" w14:textId="77777777" w:rsidR="00491FB5" w:rsidRPr="00187CA9" w:rsidRDefault="00491FB5" w:rsidP="009B6794">
      <w:pPr>
        <w:tabs>
          <w:tab w:val="num" w:pos="360"/>
        </w:tabs>
        <w:autoSpaceDE w:val="0"/>
        <w:autoSpaceDN w:val="0"/>
        <w:adjustRightInd w:val="0"/>
        <w:spacing w:line="360" w:lineRule="auto"/>
        <w:ind w:firstLine="360"/>
        <w:jc w:val="both"/>
        <w:rPr>
          <w:rFonts w:ascii="Calibri" w:hAnsi="Calibri"/>
        </w:rPr>
      </w:pPr>
      <w:r>
        <w:rPr>
          <w:rFonts w:ascii="Calibri" w:hAnsi="Calibri" w:cs="Helv"/>
          <w:bCs/>
          <w:color w:val="000000"/>
        </w:rPr>
        <w:tab/>
        <w:t>We could</w:t>
      </w:r>
      <w:r w:rsidRPr="00187CA9">
        <w:rPr>
          <w:rFonts w:ascii="Calibri" w:hAnsi="Calibri"/>
        </w:rPr>
        <w:t xml:space="preserve"> build </w:t>
      </w:r>
      <w:r>
        <w:rPr>
          <w:rFonts w:ascii="Calibri" w:hAnsi="Calibri"/>
        </w:rPr>
        <w:t>greater</w:t>
      </w:r>
      <w:r w:rsidRPr="00187CA9">
        <w:rPr>
          <w:rFonts w:ascii="Calibri" w:hAnsi="Calibri"/>
        </w:rPr>
        <w:t xml:space="preserve"> flexibility to accomplish the same goals by either:</w:t>
      </w:r>
    </w:p>
    <w:p w14:paraId="400C1343" w14:textId="77777777" w:rsidR="00491FB5" w:rsidRDefault="00491FB5" w:rsidP="00730A53">
      <w:pPr>
        <w:spacing w:line="360" w:lineRule="auto"/>
        <w:ind w:left="360" w:firstLine="360"/>
        <w:rPr>
          <w:rFonts w:ascii="Calibri" w:hAnsi="Calibri"/>
        </w:rPr>
      </w:pPr>
      <w:r w:rsidRPr="00187CA9">
        <w:rPr>
          <w:rFonts w:ascii="Calibri" w:hAnsi="Calibri"/>
        </w:rPr>
        <w:t>1) giving an independent trustee (or co-trustee</w:t>
      </w:r>
      <w:r>
        <w:rPr>
          <w:rFonts w:ascii="Calibri" w:hAnsi="Calibri"/>
        </w:rPr>
        <w:t>, or “distribution trustee”</w:t>
      </w:r>
      <w:r w:rsidRPr="00187CA9">
        <w:rPr>
          <w:rFonts w:ascii="Calibri" w:hAnsi="Calibri"/>
        </w:rPr>
        <w:t xml:space="preserve">) discretion to distribute </w:t>
      </w:r>
      <w:r>
        <w:rPr>
          <w:rFonts w:ascii="Calibri" w:hAnsi="Calibri"/>
        </w:rPr>
        <w:t xml:space="preserve">up to </w:t>
      </w:r>
      <w:r w:rsidRPr="00187CA9">
        <w:rPr>
          <w:rFonts w:ascii="Calibri" w:hAnsi="Calibri"/>
        </w:rPr>
        <w:t>the entire amount in the bypas</w:t>
      </w:r>
      <w:r>
        <w:rPr>
          <w:rFonts w:ascii="Calibri" w:hAnsi="Calibri"/>
        </w:rPr>
        <w:t>s trust to the surviving spouse;</w:t>
      </w:r>
    </w:p>
    <w:p w14:paraId="2A4BBED1" w14:textId="77777777" w:rsidR="00491FB5" w:rsidRDefault="00491FB5" w:rsidP="000E08DC">
      <w:pPr>
        <w:spacing w:line="360" w:lineRule="auto"/>
        <w:ind w:left="360" w:firstLine="360"/>
        <w:rPr>
          <w:rFonts w:ascii="Calibri" w:hAnsi="Calibri"/>
        </w:rPr>
      </w:pPr>
      <w:r>
        <w:rPr>
          <w:rFonts w:ascii="Calibri" w:hAnsi="Calibri"/>
        </w:rPr>
        <w:t>2</w:t>
      </w:r>
      <w:r w:rsidRPr="00187CA9">
        <w:rPr>
          <w:rFonts w:ascii="Calibri" w:hAnsi="Calibri"/>
        </w:rPr>
        <w:t xml:space="preserve">) </w:t>
      </w:r>
      <w:r>
        <w:rPr>
          <w:rFonts w:ascii="Calibri" w:hAnsi="Calibri"/>
        </w:rPr>
        <w:t>giving</w:t>
      </w:r>
      <w:r w:rsidRPr="00187CA9">
        <w:rPr>
          <w:rFonts w:ascii="Calibri" w:hAnsi="Calibri"/>
        </w:rPr>
        <w:t xml:space="preserve"> an independent trustee or trust protector </w:t>
      </w:r>
      <w:r>
        <w:rPr>
          <w:rFonts w:ascii="Calibri" w:hAnsi="Calibri"/>
        </w:rPr>
        <w:t xml:space="preserve">the power to add general </w:t>
      </w:r>
      <w:r w:rsidRPr="00187CA9">
        <w:rPr>
          <w:rFonts w:ascii="Calibri" w:hAnsi="Calibri"/>
        </w:rPr>
        <w:t xml:space="preserve">testamentary </w:t>
      </w:r>
      <w:r>
        <w:rPr>
          <w:rFonts w:ascii="Calibri" w:hAnsi="Calibri"/>
        </w:rPr>
        <w:t>powers of appointment, or effecting the same via decanting or other reformation under state law</w:t>
      </w:r>
      <w:r w:rsidR="00CB7B53">
        <w:rPr>
          <w:rFonts w:ascii="Calibri" w:hAnsi="Calibri"/>
        </w:rPr>
        <w:t xml:space="preserve"> if enough trustee discretion is granted</w:t>
      </w:r>
      <w:r>
        <w:rPr>
          <w:rFonts w:ascii="Calibri" w:hAnsi="Calibri"/>
        </w:rPr>
        <w:t xml:space="preserve">; </w:t>
      </w:r>
    </w:p>
    <w:p w14:paraId="36E42AB9" w14:textId="77777777" w:rsidR="00491FB5" w:rsidRPr="00187CA9" w:rsidRDefault="0081418E" w:rsidP="00730A53">
      <w:pPr>
        <w:spacing w:line="360" w:lineRule="auto"/>
        <w:ind w:left="360" w:firstLine="360"/>
        <w:rPr>
          <w:rFonts w:ascii="Calibri" w:hAnsi="Calibri"/>
        </w:rPr>
      </w:pPr>
      <w:r>
        <w:rPr>
          <w:rFonts w:ascii="Calibri" w:hAnsi="Calibri"/>
        </w:rPr>
        <w:t xml:space="preserve">3) giving another party </w:t>
      </w:r>
      <w:r w:rsidR="00491FB5">
        <w:rPr>
          <w:rFonts w:ascii="Calibri" w:hAnsi="Calibri"/>
        </w:rPr>
        <w:t>(typically a child, but it could be a friend of spouse or non-beneficiary), a non-fiduciary limited lifetime power to appoint to the surviving spouse;</w:t>
      </w:r>
      <w:r w:rsidR="001237DF">
        <w:rPr>
          <w:rStyle w:val="FootnoteReference"/>
          <w:rFonts w:ascii="Calibri" w:hAnsi="Calibri"/>
        </w:rPr>
        <w:footnoteReference w:id="49"/>
      </w:r>
      <w:r w:rsidR="00491FB5">
        <w:rPr>
          <w:rFonts w:ascii="Calibri" w:hAnsi="Calibri"/>
        </w:rPr>
        <w:t xml:space="preserve"> </w:t>
      </w:r>
    </w:p>
    <w:p w14:paraId="5F1E720A" w14:textId="77777777" w:rsidR="004D2CC0" w:rsidRDefault="00491FB5" w:rsidP="00730A53">
      <w:pPr>
        <w:spacing w:line="360" w:lineRule="auto"/>
        <w:ind w:left="360" w:firstLine="360"/>
        <w:rPr>
          <w:rFonts w:ascii="Calibri" w:hAnsi="Calibri"/>
        </w:rPr>
      </w:pPr>
      <w:r>
        <w:rPr>
          <w:rFonts w:ascii="Calibri" w:hAnsi="Calibri"/>
        </w:rPr>
        <w:t xml:space="preserve">4) </w:t>
      </w:r>
      <w:r w:rsidR="004D2CC0">
        <w:rPr>
          <w:rFonts w:ascii="Calibri" w:hAnsi="Calibri"/>
        </w:rPr>
        <w:t xml:space="preserve">if the trust otherwise qualifies, and no return was ever filed to </w:t>
      </w:r>
      <w:r w:rsidR="004D2CC0" w:rsidRPr="004D2CC0">
        <w:rPr>
          <w:rFonts w:ascii="Calibri" w:hAnsi="Calibri"/>
          <w:b/>
        </w:rPr>
        <w:t>not</w:t>
      </w:r>
      <w:r w:rsidR="004D2CC0">
        <w:rPr>
          <w:rFonts w:ascii="Calibri" w:hAnsi="Calibri"/>
        </w:rPr>
        <w:t xml:space="preserve"> make a QTIP election, try to file a late Form 706 and make a late QTIP election.</w:t>
      </w:r>
    </w:p>
    <w:p w14:paraId="2E09E15F" w14:textId="77777777" w:rsidR="00491FB5" w:rsidRDefault="004D2CC0" w:rsidP="00730A53">
      <w:pPr>
        <w:spacing w:line="360" w:lineRule="auto"/>
        <w:ind w:left="360" w:firstLine="360"/>
        <w:rPr>
          <w:rFonts w:ascii="Calibri" w:hAnsi="Calibri"/>
        </w:rPr>
      </w:pPr>
      <w:r>
        <w:rPr>
          <w:rFonts w:ascii="Calibri" w:hAnsi="Calibri"/>
        </w:rPr>
        <w:t xml:space="preserve">5) </w:t>
      </w:r>
      <w:r w:rsidR="00491FB5">
        <w:rPr>
          <w:rFonts w:ascii="Calibri" w:hAnsi="Calibri"/>
        </w:rPr>
        <w:t>giving the surviving spouse a limited power to appoint, but enabling the appointment to trigger the Delaware Tax Trap over the appointed assets;</w:t>
      </w:r>
      <w:r w:rsidR="00491FB5">
        <w:rPr>
          <w:rStyle w:val="FootnoteReference"/>
          <w:rFonts w:ascii="Calibri" w:hAnsi="Calibri"/>
        </w:rPr>
        <w:footnoteReference w:id="50"/>
      </w:r>
    </w:p>
    <w:p w14:paraId="44D56641" w14:textId="77777777" w:rsidR="00491FB5" w:rsidRDefault="004D2CC0" w:rsidP="00730A53">
      <w:pPr>
        <w:spacing w:line="360" w:lineRule="auto"/>
        <w:ind w:left="360" w:firstLine="360"/>
        <w:rPr>
          <w:rFonts w:ascii="Calibri" w:hAnsi="Calibri"/>
        </w:rPr>
      </w:pPr>
      <w:r>
        <w:rPr>
          <w:rFonts w:ascii="Calibri" w:hAnsi="Calibri"/>
        </w:rPr>
        <w:t>6</w:t>
      </w:r>
      <w:r w:rsidR="00491FB5">
        <w:rPr>
          <w:rFonts w:ascii="Calibri" w:hAnsi="Calibri"/>
        </w:rPr>
        <w:t>) giving the surviving spouse a limited power to appoint that alternatively cascades to a general power to the extent not exercised.</w:t>
      </w:r>
      <w:r w:rsidR="00491FB5">
        <w:rPr>
          <w:rStyle w:val="FootnoteReference"/>
          <w:rFonts w:ascii="Calibri" w:hAnsi="Calibri"/>
        </w:rPr>
        <w:footnoteReference w:id="51"/>
      </w:r>
    </w:p>
    <w:p w14:paraId="7C423FB5" w14:textId="77777777" w:rsidR="00491FB5" w:rsidRPr="00187CA9" w:rsidRDefault="004D2CC0" w:rsidP="00730A53">
      <w:pPr>
        <w:spacing w:line="360" w:lineRule="auto"/>
        <w:ind w:left="360" w:firstLine="360"/>
        <w:rPr>
          <w:rFonts w:ascii="Calibri" w:hAnsi="Calibri"/>
        </w:rPr>
      </w:pPr>
      <w:r>
        <w:rPr>
          <w:rFonts w:ascii="Calibri" w:hAnsi="Calibri"/>
        </w:rPr>
        <w:lastRenderedPageBreak/>
        <w:t>7</w:t>
      </w:r>
      <w:r w:rsidR="00491FB5">
        <w:rPr>
          <w:rFonts w:ascii="Calibri" w:hAnsi="Calibri"/>
        </w:rPr>
        <w:t xml:space="preserve">) giving the surviving spouse a general power to appoint appreciated </w:t>
      </w:r>
      <w:r w:rsidR="001237DF">
        <w:rPr>
          <w:rFonts w:ascii="Calibri" w:hAnsi="Calibri"/>
        </w:rPr>
        <w:t xml:space="preserve">non-IRD </w:t>
      </w:r>
      <w:r w:rsidR="00491FB5">
        <w:rPr>
          <w:rFonts w:ascii="Calibri" w:hAnsi="Calibri"/>
        </w:rPr>
        <w:t>assets up to the surviving spouse’s remaining applicable exclusion amount.</w:t>
      </w:r>
      <w:r w:rsidR="00491FB5" w:rsidRPr="00187CA9">
        <w:rPr>
          <w:rFonts w:ascii="Calibri" w:hAnsi="Calibri"/>
        </w:rPr>
        <w:t xml:space="preserve">  </w:t>
      </w:r>
    </w:p>
    <w:p w14:paraId="14930FB2" w14:textId="77777777" w:rsidR="00491FB5" w:rsidRDefault="00491FB5" w:rsidP="00E03D41">
      <w:pPr>
        <w:spacing w:line="360" w:lineRule="auto"/>
        <w:ind w:firstLine="720"/>
        <w:rPr>
          <w:rFonts w:ascii="Calibri" w:hAnsi="Calibri"/>
        </w:rPr>
      </w:pPr>
      <w:r>
        <w:rPr>
          <w:rFonts w:ascii="Calibri" w:hAnsi="Calibri"/>
        </w:rPr>
        <w:t xml:space="preserve">This article will focus on the advantages of the last three of these, referred to as an </w:t>
      </w:r>
      <w:r w:rsidRPr="00E14726">
        <w:rPr>
          <w:rFonts w:ascii="Calibri" w:hAnsi="Calibri"/>
          <w:i/>
        </w:rPr>
        <w:t>Optimal Basis Increase Trust</w:t>
      </w:r>
      <w:r>
        <w:rPr>
          <w:rFonts w:ascii="Calibri" w:hAnsi="Calibri"/>
        </w:rPr>
        <w:t xml:space="preserve">.  </w:t>
      </w:r>
      <w:r w:rsidRPr="00187CA9">
        <w:rPr>
          <w:rFonts w:ascii="Calibri" w:hAnsi="Calibri"/>
        </w:rPr>
        <w:t xml:space="preserve">The problem with </w:t>
      </w:r>
      <w:r>
        <w:rPr>
          <w:rFonts w:ascii="Calibri" w:hAnsi="Calibri"/>
        </w:rPr>
        <w:t>the first two above techniques, which involve placing the burden on the trustee or trust protector,</w:t>
      </w:r>
      <w:r w:rsidRPr="00187CA9">
        <w:rPr>
          <w:rFonts w:ascii="Calibri" w:hAnsi="Calibri"/>
        </w:rPr>
        <w:t xml:space="preserve"> is that they are </w:t>
      </w:r>
      <w:r>
        <w:rPr>
          <w:rFonts w:ascii="Calibri" w:hAnsi="Calibri"/>
        </w:rPr>
        <w:t>often</w:t>
      </w:r>
      <w:r w:rsidRPr="00187CA9">
        <w:rPr>
          <w:rFonts w:ascii="Calibri" w:hAnsi="Calibri"/>
        </w:rPr>
        <w:t xml:space="preserve"> impractical and </w:t>
      </w:r>
      <w:r>
        <w:rPr>
          <w:rFonts w:ascii="Calibri" w:hAnsi="Calibri"/>
          <w:i/>
        </w:rPr>
        <w:t xml:space="preserve">require an extraordinary </w:t>
      </w:r>
      <w:r w:rsidRPr="00187CA9">
        <w:rPr>
          <w:rFonts w:ascii="Calibri" w:hAnsi="Calibri"/>
          <w:i/>
        </w:rPr>
        <w:t>amount of proactivity and omniscience</w:t>
      </w:r>
      <w:r>
        <w:rPr>
          <w:rFonts w:ascii="Calibri" w:hAnsi="Calibri"/>
          <w:i/>
        </w:rPr>
        <w:t>, not to mention potential liability for the trustee/trust protector</w:t>
      </w:r>
      <w:r w:rsidRPr="00187CA9">
        <w:rPr>
          <w:rFonts w:ascii="Calibri" w:hAnsi="Calibri"/>
        </w:rPr>
        <w:t xml:space="preserve">.  </w:t>
      </w:r>
      <w:r>
        <w:rPr>
          <w:rFonts w:ascii="Calibri" w:hAnsi="Calibri"/>
        </w:rPr>
        <w:t>Gallingly</w:t>
      </w:r>
      <w:r w:rsidRPr="00187CA9">
        <w:rPr>
          <w:rFonts w:ascii="Calibri" w:hAnsi="Calibri"/>
        </w:rPr>
        <w:t xml:space="preserve">, clients don’t tell us when they are going to die, hand us accurate cost basis </w:t>
      </w:r>
      <w:r>
        <w:rPr>
          <w:rFonts w:ascii="Calibri" w:hAnsi="Calibri"/>
        </w:rPr>
        <w:t>and valuation statements, marshal beneficiary agreement</w:t>
      </w:r>
      <w:r w:rsidRPr="00187CA9">
        <w:rPr>
          <w:rFonts w:ascii="Calibri" w:hAnsi="Calibri"/>
        </w:rPr>
        <w:t xml:space="preserve"> and give us enough time to </w:t>
      </w:r>
      <w:r>
        <w:rPr>
          <w:rFonts w:ascii="Calibri" w:hAnsi="Calibri"/>
        </w:rPr>
        <w:t>amend, decant or go to court to change the estate plan to maximize tax savings.  Furthermore, fiduciaries taking such drastic steps are likely to wish to hire counsel, get signed waivers, or consult a distribution committee – time for which may be scarce in a situation where the surviving spouse is hospitalized or terminally ill.</w:t>
      </w:r>
    </w:p>
    <w:p w14:paraId="68CDECC3" w14:textId="62FD8FED" w:rsidR="00491FB5" w:rsidRPr="00187CA9" w:rsidRDefault="00491FB5" w:rsidP="00974DCD">
      <w:pPr>
        <w:spacing w:line="360" w:lineRule="auto"/>
        <w:ind w:firstLine="720"/>
        <w:rPr>
          <w:rFonts w:ascii="Calibri" w:hAnsi="Calibri"/>
        </w:rPr>
      </w:pPr>
      <w:r w:rsidRPr="00187CA9">
        <w:rPr>
          <w:rFonts w:ascii="Calibri" w:hAnsi="Calibri"/>
        </w:rPr>
        <w:t>Distributing assets outright to the surviving spouse, even if clearly under the authority of the trustee</w:t>
      </w:r>
      <w:r>
        <w:rPr>
          <w:rFonts w:ascii="Calibri" w:hAnsi="Calibri"/>
        </w:rPr>
        <w:t>, protector or donee of a power of appointment</w:t>
      </w:r>
      <w:r w:rsidRPr="00187CA9">
        <w:rPr>
          <w:rFonts w:ascii="Calibri" w:hAnsi="Calibri"/>
        </w:rPr>
        <w:t xml:space="preserve">, risks losing the asset protection for the family and risks a disinheritance or removal outside in the family bloodline.  </w:t>
      </w:r>
      <w:r w:rsidR="002311EC">
        <w:rPr>
          <w:rFonts w:ascii="Calibri" w:hAnsi="Calibri"/>
        </w:rPr>
        <w:t xml:space="preserve">If the distribution is arguably </w:t>
      </w:r>
      <w:r w:rsidR="002311EC" w:rsidRPr="00E14726">
        <w:rPr>
          <w:rFonts w:ascii="Calibri" w:hAnsi="Calibri"/>
          <w:b/>
          <w:i/>
        </w:rPr>
        <w:t>beyond</w:t>
      </w:r>
      <w:r w:rsidR="002311EC">
        <w:rPr>
          <w:rFonts w:ascii="Calibri" w:hAnsi="Calibri"/>
        </w:rPr>
        <w:t xml:space="preserve"> the trustee’s authority (e.g.</w:t>
      </w:r>
      <w:r w:rsidR="00E14726">
        <w:rPr>
          <w:rFonts w:ascii="Calibri" w:hAnsi="Calibri"/>
        </w:rPr>
        <w:t>,</w:t>
      </w:r>
      <w:r w:rsidR="002311EC">
        <w:rPr>
          <w:rFonts w:ascii="Calibri" w:hAnsi="Calibri"/>
        </w:rPr>
        <w:t xml:space="preserve"> the distribution standards are only for “health, education and support”), even with children’s consent, the IRS may see it as collusion to avoid tax</w:t>
      </w:r>
      <w:r w:rsidR="00E14726">
        <w:rPr>
          <w:rFonts w:ascii="Calibri" w:hAnsi="Calibri"/>
        </w:rPr>
        <w:t xml:space="preserve">, that funds were </w:t>
      </w:r>
      <w:r w:rsidR="009C689B">
        <w:rPr>
          <w:rFonts w:ascii="Calibri" w:hAnsi="Calibri"/>
        </w:rPr>
        <w:t xml:space="preserve">still </w:t>
      </w:r>
      <w:r w:rsidR="00E14726">
        <w:rPr>
          <w:rFonts w:ascii="Calibri" w:hAnsi="Calibri"/>
        </w:rPr>
        <w:t>held</w:t>
      </w:r>
      <w:r w:rsidR="009C689B">
        <w:rPr>
          <w:rFonts w:ascii="Calibri" w:hAnsi="Calibri"/>
        </w:rPr>
        <w:t xml:space="preserve"> only</w:t>
      </w:r>
      <w:r w:rsidR="00E14726">
        <w:rPr>
          <w:rFonts w:ascii="Calibri" w:hAnsi="Calibri"/>
        </w:rPr>
        <w:t xml:space="preserve"> in constructive trust </w:t>
      </w:r>
      <w:r w:rsidR="003B1BCB">
        <w:rPr>
          <w:rFonts w:ascii="Calibri" w:hAnsi="Calibri"/>
        </w:rPr>
        <w:t>by</w:t>
      </w:r>
      <w:r w:rsidR="009C689B">
        <w:rPr>
          <w:rFonts w:ascii="Calibri" w:hAnsi="Calibri"/>
        </w:rPr>
        <w:t xml:space="preserve"> the decedent and</w:t>
      </w:r>
      <w:r w:rsidR="00E14726">
        <w:rPr>
          <w:rFonts w:ascii="Calibri" w:hAnsi="Calibri"/>
        </w:rPr>
        <w:t xml:space="preserve"> therefore </w:t>
      </w:r>
      <w:r w:rsidR="003B1BCB">
        <w:rPr>
          <w:rFonts w:ascii="Calibri" w:hAnsi="Calibri"/>
        </w:rPr>
        <w:t xml:space="preserve">must be </w:t>
      </w:r>
      <w:r w:rsidR="00E14726">
        <w:rPr>
          <w:rFonts w:ascii="Calibri" w:hAnsi="Calibri"/>
        </w:rPr>
        <w:t>denied inclusion/step up</w:t>
      </w:r>
      <w:r w:rsidR="002311EC">
        <w:rPr>
          <w:rFonts w:ascii="Calibri" w:hAnsi="Calibri"/>
        </w:rPr>
        <w:t>.</w:t>
      </w:r>
      <w:r w:rsidR="002311EC">
        <w:rPr>
          <w:rStyle w:val="FootnoteReference"/>
          <w:rFonts w:ascii="Calibri" w:hAnsi="Calibri"/>
        </w:rPr>
        <w:footnoteReference w:id="52"/>
      </w:r>
      <w:r w:rsidR="002311EC">
        <w:rPr>
          <w:rFonts w:ascii="Calibri" w:hAnsi="Calibri"/>
        </w:rPr>
        <w:t xml:space="preserve"> </w:t>
      </w:r>
      <w:r w:rsidR="00834AD5">
        <w:rPr>
          <w:rFonts w:ascii="Calibri" w:hAnsi="Calibri"/>
        </w:rPr>
        <w:t xml:space="preserve">Or, if the children are deemed to have made a gift, then their exclusion would be used (perhaps not a big deal) and §1014(e) </w:t>
      </w:r>
      <w:r w:rsidR="00D65911">
        <w:rPr>
          <w:rFonts w:ascii="Calibri" w:hAnsi="Calibri"/>
        </w:rPr>
        <w:t xml:space="preserve">may </w:t>
      </w:r>
      <w:r w:rsidR="00834AD5">
        <w:rPr>
          <w:rFonts w:ascii="Calibri" w:hAnsi="Calibri"/>
        </w:rPr>
        <w:t>deny the step up in basis (see comparison chart in the appendix comparing various options).</w:t>
      </w:r>
      <w:r w:rsidR="002311EC">
        <w:rPr>
          <w:rFonts w:ascii="Calibri" w:hAnsi="Calibri"/>
        </w:rPr>
        <w:t xml:space="preserve"> </w:t>
      </w:r>
      <w:r w:rsidR="00D65911">
        <w:rPr>
          <w:rFonts w:ascii="Calibri" w:hAnsi="Calibri"/>
        </w:rPr>
        <w:t>There may also be a deemed</w:t>
      </w:r>
      <w:r w:rsidR="002821F4">
        <w:rPr>
          <w:rFonts w:ascii="Calibri" w:hAnsi="Calibri"/>
        </w:rPr>
        <w:t xml:space="preserve"> commutation, gift and</w:t>
      </w:r>
      <w:r w:rsidR="00D65911">
        <w:rPr>
          <w:rFonts w:ascii="Calibri" w:hAnsi="Calibri"/>
        </w:rPr>
        <w:t xml:space="preserve"> sale</w:t>
      </w:r>
      <w:r w:rsidR="001A3642">
        <w:rPr>
          <w:rFonts w:ascii="Calibri" w:hAnsi="Calibri"/>
        </w:rPr>
        <w:t xml:space="preserve"> for income tax purposes.</w:t>
      </w:r>
      <w:r w:rsidR="001A3642">
        <w:rPr>
          <w:rStyle w:val="FootnoteReference"/>
          <w:rFonts w:ascii="Calibri" w:hAnsi="Calibri"/>
        </w:rPr>
        <w:footnoteReference w:id="53"/>
      </w:r>
      <w:r w:rsidR="001A3642">
        <w:rPr>
          <w:rFonts w:ascii="Calibri" w:hAnsi="Calibri"/>
        </w:rPr>
        <w:t xml:space="preserve">  </w:t>
      </w:r>
      <w:r>
        <w:rPr>
          <w:rFonts w:ascii="Calibri" w:hAnsi="Calibri"/>
        </w:rPr>
        <w:t xml:space="preserve">Once the assets are out of trust, you can’t simply put them back in and </w:t>
      </w:r>
      <w:r w:rsidR="00CB7B53">
        <w:rPr>
          <w:rFonts w:ascii="Calibri" w:hAnsi="Calibri"/>
        </w:rPr>
        <w:t>be assured</w:t>
      </w:r>
      <w:r>
        <w:rPr>
          <w:rFonts w:ascii="Calibri" w:hAnsi="Calibri"/>
        </w:rPr>
        <w:t xml:space="preserve"> the same tax results.</w:t>
      </w:r>
    </w:p>
    <w:p w14:paraId="223E5EC0" w14:textId="77777777" w:rsidR="00491FB5" w:rsidRDefault="00491FB5" w:rsidP="00974DCD">
      <w:pPr>
        <w:spacing w:line="360" w:lineRule="auto"/>
        <w:ind w:firstLine="720"/>
        <w:rPr>
          <w:rFonts w:ascii="Calibri" w:hAnsi="Calibri"/>
        </w:rPr>
      </w:pPr>
      <w:r>
        <w:rPr>
          <w:rFonts w:ascii="Calibri" w:hAnsi="Calibri"/>
        </w:rPr>
        <w:lastRenderedPageBreak/>
        <w:t>Adding</w:t>
      </w:r>
      <w:r w:rsidRPr="00187CA9">
        <w:rPr>
          <w:rFonts w:ascii="Calibri" w:hAnsi="Calibri"/>
        </w:rPr>
        <w:t xml:space="preserve"> a general </w:t>
      </w:r>
      <w:r>
        <w:rPr>
          <w:rFonts w:ascii="Calibri" w:hAnsi="Calibri"/>
        </w:rPr>
        <w:t xml:space="preserve">testamentary </w:t>
      </w:r>
      <w:r w:rsidRPr="00187CA9">
        <w:rPr>
          <w:rFonts w:ascii="Calibri" w:hAnsi="Calibri"/>
        </w:rPr>
        <w:t xml:space="preserve">power of appointment does </w:t>
      </w:r>
      <w:r>
        <w:rPr>
          <w:rFonts w:ascii="Calibri" w:hAnsi="Calibri"/>
        </w:rPr>
        <w:t>not have the same level of</w:t>
      </w:r>
      <w:r w:rsidRPr="00187CA9">
        <w:rPr>
          <w:rFonts w:ascii="Calibri" w:hAnsi="Calibri"/>
        </w:rPr>
        <w:t xml:space="preserve"> risk, nor the same destruction of asset protection from outside creditors</w:t>
      </w:r>
      <w:r>
        <w:rPr>
          <w:rFonts w:ascii="Calibri" w:hAnsi="Calibri"/>
        </w:rPr>
        <w:t>, as an outright distribution</w:t>
      </w:r>
      <w:r w:rsidRPr="00187CA9">
        <w:rPr>
          <w:rFonts w:ascii="Calibri" w:hAnsi="Calibri"/>
        </w:rPr>
        <w:t>.</w:t>
      </w:r>
      <w:r>
        <w:rPr>
          <w:rStyle w:val="FootnoteReference"/>
          <w:rFonts w:ascii="Calibri" w:hAnsi="Calibri"/>
        </w:rPr>
        <w:footnoteReference w:id="54"/>
      </w:r>
      <w:r w:rsidRPr="00187CA9">
        <w:rPr>
          <w:rFonts w:ascii="Calibri" w:hAnsi="Calibri"/>
        </w:rPr>
        <w:t xml:space="preserve">  </w:t>
      </w:r>
      <w:r w:rsidR="00BA6F33">
        <w:rPr>
          <w:rFonts w:ascii="Calibri" w:hAnsi="Calibri"/>
        </w:rPr>
        <w:t xml:space="preserve">Some trusts will have a trust protector provision that allows this, and </w:t>
      </w:r>
      <w:r w:rsidR="00CB7B53">
        <w:rPr>
          <w:rFonts w:ascii="Calibri" w:hAnsi="Calibri"/>
        </w:rPr>
        <w:t>several</w:t>
      </w:r>
      <w:r w:rsidR="00BA6F33">
        <w:rPr>
          <w:rFonts w:ascii="Calibri" w:hAnsi="Calibri"/>
        </w:rPr>
        <w:t xml:space="preserve"> states have a decanting statute that allows GPOAs to be added</w:t>
      </w:r>
      <w:r w:rsidR="00CB7B53">
        <w:rPr>
          <w:rFonts w:ascii="Calibri" w:hAnsi="Calibri"/>
        </w:rPr>
        <w:t xml:space="preserve"> if there is enough discretion</w:t>
      </w:r>
      <w:r w:rsidR="00A64133">
        <w:rPr>
          <w:rFonts w:ascii="Calibri" w:hAnsi="Calibri"/>
        </w:rPr>
        <w:t xml:space="preserve"> granted the trustee</w:t>
      </w:r>
      <w:r w:rsidR="00BA6F33">
        <w:rPr>
          <w:rFonts w:ascii="Calibri" w:hAnsi="Calibri"/>
        </w:rPr>
        <w:t>.</w:t>
      </w:r>
      <w:r w:rsidR="00BA6F33">
        <w:rPr>
          <w:rStyle w:val="FootnoteReference"/>
          <w:rFonts w:ascii="Calibri" w:hAnsi="Calibri"/>
        </w:rPr>
        <w:footnoteReference w:id="55"/>
      </w:r>
      <w:r w:rsidR="00BA6F33">
        <w:rPr>
          <w:rFonts w:ascii="Calibri" w:hAnsi="Calibri"/>
        </w:rPr>
        <w:t xml:space="preserve">  However, it merely begs the question – </w:t>
      </w:r>
      <w:r w:rsidR="00BA6F33" w:rsidRPr="0081418E">
        <w:rPr>
          <w:rFonts w:ascii="Calibri" w:hAnsi="Calibri"/>
          <w:i/>
        </w:rPr>
        <w:t xml:space="preserve">if it’s worth doing later, why isn’t it worth doing </w:t>
      </w:r>
      <w:r w:rsidR="00BA6F33" w:rsidRPr="009C689B">
        <w:rPr>
          <w:rFonts w:ascii="Calibri" w:hAnsi="Calibri"/>
          <w:b/>
          <w:i/>
        </w:rPr>
        <w:t>now</w:t>
      </w:r>
      <w:r w:rsidR="0042038E" w:rsidRPr="0081418E">
        <w:rPr>
          <w:rFonts w:ascii="Calibri" w:hAnsi="Calibri"/>
          <w:i/>
        </w:rPr>
        <w:t xml:space="preserve"> before it’s too late</w:t>
      </w:r>
      <w:r w:rsidR="00BA6F33">
        <w:rPr>
          <w:rFonts w:ascii="Calibri" w:hAnsi="Calibri"/>
        </w:rPr>
        <w:t>?</w:t>
      </w:r>
      <w:r w:rsidR="001F14D9">
        <w:rPr>
          <w:rFonts w:ascii="Calibri" w:hAnsi="Calibri"/>
        </w:rPr>
        <w:t xml:space="preserve">  </w:t>
      </w:r>
    </w:p>
    <w:p w14:paraId="6A0C3F55" w14:textId="77777777" w:rsidR="00834AD5" w:rsidRDefault="00834AD5" w:rsidP="00834AD5">
      <w:pPr>
        <w:spacing w:line="360" w:lineRule="auto"/>
        <w:ind w:firstLine="720"/>
        <w:rPr>
          <w:rFonts w:ascii="Calibri" w:hAnsi="Calibri"/>
        </w:rPr>
      </w:pPr>
      <w:r>
        <w:rPr>
          <w:rFonts w:ascii="Calibri" w:hAnsi="Calibri"/>
        </w:rPr>
        <w:t>Granting</w:t>
      </w:r>
      <w:r w:rsidR="001F14D9">
        <w:rPr>
          <w:rFonts w:ascii="Calibri" w:hAnsi="Calibri"/>
        </w:rPr>
        <w:t xml:space="preserve"> the ability </w:t>
      </w:r>
      <w:r w:rsidR="00CB7B53">
        <w:rPr>
          <w:rFonts w:ascii="Calibri" w:hAnsi="Calibri"/>
        </w:rPr>
        <w:t xml:space="preserve">for a trust protector </w:t>
      </w:r>
      <w:r w:rsidR="001F14D9">
        <w:rPr>
          <w:rFonts w:ascii="Calibri" w:hAnsi="Calibri"/>
        </w:rPr>
        <w:t xml:space="preserve">to add </w:t>
      </w:r>
      <w:r w:rsidR="00AD530A">
        <w:rPr>
          <w:rFonts w:ascii="Calibri" w:hAnsi="Calibri"/>
        </w:rPr>
        <w:t>G</w:t>
      </w:r>
      <w:r w:rsidR="001F14D9">
        <w:rPr>
          <w:rFonts w:ascii="Calibri" w:hAnsi="Calibri"/>
        </w:rPr>
        <w:t>POA basis savings clauses later</w:t>
      </w:r>
      <w:r>
        <w:rPr>
          <w:rFonts w:ascii="Calibri" w:hAnsi="Calibri"/>
        </w:rPr>
        <w:t xml:space="preserve"> without </w:t>
      </w:r>
      <w:r w:rsidRPr="009C689B">
        <w:rPr>
          <w:rFonts w:ascii="Calibri" w:hAnsi="Calibri"/>
          <w:i/>
        </w:rPr>
        <w:t>actually</w:t>
      </w:r>
      <w:r>
        <w:rPr>
          <w:rFonts w:ascii="Calibri" w:hAnsi="Calibri"/>
        </w:rPr>
        <w:t xml:space="preserve"> adding it</w:t>
      </w:r>
      <w:r w:rsidR="001F14D9">
        <w:rPr>
          <w:rFonts w:ascii="Calibri" w:hAnsi="Calibri"/>
        </w:rPr>
        <w:t xml:space="preserve"> is like GM or Toyota deciding to leave a </w:t>
      </w:r>
      <w:r w:rsidR="001F14D9" w:rsidRPr="009C689B">
        <w:rPr>
          <w:rFonts w:ascii="Calibri" w:hAnsi="Calibri"/>
          <w:i/>
        </w:rPr>
        <w:t>space</w:t>
      </w:r>
      <w:r w:rsidR="001F14D9">
        <w:rPr>
          <w:rFonts w:ascii="Calibri" w:hAnsi="Calibri"/>
        </w:rPr>
        <w:t xml:space="preserve"> for air bags and seat belts and telling people they can always go back to a mechanic to add them later.</w:t>
      </w:r>
      <w:r w:rsidR="00AD530A">
        <w:rPr>
          <w:rFonts w:ascii="Calibri" w:hAnsi="Calibri"/>
        </w:rPr>
        <w:t xml:space="preserve">  </w:t>
      </w:r>
      <w:r w:rsidR="009C689B">
        <w:rPr>
          <w:rFonts w:ascii="Calibri" w:hAnsi="Calibri"/>
        </w:rPr>
        <w:t xml:space="preserve">Why not install the seat belt and air bag?  </w:t>
      </w:r>
      <w:r>
        <w:rPr>
          <w:rFonts w:ascii="Calibri" w:hAnsi="Calibri"/>
        </w:rPr>
        <w:t>Would an attorney a decade ago have told</w:t>
      </w:r>
      <w:r w:rsidR="00BB0086">
        <w:rPr>
          <w:rFonts w:ascii="Calibri" w:hAnsi="Calibri"/>
        </w:rPr>
        <w:t xml:space="preserve"> wealthy</w:t>
      </w:r>
      <w:r>
        <w:rPr>
          <w:rFonts w:ascii="Calibri" w:hAnsi="Calibri"/>
        </w:rPr>
        <w:t xml:space="preserve"> married clients to just “skip the AB trust</w:t>
      </w:r>
      <w:r w:rsidR="00BB0086">
        <w:rPr>
          <w:rFonts w:ascii="Calibri" w:hAnsi="Calibri"/>
        </w:rPr>
        <w:t xml:space="preserve"> provision</w:t>
      </w:r>
      <w:r>
        <w:rPr>
          <w:rFonts w:ascii="Calibri" w:hAnsi="Calibri"/>
        </w:rPr>
        <w:t>, we’ll include a trust protector</w:t>
      </w:r>
      <w:r w:rsidR="00BB0086">
        <w:rPr>
          <w:rFonts w:ascii="Calibri" w:hAnsi="Calibri"/>
        </w:rPr>
        <w:t xml:space="preserve"> provision</w:t>
      </w:r>
      <w:r>
        <w:rPr>
          <w:rFonts w:ascii="Calibri" w:hAnsi="Calibri"/>
        </w:rPr>
        <w:t xml:space="preserve"> to add it in later</w:t>
      </w:r>
      <w:r w:rsidR="00BB0086">
        <w:rPr>
          <w:rFonts w:ascii="Calibri" w:hAnsi="Calibri"/>
        </w:rPr>
        <w:t>?</w:t>
      </w:r>
      <w:r>
        <w:rPr>
          <w:rFonts w:ascii="Calibri" w:hAnsi="Calibri"/>
        </w:rPr>
        <w:t xml:space="preserve">”  </w:t>
      </w:r>
      <w:r w:rsidR="00BB0086">
        <w:rPr>
          <w:rFonts w:ascii="Calibri" w:hAnsi="Calibri"/>
        </w:rPr>
        <w:t>Why not add the safety net now and allow it to be amended if it can later be improved?</w:t>
      </w:r>
    </w:p>
    <w:p w14:paraId="72E69B95" w14:textId="77777777" w:rsidR="00422683" w:rsidRPr="00866F46" w:rsidRDefault="00422683" w:rsidP="00180FD1">
      <w:pPr>
        <w:pStyle w:val="ListParagraph"/>
        <w:numPr>
          <w:ilvl w:val="0"/>
          <w:numId w:val="18"/>
        </w:numPr>
        <w:spacing w:line="360" w:lineRule="auto"/>
        <w:ind w:hanging="720"/>
        <w:rPr>
          <w:rFonts w:ascii="Calibri" w:hAnsi="Calibri"/>
          <w:b/>
        </w:rPr>
      </w:pPr>
      <w:r w:rsidRPr="00866F46">
        <w:rPr>
          <w:rFonts w:ascii="Calibri" w:hAnsi="Calibri"/>
          <w:b/>
        </w:rPr>
        <w:t xml:space="preserve">Are Trust Protector Powers to Add General Powers of Appointment </w:t>
      </w:r>
      <w:r w:rsidRPr="00BB0086">
        <w:rPr>
          <w:rFonts w:ascii="Calibri" w:hAnsi="Calibri"/>
          <w:b/>
          <w:i/>
        </w:rPr>
        <w:t>Dangerous</w:t>
      </w:r>
      <w:r w:rsidRPr="00866F46">
        <w:rPr>
          <w:rFonts w:ascii="Calibri" w:hAnsi="Calibri"/>
          <w:b/>
        </w:rPr>
        <w:t>?</w:t>
      </w:r>
    </w:p>
    <w:p w14:paraId="13EB9F10" w14:textId="77777777" w:rsidR="009870BF" w:rsidRDefault="00CB7B53" w:rsidP="00872A6C">
      <w:pPr>
        <w:spacing w:line="360" w:lineRule="auto"/>
        <w:ind w:firstLine="720"/>
        <w:rPr>
          <w:rFonts w:ascii="Calibri" w:hAnsi="Calibri"/>
        </w:rPr>
      </w:pPr>
      <w:r>
        <w:rPr>
          <w:rFonts w:ascii="Calibri" w:hAnsi="Calibri"/>
        </w:rPr>
        <w:t xml:space="preserve">Distinguished </w:t>
      </w:r>
      <w:r w:rsidR="00253C82">
        <w:rPr>
          <w:rFonts w:ascii="Calibri" w:hAnsi="Calibri"/>
        </w:rPr>
        <w:t>attorneys</w:t>
      </w:r>
      <w:r>
        <w:rPr>
          <w:rFonts w:ascii="Calibri" w:hAnsi="Calibri"/>
        </w:rPr>
        <w:t xml:space="preserve"> have </w:t>
      </w:r>
      <w:r w:rsidR="009870BF">
        <w:rPr>
          <w:rFonts w:ascii="Calibri" w:hAnsi="Calibri"/>
        </w:rPr>
        <w:t xml:space="preserve">cautioned against giving </w:t>
      </w:r>
      <w:r w:rsidR="00DE7CB9">
        <w:rPr>
          <w:rFonts w:ascii="Calibri" w:hAnsi="Calibri"/>
        </w:rPr>
        <w:t>non-adverse parties such as trust protectors, trustees or trust advisors</w:t>
      </w:r>
      <w:r w:rsidR="009870BF">
        <w:rPr>
          <w:rFonts w:ascii="Calibri" w:hAnsi="Calibri"/>
        </w:rPr>
        <w:t xml:space="preserve"> the ability</w:t>
      </w:r>
      <w:r w:rsidR="00DE7CB9">
        <w:rPr>
          <w:rFonts w:ascii="Calibri" w:hAnsi="Calibri"/>
        </w:rPr>
        <w:t xml:space="preserve"> to add GPOAs (beyond what state law already grants in the trust code, decanting statute, etc</w:t>
      </w:r>
      <w:r w:rsidR="00834AD5">
        <w:rPr>
          <w:rFonts w:ascii="Calibri" w:hAnsi="Calibri"/>
        </w:rPr>
        <w:t>.</w:t>
      </w:r>
      <w:r w:rsidR="00DE7CB9">
        <w:rPr>
          <w:rFonts w:ascii="Calibri" w:hAnsi="Calibri"/>
        </w:rPr>
        <w:t>)</w:t>
      </w:r>
      <w:r>
        <w:rPr>
          <w:rStyle w:val="FootnoteReference"/>
          <w:rFonts w:ascii="Calibri" w:hAnsi="Calibri"/>
        </w:rPr>
        <w:footnoteReference w:id="56"/>
      </w:r>
      <w:r w:rsidR="00DE7CB9">
        <w:rPr>
          <w:rFonts w:ascii="Calibri" w:hAnsi="Calibri"/>
        </w:rPr>
        <w:t xml:space="preserve">  The </w:t>
      </w:r>
      <w:r w:rsidR="00BB0086">
        <w:rPr>
          <w:rFonts w:ascii="Calibri" w:hAnsi="Calibri"/>
        </w:rPr>
        <w:t>worry</w:t>
      </w:r>
      <w:r w:rsidR="00DE7CB9">
        <w:rPr>
          <w:rFonts w:ascii="Calibri" w:hAnsi="Calibri"/>
        </w:rPr>
        <w:t xml:space="preserve"> is that this may be deemed to </w:t>
      </w:r>
      <w:r w:rsidR="00BB0086">
        <w:rPr>
          <w:rFonts w:ascii="Calibri" w:hAnsi="Calibri"/>
        </w:rPr>
        <w:t>create</w:t>
      </w:r>
      <w:r w:rsidR="00DE7CB9">
        <w:rPr>
          <w:rFonts w:ascii="Calibri" w:hAnsi="Calibri"/>
        </w:rPr>
        <w:t xml:space="preserve"> a</w:t>
      </w:r>
      <w:r w:rsidR="00BB0086">
        <w:rPr>
          <w:rFonts w:ascii="Calibri" w:hAnsi="Calibri"/>
        </w:rPr>
        <w:t xml:space="preserve"> current</w:t>
      </w:r>
      <w:r w:rsidR="00DE7CB9">
        <w:rPr>
          <w:rFonts w:ascii="Calibri" w:hAnsi="Calibri"/>
        </w:rPr>
        <w:t xml:space="preserve"> general power of appointment </w:t>
      </w:r>
      <w:r w:rsidR="00724CE6">
        <w:rPr>
          <w:rFonts w:ascii="Calibri" w:hAnsi="Calibri"/>
        </w:rPr>
        <w:t xml:space="preserve">over the entire trust </w:t>
      </w:r>
      <w:r w:rsidR="00DE7CB9">
        <w:rPr>
          <w:rFonts w:ascii="Calibri" w:hAnsi="Calibri"/>
        </w:rPr>
        <w:t>in itself.  Consider this</w:t>
      </w:r>
      <w:r w:rsidR="00BB0086">
        <w:rPr>
          <w:rFonts w:ascii="Calibri" w:hAnsi="Calibri"/>
        </w:rPr>
        <w:t xml:space="preserve"> theorem</w:t>
      </w:r>
      <w:r w:rsidR="00DE7CB9">
        <w:rPr>
          <w:rFonts w:ascii="Calibri" w:hAnsi="Calibri"/>
        </w:rPr>
        <w:t xml:space="preserve">: if spouse has a GPOA only exercisable with consent of a trust protector (assume the TP is not a child or remainderman, which is </w:t>
      </w:r>
      <w:r w:rsidR="00DC0458">
        <w:rPr>
          <w:rFonts w:ascii="Calibri" w:hAnsi="Calibri"/>
        </w:rPr>
        <w:t xml:space="preserve">highly </w:t>
      </w:r>
      <w:r w:rsidR="00DE7CB9">
        <w:rPr>
          <w:rFonts w:ascii="Calibri" w:hAnsi="Calibri"/>
        </w:rPr>
        <w:t xml:space="preserve">likely), we know this is still a </w:t>
      </w:r>
      <w:r w:rsidR="00DC0458">
        <w:rPr>
          <w:rFonts w:ascii="Calibri" w:hAnsi="Calibri"/>
        </w:rPr>
        <w:t>taxable GPOA because the consenting party is non-adverse</w:t>
      </w:r>
      <w:r w:rsidR="00DE7CB9">
        <w:rPr>
          <w:rFonts w:ascii="Calibri" w:hAnsi="Calibri"/>
        </w:rPr>
        <w:t>.</w:t>
      </w:r>
      <w:r w:rsidR="00724CE6">
        <w:rPr>
          <w:rStyle w:val="FootnoteReference"/>
          <w:rFonts w:ascii="Calibri" w:hAnsi="Calibri"/>
        </w:rPr>
        <w:footnoteReference w:id="57"/>
      </w:r>
      <w:r w:rsidR="00DE7CB9">
        <w:rPr>
          <w:rFonts w:ascii="Calibri" w:hAnsi="Calibri"/>
        </w:rPr>
        <w:t xml:space="preserve">  Is this so different from a </w:t>
      </w:r>
      <w:r w:rsidR="00DC0458">
        <w:rPr>
          <w:rFonts w:ascii="Calibri" w:hAnsi="Calibri"/>
        </w:rPr>
        <w:t>non-adverse party (trust protector)</w:t>
      </w:r>
      <w:r w:rsidR="00DE7CB9">
        <w:rPr>
          <w:rFonts w:ascii="Calibri" w:hAnsi="Calibri"/>
        </w:rPr>
        <w:t xml:space="preserve"> being able to </w:t>
      </w:r>
      <w:r w:rsidR="00B25E2F">
        <w:rPr>
          <w:rFonts w:ascii="Calibri" w:hAnsi="Calibri"/>
        </w:rPr>
        <w:t>grant</w:t>
      </w:r>
      <w:r w:rsidR="00DE7CB9">
        <w:rPr>
          <w:rFonts w:ascii="Calibri" w:hAnsi="Calibri"/>
        </w:rPr>
        <w:t xml:space="preserve"> a </w:t>
      </w:r>
      <w:r w:rsidR="00B25E2F">
        <w:rPr>
          <w:rFonts w:ascii="Calibri" w:hAnsi="Calibri"/>
        </w:rPr>
        <w:t xml:space="preserve">spouse a </w:t>
      </w:r>
      <w:r w:rsidR="00DE7CB9">
        <w:rPr>
          <w:rFonts w:ascii="Calibri" w:hAnsi="Calibri"/>
        </w:rPr>
        <w:t xml:space="preserve">GPOA?  Both </w:t>
      </w:r>
      <w:r w:rsidR="00DC0458">
        <w:rPr>
          <w:rFonts w:ascii="Calibri" w:hAnsi="Calibri"/>
        </w:rPr>
        <w:t xml:space="preserve">variations </w:t>
      </w:r>
      <w:r w:rsidR="00DE7CB9">
        <w:rPr>
          <w:rFonts w:ascii="Calibri" w:hAnsi="Calibri"/>
        </w:rPr>
        <w:t xml:space="preserve">allow a </w:t>
      </w:r>
      <w:r w:rsidR="00DE7CB9">
        <w:rPr>
          <w:rFonts w:ascii="Calibri" w:hAnsi="Calibri"/>
        </w:rPr>
        <w:lastRenderedPageBreak/>
        <w:t xml:space="preserve">GPOA to be exercised </w:t>
      </w:r>
      <w:r w:rsidR="00DC0458">
        <w:rPr>
          <w:rFonts w:ascii="Calibri" w:hAnsi="Calibri"/>
        </w:rPr>
        <w:t xml:space="preserve">only </w:t>
      </w:r>
      <w:r w:rsidR="00DE7CB9">
        <w:rPr>
          <w:rFonts w:ascii="Calibri" w:hAnsi="Calibri"/>
        </w:rPr>
        <w:t xml:space="preserve">with the consent of </w:t>
      </w:r>
      <w:r w:rsidR="00FE5A87">
        <w:rPr>
          <w:rFonts w:ascii="Calibri" w:hAnsi="Calibri"/>
        </w:rPr>
        <w:t xml:space="preserve">the </w:t>
      </w:r>
      <w:r w:rsidR="00DE7CB9">
        <w:rPr>
          <w:rFonts w:ascii="Calibri" w:hAnsi="Calibri"/>
        </w:rPr>
        <w:t>spouse and trust protector</w:t>
      </w:r>
      <w:r w:rsidR="00B25E2F">
        <w:rPr>
          <w:rFonts w:ascii="Calibri" w:hAnsi="Calibri"/>
        </w:rPr>
        <w:t xml:space="preserve"> who is non-adverse</w:t>
      </w:r>
      <w:r w:rsidR="00DE7CB9">
        <w:rPr>
          <w:rFonts w:ascii="Calibri" w:hAnsi="Calibri"/>
        </w:rPr>
        <w:t xml:space="preserve">.  </w:t>
      </w:r>
      <w:r w:rsidR="009870BF">
        <w:rPr>
          <w:rFonts w:ascii="Calibri" w:hAnsi="Calibri"/>
        </w:rPr>
        <w:t>Could this be</w:t>
      </w:r>
      <w:r w:rsidR="00DE7CB9">
        <w:rPr>
          <w:rFonts w:ascii="Calibri" w:hAnsi="Calibri"/>
        </w:rPr>
        <w:t xml:space="preserve"> merely a semantic difference</w:t>
      </w:r>
      <w:r w:rsidR="00A64133">
        <w:rPr>
          <w:rFonts w:ascii="Calibri" w:hAnsi="Calibri"/>
        </w:rPr>
        <w:t xml:space="preserve"> as some warn</w:t>
      </w:r>
      <w:r w:rsidR="00DE7CB9">
        <w:rPr>
          <w:rFonts w:ascii="Calibri" w:hAnsi="Calibri"/>
        </w:rPr>
        <w:t>?</w:t>
      </w:r>
      <w:r w:rsidR="00DC0458">
        <w:rPr>
          <w:rFonts w:ascii="Calibri" w:hAnsi="Calibri"/>
        </w:rPr>
        <w:t xml:space="preserve">  </w:t>
      </w:r>
    </w:p>
    <w:p w14:paraId="0CFFCC7D" w14:textId="77777777" w:rsidR="009870BF" w:rsidRDefault="00A64133" w:rsidP="00872A6C">
      <w:pPr>
        <w:spacing w:line="360" w:lineRule="auto"/>
        <w:ind w:firstLine="720"/>
        <w:rPr>
          <w:rFonts w:ascii="Calibri" w:hAnsi="Calibri"/>
        </w:rPr>
      </w:pPr>
      <w:r>
        <w:rPr>
          <w:rFonts w:ascii="Calibri" w:hAnsi="Calibri"/>
        </w:rPr>
        <w:t xml:space="preserve">I </w:t>
      </w:r>
      <w:r w:rsidR="0054552E">
        <w:rPr>
          <w:rFonts w:ascii="Calibri" w:hAnsi="Calibri"/>
        </w:rPr>
        <w:t xml:space="preserve">would </w:t>
      </w:r>
      <w:r>
        <w:rPr>
          <w:rFonts w:ascii="Calibri" w:hAnsi="Calibri"/>
        </w:rPr>
        <w:t>argue this is not</w:t>
      </w:r>
      <w:r w:rsidR="009870BF">
        <w:rPr>
          <w:rFonts w:ascii="Calibri" w:hAnsi="Calibri"/>
        </w:rPr>
        <w:t xml:space="preserve"> </w:t>
      </w:r>
      <w:r w:rsidR="00DC0458">
        <w:rPr>
          <w:rFonts w:ascii="Calibri" w:hAnsi="Calibri"/>
        </w:rPr>
        <w:t xml:space="preserve">substantially different from </w:t>
      </w:r>
      <w:r w:rsidR="009870BF">
        <w:rPr>
          <w:rFonts w:ascii="Calibri" w:hAnsi="Calibri"/>
        </w:rPr>
        <w:t>a</w:t>
      </w:r>
      <w:r w:rsidR="00FE5A87">
        <w:rPr>
          <w:rFonts w:ascii="Calibri" w:hAnsi="Calibri"/>
        </w:rPr>
        <w:t>n independent</w:t>
      </w:r>
      <w:r>
        <w:rPr>
          <w:rFonts w:ascii="Calibri" w:hAnsi="Calibri"/>
        </w:rPr>
        <w:t>, non-adverse</w:t>
      </w:r>
      <w:r w:rsidR="009870BF">
        <w:rPr>
          <w:rFonts w:ascii="Calibri" w:hAnsi="Calibri"/>
        </w:rPr>
        <w:t xml:space="preserve"> trustee with the </w:t>
      </w:r>
      <w:r w:rsidR="00B25E2F">
        <w:rPr>
          <w:rFonts w:ascii="Calibri" w:hAnsi="Calibri"/>
        </w:rPr>
        <w:t xml:space="preserve">sole </w:t>
      </w:r>
      <w:r w:rsidR="009870BF">
        <w:rPr>
          <w:rFonts w:ascii="Calibri" w:hAnsi="Calibri"/>
        </w:rPr>
        <w:t>discretion to pay the entire amount of a trust t</w:t>
      </w:r>
      <w:r w:rsidR="00DC0458">
        <w:rPr>
          <w:rFonts w:ascii="Calibri" w:hAnsi="Calibri"/>
        </w:rPr>
        <w:t>o a spouse or other beneficiary</w:t>
      </w:r>
      <w:r>
        <w:rPr>
          <w:rFonts w:ascii="Calibri" w:hAnsi="Calibri"/>
        </w:rPr>
        <w:t>, or a non-beneficiary holding</w:t>
      </w:r>
      <w:r w:rsidR="00FE5A87">
        <w:rPr>
          <w:rFonts w:ascii="Calibri" w:hAnsi="Calibri"/>
        </w:rPr>
        <w:t xml:space="preserve"> </w:t>
      </w:r>
      <w:r>
        <w:rPr>
          <w:rFonts w:ascii="Calibri" w:hAnsi="Calibri"/>
        </w:rPr>
        <w:t>a</w:t>
      </w:r>
      <w:r w:rsidR="00FE5A87">
        <w:rPr>
          <w:rFonts w:ascii="Calibri" w:hAnsi="Calibri"/>
        </w:rPr>
        <w:t xml:space="preserve"> lifetim</w:t>
      </w:r>
      <w:r>
        <w:rPr>
          <w:rFonts w:ascii="Calibri" w:hAnsi="Calibri"/>
        </w:rPr>
        <w:t>e limited power of appointment</w:t>
      </w:r>
      <w:r w:rsidR="00B25E2F">
        <w:rPr>
          <w:rFonts w:ascii="Calibri" w:hAnsi="Calibri"/>
        </w:rPr>
        <w:t xml:space="preserve"> enabling the same</w:t>
      </w:r>
      <w:r>
        <w:rPr>
          <w:rFonts w:ascii="Calibri" w:hAnsi="Calibri"/>
        </w:rPr>
        <w:t>.</w:t>
      </w:r>
      <w:r w:rsidR="00FE5A87">
        <w:rPr>
          <w:rFonts w:ascii="Calibri" w:hAnsi="Calibri"/>
        </w:rPr>
        <w:t xml:space="preserve"> </w:t>
      </w:r>
      <w:r w:rsidR="00F864BC">
        <w:rPr>
          <w:rFonts w:ascii="Calibri" w:hAnsi="Calibri"/>
        </w:rPr>
        <w:t xml:space="preserve"> No one argues that these longstanding powers cause a GPOA and estate inclusion, yet they are substantially the same.</w:t>
      </w:r>
      <w:r w:rsidR="00FE5A87">
        <w:rPr>
          <w:rFonts w:ascii="Calibri" w:hAnsi="Calibri"/>
        </w:rPr>
        <w:t xml:space="preserve"> </w:t>
      </w:r>
      <w:r w:rsidR="00F864BC">
        <w:rPr>
          <w:rFonts w:ascii="Calibri" w:hAnsi="Calibri"/>
        </w:rPr>
        <w:t>We don’t consider</w:t>
      </w:r>
      <w:r w:rsidR="009870BF">
        <w:rPr>
          <w:rFonts w:ascii="Calibri" w:hAnsi="Calibri"/>
        </w:rPr>
        <w:t xml:space="preserve"> the spouse and non-</w:t>
      </w:r>
      <w:r w:rsidR="00A3331C">
        <w:rPr>
          <w:rFonts w:ascii="Calibri" w:hAnsi="Calibri"/>
        </w:rPr>
        <w:t>adverse trust</w:t>
      </w:r>
      <w:r w:rsidR="00F864BC">
        <w:rPr>
          <w:rFonts w:ascii="Calibri" w:hAnsi="Calibri"/>
        </w:rPr>
        <w:t>ee’s</w:t>
      </w:r>
      <w:r w:rsidR="00A3331C">
        <w:rPr>
          <w:rFonts w:ascii="Calibri" w:hAnsi="Calibri"/>
        </w:rPr>
        <w:t xml:space="preserve"> powers </w:t>
      </w:r>
      <w:r>
        <w:rPr>
          <w:rFonts w:ascii="Calibri" w:hAnsi="Calibri"/>
        </w:rPr>
        <w:t>together</w:t>
      </w:r>
      <w:r w:rsidR="00F864BC">
        <w:rPr>
          <w:rFonts w:ascii="Calibri" w:hAnsi="Calibri"/>
        </w:rPr>
        <w:t xml:space="preserve"> because the trustee has a fiduciary duty to all beneficiaries, including remaindermen.  </w:t>
      </w:r>
      <w:r w:rsidR="009870BF">
        <w:rPr>
          <w:rFonts w:ascii="Calibri" w:hAnsi="Calibri"/>
        </w:rPr>
        <w:t xml:space="preserve">  When we look at it this way, we </w:t>
      </w:r>
      <w:r w:rsidR="00FE5A87">
        <w:rPr>
          <w:rFonts w:ascii="Calibri" w:hAnsi="Calibri"/>
        </w:rPr>
        <w:t xml:space="preserve">probably see some absurdity and </w:t>
      </w:r>
      <w:r>
        <w:rPr>
          <w:rFonts w:ascii="Calibri" w:hAnsi="Calibri"/>
        </w:rPr>
        <w:t>conclude such trust protector powers cannot create a GPOA in people by the mere power to add a GPOA later</w:t>
      </w:r>
      <w:r w:rsidR="009870BF">
        <w:rPr>
          <w:rFonts w:ascii="Calibri" w:hAnsi="Calibri"/>
        </w:rPr>
        <w:t xml:space="preserve"> – </w:t>
      </w:r>
      <w:r w:rsidR="00FE5A87">
        <w:rPr>
          <w:rFonts w:ascii="Calibri" w:hAnsi="Calibri"/>
        </w:rPr>
        <w:t>else the IRS would have long since hammered thousands of trusts with estate inclusion</w:t>
      </w:r>
      <w:r w:rsidR="009870BF">
        <w:rPr>
          <w:rFonts w:ascii="Calibri" w:hAnsi="Calibri"/>
        </w:rPr>
        <w:t xml:space="preserve">.  </w:t>
      </w:r>
      <w:r w:rsidR="00F864BC">
        <w:rPr>
          <w:rFonts w:ascii="Calibri" w:hAnsi="Calibri"/>
        </w:rPr>
        <w:t>However, it may</w:t>
      </w:r>
      <w:r w:rsidR="00FE5A87">
        <w:rPr>
          <w:rFonts w:ascii="Calibri" w:hAnsi="Calibri"/>
        </w:rPr>
        <w:t xml:space="preserve"> matter if the </w:t>
      </w:r>
      <w:r w:rsidR="009870BF">
        <w:rPr>
          <w:rFonts w:ascii="Calibri" w:hAnsi="Calibri"/>
        </w:rPr>
        <w:t xml:space="preserve">trust protector or other advisor is </w:t>
      </w:r>
      <w:r w:rsidR="00F864BC">
        <w:rPr>
          <w:rFonts w:ascii="Calibri" w:hAnsi="Calibri"/>
        </w:rPr>
        <w:t xml:space="preserve">not </w:t>
      </w:r>
      <w:r w:rsidR="009870BF">
        <w:rPr>
          <w:rFonts w:ascii="Calibri" w:hAnsi="Calibri"/>
        </w:rPr>
        <w:t xml:space="preserve">considered a fiduciary and held to </w:t>
      </w:r>
      <w:r w:rsidR="00F864BC">
        <w:rPr>
          <w:rFonts w:ascii="Calibri" w:hAnsi="Calibri"/>
        </w:rPr>
        <w:t xml:space="preserve">no </w:t>
      </w:r>
      <w:r w:rsidR="009870BF">
        <w:rPr>
          <w:rFonts w:ascii="Calibri" w:hAnsi="Calibri"/>
        </w:rPr>
        <w:t>fiduciary duties in his or her ability to add a GPOA</w:t>
      </w:r>
      <w:r w:rsidR="00F864BC">
        <w:rPr>
          <w:rFonts w:ascii="Calibri" w:hAnsi="Calibri"/>
        </w:rPr>
        <w:t>.</w:t>
      </w:r>
      <w:r w:rsidR="00FE5A87">
        <w:rPr>
          <w:rFonts w:ascii="Calibri" w:hAnsi="Calibri"/>
        </w:rPr>
        <w:t xml:space="preserve">  S</w:t>
      </w:r>
      <w:r w:rsidR="00BD25E5">
        <w:rPr>
          <w:rFonts w:ascii="Calibri" w:hAnsi="Calibri"/>
        </w:rPr>
        <w:t>ome attorneys</w:t>
      </w:r>
      <w:r w:rsidR="00F864BC">
        <w:rPr>
          <w:rFonts w:ascii="Calibri" w:hAnsi="Calibri"/>
        </w:rPr>
        <w:t xml:space="preserve"> will draft, </w:t>
      </w:r>
      <w:r w:rsidR="00BD25E5">
        <w:rPr>
          <w:rFonts w:ascii="Calibri" w:hAnsi="Calibri"/>
        </w:rPr>
        <w:t xml:space="preserve">and </w:t>
      </w:r>
      <w:r w:rsidR="00F864BC">
        <w:rPr>
          <w:rFonts w:ascii="Calibri" w:hAnsi="Calibri"/>
        </w:rPr>
        <w:t xml:space="preserve">some </w:t>
      </w:r>
      <w:r w:rsidR="00BD25E5">
        <w:rPr>
          <w:rFonts w:ascii="Calibri" w:hAnsi="Calibri"/>
        </w:rPr>
        <w:t>state law</w:t>
      </w:r>
      <w:r w:rsidR="00F864BC">
        <w:rPr>
          <w:rFonts w:ascii="Calibri" w:hAnsi="Calibri"/>
        </w:rPr>
        <w:t>s</w:t>
      </w:r>
      <w:r w:rsidR="00BD25E5">
        <w:rPr>
          <w:rFonts w:ascii="Calibri" w:hAnsi="Calibri"/>
        </w:rPr>
        <w:t xml:space="preserve"> </w:t>
      </w:r>
      <w:r w:rsidR="00F864BC">
        <w:rPr>
          <w:rFonts w:ascii="Calibri" w:hAnsi="Calibri"/>
        </w:rPr>
        <w:t xml:space="preserve">will </w:t>
      </w:r>
      <w:r w:rsidR="00BD25E5">
        <w:rPr>
          <w:rFonts w:ascii="Calibri" w:hAnsi="Calibri"/>
        </w:rPr>
        <w:t>allow</w:t>
      </w:r>
      <w:r w:rsidR="00F864BC">
        <w:rPr>
          <w:rFonts w:ascii="Calibri" w:hAnsi="Calibri"/>
        </w:rPr>
        <w:t xml:space="preserve">, </w:t>
      </w:r>
      <w:r w:rsidR="00BD25E5">
        <w:rPr>
          <w:rFonts w:ascii="Calibri" w:hAnsi="Calibri"/>
        </w:rPr>
        <w:t xml:space="preserve">trust protectors/advisors to be considered </w:t>
      </w:r>
      <w:r w:rsidR="00BD25E5" w:rsidRPr="00505269">
        <w:rPr>
          <w:rFonts w:ascii="Calibri" w:hAnsi="Calibri"/>
          <w:i/>
        </w:rPr>
        <w:t>non-fiduciaries</w:t>
      </w:r>
      <w:r w:rsidR="00BD25E5">
        <w:rPr>
          <w:rFonts w:ascii="Calibri" w:hAnsi="Calibri"/>
        </w:rPr>
        <w:t xml:space="preserve">.  </w:t>
      </w:r>
      <w:r w:rsidR="00F864BC">
        <w:rPr>
          <w:rFonts w:ascii="Calibri" w:hAnsi="Calibri"/>
        </w:rPr>
        <w:t>If so drafted, such clauses</w:t>
      </w:r>
      <w:r w:rsidR="00B25E2F">
        <w:rPr>
          <w:rFonts w:ascii="Calibri" w:hAnsi="Calibri"/>
        </w:rPr>
        <w:t xml:space="preserve"> may be riskier</w:t>
      </w:r>
      <w:r w:rsidR="00F864BC">
        <w:rPr>
          <w:rFonts w:ascii="Calibri" w:hAnsi="Calibri"/>
        </w:rPr>
        <w:t xml:space="preserve">, because they are more truly analogous to a spouse and </w:t>
      </w:r>
      <w:r w:rsidR="00F864BC" w:rsidRPr="00135B94">
        <w:rPr>
          <w:rFonts w:ascii="Calibri" w:hAnsi="Calibri"/>
          <w:i/>
        </w:rPr>
        <w:t>non-adverse</w:t>
      </w:r>
      <w:r w:rsidR="00F864BC">
        <w:rPr>
          <w:rFonts w:ascii="Calibri" w:hAnsi="Calibri"/>
        </w:rPr>
        <w:t xml:space="preserve"> party jointly controlling a general power of appointment.</w:t>
      </w:r>
    </w:p>
    <w:p w14:paraId="4C548677" w14:textId="77777777" w:rsidR="00DE7CB9" w:rsidRDefault="006848BA" w:rsidP="00872A6C">
      <w:pPr>
        <w:spacing w:line="360" w:lineRule="auto"/>
        <w:ind w:firstLine="720"/>
        <w:rPr>
          <w:rFonts w:ascii="Calibri" w:hAnsi="Calibri"/>
        </w:rPr>
      </w:pPr>
      <w:r>
        <w:rPr>
          <w:rFonts w:ascii="Calibri" w:hAnsi="Calibri"/>
        </w:rPr>
        <w:t xml:space="preserve">To summarize, while it </w:t>
      </w:r>
      <w:r w:rsidR="009B217A">
        <w:rPr>
          <w:rFonts w:ascii="Calibri" w:hAnsi="Calibri"/>
        </w:rPr>
        <w:t>is</w:t>
      </w:r>
      <w:r>
        <w:rPr>
          <w:rFonts w:ascii="Calibri" w:hAnsi="Calibri"/>
        </w:rPr>
        <w:t xml:space="preserve"> not a strong argument, why tempt it? I</w:t>
      </w:r>
      <w:r w:rsidR="00724CE6">
        <w:rPr>
          <w:rFonts w:ascii="Calibri" w:hAnsi="Calibri"/>
        </w:rPr>
        <w:t xml:space="preserve">f you allow a trust protector </w:t>
      </w:r>
      <w:r>
        <w:rPr>
          <w:rFonts w:ascii="Calibri" w:hAnsi="Calibri"/>
        </w:rPr>
        <w:t xml:space="preserve">or other party </w:t>
      </w:r>
      <w:r w:rsidR="00724CE6">
        <w:rPr>
          <w:rFonts w:ascii="Calibri" w:hAnsi="Calibri"/>
        </w:rPr>
        <w:t xml:space="preserve">to grant </w:t>
      </w:r>
      <w:r w:rsidR="00B25E2F">
        <w:rPr>
          <w:rFonts w:ascii="Calibri" w:hAnsi="Calibri"/>
        </w:rPr>
        <w:t>or amend a beneficiary’s</w:t>
      </w:r>
      <w:r w:rsidR="00724CE6">
        <w:rPr>
          <w:rFonts w:ascii="Calibri" w:hAnsi="Calibri"/>
        </w:rPr>
        <w:t xml:space="preserve"> GPOA</w:t>
      </w:r>
      <w:r>
        <w:rPr>
          <w:rFonts w:ascii="Calibri" w:hAnsi="Calibri"/>
        </w:rPr>
        <w:t xml:space="preserve">, </w:t>
      </w:r>
      <w:r w:rsidR="00B25E2F">
        <w:rPr>
          <w:rFonts w:ascii="Calibri" w:hAnsi="Calibri"/>
        </w:rPr>
        <w:t xml:space="preserve">especially if the party is not considered a fiduciary, </w:t>
      </w:r>
      <w:r w:rsidR="00A64133">
        <w:rPr>
          <w:rFonts w:ascii="Calibri" w:hAnsi="Calibri"/>
        </w:rPr>
        <w:t>consider</w:t>
      </w:r>
      <w:r w:rsidR="00F864BC">
        <w:rPr>
          <w:rFonts w:ascii="Calibri" w:hAnsi="Calibri"/>
        </w:rPr>
        <w:t xml:space="preserve"> capping and</w:t>
      </w:r>
      <w:r w:rsidR="00A64133">
        <w:rPr>
          <w:rFonts w:ascii="Calibri" w:hAnsi="Calibri"/>
        </w:rPr>
        <w:t xml:space="preserve"> </w:t>
      </w:r>
      <w:r>
        <w:rPr>
          <w:rFonts w:ascii="Calibri" w:hAnsi="Calibri"/>
        </w:rPr>
        <w:t>limit</w:t>
      </w:r>
      <w:r w:rsidR="00A64133">
        <w:rPr>
          <w:rFonts w:ascii="Calibri" w:hAnsi="Calibri"/>
        </w:rPr>
        <w:t>ing</w:t>
      </w:r>
      <w:r>
        <w:rPr>
          <w:rFonts w:ascii="Calibri" w:hAnsi="Calibri"/>
        </w:rPr>
        <w:t xml:space="preserve"> the </w:t>
      </w:r>
      <w:r w:rsidR="00F864BC">
        <w:rPr>
          <w:rFonts w:ascii="Calibri" w:hAnsi="Calibri"/>
        </w:rPr>
        <w:t>scope of the GPOA the trust protector/advisor may add</w:t>
      </w:r>
      <w:r w:rsidR="00724CE6">
        <w:rPr>
          <w:rFonts w:ascii="Calibri" w:hAnsi="Calibri"/>
        </w:rPr>
        <w:t xml:space="preserve"> </w:t>
      </w:r>
      <w:r w:rsidR="00F864BC">
        <w:rPr>
          <w:rFonts w:ascii="Calibri" w:hAnsi="Calibri"/>
        </w:rPr>
        <w:t>(</w:t>
      </w:r>
      <w:r w:rsidR="00724CE6">
        <w:rPr>
          <w:rFonts w:ascii="Calibri" w:hAnsi="Calibri"/>
        </w:rPr>
        <w:t xml:space="preserve">as discussed in the following </w:t>
      </w:r>
      <w:r w:rsidR="00A64133">
        <w:rPr>
          <w:rFonts w:ascii="Calibri" w:hAnsi="Calibri"/>
        </w:rPr>
        <w:t>Part III</w:t>
      </w:r>
      <w:r w:rsidR="00F864BC">
        <w:rPr>
          <w:rFonts w:ascii="Calibri" w:hAnsi="Calibri"/>
        </w:rPr>
        <w:t xml:space="preserve"> and in Appendix)</w:t>
      </w:r>
      <w:r w:rsidR="00724CE6">
        <w:rPr>
          <w:rFonts w:ascii="Calibri" w:hAnsi="Calibri"/>
        </w:rPr>
        <w:t>.</w:t>
      </w:r>
      <w:r w:rsidR="00DE7CB9">
        <w:rPr>
          <w:rFonts w:ascii="Calibri" w:hAnsi="Calibri"/>
        </w:rPr>
        <w:t xml:space="preserve">   </w:t>
      </w:r>
    </w:p>
    <w:p w14:paraId="61B75FC4" w14:textId="77777777" w:rsidR="00491FB5" w:rsidRDefault="00491FB5" w:rsidP="00872A6C">
      <w:pPr>
        <w:spacing w:line="360" w:lineRule="auto"/>
        <w:ind w:firstLine="720"/>
        <w:rPr>
          <w:rFonts w:ascii="Calibri" w:hAnsi="Calibri"/>
        </w:rPr>
      </w:pPr>
      <w:r>
        <w:rPr>
          <w:rFonts w:ascii="Calibri" w:hAnsi="Calibri"/>
        </w:rPr>
        <w:t>The third technique, using a limited lifetime power of appointment</w:t>
      </w:r>
      <w:r w:rsidR="003F6A35">
        <w:rPr>
          <w:rFonts w:ascii="Calibri" w:hAnsi="Calibri"/>
        </w:rPr>
        <w:t xml:space="preserve"> (aka collateral power)</w:t>
      </w:r>
      <w:r>
        <w:rPr>
          <w:rFonts w:ascii="Calibri" w:hAnsi="Calibri"/>
        </w:rPr>
        <w:t xml:space="preserve">, </w:t>
      </w:r>
      <w:r w:rsidR="009941DB">
        <w:rPr>
          <w:rFonts w:ascii="Calibri" w:hAnsi="Calibri"/>
        </w:rPr>
        <w:t>simply moves the burden to someone other than the trustee, and may lead to many difficult issues even in traditional families</w:t>
      </w:r>
      <w:r>
        <w:rPr>
          <w:rFonts w:ascii="Calibri" w:hAnsi="Calibri"/>
        </w:rPr>
        <w:t xml:space="preserve">.   </w:t>
      </w:r>
      <w:r w:rsidR="0081418E">
        <w:rPr>
          <w:rFonts w:ascii="Calibri" w:hAnsi="Calibri"/>
        </w:rPr>
        <w:t>A</w:t>
      </w:r>
      <w:r>
        <w:rPr>
          <w:rFonts w:ascii="Calibri" w:hAnsi="Calibri"/>
        </w:rPr>
        <w:t xml:space="preserve"> lifetime limited power to appoint could be made conditional upon unanimous consent of the children, but this of course brings up the possi</w:t>
      </w:r>
      <w:r w:rsidR="009C689B">
        <w:rPr>
          <w:rFonts w:ascii="Calibri" w:hAnsi="Calibri"/>
        </w:rPr>
        <w:t>bility of one child’s obstinacy</w:t>
      </w:r>
      <w:r>
        <w:rPr>
          <w:rFonts w:ascii="Calibri" w:hAnsi="Calibri"/>
        </w:rPr>
        <w:t xml:space="preserve"> holding back the family’s tax planning.</w:t>
      </w:r>
    </w:p>
    <w:p w14:paraId="52E1C88E" w14:textId="2054BDC6" w:rsidR="004D2CC0" w:rsidRPr="004D2CC0" w:rsidRDefault="004D2CC0" w:rsidP="00872A6C">
      <w:pPr>
        <w:spacing w:line="360" w:lineRule="auto"/>
        <w:ind w:firstLine="720"/>
        <w:rPr>
          <w:rFonts w:ascii="Calibri" w:hAnsi="Calibri"/>
        </w:rPr>
      </w:pPr>
      <w:r>
        <w:rPr>
          <w:rFonts w:ascii="Calibri" w:hAnsi="Calibri"/>
        </w:rPr>
        <w:t>The 4</w:t>
      </w:r>
      <w:r w:rsidRPr="004D2CC0">
        <w:rPr>
          <w:rFonts w:ascii="Calibri" w:hAnsi="Calibri"/>
          <w:vertAlign w:val="superscript"/>
        </w:rPr>
        <w:t>th</w:t>
      </w:r>
      <w:r>
        <w:rPr>
          <w:rFonts w:ascii="Calibri" w:hAnsi="Calibri"/>
        </w:rPr>
        <w:t xml:space="preserve"> technique above, making a late QTIP election, may surprise people.  Some bypass trusts might qualify as a QTIP with the proper election (</w:t>
      </w:r>
      <w:r w:rsidR="002E7098">
        <w:rPr>
          <w:rFonts w:ascii="Calibri" w:hAnsi="Calibri"/>
        </w:rPr>
        <w:t>e.g.,</w:t>
      </w:r>
      <w:r>
        <w:rPr>
          <w:rFonts w:ascii="Calibri" w:hAnsi="Calibri"/>
        </w:rPr>
        <w:t xml:space="preserve"> if spouse is sole beneficiary </w:t>
      </w:r>
      <w:r w:rsidR="001237DF">
        <w:rPr>
          <w:rFonts w:ascii="Calibri" w:hAnsi="Calibri"/>
        </w:rPr>
        <w:t xml:space="preserve">during his or her lifetime </w:t>
      </w:r>
      <w:r>
        <w:rPr>
          <w:rFonts w:ascii="Calibri" w:hAnsi="Calibri"/>
        </w:rPr>
        <w:t xml:space="preserve">and entitled to demand/receive all net income).  A QTIP election can be made on the last timely filed estate tax return, or, </w:t>
      </w:r>
      <w:r w:rsidRPr="004D2CC0">
        <w:rPr>
          <w:rFonts w:ascii="Calibri" w:hAnsi="Calibri"/>
          <w:i/>
        </w:rPr>
        <w:t xml:space="preserve">if no timely return is filed, </w:t>
      </w:r>
      <w:r w:rsidRPr="004D2CC0">
        <w:rPr>
          <w:rFonts w:ascii="Calibri" w:hAnsi="Calibri"/>
          <w:i/>
        </w:rPr>
        <w:lastRenderedPageBreak/>
        <w:t>on the first late return</w:t>
      </w:r>
      <w:r>
        <w:rPr>
          <w:rFonts w:ascii="Calibri" w:hAnsi="Calibri"/>
          <w:i/>
        </w:rPr>
        <w:t>.</w:t>
      </w:r>
      <w:r>
        <w:rPr>
          <w:rStyle w:val="FootnoteReference"/>
          <w:rFonts w:ascii="Calibri" w:hAnsi="Calibri"/>
          <w:i/>
        </w:rPr>
        <w:footnoteReference w:id="58"/>
      </w:r>
      <w:r>
        <w:rPr>
          <w:rFonts w:ascii="Calibri" w:hAnsi="Calibri"/>
          <w:i/>
        </w:rPr>
        <w:t xml:space="preserve">  </w:t>
      </w:r>
      <w:r w:rsidR="009E6C03">
        <w:rPr>
          <w:rFonts w:ascii="Calibri" w:hAnsi="Calibri"/>
        </w:rPr>
        <w:t>You need not reopen a probate</w:t>
      </w:r>
      <w:r w:rsidR="00E968C6">
        <w:rPr>
          <w:rFonts w:ascii="Calibri" w:hAnsi="Calibri"/>
        </w:rPr>
        <w:t xml:space="preserve"> estate to appoint an executor, the trustee may file.</w:t>
      </w:r>
      <w:r w:rsidR="00E968C6">
        <w:rPr>
          <w:rStyle w:val="FootnoteReference"/>
          <w:rFonts w:ascii="Calibri" w:hAnsi="Calibri"/>
        </w:rPr>
        <w:footnoteReference w:id="59"/>
      </w:r>
      <w:r w:rsidR="00B864D4">
        <w:rPr>
          <w:rFonts w:ascii="Calibri" w:hAnsi="Calibri"/>
        </w:rPr>
        <w:t xml:space="preserve">  If estate administration is finished, it may be too late to divide </w:t>
      </w:r>
      <w:r w:rsidR="00D76714">
        <w:rPr>
          <w:rFonts w:ascii="Calibri" w:hAnsi="Calibri"/>
        </w:rPr>
        <w:t>a</w:t>
      </w:r>
      <w:r w:rsidR="00B864D4">
        <w:rPr>
          <w:rFonts w:ascii="Calibri" w:hAnsi="Calibri"/>
        </w:rPr>
        <w:t xml:space="preserve"> trust </w:t>
      </w:r>
      <w:r w:rsidR="00D76714">
        <w:rPr>
          <w:rFonts w:ascii="Calibri" w:hAnsi="Calibri"/>
        </w:rPr>
        <w:t xml:space="preserve">subject to partial election </w:t>
      </w:r>
      <w:r w:rsidR="00B864D4">
        <w:rPr>
          <w:rFonts w:ascii="Calibri" w:hAnsi="Calibri"/>
        </w:rPr>
        <w:t>into two separate trusts for optimal efficiency.</w:t>
      </w:r>
      <w:r w:rsidR="00B864D4">
        <w:rPr>
          <w:rStyle w:val="FootnoteReference"/>
          <w:rFonts w:ascii="Calibri" w:hAnsi="Calibri"/>
        </w:rPr>
        <w:footnoteReference w:id="60"/>
      </w:r>
      <w:r w:rsidR="00B864D4">
        <w:rPr>
          <w:rFonts w:ascii="Calibri" w:hAnsi="Calibri"/>
        </w:rPr>
        <w:t xml:space="preserve">  </w:t>
      </w:r>
      <w:r w:rsidR="00F52070">
        <w:rPr>
          <w:rFonts w:ascii="Calibri" w:hAnsi="Calibri"/>
        </w:rPr>
        <w:t>Conceivably,</w:t>
      </w:r>
      <w:r w:rsidR="00B864D4">
        <w:rPr>
          <w:rFonts w:ascii="Calibri" w:hAnsi="Calibri"/>
        </w:rPr>
        <w:t xml:space="preserve"> the trustee </w:t>
      </w:r>
      <w:r w:rsidR="00F52070">
        <w:rPr>
          <w:rFonts w:ascii="Calibri" w:hAnsi="Calibri"/>
        </w:rPr>
        <w:t xml:space="preserve">could </w:t>
      </w:r>
      <w:r w:rsidR="00B864D4">
        <w:rPr>
          <w:rFonts w:ascii="Calibri" w:hAnsi="Calibri"/>
        </w:rPr>
        <w:t xml:space="preserve">even wait until after the death of the </w:t>
      </w:r>
      <w:r w:rsidR="00B864D4" w:rsidRPr="007C2B3F">
        <w:rPr>
          <w:rFonts w:ascii="Calibri" w:hAnsi="Calibri"/>
          <w:i/>
        </w:rPr>
        <w:t>surviving</w:t>
      </w:r>
      <w:r w:rsidR="00B864D4">
        <w:rPr>
          <w:rFonts w:ascii="Calibri" w:hAnsi="Calibri"/>
        </w:rPr>
        <w:t xml:space="preserve"> spouse</w:t>
      </w:r>
      <w:r w:rsidR="00F52070">
        <w:rPr>
          <w:rFonts w:ascii="Calibri" w:hAnsi="Calibri"/>
        </w:rPr>
        <w:t xml:space="preserve"> so that </w:t>
      </w:r>
      <w:r w:rsidR="00B864D4">
        <w:rPr>
          <w:rFonts w:ascii="Calibri" w:hAnsi="Calibri"/>
        </w:rPr>
        <w:t>the QTIP election “relate</w:t>
      </w:r>
      <w:r w:rsidR="00F52070">
        <w:rPr>
          <w:rFonts w:ascii="Calibri" w:hAnsi="Calibri"/>
        </w:rPr>
        <w:t>s</w:t>
      </w:r>
      <w:r w:rsidR="00B864D4">
        <w:rPr>
          <w:rFonts w:ascii="Calibri" w:hAnsi="Calibri"/>
        </w:rPr>
        <w:t xml:space="preserve"> back” to cause inclusion in the surviving spouse’s estate to seize </w:t>
      </w:r>
      <w:r w:rsidR="00F52070">
        <w:rPr>
          <w:rFonts w:ascii="Calibri" w:hAnsi="Calibri"/>
        </w:rPr>
        <w:t>the additional step up in basis.</w:t>
      </w:r>
      <w:r w:rsidR="00B864D4">
        <w:rPr>
          <w:rFonts w:ascii="Calibri" w:hAnsi="Calibri"/>
        </w:rPr>
        <w:t xml:space="preserve">  </w:t>
      </w:r>
      <w:r w:rsidR="00F52070">
        <w:rPr>
          <w:rFonts w:ascii="Calibri" w:hAnsi="Calibri"/>
        </w:rPr>
        <w:t xml:space="preserve">This could cause serious headaches with a Clayton QTIP arrangement.  </w:t>
      </w:r>
      <w:r w:rsidR="00A61AA7">
        <w:rPr>
          <w:rFonts w:ascii="Calibri" w:hAnsi="Calibri"/>
        </w:rPr>
        <w:t xml:space="preserve">More importantly, </w:t>
      </w:r>
      <w:r w:rsidR="00F52070">
        <w:rPr>
          <w:rFonts w:ascii="Calibri" w:hAnsi="Calibri"/>
        </w:rPr>
        <w:t xml:space="preserve">however, </w:t>
      </w:r>
      <w:r w:rsidR="001F14D9">
        <w:rPr>
          <w:rFonts w:ascii="Calibri" w:hAnsi="Calibri"/>
          <w:i/>
        </w:rPr>
        <w:t>planning for</w:t>
      </w:r>
      <w:r w:rsidR="007C2B3F" w:rsidRPr="0081418E">
        <w:rPr>
          <w:rFonts w:ascii="Calibri" w:hAnsi="Calibri"/>
          <w:i/>
        </w:rPr>
        <w:t xml:space="preserve"> </w:t>
      </w:r>
      <w:r w:rsidR="00A61AA7" w:rsidRPr="0081418E">
        <w:rPr>
          <w:rFonts w:ascii="Calibri" w:hAnsi="Calibri"/>
          <w:i/>
        </w:rPr>
        <w:t xml:space="preserve">a </w:t>
      </w:r>
      <w:r w:rsidR="007C2B3F" w:rsidRPr="0081418E">
        <w:rPr>
          <w:rFonts w:ascii="Calibri" w:hAnsi="Calibri"/>
          <w:i/>
        </w:rPr>
        <w:t>l</w:t>
      </w:r>
      <w:r w:rsidR="00A61AA7" w:rsidRPr="0081418E">
        <w:rPr>
          <w:rFonts w:ascii="Calibri" w:hAnsi="Calibri"/>
          <w:i/>
        </w:rPr>
        <w:t>ate QTIP election</w:t>
      </w:r>
      <w:r w:rsidR="0020372E" w:rsidRPr="0081418E">
        <w:rPr>
          <w:rFonts w:ascii="Calibri" w:hAnsi="Calibri"/>
          <w:i/>
        </w:rPr>
        <w:t xml:space="preserve"> </w:t>
      </w:r>
      <w:r w:rsidR="00A61AA7" w:rsidRPr="0081418E">
        <w:rPr>
          <w:rFonts w:ascii="Calibri" w:hAnsi="Calibri"/>
          <w:i/>
        </w:rPr>
        <w:t>is</w:t>
      </w:r>
      <w:r w:rsidR="0020372E" w:rsidRPr="0081418E">
        <w:rPr>
          <w:rFonts w:ascii="Calibri" w:hAnsi="Calibri"/>
          <w:i/>
        </w:rPr>
        <w:t xml:space="preserve"> </w:t>
      </w:r>
      <w:r w:rsidR="007C2B3F" w:rsidRPr="0081418E">
        <w:rPr>
          <w:rFonts w:ascii="Calibri" w:hAnsi="Calibri"/>
          <w:i/>
        </w:rPr>
        <w:t xml:space="preserve">simply </w:t>
      </w:r>
      <w:r w:rsidR="0020372E" w:rsidRPr="0081418E">
        <w:rPr>
          <w:rFonts w:ascii="Calibri" w:hAnsi="Calibri"/>
          <w:i/>
        </w:rPr>
        <w:t xml:space="preserve">not a viable proactive planning technique because </w:t>
      </w:r>
      <w:r w:rsidR="00A61AA7" w:rsidRPr="0081418E">
        <w:rPr>
          <w:rFonts w:ascii="Calibri" w:hAnsi="Calibri"/>
          <w:i/>
        </w:rPr>
        <w:t>failing to timely file a Form</w:t>
      </w:r>
      <w:r w:rsidR="0020372E" w:rsidRPr="0081418E">
        <w:rPr>
          <w:rFonts w:ascii="Calibri" w:hAnsi="Calibri"/>
          <w:i/>
        </w:rPr>
        <w:t xml:space="preserve"> </w:t>
      </w:r>
      <w:r w:rsidR="007C2B3F" w:rsidRPr="0081418E">
        <w:rPr>
          <w:rFonts w:ascii="Calibri" w:hAnsi="Calibri"/>
          <w:i/>
        </w:rPr>
        <w:t xml:space="preserve">706 </w:t>
      </w:r>
      <w:r w:rsidR="00A61AA7" w:rsidRPr="0081418E">
        <w:rPr>
          <w:rFonts w:ascii="Calibri" w:hAnsi="Calibri"/>
          <w:i/>
        </w:rPr>
        <w:t xml:space="preserve">eliminates, or at best </w:t>
      </w:r>
      <w:r w:rsidR="0020372E" w:rsidRPr="0081418E">
        <w:rPr>
          <w:rFonts w:ascii="Calibri" w:hAnsi="Calibri"/>
          <w:i/>
        </w:rPr>
        <w:t>jeopardize</w:t>
      </w:r>
      <w:r w:rsidR="00A61AA7" w:rsidRPr="0081418E">
        <w:rPr>
          <w:rFonts w:ascii="Calibri" w:hAnsi="Calibri"/>
          <w:i/>
        </w:rPr>
        <w:t>s,</w:t>
      </w:r>
      <w:r w:rsidR="0020372E" w:rsidRPr="0081418E">
        <w:rPr>
          <w:rFonts w:ascii="Calibri" w:hAnsi="Calibri"/>
          <w:i/>
        </w:rPr>
        <w:t xml:space="preserve"> portability</w:t>
      </w:r>
      <w:r w:rsidR="0020372E">
        <w:rPr>
          <w:rFonts w:ascii="Calibri" w:hAnsi="Calibri"/>
        </w:rPr>
        <w:t>.</w:t>
      </w:r>
    </w:p>
    <w:p w14:paraId="7F13BF4C" w14:textId="77777777" w:rsidR="009941DB" w:rsidRDefault="00491FB5" w:rsidP="009941DB">
      <w:pPr>
        <w:spacing w:line="360" w:lineRule="auto"/>
        <w:ind w:firstLine="720"/>
        <w:rPr>
          <w:rFonts w:ascii="Calibri" w:hAnsi="Calibri" w:cs="Helv"/>
          <w:bCs/>
          <w:color w:val="000000"/>
        </w:rPr>
      </w:pPr>
      <w:r>
        <w:rPr>
          <w:rFonts w:ascii="Calibri" w:hAnsi="Calibri" w:cs="Helv"/>
          <w:bCs/>
          <w:color w:val="000000"/>
        </w:rPr>
        <w:t xml:space="preserve">So, how do we better ensure that assets get </w:t>
      </w:r>
      <w:r w:rsidR="00505269">
        <w:rPr>
          <w:rFonts w:ascii="Calibri" w:hAnsi="Calibri" w:cs="Helv"/>
          <w:bCs/>
          <w:color w:val="000000"/>
        </w:rPr>
        <w:t xml:space="preserve">the maximum </w:t>
      </w:r>
      <w:r>
        <w:rPr>
          <w:rFonts w:ascii="Calibri" w:hAnsi="Calibri" w:cs="Helv"/>
          <w:bCs/>
          <w:color w:val="000000"/>
        </w:rPr>
        <w:t xml:space="preserve">step </w:t>
      </w:r>
      <w:r w:rsidRPr="00505269">
        <w:rPr>
          <w:rFonts w:ascii="Calibri" w:hAnsi="Calibri" w:cs="Helv"/>
          <w:bCs/>
          <w:i/>
          <w:color w:val="000000"/>
        </w:rPr>
        <w:t>up</w:t>
      </w:r>
      <w:r w:rsidR="00505269">
        <w:rPr>
          <w:rFonts w:ascii="Calibri" w:hAnsi="Calibri" w:cs="Helv"/>
          <w:bCs/>
          <w:color w:val="000000"/>
        </w:rPr>
        <w:t xml:space="preserve"> possible</w:t>
      </w:r>
      <w:r>
        <w:rPr>
          <w:rFonts w:ascii="Calibri" w:hAnsi="Calibri" w:cs="Helv"/>
          <w:bCs/>
          <w:color w:val="000000"/>
        </w:rPr>
        <w:t xml:space="preserve">, not a step </w:t>
      </w:r>
      <w:r w:rsidRPr="00505269">
        <w:rPr>
          <w:rFonts w:ascii="Calibri" w:hAnsi="Calibri" w:cs="Helv"/>
          <w:bCs/>
          <w:i/>
          <w:color w:val="000000"/>
        </w:rPr>
        <w:t>down</w:t>
      </w:r>
      <w:r>
        <w:rPr>
          <w:rFonts w:ascii="Calibri" w:hAnsi="Calibri" w:cs="Helv"/>
          <w:bCs/>
          <w:color w:val="000000"/>
        </w:rPr>
        <w:t xml:space="preserve">, don’t cause extra state estate tax (or federal), and </w:t>
      </w:r>
      <w:r w:rsidR="0020372E">
        <w:rPr>
          <w:rFonts w:ascii="Calibri" w:hAnsi="Calibri" w:cs="Helv"/>
          <w:bCs/>
          <w:color w:val="000000"/>
        </w:rPr>
        <w:t>achieve</w:t>
      </w:r>
      <w:r>
        <w:rPr>
          <w:rFonts w:ascii="Calibri" w:hAnsi="Calibri" w:cs="Helv"/>
          <w:bCs/>
          <w:color w:val="000000"/>
        </w:rPr>
        <w:t xml:space="preserve"> better ongoing income tax treatment and asset protection than a typical bypass or marital trust, without the above drawbacks?</w:t>
      </w:r>
    </w:p>
    <w:p w14:paraId="339EC4B7" w14:textId="77777777" w:rsidR="00491FB5" w:rsidRPr="00331D5A" w:rsidRDefault="001F14D9" w:rsidP="009941DB">
      <w:pPr>
        <w:spacing w:line="360" w:lineRule="auto"/>
        <w:ind w:firstLine="720"/>
        <w:rPr>
          <w:rFonts w:ascii="Calibri" w:hAnsi="Calibri" w:cs="Helv"/>
          <w:b/>
          <w:bCs/>
          <w:i/>
          <w:color w:val="000000"/>
        </w:rPr>
      </w:pPr>
      <w:r>
        <w:rPr>
          <w:rFonts w:ascii="Calibri" w:hAnsi="Calibri" w:cs="Helv"/>
          <w:bCs/>
          <w:color w:val="000000"/>
        </w:rPr>
        <w:t>Let’s</w:t>
      </w:r>
      <w:r w:rsidR="00491FB5">
        <w:rPr>
          <w:rFonts w:ascii="Calibri" w:hAnsi="Calibri" w:cs="Helv"/>
          <w:bCs/>
          <w:color w:val="000000"/>
        </w:rPr>
        <w:t xml:space="preserve"> turn to the </w:t>
      </w:r>
      <w:r w:rsidR="00B864D4">
        <w:rPr>
          <w:rFonts w:ascii="Calibri" w:hAnsi="Calibri" w:cs="Helv"/>
          <w:bCs/>
          <w:color w:val="000000"/>
        </w:rPr>
        <w:t>final three</w:t>
      </w:r>
      <w:r w:rsidR="00491FB5">
        <w:rPr>
          <w:rFonts w:ascii="Calibri" w:hAnsi="Calibri" w:cs="Helv"/>
          <w:bCs/>
          <w:color w:val="000000"/>
        </w:rPr>
        <w:t xml:space="preserve"> methods above, which use formula powers of appointment to allow for firmer and more precise tax planning.  I will refer to all of these variants together as an </w:t>
      </w:r>
      <w:r w:rsidR="00491FB5" w:rsidRPr="00AD7D16">
        <w:rPr>
          <w:rFonts w:ascii="Calibri" w:hAnsi="Calibri" w:cs="Helv"/>
          <w:bCs/>
          <w:i/>
          <w:color w:val="000000"/>
        </w:rPr>
        <w:t>Optimal Basis Increase Trust</w:t>
      </w:r>
      <w:r w:rsidR="00491FB5">
        <w:rPr>
          <w:rFonts w:ascii="Calibri" w:hAnsi="Calibri" w:cs="Helv"/>
          <w:bCs/>
          <w:color w:val="000000"/>
        </w:rPr>
        <w:t xml:space="preserve"> (OBIT). </w:t>
      </w:r>
      <w:r w:rsidR="00491FB5">
        <w:rPr>
          <w:rFonts w:ascii="Calibri" w:hAnsi="Calibri" w:cs="Helv"/>
          <w:b/>
          <w:bCs/>
          <w:i/>
          <w:color w:val="000000"/>
        </w:rPr>
        <w:br w:type="page"/>
      </w:r>
      <w:r w:rsidR="00491FB5">
        <w:rPr>
          <w:rFonts w:ascii="Calibri" w:hAnsi="Calibri" w:cs="Helv"/>
          <w:b/>
          <w:bCs/>
          <w:i/>
          <w:color w:val="000000"/>
        </w:rPr>
        <w:lastRenderedPageBreak/>
        <w:t xml:space="preserve">Part III - </w:t>
      </w:r>
      <w:r w:rsidR="00491FB5" w:rsidRPr="00331D5A">
        <w:rPr>
          <w:rFonts w:ascii="Calibri" w:hAnsi="Calibri" w:cs="Helv"/>
          <w:b/>
          <w:bCs/>
          <w:i/>
          <w:color w:val="000000"/>
        </w:rPr>
        <w:t>The Optimal Basis Increase Trust</w:t>
      </w:r>
      <w:r w:rsidR="00491FB5">
        <w:rPr>
          <w:rFonts w:ascii="Calibri" w:hAnsi="Calibri" w:cs="Helv"/>
          <w:b/>
          <w:bCs/>
          <w:i/>
          <w:color w:val="000000"/>
        </w:rPr>
        <w:t xml:space="preserve"> (OBIT)</w:t>
      </w:r>
    </w:p>
    <w:p w14:paraId="6CED6EEE" w14:textId="048809B5" w:rsidR="00002E34" w:rsidRDefault="00002E34" w:rsidP="00002E34">
      <w:pPr>
        <w:autoSpaceDE w:val="0"/>
        <w:autoSpaceDN w:val="0"/>
        <w:adjustRightInd w:val="0"/>
        <w:ind w:firstLine="720"/>
        <w:rPr>
          <w:rFonts w:ascii="Calibri" w:hAnsi="Calibri"/>
        </w:rPr>
      </w:pPr>
      <w:r>
        <w:rPr>
          <w:rFonts w:ascii="Calibri" w:hAnsi="Calibri"/>
        </w:rPr>
        <w:t>"Anyone may arrange his affairs so that his taxes shall be as low as possible; he is not bound to choose that pattern which best pays the treasury. There is not even a patriotic duty to increase one's taxes. Over and over again the Courts have said that there is nothing sinister</w:t>
      </w:r>
      <w:r>
        <w:rPr>
          <w:rFonts w:ascii="Calibri" w:hAnsi="Calibri"/>
        </w:rPr>
        <w:br/>
        <w:t>in so arranging affairs as to keep taxes as low as possible. Everyone does it, rich and poor alike and all do right, for nobody owes any public duty to pay more than the law demands."</w:t>
      </w:r>
      <w:r>
        <w:rPr>
          <w:rFonts w:ascii="Calibri" w:hAnsi="Calibri"/>
        </w:rPr>
        <w:br/>
        <w:t xml:space="preserve"> - Judge Learned Hand, </w:t>
      </w:r>
      <w:r w:rsidRPr="00002E34">
        <w:rPr>
          <w:rFonts w:ascii="Arial" w:hAnsi="Arial" w:cs="Arial"/>
          <w:i/>
          <w:sz w:val="20"/>
          <w:szCs w:val="20"/>
        </w:rPr>
        <w:t>Gregory v. Helvering</w:t>
      </w:r>
      <w:r>
        <w:rPr>
          <w:rFonts w:ascii="Arial" w:hAnsi="Arial" w:cs="Arial"/>
          <w:i/>
          <w:sz w:val="20"/>
          <w:szCs w:val="20"/>
        </w:rPr>
        <w:t>,</w:t>
      </w:r>
      <w:r>
        <w:rPr>
          <w:rFonts w:ascii="Arial" w:hAnsi="Arial" w:cs="Arial"/>
          <w:sz w:val="20"/>
          <w:szCs w:val="20"/>
        </w:rPr>
        <w:t xml:space="preserve"> 69 F.2d 809 (2d Cir. 1934), aff'd, 293 U.S. 465 (1935)</w:t>
      </w:r>
      <w:r w:rsidR="00642B51">
        <w:rPr>
          <w:rFonts w:ascii="Arial" w:hAnsi="Arial" w:cs="Arial"/>
          <w:sz w:val="20"/>
          <w:szCs w:val="20"/>
        </w:rPr>
        <w:t>.</w:t>
      </w:r>
    </w:p>
    <w:p w14:paraId="6BC5811E" w14:textId="77777777" w:rsidR="00002E34" w:rsidRDefault="00002E34" w:rsidP="00002E34">
      <w:pPr>
        <w:autoSpaceDE w:val="0"/>
        <w:autoSpaceDN w:val="0"/>
        <w:adjustRightInd w:val="0"/>
        <w:spacing w:line="360" w:lineRule="auto"/>
        <w:ind w:firstLine="720"/>
        <w:jc w:val="both"/>
        <w:rPr>
          <w:rFonts w:ascii="Calibri" w:hAnsi="Calibri" w:cs="Helv"/>
          <w:bCs/>
          <w:color w:val="000000"/>
        </w:rPr>
      </w:pPr>
    </w:p>
    <w:p w14:paraId="12F74207" w14:textId="77777777" w:rsidR="0074449B" w:rsidRPr="00AD7D16" w:rsidRDefault="0074449B" w:rsidP="00180FD1">
      <w:pPr>
        <w:pStyle w:val="ListParagraph"/>
        <w:numPr>
          <w:ilvl w:val="0"/>
          <w:numId w:val="19"/>
        </w:numPr>
        <w:autoSpaceDE w:val="0"/>
        <w:autoSpaceDN w:val="0"/>
        <w:adjustRightInd w:val="0"/>
        <w:spacing w:line="360" w:lineRule="auto"/>
        <w:ind w:left="720" w:hanging="720"/>
        <w:jc w:val="both"/>
        <w:rPr>
          <w:rFonts w:ascii="Calibri" w:hAnsi="Calibri" w:cs="Helv"/>
          <w:b/>
          <w:bCs/>
          <w:color w:val="000000"/>
        </w:rPr>
      </w:pPr>
      <w:r w:rsidRPr="00AD7D16">
        <w:rPr>
          <w:rFonts w:ascii="Calibri" w:hAnsi="Calibri" w:cs="Helv"/>
          <w:b/>
          <w:bCs/>
          <w:color w:val="000000"/>
        </w:rPr>
        <w:t xml:space="preserve">Introducing the Targeted </w:t>
      </w:r>
      <w:r w:rsidR="006B2D6C">
        <w:rPr>
          <w:rFonts w:ascii="Calibri" w:hAnsi="Calibri" w:cs="Helv"/>
          <w:b/>
          <w:bCs/>
          <w:color w:val="000000"/>
        </w:rPr>
        <w:t xml:space="preserve">Formula </w:t>
      </w:r>
      <w:r w:rsidRPr="00AD7D16">
        <w:rPr>
          <w:rFonts w:ascii="Calibri" w:hAnsi="Calibri" w:cs="Helv"/>
          <w:b/>
          <w:bCs/>
          <w:color w:val="000000"/>
        </w:rPr>
        <w:t xml:space="preserve">GPOA </w:t>
      </w:r>
      <w:r w:rsidR="00AD7D16">
        <w:rPr>
          <w:rFonts w:ascii="Calibri" w:hAnsi="Calibri" w:cs="Helv"/>
          <w:b/>
          <w:bCs/>
          <w:color w:val="000000"/>
        </w:rPr>
        <w:t>C</w:t>
      </w:r>
      <w:r w:rsidRPr="00AD7D16">
        <w:rPr>
          <w:rFonts w:ascii="Calibri" w:hAnsi="Calibri" w:cs="Helv"/>
          <w:b/>
          <w:bCs/>
          <w:color w:val="000000"/>
        </w:rPr>
        <w:t>oncept</w:t>
      </w:r>
    </w:p>
    <w:p w14:paraId="32ACD033" w14:textId="77777777" w:rsidR="00491FB5" w:rsidRDefault="00491FB5" w:rsidP="00002E34">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U</w:t>
      </w:r>
      <w:r w:rsidRPr="00BF7A92">
        <w:rPr>
          <w:rFonts w:ascii="Calibri" w:hAnsi="Calibri" w:cs="Helv"/>
          <w:bCs/>
          <w:color w:val="000000"/>
        </w:rPr>
        <w:t xml:space="preserve">sing </w:t>
      </w:r>
      <w:r>
        <w:rPr>
          <w:rFonts w:ascii="Calibri" w:hAnsi="Calibri" w:cs="Helv"/>
          <w:bCs/>
          <w:color w:val="000000"/>
        </w:rPr>
        <w:t xml:space="preserve">testamentary </w:t>
      </w:r>
      <w:r w:rsidRPr="00BF7A92">
        <w:rPr>
          <w:rFonts w:ascii="Calibri" w:hAnsi="Calibri" w:cs="Helv"/>
          <w:bCs/>
          <w:color w:val="000000"/>
        </w:rPr>
        <w:t xml:space="preserve">general and limited powers of appointment </w:t>
      </w:r>
      <w:r>
        <w:rPr>
          <w:rFonts w:ascii="Calibri" w:hAnsi="Calibri" w:cs="Helv"/>
          <w:bCs/>
          <w:color w:val="000000"/>
        </w:rPr>
        <w:t xml:space="preserve">more creatively </w:t>
      </w:r>
      <w:r w:rsidRPr="00BF7A92">
        <w:rPr>
          <w:rFonts w:ascii="Calibri" w:hAnsi="Calibri" w:cs="Helv"/>
          <w:bCs/>
          <w:color w:val="000000"/>
        </w:rPr>
        <w:t xml:space="preserve">can </w:t>
      </w:r>
      <w:r>
        <w:rPr>
          <w:rFonts w:ascii="Calibri" w:hAnsi="Calibri" w:cs="Helv"/>
          <w:bCs/>
          <w:color w:val="000000"/>
        </w:rPr>
        <w:t>assure</w:t>
      </w:r>
      <w:r w:rsidRPr="00BF7A92">
        <w:rPr>
          <w:rFonts w:ascii="Calibri" w:hAnsi="Calibri" w:cs="Helv"/>
          <w:bCs/>
          <w:color w:val="000000"/>
        </w:rPr>
        <w:t xml:space="preserve"> that assets in the trust </w:t>
      </w:r>
      <w:r>
        <w:rPr>
          <w:rFonts w:ascii="Calibri" w:hAnsi="Calibri" w:cs="Helv"/>
          <w:bCs/>
          <w:color w:val="000000"/>
        </w:rPr>
        <w:t>receive</w:t>
      </w:r>
      <w:r w:rsidRPr="00BF7A92">
        <w:rPr>
          <w:rFonts w:ascii="Calibri" w:hAnsi="Calibri" w:cs="Helv"/>
          <w:bCs/>
          <w:color w:val="000000"/>
        </w:rPr>
        <w:t xml:space="preserve"> a step </w:t>
      </w:r>
      <w:r w:rsidRPr="00505269">
        <w:rPr>
          <w:rFonts w:ascii="Calibri" w:hAnsi="Calibri" w:cs="Helv"/>
          <w:bCs/>
          <w:i/>
          <w:color w:val="000000"/>
        </w:rPr>
        <w:t>up</w:t>
      </w:r>
      <w:r w:rsidRPr="00BF7A92">
        <w:rPr>
          <w:rFonts w:ascii="Calibri" w:hAnsi="Calibri" w:cs="Helv"/>
          <w:bCs/>
          <w:color w:val="000000"/>
        </w:rPr>
        <w:t xml:space="preserve"> in basis, but not a step </w:t>
      </w:r>
      <w:r w:rsidR="00505269" w:rsidRPr="00505269">
        <w:rPr>
          <w:rFonts w:ascii="Calibri" w:hAnsi="Calibri" w:cs="Helv"/>
          <w:bCs/>
          <w:i/>
          <w:color w:val="000000"/>
        </w:rPr>
        <w:t>down</w:t>
      </w:r>
      <w:r w:rsidRPr="00BF7A92">
        <w:rPr>
          <w:rFonts w:ascii="Calibri" w:hAnsi="Calibri" w:cs="Helv"/>
          <w:bCs/>
          <w:color w:val="000000"/>
        </w:rPr>
        <w:t xml:space="preserve"> in basis</w:t>
      </w:r>
      <w:r>
        <w:rPr>
          <w:rFonts w:ascii="Calibri" w:hAnsi="Calibri" w:cs="Helv"/>
          <w:bCs/>
          <w:color w:val="000000"/>
        </w:rPr>
        <w:t xml:space="preserve">, and these </w:t>
      </w:r>
      <w:r w:rsidR="00D76714">
        <w:rPr>
          <w:rFonts w:ascii="Calibri" w:hAnsi="Calibri" w:cs="Helv"/>
          <w:bCs/>
          <w:color w:val="000000"/>
        </w:rPr>
        <w:t xml:space="preserve">powers </w:t>
      </w:r>
      <w:r>
        <w:rPr>
          <w:rFonts w:ascii="Calibri" w:hAnsi="Calibri" w:cs="Helv"/>
          <w:bCs/>
          <w:color w:val="000000"/>
        </w:rPr>
        <w:t>can be dynamically defined or invoked so as to not cause additional estate tax</w:t>
      </w:r>
      <w:r w:rsidRPr="00BF7A92">
        <w:rPr>
          <w:rFonts w:ascii="Calibri" w:hAnsi="Calibri" w:cs="Helv"/>
          <w:bCs/>
          <w:color w:val="000000"/>
        </w:rPr>
        <w:t xml:space="preserve">.  </w:t>
      </w:r>
      <w:r>
        <w:rPr>
          <w:rFonts w:ascii="Calibri" w:hAnsi="Calibri" w:cs="Helv"/>
          <w:bCs/>
          <w:color w:val="000000"/>
        </w:rPr>
        <w:t xml:space="preserve">  </w:t>
      </w:r>
    </w:p>
    <w:p w14:paraId="2ABBFD36" w14:textId="77777777" w:rsidR="00491FB5" w:rsidRDefault="00491FB5" w:rsidP="003527CB">
      <w:pPr>
        <w:autoSpaceDE w:val="0"/>
        <w:autoSpaceDN w:val="0"/>
        <w:adjustRightInd w:val="0"/>
        <w:spacing w:line="360" w:lineRule="auto"/>
        <w:ind w:firstLine="720"/>
        <w:jc w:val="both"/>
        <w:rPr>
          <w:rFonts w:ascii="Calibri" w:hAnsi="Calibri" w:cs="Helv"/>
          <w:bCs/>
          <w:color w:val="000000"/>
        </w:rPr>
      </w:pPr>
      <w:r w:rsidRPr="000920A0">
        <w:rPr>
          <w:rFonts w:ascii="Calibri" w:hAnsi="Calibri" w:cs="Helv"/>
          <w:b/>
          <w:bCs/>
          <w:color w:val="000000"/>
        </w:rPr>
        <w:t>Example</w:t>
      </w:r>
      <w:r>
        <w:rPr>
          <w:rFonts w:ascii="Calibri" w:hAnsi="Calibri" w:cs="Helv"/>
          <w:bCs/>
          <w:color w:val="000000"/>
        </w:rPr>
        <w:t xml:space="preserve">:  John Doe dies in 2013 with $2Million in assets left in trust for his wife Jane.  She files a Form 706 and “ports” $3.25 million DSUE.  We’ll assume that most of this gain has been realized, though with more tax efficient or buy/hold strategy, realization </w:t>
      </w:r>
      <w:r w:rsidR="0074449B">
        <w:rPr>
          <w:rFonts w:ascii="Calibri" w:hAnsi="Calibri" w:cs="Helv"/>
          <w:bCs/>
          <w:color w:val="000000"/>
        </w:rPr>
        <w:t>would</w:t>
      </w:r>
      <w:r>
        <w:rPr>
          <w:rFonts w:ascii="Calibri" w:hAnsi="Calibri" w:cs="Helv"/>
          <w:bCs/>
          <w:color w:val="000000"/>
        </w:rPr>
        <w:t xml:space="preserve"> be </w:t>
      </w:r>
      <w:r w:rsidR="0074449B">
        <w:rPr>
          <w:rFonts w:ascii="Calibri" w:hAnsi="Calibri" w:cs="Helv"/>
          <w:bCs/>
          <w:color w:val="000000"/>
        </w:rPr>
        <w:t xml:space="preserve">much </w:t>
      </w:r>
      <w:r>
        <w:rPr>
          <w:rFonts w:ascii="Calibri" w:hAnsi="Calibri" w:cs="Helv"/>
          <w:bCs/>
          <w:color w:val="000000"/>
        </w:rPr>
        <w:t>less.  After 8 years, when she dies, these trust assets have grown to $4 million, as follows:</w:t>
      </w:r>
    </w:p>
    <w:p w14:paraId="08EDBB71"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Traditional deductible IRA</w:t>
      </w:r>
      <w:r>
        <w:rPr>
          <w:rStyle w:val="FootnoteReference"/>
          <w:rFonts w:ascii="Calibri" w:hAnsi="Calibri" w:cs="Helv"/>
          <w:bCs/>
          <w:color w:val="000000"/>
        </w:rPr>
        <w:footnoteReference w:id="61"/>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 xml:space="preserve">basis $0, </w:t>
      </w:r>
      <w:r>
        <w:rPr>
          <w:rFonts w:ascii="Calibri" w:hAnsi="Calibri" w:cs="Helv"/>
          <w:bCs/>
          <w:color w:val="000000"/>
        </w:rPr>
        <w:tab/>
        <w:t xml:space="preserve">   FMV</w:t>
      </w:r>
      <w:r>
        <w:rPr>
          <w:rFonts w:ascii="Calibri" w:hAnsi="Calibri" w:cs="Helv"/>
          <w:bCs/>
          <w:color w:val="000000"/>
        </w:rPr>
        <w:tab/>
        <w:t>$700,000</w:t>
      </w:r>
    </w:p>
    <w:p w14:paraId="63493500" w14:textId="77777777" w:rsidR="00491FB5" w:rsidRPr="00FD3610" w:rsidRDefault="00491FB5" w:rsidP="004175E2">
      <w:pPr>
        <w:autoSpaceDE w:val="0"/>
        <w:autoSpaceDN w:val="0"/>
        <w:adjustRightInd w:val="0"/>
        <w:spacing w:line="360" w:lineRule="auto"/>
        <w:ind w:firstLine="720"/>
        <w:jc w:val="both"/>
        <w:rPr>
          <w:rFonts w:ascii="Calibri" w:hAnsi="Calibri" w:cs="Helv"/>
          <w:bCs/>
          <w:color w:val="000000"/>
          <w:u w:val="single"/>
        </w:rPr>
      </w:pPr>
      <w:r w:rsidRPr="00FD3610">
        <w:rPr>
          <w:rFonts w:ascii="Calibri" w:hAnsi="Calibri" w:cs="Helv"/>
          <w:bCs/>
          <w:color w:val="000000"/>
          <w:u w:val="single"/>
        </w:rPr>
        <w:t>Total “IRD” Property</w:t>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r>
      <w:r>
        <w:rPr>
          <w:rFonts w:ascii="Calibri" w:hAnsi="Calibri" w:cs="Helv"/>
          <w:bCs/>
          <w:color w:val="000000"/>
          <w:u w:val="single"/>
        </w:rPr>
        <w:t>basis $0</w:t>
      </w:r>
      <w:r w:rsidRPr="00FD3610">
        <w:rPr>
          <w:rFonts w:ascii="Calibri" w:hAnsi="Calibri" w:cs="Helv"/>
          <w:bCs/>
          <w:color w:val="000000"/>
          <w:u w:val="single"/>
        </w:rPr>
        <w:tab/>
      </w:r>
      <w:r>
        <w:rPr>
          <w:rFonts w:ascii="Calibri" w:hAnsi="Calibri" w:cs="Helv"/>
          <w:bCs/>
          <w:color w:val="000000"/>
          <w:u w:val="single"/>
        </w:rPr>
        <w:t xml:space="preserve">   FMV   </w:t>
      </w:r>
      <w:r w:rsidRPr="00FD3610">
        <w:rPr>
          <w:rFonts w:ascii="Calibri" w:hAnsi="Calibri" w:cs="Helv"/>
          <w:bCs/>
          <w:color w:val="000000"/>
          <w:u w:val="single"/>
        </w:rPr>
        <w:t>$700,000</w:t>
      </w:r>
    </w:p>
    <w:p w14:paraId="0A8333F2"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Apple Stock (the iPhone 9 flopped), </w:t>
      </w:r>
      <w:r>
        <w:rPr>
          <w:rFonts w:ascii="Calibri" w:hAnsi="Calibri" w:cs="Helv"/>
          <w:bCs/>
          <w:color w:val="000000"/>
        </w:rPr>
        <w:tab/>
      </w:r>
      <w:r>
        <w:rPr>
          <w:rFonts w:ascii="Calibri" w:hAnsi="Calibri" w:cs="Helv"/>
          <w:bCs/>
          <w:color w:val="000000"/>
        </w:rPr>
        <w:tab/>
      </w:r>
      <w:r>
        <w:rPr>
          <w:rFonts w:ascii="Calibri" w:hAnsi="Calibri" w:cs="Helv"/>
          <w:bCs/>
          <w:color w:val="000000"/>
        </w:rPr>
        <w:tab/>
        <w:t>basis $500,000,  FMV $200,000</w:t>
      </w:r>
    </w:p>
    <w:p w14:paraId="666C7073"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Condo in Florida (hurricane depresses value), </w:t>
      </w:r>
      <w:r>
        <w:rPr>
          <w:rFonts w:ascii="Calibri" w:hAnsi="Calibri" w:cs="Helv"/>
          <w:bCs/>
          <w:color w:val="000000"/>
        </w:rPr>
        <w:tab/>
        <w:t>basis $1,000,000, FMV $600,000</w:t>
      </w:r>
    </w:p>
    <w:p w14:paraId="6922EC0D"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LT Bond portfolio (inflation depressed value)</w:t>
      </w:r>
      <w:r>
        <w:rPr>
          <w:rFonts w:ascii="Calibri" w:hAnsi="Calibri" w:cs="Helv"/>
          <w:bCs/>
          <w:color w:val="000000"/>
        </w:rPr>
        <w:tab/>
        <w:t>basis $400,000    FMV $300,000</w:t>
      </w:r>
    </w:p>
    <w:p w14:paraId="7BC6ADB9" w14:textId="77777777" w:rsidR="00491FB5" w:rsidRDefault="00491FB5" w:rsidP="00FD3610">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Various stocks that have decreased in value </w:t>
      </w:r>
      <w:r>
        <w:rPr>
          <w:rFonts w:ascii="Calibri" w:hAnsi="Calibri" w:cs="Helv"/>
          <w:bCs/>
          <w:color w:val="000000"/>
        </w:rPr>
        <w:tab/>
      </w:r>
      <w:r>
        <w:rPr>
          <w:rFonts w:ascii="Calibri" w:hAnsi="Calibri" w:cs="Helv"/>
          <w:bCs/>
          <w:color w:val="000000"/>
        </w:rPr>
        <w:tab/>
        <w:t>basis $150,000,   FMV $100,000</w:t>
      </w:r>
    </w:p>
    <w:p w14:paraId="10038DD8" w14:textId="77777777" w:rsidR="00491FB5" w:rsidRPr="00FD3610" w:rsidRDefault="00491FB5" w:rsidP="004175E2">
      <w:pPr>
        <w:autoSpaceDE w:val="0"/>
        <w:autoSpaceDN w:val="0"/>
        <w:adjustRightInd w:val="0"/>
        <w:spacing w:line="360" w:lineRule="auto"/>
        <w:ind w:firstLine="720"/>
        <w:jc w:val="both"/>
        <w:rPr>
          <w:rFonts w:ascii="Calibri" w:hAnsi="Calibri" w:cs="Helv"/>
          <w:bCs/>
          <w:color w:val="000000"/>
          <w:u w:val="single"/>
        </w:rPr>
      </w:pPr>
      <w:r w:rsidRPr="00FD3610">
        <w:rPr>
          <w:rFonts w:ascii="Calibri" w:hAnsi="Calibri" w:cs="Helv"/>
          <w:bCs/>
          <w:color w:val="000000"/>
          <w:u w:val="single"/>
        </w:rPr>
        <w:t>Total “loss” property</w:t>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r>
      <w:r w:rsidRPr="00FD3610">
        <w:rPr>
          <w:rFonts w:ascii="Calibri" w:hAnsi="Calibri" w:cs="Helv"/>
          <w:bCs/>
          <w:color w:val="000000"/>
          <w:u w:val="single"/>
        </w:rPr>
        <w:tab/>
        <w:t>basis $2,050,000,FMV $1,200,000</w:t>
      </w:r>
    </w:p>
    <w:p w14:paraId="73653FDA"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Rental Real Estate</w:t>
      </w:r>
      <w:r>
        <w:rPr>
          <w:rStyle w:val="FootnoteReference"/>
          <w:rFonts w:ascii="Calibri" w:hAnsi="Calibri" w:cs="Helv"/>
          <w:bCs/>
          <w:color w:val="000000"/>
        </w:rPr>
        <w:footnoteReference w:id="62"/>
      </w:r>
      <w:r>
        <w:rPr>
          <w:rFonts w:ascii="Calibri" w:hAnsi="Calibri" w:cs="Helv"/>
          <w:bCs/>
          <w:color w:val="000000"/>
        </w:rPr>
        <w:t xml:space="preserve"> </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basis $200,000,   FMV $600,000</w:t>
      </w:r>
    </w:p>
    <w:p w14:paraId="1C89D737"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lastRenderedPageBreak/>
        <w:t>Various stocks that have increased in value</w:t>
      </w:r>
      <w:r>
        <w:rPr>
          <w:rFonts w:ascii="Calibri" w:hAnsi="Calibri" w:cs="Helv"/>
          <w:bCs/>
          <w:color w:val="000000"/>
        </w:rPr>
        <w:tab/>
      </w:r>
      <w:r>
        <w:rPr>
          <w:rFonts w:ascii="Calibri" w:hAnsi="Calibri" w:cs="Helv"/>
          <w:bCs/>
          <w:color w:val="000000"/>
        </w:rPr>
        <w:tab/>
        <w:t>basis $400,000,   FMV $900,000</w:t>
      </w:r>
    </w:p>
    <w:p w14:paraId="6F12240E"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ST Bond Portfolio, Money market</w:t>
      </w:r>
      <w:r w:rsidR="00A42317">
        <w:rPr>
          <w:rFonts w:ascii="Calibri" w:hAnsi="Calibri" w:cs="Helv"/>
          <w:bCs/>
          <w:color w:val="000000"/>
        </w:rPr>
        <w:t>, Cash</w:t>
      </w:r>
      <w:r>
        <w:rPr>
          <w:rFonts w:ascii="Calibri" w:hAnsi="Calibri" w:cs="Helv"/>
          <w:bCs/>
          <w:color w:val="000000"/>
        </w:rPr>
        <w:tab/>
      </w:r>
      <w:r>
        <w:rPr>
          <w:rFonts w:ascii="Calibri" w:hAnsi="Calibri" w:cs="Helv"/>
          <w:bCs/>
          <w:color w:val="000000"/>
        </w:rPr>
        <w:tab/>
        <w:t>basis $400,000,   FMV $400,000</w:t>
      </w:r>
    </w:p>
    <w:p w14:paraId="25FE2D71"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Gold</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basis $100,000    FMV $200,000</w:t>
      </w:r>
    </w:p>
    <w:p w14:paraId="2322015F" w14:textId="77777777" w:rsidR="00491FB5" w:rsidRPr="00AC6549" w:rsidRDefault="00491FB5" w:rsidP="004175E2">
      <w:pPr>
        <w:autoSpaceDE w:val="0"/>
        <w:autoSpaceDN w:val="0"/>
        <w:adjustRightInd w:val="0"/>
        <w:spacing w:line="360" w:lineRule="auto"/>
        <w:ind w:firstLine="720"/>
        <w:jc w:val="both"/>
        <w:rPr>
          <w:rFonts w:ascii="Calibri" w:hAnsi="Calibri" w:cs="Helv"/>
          <w:bCs/>
          <w:color w:val="000000"/>
          <w:u w:val="single"/>
        </w:rPr>
      </w:pPr>
      <w:r w:rsidRPr="00AC6549">
        <w:rPr>
          <w:rFonts w:ascii="Calibri" w:hAnsi="Calibri" w:cs="Helv"/>
          <w:bCs/>
          <w:color w:val="000000"/>
          <w:u w:val="single"/>
        </w:rPr>
        <w:t>Total “gain” property</w:t>
      </w:r>
      <w:r w:rsidRPr="00AC6549">
        <w:rPr>
          <w:rFonts w:ascii="Calibri" w:hAnsi="Calibri" w:cs="Helv"/>
          <w:bCs/>
          <w:color w:val="000000"/>
          <w:u w:val="single"/>
        </w:rPr>
        <w:tab/>
      </w:r>
      <w:r w:rsidRPr="00AC6549">
        <w:rPr>
          <w:rFonts w:ascii="Calibri" w:hAnsi="Calibri" w:cs="Helv"/>
          <w:bCs/>
          <w:color w:val="000000"/>
          <w:u w:val="single"/>
        </w:rPr>
        <w:tab/>
      </w:r>
      <w:r w:rsidRPr="00AC6549">
        <w:rPr>
          <w:rFonts w:ascii="Calibri" w:hAnsi="Calibri" w:cs="Helv"/>
          <w:bCs/>
          <w:color w:val="000000"/>
          <w:u w:val="single"/>
        </w:rPr>
        <w:tab/>
      </w:r>
      <w:r w:rsidRPr="00AC6549">
        <w:rPr>
          <w:rFonts w:ascii="Calibri" w:hAnsi="Calibri" w:cs="Helv"/>
          <w:bCs/>
          <w:color w:val="000000"/>
          <w:u w:val="single"/>
        </w:rPr>
        <w:tab/>
      </w:r>
      <w:r w:rsidRPr="00AC6549">
        <w:rPr>
          <w:rFonts w:ascii="Calibri" w:hAnsi="Calibri" w:cs="Helv"/>
          <w:bCs/>
          <w:color w:val="000000"/>
          <w:u w:val="single"/>
        </w:rPr>
        <w:tab/>
        <w:t>basis $1,100,000,FMV $2,100,000</w:t>
      </w:r>
    </w:p>
    <w:p w14:paraId="6A9B71A0"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Total at Jane’s death </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basis $3,150,000 FMV $4,000,000</w:t>
      </w:r>
    </w:p>
    <w:p w14:paraId="6862F857"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p>
    <w:p w14:paraId="37DE0D0E"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Had John used an outright bequest, or a marital trust, all of the assets above (except the IRA) would get a new cost basis – including the loss properties.</w:t>
      </w:r>
      <w:r>
        <w:rPr>
          <w:rStyle w:val="FootnoteReference"/>
          <w:rFonts w:ascii="Calibri" w:hAnsi="Calibri" w:cs="Helv"/>
          <w:bCs/>
          <w:color w:val="000000"/>
        </w:rPr>
        <w:footnoteReference w:id="63"/>
      </w:r>
      <w:r>
        <w:rPr>
          <w:rFonts w:ascii="Calibri" w:hAnsi="Calibri" w:cs="Helv"/>
          <w:bCs/>
          <w:color w:val="000000"/>
        </w:rPr>
        <w:t xml:space="preserve">  Had John used an ordinary bypass trust, none of the assets above would get a new cost basis, including $1 million of unrealized gains (see chart below)! </w:t>
      </w:r>
    </w:p>
    <w:p w14:paraId="247357B1" w14:textId="77777777" w:rsidR="00491FB5" w:rsidRDefault="00491FB5" w:rsidP="00F35CBB">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Instead, John’s Optimal Basis Increase Trust (OBIT) grants Jane a </w:t>
      </w:r>
      <w:r w:rsidRPr="000920A0">
        <w:rPr>
          <w:rFonts w:ascii="Calibri" w:hAnsi="Calibri" w:cs="Helv"/>
          <w:bCs/>
          <w:i/>
          <w:color w:val="000000"/>
        </w:rPr>
        <w:t>limited</w:t>
      </w:r>
      <w:r>
        <w:rPr>
          <w:rFonts w:ascii="Calibri" w:hAnsi="Calibri" w:cs="Helv"/>
          <w:bCs/>
          <w:color w:val="000000"/>
        </w:rPr>
        <w:t xml:space="preserve"> power of appointment (or no power at all) over all IRD assets and assets with a basis higher than the fair market value at the time of her death (total assets $1.9 million).  It grants Jane a </w:t>
      </w:r>
      <w:r w:rsidRPr="000920A0">
        <w:rPr>
          <w:rFonts w:ascii="Calibri" w:hAnsi="Calibri" w:cs="Helv"/>
          <w:bCs/>
          <w:i/>
          <w:color w:val="000000"/>
        </w:rPr>
        <w:t>general</w:t>
      </w:r>
      <w:r>
        <w:rPr>
          <w:rFonts w:ascii="Calibri" w:hAnsi="Calibri" w:cs="Helv"/>
          <w:bCs/>
          <w:color w:val="000000"/>
        </w:rPr>
        <w:t xml:space="preserve"> power of appointment (“GPOA”) over any assets that have a fair market value greater than tax basis (total assets $2.1 million).  As discussed below, this may also be accomplished with a limited power of appointment (“LPOA”) that triggers the Delaware Tax Trap.  </w:t>
      </w:r>
    </w:p>
    <w:p w14:paraId="77F7D479" w14:textId="77777777" w:rsidR="00491FB5" w:rsidRDefault="00491FB5" w:rsidP="004175E2">
      <w:pPr>
        <w:autoSpaceDE w:val="0"/>
        <w:autoSpaceDN w:val="0"/>
        <w:adjustRightInd w:val="0"/>
        <w:spacing w:line="360" w:lineRule="auto"/>
        <w:ind w:firstLine="720"/>
        <w:jc w:val="both"/>
        <w:rPr>
          <w:rFonts w:ascii="Calibri" w:hAnsi="Calibri" w:cs="Helv"/>
          <w:bCs/>
          <w:color w:val="000000"/>
        </w:rPr>
      </w:pPr>
    </w:p>
    <w:p w14:paraId="799F287B" w14:textId="77777777" w:rsidR="00491FB5" w:rsidRDefault="00803DB6" w:rsidP="00E86FC6">
      <w:pPr>
        <w:autoSpaceDE w:val="0"/>
        <w:autoSpaceDN w:val="0"/>
        <w:adjustRightInd w:val="0"/>
        <w:spacing w:line="360" w:lineRule="auto"/>
        <w:jc w:val="both"/>
        <w:rPr>
          <w:rFonts w:ascii="Calibri" w:hAnsi="Calibri" w:cs="Helv"/>
          <w:b/>
          <w:bCs/>
          <w:color w:val="000000"/>
        </w:rPr>
      </w:pPr>
      <w:r>
        <w:rPr>
          <w:rFonts w:ascii="Calibri" w:hAnsi="Calibri" w:cs="Helv"/>
          <w:b/>
          <w:bCs/>
          <w:noProof/>
          <w:color w:val="000000"/>
        </w:rPr>
        <w:lastRenderedPageBreak/>
        <w:drawing>
          <wp:inline distT="0" distB="0" distL="0" distR="0" wp14:anchorId="6D20F8A7" wp14:editId="24F008B2">
            <wp:extent cx="5486400" cy="2743200"/>
            <wp:effectExtent l="0" t="0" r="0" b="0"/>
            <wp:docPr id="87" name="Organization Chart 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9E0E0B4" w14:textId="77777777" w:rsidR="00491FB5" w:rsidRDefault="00803DB6" w:rsidP="00E86FC6">
      <w:pPr>
        <w:autoSpaceDE w:val="0"/>
        <w:autoSpaceDN w:val="0"/>
        <w:adjustRightInd w:val="0"/>
        <w:spacing w:line="360" w:lineRule="auto"/>
        <w:jc w:val="both"/>
        <w:rPr>
          <w:rFonts w:ascii="Calibri" w:hAnsi="Calibri" w:cs="Helv"/>
          <w:b/>
          <w:bCs/>
          <w:color w:val="000000"/>
        </w:rPr>
      </w:pPr>
      <w:r>
        <w:rPr>
          <w:rFonts w:ascii="Calibri" w:hAnsi="Calibri" w:cs="Helv"/>
          <w:b/>
          <w:bCs/>
          <w:noProof/>
          <w:color w:val="000000"/>
        </w:rPr>
        <w:drawing>
          <wp:inline distT="0" distB="0" distL="0" distR="0" wp14:anchorId="278A490A" wp14:editId="7F20DD32">
            <wp:extent cx="5479312" cy="4082902"/>
            <wp:effectExtent l="38100" t="0" r="7620" b="0"/>
            <wp:docPr id="74" name="Organization Chart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3195A7D" w14:textId="77777777" w:rsidR="00491FB5" w:rsidRPr="00E57171" w:rsidRDefault="00E57171" w:rsidP="00E57171">
      <w:pPr>
        <w:autoSpaceDE w:val="0"/>
        <w:autoSpaceDN w:val="0"/>
        <w:adjustRightInd w:val="0"/>
        <w:jc w:val="both"/>
        <w:rPr>
          <w:rFonts w:ascii="Calibri" w:hAnsi="Calibri" w:cs="Helv"/>
          <w:bCs/>
          <w:color w:val="000000"/>
        </w:rPr>
      </w:pPr>
      <w:r w:rsidRPr="00E57171">
        <w:rPr>
          <w:rFonts w:ascii="Calibri" w:hAnsi="Calibri" w:cs="Helv"/>
          <w:bCs/>
          <w:color w:val="000000"/>
        </w:rPr>
        <w:t>Step up caused by formula</w:t>
      </w:r>
    </w:p>
    <w:p w14:paraId="2EB16C57" w14:textId="77777777" w:rsidR="00E57171" w:rsidRPr="00E57171" w:rsidRDefault="00E57171" w:rsidP="00E57171">
      <w:pPr>
        <w:autoSpaceDE w:val="0"/>
        <w:autoSpaceDN w:val="0"/>
        <w:adjustRightInd w:val="0"/>
        <w:jc w:val="both"/>
        <w:rPr>
          <w:rFonts w:ascii="Calibri" w:hAnsi="Calibri" w:cs="Helv"/>
          <w:bCs/>
          <w:color w:val="000000"/>
        </w:rPr>
      </w:pPr>
      <w:r w:rsidRPr="00E57171">
        <w:rPr>
          <w:rFonts w:ascii="Calibri" w:hAnsi="Calibri" w:cs="Helv"/>
          <w:bCs/>
          <w:color w:val="000000"/>
        </w:rPr>
        <w:t xml:space="preserve">GPOA or LPOA and </w:t>
      </w:r>
      <w:r w:rsidR="0059666C">
        <w:rPr>
          <w:rFonts w:ascii="Calibri" w:hAnsi="Calibri" w:cs="Helv"/>
          <w:bCs/>
          <w:color w:val="000000"/>
        </w:rPr>
        <w:t>§</w:t>
      </w:r>
      <w:r w:rsidRPr="00E57171">
        <w:rPr>
          <w:rFonts w:ascii="Calibri" w:hAnsi="Calibri" w:cs="Helv"/>
          <w:bCs/>
          <w:color w:val="000000"/>
        </w:rPr>
        <w:t>2041(a)(3)</w:t>
      </w:r>
    </w:p>
    <w:p w14:paraId="6796140E" w14:textId="77777777" w:rsidR="00491FB5" w:rsidRDefault="00491FB5" w:rsidP="00E86FC6">
      <w:pPr>
        <w:autoSpaceDE w:val="0"/>
        <w:autoSpaceDN w:val="0"/>
        <w:adjustRightInd w:val="0"/>
        <w:spacing w:line="360" w:lineRule="auto"/>
        <w:jc w:val="both"/>
        <w:rPr>
          <w:rFonts w:ascii="Calibri" w:hAnsi="Calibri" w:cs="Helv"/>
          <w:b/>
          <w:bCs/>
          <w:color w:val="000000"/>
        </w:rPr>
      </w:pPr>
    </w:p>
    <w:p w14:paraId="038C3DBF" w14:textId="77777777" w:rsidR="00F64D1C" w:rsidRDefault="00F64D1C">
      <w:pPr>
        <w:rPr>
          <w:rFonts w:ascii="Calibri" w:hAnsi="Calibri" w:cs="Helv"/>
          <w:b/>
          <w:bCs/>
          <w:color w:val="000000"/>
        </w:rPr>
      </w:pPr>
      <w:r>
        <w:rPr>
          <w:rFonts w:ascii="Calibri" w:hAnsi="Calibri" w:cs="Helv"/>
          <w:b/>
          <w:bCs/>
          <w:color w:val="000000"/>
        </w:rPr>
        <w:br w:type="page"/>
      </w:r>
    </w:p>
    <w:p w14:paraId="36298800" w14:textId="77777777" w:rsidR="0074449B" w:rsidRPr="00AD7D16" w:rsidRDefault="0074449B" w:rsidP="00180FD1">
      <w:pPr>
        <w:pStyle w:val="ListParagraph"/>
        <w:numPr>
          <w:ilvl w:val="0"/>
          <w:numId w:val="19"/>
        </w:numPr>
        <w:autoSpaceDE w:val="0"/>
        <w:autoSpaceDN w:val="0"/>
        <w:adjustRightInd w:val="0"/>
        <w:spacing w:line="360" w:lineRule="auto"/>
        <w:ind w:hanging="1080"/>
        <w:jc w:val="both"/>
        <w:rPr>
          <w:rFonts w:ascii="Calibri" w:hAnsi="Calibri" w:cs="Helv"/>
          <w:b/>
          <w:bCs/>
          <w:color w:val="000000"/>
        </w:rPr>
      </w:pPr>
      <w:r w:rsidRPr="00AD7D16">
        <w:rPr>
          <w:rFonts w:ascii="Calibri" w:hAnsi="Calibri" w:cs="Helv"/>
          <w:b/>
          <w:bCs/>
          <w:color w:val="000000"/>
        </w:rPr>
        <w:lastRenderedPageBreak/>
        <w:t>Comparing the Effect of OBIT v. QTIP v. Bypass</w:t>
      </w:r>
    </w:p>
    <w:p w14:paraId="72534A01" w14:textId="77777777" w:rsidR="00491FB5" w:rsidRPr="00E86FC6" w:rsidRDefault="00491FB5" w:rsidP="00E86FC6">
      <w:pPr>
        <w:autoSpaceDE w:val="0"/>
        <w:autoSpaceDN w:val="0"/>
        <w:adjustRightInd w:val="0"/>
        <w:spacing w:line="360" w:lineRule="auto"/>
        <w:jc w:val="both"/>
        <w:rPr>
          <w:rFonts w:ascii="Calibri" w:hAnsi="Calibri" w:cs="Helv"/>
          <w:b/>
          <w:bCs/>
          <w:color w:val="000000"/>
        </w:rPr>
      </w:pPr>
      <w:r w:rsidRPr="00E86FC6">
        <w:rPr>
          <w:rFonts w:ascii="Calibri" w:hAnsi="Calibri" w:cs="Helv"/>
          <w:b/>
          <w:bCs/>
          <w:color w:val="000000"/>
        </w:rPr>
        <w:t xml:space="preserve">New Basis at Surviving Spouse’s Death if </w:t>
      </w:r>
      <w:r>
        <w:rPr>
          <w:rFonts w:ascii="Calibri" w:hAnsi="Calibri" w:cs="Helv"/>
          <w:b/>
          <w:bCs/>
          <w:color w:val="000000"/>
        </w:rPr>
        <w:t xml:space="preserve">using:  Ordinary </w:t>
      </w:r>
      <w:r w:rsidRPr="00E86FC6">
        <w:rPr>
          <w:rFonts w:ascii="Calibri" w:hAnsi="Calibri" w:cs="Helv"/>
          <w:b/>
          <w:bCs/>
          <w:color w:val="000000"/>
        </w:rPr>
        <w:t>Bypass</w:t>
      </w:r>
      <w:r>
        <w:rPr>
          <w:rFonts w:ascii="Calibri" w:hAnsi="Calibri" w:cs="Helv"/>
          <w:b/>
          <w:bCs/>
          <w:color w:val="000000"/>
        </w:rPr>
        <w:tab/>
        <w:t>QTIP/outright</w:t>
      </w:r>
      <w:r>
        <w:rPr>
          <w:rFonts w:ascii="Calibri" w:hAnsi="Calibri" w:cs="Helv"/>
          <w:b/>
          <w:bCs/>
          <w:color w:val="000000"/>
        </w:rPr>
        <w:tab/>
        <w:t xml:space="preserve">    OBIT</w:t>
      </w:r>
    </w:p>
    <w:p w14:paraId="004AF8AF" w14:textId="77777777" w:rsidR="00491FB5" w:rsidRPr="00E86FC6" w:rsidRDefault="00491FB5" w:rsidP="00F35CBB">
      <w:pPr>
        <w:autoSpaceDE w:val="0"/>
        <w:autoSpaceDN w:val="0"/>
        <w:adjustRightInd w:val="0"/>
        <w:spacing w:line="360" w:lineRule="auto"/>
        <w:jc w:val="both"/>
        <w:rPr>
          <w:rFonts w:ascii="Calibri" w:hAnsi="Calibri" w:cs="Helv"/>
          <w:bCs/>
          <w:color w:val="000000"/>
        </w:rPr>
      </w:pPr>
      <w:r>
        <w:rPr>
          <w:rFonts w:ascii="Calibri" w:hAnsi="Calibri" w:cs="Helv"/>
          <w:bCs/>
          <w:color w:val="000000"/>
        </w:rPr>
        <w:t>Traditional deductible IRA</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 xml:space="preserve">$0 </w:t>
      </w:r>
      <w:r>
        <w:rPr>
          <w:rFonts w:ascii="Calibri" w:hAnsi="Calibri" w:cs="Helv"/>
          <w:bCs/>
          <w:color w:val="000000"/>
        </w:rPr>
        <w:tab/>
      </w:r>
      <w:r>
        <w:rPr>
          <w:rFonts w:ascii="Calibri" w:hAnsi="Calibri" w:cs="Helv"/>
          <w:bCs/>
          <w:color w:val="000000"/>
        </w:rPr>
        <w:tab/>
        <w:t>$0</w:t>
      </w:r>
      <w:r>
        <w:rPr>
          <w:rFonts w:ascii="Calibri" w:hAnsi="Calibri" w:cs="Helv"/>
          <w:bCs/>
          <w:color w:val="000000"/>
        </w:rPr>
        <w:tab/>
      </w:r>
      <w:r>
        <w:rPr>
          <w:rFonts w:ascii="Calibri" w:hAnsi="Calibri" w:cs="Helv"/>
          <w:bCs/>
          <w:color w:val="000000"/>
        </w:rPr>
        <w:tab/>
        <w:t>$0</w:t>
      </w:r>
    </w:p>
    <w:p w14:paraId="57330FD7" w14:textId="77777777" w:rsidR="00491FB5" w:rsidRDefault="00491FB5" w:rsidP="00F35CBB">
      <w:pPr>
        <w:autoSpaceDE w:val="0"/>
        <w:autoSpaceDN w:val="0"/>
        <w:adjustRightInd w:val="0"/>
        <w:spacing w:line="360" w:lineRule="auto"/>
        <w:jc w:val="both"/>
        <w:rPr>
          <w:rFonts w:ascii="Calibri" w:hAnsi="Calibri" w:cs="Helv"/>
          <w:bCs/>
          <w:color w:val="000000"/>
        </w:rPr>
      </w:pPr>
      <w:r>
        <w:rPr>
          <w:rFonts w:ascii="Calibri" w:hAnsi="Calibri" w:cs="Helv"/>
          <w:bCs/>
          <w:color w:val="000000"/>
        </w:rPr>
        <w:t xml:space="preserve">Apple Stock (the iPhone 9 flopped), </w:t>
      </w:r>
      <w:r>
        <w:rPr>
          <w:rFonts w:ascii="Calibri" w:hAnsi="Calibri" w:cs="Helv"/>
          <w:bCs/>
          <w:color w:val="000000"/>
        </w:rPr>
        <w:tab/>
      </w:r>
      <w:r>
        <w:rPr>
          <w:rFonts w:ascii="Calibri" w:hAnsi="Calibri" w:cs="Helv"/>
          <w:bCs/>
          <w:color w:val="000000"/>
        </w:rPr>
        <w:tab/>
      </w:r>
      <w:r>
        <w:rPr>
          <w:rFonts w:ascii="Calibri" w:hAnsi="Calibri" w:cs="Helv"/>
          <w:bCs/>
          <w:color w:val="000000"/>
        </w:rPr>
        <w:tab/>
        <w:t xml:space="preserve">$500,000 </w:t>
      </w:r>
      <w:r>
        <w:rPr>
          <w:rFonts w:ascii="Calibri" w:hAnsi="Calibri" w:cs="Helv"/>
          <w:bCs/>
          <w:color w:val="000000"/>
        </w:rPr>
        <w:tab/>
        <w:t>$200,000</w:t>
      </w:r>
      <w:r>
        <w:rPr>
          <w:rFonts w:ascii="Calibri" w:hAnsi="Calibri" w:cs="Helv"/>
          <w:bCs/>
          <w:color w:val="000000"/>
        </w:rPr>
        <w:tab/>
        <w:t>$500,000</w:t>
      </w:r>
    </w:p>
    <w:p w14:paraId="5CF382C6" w14:textId="77777777" w:rsidR="00491FB5" w:rsidRDefault="00491FB5" w:rsidP="00F35CBB">
      <w:pPr>
        <w:autoSpaceDE w:val="0"/>
        <w:autoSpaceDN w:val="0"/>
        <w:adjustRightInd w:val="0"/>
        <w:spacing w:line="360" w:lineRule="auto"/>
        <w:jc w:val="both"/>
        <w:rPr>
          <w:rFonts w:ascii="Calibri" w:hAnsi="Calibri" w:cs="Helv"/>
          <w:bCs/>
          <w:color w:val="000000"/>
        </w:rPr>
      </w:pPr>
      <w:r>
        <w:rPr>
          <w:rFonts w:ascii="Calibri" w:hAnsi="Calibri" w:cs="Helv"/>
          <w:bCs/>
          <w:color w:val="000000"/>
        </w:rPr>
        <w:t xml:space="preserve">Condo in Florida (hurricane depresses value), </w:t>
      </w:r>
      <w:r>
        <w:rPr>
          <w:rFonts w:ascii="Calibri" w:hAnsi="Calibri" w:cs="Helv"/>
          <w:bCs/>
          <w:color w:val="000000"/>
        </w:rPr>
        <w:tab/>
        <w:t xml:space="preserve">$1,000,000 </w:t>
      </w:r>
      <w:r>
        <w:rPr>
          <w:rFonts w:ascii="Calibri" w:hAnsi="Calibri" w:cs="Helv"/>
          <w:bCs/>
          <w:color w:val="000000"/>
        </w:rPr>
        <w:tab/>
        <w:t>$600,000</w:t>
      </w:r>
      <w:r>
        <w:rPr>
          <w:rFonts w:ascii="Calibri" w:hAnsi="Calibri" w:cs="Helv"/>
          <w:bCs/>
          <w:color w:val="000000"/>
        </w:rPr>
        <w:tab/>
        <w:t>$1,000,000</w:t>
      </w:r>
    </w:p>
    <w:p w14:paraId="04ECBBBA" w14:textId="77777777" w:rsidR="00491FB5" w:rsidRDefault="00491FB5" w:rsidP="00F35CBB">
      <w:pPr>
        <w:autoSpaceDE w:val="0"/>
        <w:autoSpaceDN w:val="0"/>
        <w:adjustRightInd w:val="0"/>
        <w:spacing w:line="360" w:lineRule="auto"/>
        <w:jc w:val="both"/>
        <w:rPr>
          <w:rFonts w:ascii="Calibri" w:hAnsi="Calibri" w:cs="Helv"/>
          <w:bCs/>
          <w:color w:val="000000"/>
        </w:rPr>
      </w:pPr>
      <w:r>
        <w:rPr>
          <w:rFonts w:ascii="Calibri" w:hAnsi="Calibri" w:cs="Helv"/>
          <w:bCs/>
          <w:color w:val="000000"/>
        </w:rPr>
        <w:t>LT Bond portfolio (inflation depressed value)</w:t>
      </w:r>
      <w:r>
        <w:rPr>
          <w:rFonts w:ascii="Calibri" w:hAnsi="Calibri" w:cs="Helv"/>
          <w:bCs/>
          <w:color w:val="000000"/>
        </w:rPr>
        <w:tab/>
        <w:t xml:space="preserve">$400,000  </w:t>
      </w:r>
      <w:r>
        <w:rPr>
          <w:rFonts w:ascii="Calibri" w:hAnsi="Calibri" w:cs="Helv"/>
          <w:bCs/>
          <w:color w:val="000000"/>
        </w:rPr>
        <w:tab/>
        <w:t>$300,000</w:t>
      </w:r>
      <w:r>
        <w:rPr>
          <w:rFonts w:ascii="Calibri" w:hAnsi="Calibri" w:cs="Helv"/>
          <w:bCs/>
          <w:color w:val="000000"/>
        </w:rPr>
        <w:tab/>
        <w:t>$400,000</w:t>
      </w:r>
    </w:p>
    <w:p w14:paraId="08EA813A" w14:textId="77777777" w:rsidR="00491FB5" w:rsidRDefault="00491FB5" w:rsidP="00F35CBB">
      <w:pPr>
        <w:autoSpaceDE w:val="0"/>
        <w:autoSpaceDN w:val="0"/>
        <w:adjustRightInd w:val="0"/>
        <w:spacing w:line="360" w:lineRule="auto"/>
        <w:jc w:val="both"/>
        <w:rPr>
          <w:rFonts w:ascii="Calibri" w:hAnsi="Calibri" w:cs="Helv"/>
          <w:bCs/>
          <w:color w:val="000000"/>
        </w:rPr>
      </w:pPr>
      <w:r>
        <w:rPr>
          <w:rFonts w:ascii="Calibri" w:hAnsi="Calibri" w:cs="Helv"/>
          <w:bCs/>
          <w:color w:val="000000"/>
        </w:rPr>
        <w:t xml:space="preserve">Various stocks that have decreased in value </w:t>
      </w:r>
      <w:r>
        <w:rPr>
          <w:rFonts w:ascii="Calibri" w:hAnsi="Calibri" w:cs="Helv"/>
          <w:bCs/>
          <w:color w:val="000000"/>
        </w:rPr>
        <w:tab/>
      </w:r>
      <w:r>
        <w:rPr>
          <w:rFonts w:ascii="Calibri" w:hAnsi="Calibri" w:cs="Helv"/>
          <w:bCs/>
          <w:color w:val="000000"/>
        </w:rPr>
        <w:tab/>
        <w:t>$150,000</w:t>
      </w:r>
      <w:r>
        <w:rPr>
          <w:rFonts w:ascii="Calibri" w:hAnsi="Calibri" w:cs="Helv"/>
          <w:bCs/>
          <w:color w:val="000000"/>
        </w:rPr>
        <w:tab/>
        <w:t>$100,000</w:t>
      </w:r>
      <w:r>
        <w:rPr>
          <w:rFonts w:ascii="Calibri" w:hAnsi="Calibri" w:cs="Helv"/>
          <w:bCs/>
          <w:color w:val="000000"/>
        </w:rPr>
        <w:tab/>
        <w:t>$150,000</w:t>
      </w:r>
    </w:p>
    <w:p w14:paraId="276C3975" w14:textId="77777777" w:rsidR="00491FB5" w:rsidRDefault="00491FB5" w:rsidP="00F35CBB">
      <w:pPr>
        <w:autoSpaceDE w:val="0"/>
        <w:autoSpaceDN w:val="0"/>
        <w:adjustRightInd w:val="0"/>
        <w:spacing w:line="360" w:lineRule="auto"/>
        <w:jc w:val="both"/>
        <w:rPr>
          <w:rFonts w:ascii="Calibri" w:hAnsi="Calibri" w:cs="Helv"/>
          <w:bCs/>
          <w:color w:val="000000"/>
        </w:rPr>
      </w:pPr>
      <w:r>
        <w:rPr>
          <w:rFonts w:ascii="Calibri" w:hAnsi="Calibri" w:cs="Helv"/>
          <w:bCs/>
          <w:color w:val="000000"/>
        </w:rPr>
        <w:t xml:space="preserve">Rental Real Estate </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$200,000</w:t>
      </w:r>
      <w:r>
        <w:rPr>
          <w:rFonts w:ascii="Calibri" w:hAnsi="Calibri" w:cs="Helv"/>
          <w:bCs/>
          <w:color w:val="000000"/>
        </w:rPr>
        <w:tab/>
        <w:t>$600,000</w:t>
      </w:r>
      <w:r>
        <w:rPr>
          <w:rFonts w:ascii="Calibri" w:hAnsi="Calibri" w:cs="Helv"/>
          <w:bCs/>
          <w:color w:val="000000"/>
        </w:rPr>
        <w:tab/>
        <w:t>$600,000</w:t>
      </w:r>
    </w:p>
    <w:p w14:paraId="7DE4F77F" w14:textId="77777777" w:rsidR="00491FB5" w:rsidRDefault="00491FB5" w:rsidP="00F35CBB">
      <w:pPr>
        <w:autoSpaceDE w:val="0"/>
        <w:autoSpaceDN w:val="0"/>
        <w:adjustRightInd w:val="0"/>
        <w:spacing w:line="360" w:lineRule="auto"/>
        <w:jc w:val="both"/>
        <w:rPr>
          <w:rFonts w:ascii="Calibri" w:hAnsi="Calibri" w:cs="Helv"/>
          <w:bCs/>
          <w:color w:val="000000"/>
        </w:rPr>
      </w:pPr>
      <w:r>
        <w:rPr>
          <w:rFonts w:ascii="Calibri" w:hAnsi="Calibri" w:cs="Helv"/>
          <w:bCs/>
          <w:color w:val="000000"/>
        </w:rPr>
        <w:t>Various stocks that have increased in value</w:t>
      </w:r>
      <w:r>
        <w:rPr>
          <w:rFonts w:ascii="Calibri" w:hAnsi="Calibri" w:cs="Helv"/>
          <w:bCs/>
          <w:color w:val="000000"/>
        </w:rPr>
        <w:tab/>
      </w:r>
      <w:r>
        <w:rPr>
          <w:rFonts w:ascii="Calibri" w:hAnsi="Calibri" w:cs="Helv"/>
          <w:bCs/>
          <w:color w:val="000000"/>
        </w:rPr>
        <w:tab/>
        <w:t xml:space="preserve">$400,000 </w:t>
      </w:r>
      <w:r>
        <w:rPr>
          <w:rFonts w:ascii="Calibri" w:hAnsi="Calibri" w:cs="Helv"/>
          <w:bCs/>
          <w:color w:val="000000"/>
        </w:rPr>
        <w:tab/>
        <w:t>$900,000</w:t>
      </w:r>
      <w:r>
        <w:rPr>
          <w:rFonts w:ascii="Calibri" w:hAnsi="Calibri" w:cs="Helv"/>
          <w:bCs/>
          <w:color w:val="000000"/>
        </w:rPr>
        <w:tab/>
        <w:t>$900,000</w:t>
      </w:r>
    </w:p>
    <w:p w14:paraId="53F7B39A" w14:textId="77777777" w:rsidR="00491FB5" w:rsidRDefault="00491FB5" w:rsidP="00F35CBB">
      <w:pPr>
        <w:autoSpaceDE w:val="0"/>
        <w:autoSpaceDN w:val="0"/>
        <w:adjustRightInd w:val="0"/>
        <w:spacing w:line="360" w:lineRule="auto"/>
        <w:jc w:val="both"/>
        <w:rPr>
          <w:rFonts w:ascii="Calibri" w:hAnsi="Calibri" w:cs="Helv"/>
          <w:bCs/>
          <w:color w:val="000000"/>
        </w:rPr>
      </w:pPr>
      <w:r>
        <w:rPr>
          <w:rFonts w:ascii="Calibri" w:hAnsi="Calibri" w:cs="Helv"/>
          <w:bCs/>
          <w:color w:val="000000"/>
        </w:rPr>
        <w:t>ST Bond Portfolio, Money market</w:t>
      </w:r>
      <w:r>
        <w:rPr>
          <w:rFonts w:ascii="Calibri" w:hAnsi="Calibri" w:cs="Helv"/>
          <w:bCs/>
          <w:color w:val="000000"/>
        </w:rPr>
        <w:tab/>
      </w:r>
      <w:r>
        <w:rPr>
          <w:rFonts w:ascii="Calibri" w:hAnsi="Calibri" w:cs="Helv"/>
          <w:bCs/>
          <w:color w:val="000000"/>
        </w:rPr>
        <w:tab/>
      </w:r>
      <w:r>
        <w:rPr>
          <w:rFonts w:ascii="Calibri" w:hAnsi="Calibri" w:cs="Helv"/>
          <w:bCs/>
          <w:color w:val="000000"/>
        </w:rPr>
        <w:tab/>
        <w:t xml:space="preserve">$400,000 </w:t>
      </w:r>
      <w:r>
        <w:rPr>
          <w:rFonts w:ascii="Calibri" w:hAnsi="Calibri" w:cs="Helv"/>
          <w:bCs/>
          <w:color w:val="000000"/>
        </w:rPr>
        <w:tab/>
        <w:t>$400,000</w:t>
      </w:r>
      <w:r>
        <w:rPr>
          <w:rFonts w:ascii="Calibri" w:hAnsi="Calibri" w:cs="Helv"/>
          <w:bCs/>
          <w:color w:val="000000"/>
        </w:rPr>
        <w:tab/>
        <w:t>$400,000</w:t>
      </w:r>
    </w:p>
    <w:p w14:paraId="60B20D82" w14:textId="77777777" w:rsidR="00491FB5" w:rsidRDefault="00491FB5" w:rsidP="00F35CBB">
      <w:pPr>
        <w:autoSpaceDE w:val="0"/>
        <w:autoSpaceDN w:val="0"/>
        <w:adjustRightInd w:val="0"/>
        <w:spacing w:line="360" w:lineRule="auto"/>
        <w:jc w:val="both"/>
        <w:rPr>
          <w:rFonts w:ascii="Calibri" w:hAnsi="Calibri" w:cs="Helv"/>
          <w:bCs/>
          <w:color w:val="000000"/>
        </w:rPr>
      </w:pPr>
      <w:r>
        <w:rPr>
          <w:rFonts w:ascii="Calibri" w:hAnsi="Calibri" w:cs="Helv"/>
          <w:bCs/>
          <w:color w:val="000000"/>
        </w:rPr>
        <w:t>Gold</w:t>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r>
      <w:r>
        <w:rPr>
          <w:rFonts w:ascii="Calibri" w:hAnsi="Calibri" w:cs="Helv"/>
          <w:bCs/>
          <w:color w:val="000000"/>
        </w:rPr>
        <w:tab/>
        <w:t xml:space="preserve">$100,000  </w:t>
      </w:r>
      <w:r>
        <w:rPr>
          <w:rFonts w:ascii="Calibri" w:hAnsi="Calibri" w:cs="Helv"/>
          <w:bCs/>
          <w:color w:val="000000"/>
        </w:rPr>
        <w:tab/>
        <w:t>$200,000</w:t>
      </w:r>
      <w:r>
        <w:rPr>
          <w:rFonts w:ascii="Calibri" w:hAnsi="Calibri" w:cs="Helv"/>
          <w:bCs/>
          <w:color w:val="000000"/>
        </w:rPr>
        <w:tab/>
        <w:t>$200,000</w:t>
      </w:r>
    </w:p>
    <w:p w14:paraId="29BD2A04" w14:textId="77777777" w:rsidR="00491FB5" w:rsidRPr="00F35CBB" w:rsidRDefault="00491FB5" w:rsidP="00F35CBB">
      <w:pPr>
        <w:autoSpaceDE w:val="0"/>
        <w:autoSpaceDN w:val="0"/>
        <w:adjustRightInd w:val="0"/>
        <w:spacing w:line="360" w:lineRule="auto"/>
        <w:jc w:val="both"/>
        <w:rPr>
          <w:rFonts w:ascii="Calibri" w:hAnsi="Calibri" w:cs="Helv"/>
          <w:b/>
          <w:bCs/>
          <w:color w:val="000000"/>
        </w:rPr>
      </w:pPr>
      <w:r w:rsidRPr="00F35CBB">
        <w:rPr>
          <w:rFonts w:ascii="Calibri" w:hAnsi="Calibri" w:cs="Helv"/>
          <w:b/>
          <w:bCs/>
          <w:color w:val="000000"/>
        </w:rPr>
        <w:t xml:space="preserve">Total Basis </w:t>
      </w:r>
      <w:r>
        <w:rPr>
          <w:rFonts w:ascii="Calibri" w:hAnsi="Calibri" w:cs="Helv"/>
          <w:b/>
          <w:bCs/>
          <w:color w:val="000000"/>
        </w:rPr>
        <w:t xml:space="preserve">for Beneficiaries </w:t>
      </w:r>
      <w:r w:rsidRPr="00F35CBB">
        <w:rPr>
          <w:rFonts w:ascii="Calibri" w:hAnsi="Calibri" w:cs="Helv"/>
          <w:b/>
          <w:bCs/>
          <w:color w:val="000000"/>
        </w:rPr>
        <w:t>at Jane’s death</w:t>
      </w:r>
      <w:r w:rsidRPr="00F35CBB">
        <w:rPr>
          <w:rFonts w:ascii="Calibri" w:hAnsi="Calibri" w:cs="Helv"/>
          <w:b/>
          <w:bCs/>
          <w:color w:val="000000"/>
        </w:rPr>
        <w:tab/>
      </w:r>
      <w:r w:rsidRPr="00F35CBB">
        <w:rPr>
          <w:rFonts w:ascii="Calibri" w:hAnsi="Calibri" w:cs="Helv"/>
          <w:b/>
          <w:bCs/>
          <w:color w:val="000000"/>
        </w:rPr>
        <w:tab/>
        <w:t xml:space="preserve">$3,150,000 </w:t>
      </w:r>
      <w:r w:rsidRPr="00F35CBB">
        <w:rPr>
          <w:rFonts w:ascii="Calibri" w:hAnsi="Calibri" w:cs="Helv"/>
          <w:b/>
          <w:bCs/>
          <w:color w:val="000000"/>
        </w:rPr>
        <w:tab/>
        <w:t>$3,300,000</w:t>
      </w:r>
      <w:r w:rsidRPr="00F35CBB">
        <w:rPr>
          <w:rFonts w:ascii="Calibri" w:hAnsi="Calibri" w:cs="Helv"/>
          <w:b/>
          <w:bCs/>
          <w:color w:val="000000"/>
        </w:rPr>
        <w:tab/>
        <w:t>$4,150,000</w:t>
      </w:r>
    </w:p>
    <w:p w14:paraId="5901A39C" w14:textId="77777777" w:rsidR="00491FB5" w:rsidRDefault="00491FB5" w:rsidP="00AC6549">
      <w:pPr>
        <w:autoSpaceDE w:val="0"/>
        <w:autoSpaceDN w:val="0"/>
        <w:adjustRightInd w:val="0"/>
        <w:spacing w:line="360" w:lineRule="auto"/>
        <w:ind w:firstLine="720"/>
        <w:jc w:val="both"/>
        <w:rPr>
          <w:rFonts w:ascii="Calibri" w:hAnsi="Calibri" w:cs="Helv"/>
          <w:b/>
          <w:bCs/>
          <w:color w:val="000000"/>
        </w:rPr>
      </w:pPr>
    </w:p>
    <w:p w14:paraId="2EEE6E71" w14:textId="77777777" w:rsidR="00491FB5" w:rsidRDefault="00491FB5" w:rsidP="00AC6549">
      <w:pPr>
        <w:autoSpaceDE w:val="0"/>
        <w:autoSpaceDN w:val="0"/>
        <w:adjustRightInd w:val="0"/>
        <w:spacing w:line="360" w:lineRule="auto"/>
        <w:ind w:firstLine="720"/>
        <w:jc w:val="both"/>
        <w:rPr>
          <w:rFonts w:ascii="Calibri" w:hAnsi="Calibri" w:cs="Helv"/>
          <w:bCs/>
          <w:color w:val="000000"/>
        </w:rPr>
      </w:pPr>
      <w:r w:rsidRPr="000920A0">
        <w:rPr>
          <w:rFonts w:ascii="Calibri" w:hAnsi="Calibri" w:cs="Helv"/>
          <w:b/>
          <w:bCs/>
          <w:color w:val="000000"/>
        </w:rPr>
        <w:t>Result</w:t>
      </w:r>
      <w:r>
        <w:rPr>
          <w:rFonts w:ascii="Calibri" w:hAnsi="Calibri" w:cs="Helv"/>
          <w:bCs/>
          <w:color w:val="000000"/>
        </w:rPr>
        <w:t xml:space="preserve">: John and Jane Doe’s beneficiaries get a step up on the trust assets, but, more uniquely, do not get a “step down” in basis for any loss property (in our example, new basis is $4,150,000 versus $3,150,000 had a standard bypass trust been used and only $3,300,000 of basis had a marital trust been used.  </w:t>
      </w:r>
      <w:r w:rsidRPr="0039279C">
        <w:rPr>
          <w:rFonts w:ascii="Calibri" w:hAnsi="Calibri" w:cs="Helv"/>
          <w:bCs/>
          <w:i/>
          <w:color w:val="000000"/>
        </w:rPr>
        <w:t>That’s a lot of savings</w:t>
      </w:r>
      <w:r>
        <w:rPr>
          <w:rFonts w:ascii="Calibri" w:hAnsi="Calibri" w:cs="Helv"/>
          <w:bCs/>
          <w:color w:val="000000"/>
        </w:rPr>
        <w:t>.  The beneficiaries (through a continuing trust or outright) get a carry over basis over any assets received via limited power of appointment (or received by default if such assets were not subject to a general power of appointment at death).  This allows them to use the higher basis for depreciable assets to offset income, or sell assets to take the capital loss to offset other capital gains plus $3,000/yr</w:t>
      </w:r>
      <w:r w:rsidR="00C63DF8">
        <w:rPr>
          <w:rFonts w:ascii="Calibri" w:hAnsi="Calibri" w:cs="Helv"/>
          <w:bCs/>
          <w:color w:val="000000"/>
        </w:rPr>
        <w:t>.</w:t>
      </w:r>
      <w:r>
        <w:rPr>
          <w:rFonts w:ascii="Calibri" w:hAnsi="Calibri" w:cs="Helv"/>
          <w:bCs/>
          <w:color w:val="000000"/>
        </w:rPr>
        <w:t xml:space="preserve"> against ordinary income, or hold for future tax-free appreciation up to basis.  </w:t>
      </w:r>
    </w:p>
    <w:p w14:paraId="0C0FA591" w14:textId="77777777" w:rsidR="00491FB5" w:rsidRDefault="00491FB5" w:rsidP="00AC6549">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Think people won’t die with unrealized capital losses?  It happens all the time.  Ask anyone who handled an estate in 2008-2009.  It is a dangerous misnomer to call the basis adjustment at death a “step up” without realizing it’s equally a “step down” when assets don’t appreciate as we had wished them to, yet we are all guilty of this </w:t>
      </w:r>
      <w:r w:rsidR="00C63DF8">
        <w:rPr>
          <w:rFonts w:ascii="Calibri" w:hAnsi="Calibri" w:cs="Helv"/>
          <w:bCs/>
          <w:color w:val="000000"/>
        </w:rPr>
        <w:t>Pollyanna-</w:t>
      </w:r>
      <w:r>
        <w:rPr>
          <w:rFonts w:ascii="Calibri" w:hAnsi="Calibri" w:cs="Helv"/>
          <w:bCs/>
          <w:color w:val="000000"/>
        </w:rPr>
        <w:t xml:space="preserve">ish shorthand.  Increasing trust capital gains tax rates, discussed in more detail in Part </w:t>
      </w:r>
      <w:r w:rsidR="00AD530A">
        <w:rPr>
          <w:rFonts w:ascii="Calibri" w:hAnsi="Calibri" w:cs="Helv"/>
          <w:bCs/>
          <w:color w:val="000000"/>
        </w:rPr>
        <w:t>II and VI</w:t>
      </w:r>
      <w:r>
        <w:rPr>
          <w:rFonts w:ascii="Calibri" w:hAnsi="Calibri" w:cs="Helv"/>
          <w:bCs/>
          <w:color w:val="000000"/>
        </w:rPr>
        <w:t xml:space="preserve">II, may cause more tax sensitivity, meaning more use of individually managed bonds and equities or at least </w:t>
      </w:r>
      <w:r>
        <w:rPr>
          <w:rFonts w:ascii="Calibri" w:hAnsi="Calibri" w:cs="Helv"/>
          <w:bCs/>
          <w:color w:val="000000"/>
        </w:rPr>
        <w:lastRenderedPageBreak/>
        <w:t>low-turnover funds or ETFs</w:t>
      </w:r>
      <w:r w:rsidRPr="00494892">
        <w:rPr>
          <w:rFonts w:ascii="Calibri" w:hAnsi="Calibri" w:cs="Helv"/>
          <w:bCs/>
          <w:color w:val="000000"/>
        </w:rPr>
        <w:t xml:space="preserve"> </w:t>
      </w:r>
      <w:r>
        <w:rPr>
          <w:rFonts w:ascii="Calibri" w:hAnsi="Calibri" w:cs="Helv"/>
          <w:bCs/>
          <w:color w:val="000000"/>
        </w:rPr>
        <w:t xml:space="preserve">in order to decrease turnover and gains realization, which may mean even more unrealized gains in future </w:t>
      </w:r>
      <w:r w:rsidR="00E57171">
        <w:rPr>
          <w:rFonts w:ascii="Calibri" w:hAnsi="Calibri" w:cs="Helv"/>
          <w:bCs/>
          <w:color w:val="000000"/>
        </w:rPr>
        <w:t>irrevocable</w:t>
      </w:r>
      <w:r>
        <w:rPr>
          <w:rFonts w:ascii="Calibri" w:hAnsi="Calibri" w:cs="Helv"/>
          <w:bCs/>
          <w:color w:val="000000"/>
        </w:rPr>
        <w:t xml:space="preserve"> trusts.</w:t>
      </w:r>
    </w:p>
    <w:p w14:paraId="4F4F6E36" w14:textId="77777777" w:rsidR="00491FB5" w:rsidRDefault="00491FB5" w:rsidP="000159A3">
      <w:pPr>
        <w:autoSpaceDE w:val="0"/>
        <w:autoSpaceDN w:val="0"/>
        <w:adjustRightInd w:val="0"/>
        <w:spacing w:line="360" w:lineRule="auto"/>
        <w:ind w:firstLine="720"/>
        <w:jc w:val="both"/>
        <w:rPr>
          <w:rFonts w:ascii="Calibri" w:hAnsi="Calibri" w:cs="Helv"/>
          <w:bCs/>
          <w:color w:val="000000"/>
        </w:rPr>
      </w:pPr>
      <w:r w:rsidRPr="000920A0">
        <w:rPr>
          <w:rFonts w:ascii="Calibri" w:hAnsi="Calibri" w:cs="Helv"/>
          <w:bCs/>
          <w:i/>
          <w:color w:val="000000"/>
        </w:rPr>
        <w:t>Why haven’t people done this before?</w:t>
      </w:r>
      <w:r>
        <w:rPr>
          <w:rFonts w:ascii="Calibri" w:hAnsi="Calibri" w:cs="Helv"/>
          <w:bCs/>
          <w:color w:val="000000"/>
        </w:rPr>
        <w:t xml:space="preserve">  Besides the frustrating instability of the transfer tax regime and the smaller exemptions prior to EGTRRA, there are two main reasons: if not properly curtailed with careful drafting, it could increase estate tax exposure and decrease testamentary control by the first spouse to die.  Solutions for these two issues will be discussed below.  Regarding the first reason, we need to wake up and smell the new paradigm.  What percentage of the population cares about the estate tax now, even with some assets included in both estates?   </w:t>
      </w:r>
    </w:p>
    <w:p w14:paraId="3543F2D9" w14:textId="77777777" w:rsidR="00491FB5" w:rsidRDefault="00491FB5" w:rsidP="00204ECE">
      <w:pPr>
        <w:autoSpaceDE w:val="0"/>
        <w:autoSpaceDN w:val="0"/>
        <w:adjustRightInd w:val="0"/>
        <w:spacing w:line="360" w:lineRule="auto"/>
        <w:ind w:firstLine="360"/>
        <w:jc w:val="both"/>
        <w:rPr>
          <w:rFonts w:ascii="Calibri" w:hAnsi="Calibri" w:cs="Helv"/>
          <w:bCs/>
          <w:color w:val="000000"/>
        </w:rPr>
      </w:pPr>
      <w:r>
        <w:rPr>
          <w:rFonts w:ascii="Calibri" w:hAnsi="Calibri" w:cs="Helv"/>
          <w:bCs/>
          <w:color w:val="000000"/>
        </w:rPr>
        <w:tab/>
        <w:t>Let’s revisit our example above.  Let’s say Jane has $3 million of her own assets.  Her DSUE from her late husband John was $3.25 million (frozen, not adjusted for inflation), and her own basic exclusion amount is $6.25 million ($5.25 million plus 8 years of estimated inflation adjustments adding $1 million more).  Even if she had missed the Form 706/portability filing, adding $2.1 million to her estate doesn’t even come close to her $9.5 million applicable exclusion amount.  But what if Jane wins the lottery and has $9 million in her estate without John’s trust?  Could this type of trust provision cause $640,000 of additional estate tax ($9 million plus $2.1 million, minus $9.5 million AEA, times 40% rate)?</w:t>
      </w:r>
    </w:p>
    <w:p w14:paraId="0AC83186" w14:textId="77777777" w:rsidR="00F00FC2" w:rsidRDefault="00F00FC2" w:rsidP="00204ECE">
      <w:pPr>
        <w:autoSpaceDE w:val="0"/>
        <w:autoSpaceDN w:val="0"/>
        <w:adjustRightInd w:val="0"/>
        <w:spacing w:line="360" w:lineRule="auto"/>
        <w:ind w:firstLine="360"/>
        <w:jc w:val="both"/>
        <w:rPr>
          <w:rFonts w:ascii="Calibri" w:hAnsi="Calibri" w:cs="Helv"/>
          <w:bCs/>
          <w:color w:val="000000"/>
        </w:rPr>
      </w:pPr>
    </w:p>
    <w:p w14:paraId="3D20881E" w14:textId="77777777" w:rsidR="0074449B" w:rsidRPr="00AD7D16" w:rsidRDefault="00815E28" w:rsidP="00180FD1">
      <w:pPr>
        <w:pStyle w:val="ListParagraph"/>
        <w:numPr>
          <w:ilvl w:val="0"/>
          <w:numId w:val="19"/>
        </w:numPr>
        <w:autoSpaceDE w:val="0"/>
        <w:autoSpaceDN w:val="0"/>
        <w:adjustRightInd w:val="0"/>
        <w:spacing w:line="360" w:lineRule="auto"/>
        <w:ind w:left="720" w:hanging="720"/>
        <w:jc w:val="both"/>
        <w:rPr>
          <w:rFonts w:ascii="Calibri" w:hAnsi="Calibri" w:cs="Helv"/>
          <w:b/>
          <w:bCs/>
          <w:color w:val="000000"/>
        </w:rPr>
      </w:pPr>
      <w:r w:rsidRPr="00AD7D16">
        <w:rPr>
          <w:rFonts w:ascii="Calibri" w:hAnsi="Calibri" w:cs="Helv"/>
          <w:b/>
          <w:bCs/>
          <w:color w:val="000000"/>
        </w:rPr>
        <w:t>Capping the GPOA</w:t>
      </w:r>
      <w:r w:rsidR="00AD7D16">
        <w:rPr>
          <w:rFonts w:ascii="Calibri" w:hAnsi="Calibri" w:cs="Helv"/>
          <w:b/>
          <w:bCs/>
          <w:color w:val="000000"/>
        </w:rPr>
        <w:t xml:space="preserve"> to Avoid State and/or Federal Estate Tax</w:t>
      </w:r>
    </w:p>
    <w:p w14:paraId="2412C7B5" w14:textId="77777777" w:rsidR="00491FB5" w:rsidRDefault="00491FB5" w:rsidP="00656293">
      <w:pPr>
        <w:autoSpaceDE w:val="0"/>
        <w:autoSpaceDN w:val="0"/>
        <w:adjustRightInd w:val="0"/>
        <w:spacing w:line="360" w:lineRule="auto"/>
        <w:ind w:firstLine="360"/>
        <w:jc w:val="both"/>
        <w:rPr>
          <w:rFonts w:ascii="Calibri" w:hAnsi="Calibri" w:cs="Helv"/>
          <w:bCs/>
          <w:color w:val="000000"/>
        </w:rPr>
      </w:pPr>
      <w:r>
        <w:rPr>
          <w:rFonts w:ascii="Calibri" w:hAnsi="Calibri" w:cs="Helv"/>
          <w:bCs/>
          <w:color w:val="000000"/>
        </w:rPr>
        <w:t>Fortunately, John’s Optimal Basis Increase Trust includes a formula.  The GPOA is only applicable to those assets to the extent it does not cause increased federal estate tax (and takes into account state estate tax, discussed further below).  Powers of appointment can be limited in scope as to either appointees or assets.  Many existing trusts already have GPOAs over only a portion of the trust (typically, the GST non-exempt share).  There is no reason one cannot grant a general power of appointment over less than 100% of trust assets, or by formula.</w:t>
      </w:r>
      <w:r>
        <w:rPr>
          <w:rStyle w:val="FootnoteReference"/>
          <w:rFonts w:ascii="Calibri" w:hAnsi="Calibri" w:cs="Helv"/>
          <w:bCs/>
          <w:color w:val="000000"/>
        </w:rPr>
        <w:footnoteReference w:id="64"/>
      </w:r>
      <w:r>
        <w:rPr>
          <w:rFonts w:ascii="Calibri" w:hAnsi="Calibri" w:cs="Helv"/>
          <w:bCs/>
          <w:color w:val="000000"/>
        </w:rPr>
        <w:t xml:space="preserve">  All of our traditional planning has A/B/C, GST formulas that the IRS has blessed and </w:t>
      </w:r>
      <w:r>
        <w:rPr>
          <w:rFonts w:ascii="Calibri" w:hAnsi="Calibri" w:cs="Helv"/>
          <w:bCs/>
          <w:color w:val="000000"/>
        </w:rPr>
        <w:lastRenderedPageBreak/>
        <w:t xml:space="preserve">this </w:t>
      </w:r>
      <w:r w:rsidR="00B100D0">
        <w:rPr>
          <w:rFonts w:ascii="Calibri" w:hAnsi="Calibri" w:cs="Helv"/>
          <w:bCs/>
          <w:color w:val="000000"/>
        </w:rPr>
        <w:t>should be</w:t>
      </w:r>
      <w:r>
        <w:rPr>
          <w:rFonts w:ascii="Calibri" w:hAnsi="Calibri" w:cs="Helv"/>
          <w:bCs/>
          <w:color w:val="000000"/>
        </w:rPr>
        <w:t xml:space="preserve"> no different.</w:t>
      </w:r>
      <w:r w:rsidR="00F42EE8">
        <w:rPr>
          <w:rStyle w:val="FootnoteReference"/>
          <w:rFonts w:ascii="Calibri" w:hAnsi="Calibri" w:cs="Helv"/>
          <w:bCs/>
          <w:color w:val="000000"/>
        </w:rPr>
        <w:footnoteReference w:id="65"/>
      </w:r>
      <w:r>
        <w:rPr>
          <w:rFonts w:ascii="Calibri" w:hAnsi="Calibri" w:cs="Helv"/>
          <w:bCs/>
          <w:color w:val="000000"/>
        </w:rPr>
        <w:t xml:space="preserve">  </w:t>
      </w:r>
      <w:r w:rsidR="0020372E">
        <w:rPr>
          <w:rFonts w:ascii="Calibri" w:hAnsi="Calibri" w:cs="Helv"/>
          <w:bCs/>
          <w:color w:val="000000"/>
        </w:rPr>
        <w:t>You can select assets specifically subject to the power (e.g. an asset that you know the next generation will sell), or carve out assets not subject to the power (e.g. an asset that you know the next generation will not sell).</w:t>
      </w:r>
    </w:p>
    <w:p w14:paraId="1B9ECA4D" w14:textId="77777777" w:rsidR="00491FB5" w:rsidRDefault="00491FB5" w:rsidP="00AB6DD6">
      <w:pPr>
        <w:spacing w:line="360" w:lineRule="auto"/>
        <w:ind w:firstLine="720"/>
        <w:rPr>
          <w:rFonts w:ascii="Calibri" w:hAnsi="Calibri"/>
        </w:rPr>
      </w:pPr>
      <w:r>
        <w:rPr>
          <w:rFonts w:ascii="Calibri" w:hAnsi="Calibri" w:cs="Helv"/>
          <w:bCs/>
          <w:color w:val="000000"/>
        </w:rPr>
        <w:t xml:space="preserve">Furthermore, the appointment could be applicable to the assets with the greatest embedded gain to satisfy this amount.   </w:t>
      </w:r>
      <w:r w:rsidRPr="009930AE">
        <w:rPr>
          <w:rFonts w:ascii="Calibri" w:hAnsi="Calibri"/>
        </w:rPr>
        <w:t xml:space="preserve">The </w:t>
      </w:r>
      <w:r>
        <w:rPr>
          <w:rFonts w:ascii="Calibri" w:hAnsi="Calibri"/>
        </w:rPr>
        <w:t xml:space="preserve">drafting difficulty is not so much in capping the GPOA but in creating the </w:t>
      </w:r>
      <w:r w:rsidR="0001515F">
        <w:rPr>
          <w:rFonts w:ascii="Calibri" w:hAnsi="Calibri"/>
        </w:rPr>
        <w:t xml:space="preserve">optimal </w:t>
      </w:r>
      <w:r>
        <w:rPr>
          <w:rFonts w:ascii="Calibri" w:hAnsi="Calibri"/>
        </w:rPr>
        <w:t>ordering formula and adjusting for state estate taxes.</w:t>
      </w:r>
      <w:r w:rsidRPr="009930AE">
        <w:rPr>
          <w:rFonts w:ascii="Calibri" w:hAnsi="Calibri"/>
        </w:rPr>
        <w:t xml:space="preserve"> </w:t>
      </w:r>
      <w:r>
        <w:rPr>
          <w:rFonts w:ascii="Calibri" w:hAnsi="Calibri"/>
        </w:rPr>
        <w:t xml:space="preserve"> </w:t>
      </w:r>
    </w:p>
    <w:p w14:paraId="35C3B10F" w14:textId="77777777" w:rsidR="00186420" w:rsidRDefault="00186420" w:rsidP="00AB6DD6">
      <w:pPr>
        <w:spacing w:line="360" w:lineRule="auto"/>
        <w:ind w:firstLine="720"/>
        <w:rPr>
          <w:rFonts w:ascii="Calibri" w:hAnsi="Calibri"/>
        </w:rPr>
      </w:pPr>
    </w:p>
    <w:p w14:paraId="2F6C520F" w14:textId="77777777" w:rsidR="0074449B" w:rsidRPr="00AD7D16" w:rsidRDefault="00AD7D16" w:rsidP="00180FD1">
      <w:pPr>
        <w:pStyle w:val="ListParagraph"/>
        <w:numPr>
          <w:ilvl w:val="0"/>
          <w:numId w:val="19"/>
        </w:numPr>
        <w:spacing w:line="360" w:lineRule="auto"/>
        <w:ind w:left="720" w:hanging="720"/>
        <w:rPr>
          <w:rFonts w:ascii="Calibri" w:hAnsi="Calibri"/>
          <w:b/>
        </w:rPr>
      </w:pPr>
      <w:r>
        <w:rPr>
          <w:rFonts w:ascii="Calibri" w:hAnsi="Calibri"/>
          <w:b/>
        </w:rPr>
        <w:t>Determining the A</w:t>
      </w:r>
      <w:r w:rsidR="00950C93" w:rsidRPr="00AD7D16">
        <w:rPr>
          <w:rFonts w:ascii="Calibri" w:hAnsi="Calibri"/>
          <w:b/>
        </w:rPr>
        <w:t>p</w:t>
      </w:r>
      <w:r>
        <w:rPr>
          <w:rFonts w:ascii="Calibri" w:hAnsi="Calibri"/>
          <w:b/>
        </w:rPr>
        <w:t>pointive A</w:t>
      </w:r>
      <w:r w:rsidR="00950C93" w:rsidRPr="00AD7D16">
        <w:rPr>
          <w:rFonts w:ascii="Calibri" w:hAnsi="Calibri"/>
          <w:b/>
        </w:rPr>
        <w:t xml:space="preserve">ssets </w:t>
      </w:r>
      <w:r>
        <w:rPr>
          <w:rFonts w:ascii="Calibri" w:hAnsi="Calibri"/>
          <w:b/>
        </w:rPr>
        <w:t>W</w:t>
      </w:r>
      <w:r w:rsidR="00950C93" w:rsidRPr="00AD7D16">
        <w:rPr>
          <w:rFonts w:ascii="Calibri" w:hAnsi="Calibri"/>
          <w:b/>
        </w:rPr>
        <w:t xml:space="preserve">hen the GPOA is </w:t>
      </w:r>
      <w:r>
        <w:rPr>
          <w:rFonts w:ascii="Calibri" w:hAnsi="Calibri"/>
          <w:b/>
        </w:rPr>
        <w:t>C</w:t>
      </w:r>
      <w:r w:rsidR="00950C93" w:rsidRPr="00AD7D16">
        <w:rPr>
          <w:rFonts w:ascii="Calibri" w:hAnsi="Calibri"/>
          <w:b/>
        </w:rPr>
        <w:t>apped</w:t>
      </w:r>
    </w:p>
    <w:p w14:paraId="6994D978" w14:textId="77777777" w:rsidR="00491FB5" w:rsidRDefault="00C63DF8" w:rsidP="00D01961">
      <w:pPr>
        <w:spacing w:line="360" w:lineRule="auto"/>
        <w:ind w:firstLine="720"/>
        <w:rPr>
          <w:rFonts w:ascii="Calibri" w:hAnsi="Calibri"/>
        </w:rPr>
      </w:pPr>
      <w:r>
        <w:rPr>
          <w:rFonts w:ascii="Calibri" w:hAnsi="Calibri"/>
        </w:rPr>
        <w:t>Let’s take the non-</w:t>
      </w:r>
      <w:r w:rsidR="00491FB5">
        <w:rPr>
          <w:rFonts w:ascii="Calibri" w:hAnsi="Calibri"/>
        </w:rPr>
        <w:t xml:space="preserve">state-taxed situation first.  In our lottery scenario above, Jane’s estate has only $500,000 of applicable exclusion to spare, but the appreciated “stepupable” assets of the OBIT total $2.1 million.  Which assets should be stepped up first?  </w:t>
      </w:r>
    </w:p>
    <w:p w14:paraId="0E67D080" w14:textId="77777777" w:rsidR="00491FB5" w:rsidRDefault="00491FB5" w:rsidP="00647996">
      <w:pPr>
        <w:spacing w:line="360" w:lineRule="auto"/>
        <w:ind w:firstLine="720"/>
        <w:rPr>
          <w:rFonts w:ascii="Calibri" w:hAnsi="Calibri"/>
        </w:rPr>
      </w:pPr>
      <w:r>
        <w:rPr>
          <w:rFonts w:ascii="Calibri" w:hAnsi="Calibri"/>
        </w:rPr>
        <w:t xml:space="preserve">Assets that may incur higher tax rates, such as collectibles (artwork, antiques, or gold, in the example above) would be natural candidates for preference.  On the opposite end of the spectrum, other assets might have lower tax rates or exclusions, such as qualifying small business stock or a residence that a beneficiary might move into, but those would be relatively rare situations.  Most families would prefer the basis go to depreciable </w:t>
      </w:r>
      <w:r w:rsidR="00D9579B">
        <w:rPr>
          <w:rFonts w:ascii="Calibri" w:hAnsi="Calibri"/>
        </w:rPr>
        <w:t xml:space="preserve">rental </w:t>
      </w:r>
      <w:r>
        <w:rPr>
          <w:rFonts w:ascii="Calibri" w:hAnsi="Calibri"/>
        </w:rPr>
        <w:t>property, which can offset current income, before allocating to stocks, bonds, raw land, family vacation home, etc.  Therefore, ultimately a weighting may be optimal</w:t>
      </w:r>
      <w:r w:rsidR="0020372E">
        <w:rPr>
          <w:rFonts w:ascii="Calibri" w:hAnsi="Calibri"/>
        </w:rPr>
        <w:t>, or even a formula based on tax impact</w:t>
      </w:r>
      <w:r>
        <w:rPr>
          <w:rFonts w:ascii="Calibri" w:hAnsi="Calibri"/>
        </w:rPr>
        <w:t xml:space="preserve">, but at the most basic level practitioners would want the GPOA to apply to the most appreciated assets first.   </w:t>
      </w:r>
    </w:p>
    <w:p w14:paraId="3FB6744D" w14:textId="77777777" w:rsidR="00491FB5" w:rsidRDefault="00491FB5" w:rsidP="00647996">
      <w:pPr>
        <w:spacing w:line="360" w:lineRule="auto"/>
        <w:ind w:firstLine="720"/>
        <w:rPr>
          <w:rFonts w:ascii="Calibri" w:hAnsi="Calibri"/>
        </w:rPr>
      </w:pPr>
      <w:r>
        <w:rPr>
          <w:rFonts w:ascii="Calibri" w:hAnsi="Calibri"/>
        </w:rPr>
        <w:lastRenderedPageBreak/>
        <w:t>Some o</w:t>
      </w:r>
      <w:r w:rsidR="007A5592">
        <w:rPr>
          <w:rFonts w:ascii="Calibri" w:hAnsi="Calibri"/>
        </w:rPr>
        <w:t>f this analysis will sound famili</w:t>
      </w:r>
      <w:r>
        <w:rPr>
          <w:rFonts w:ascii="Calibri" w:hAnsi="Calibri"/>
        </w:rPr>
        <w:t xml:space="preserve">ar to those who handled estates of those who died in 2010 when the price to pay for no estate tax was a limited step up in basis.  While the concept </w:t>
      </w:r>
      <w:r w:rsidRPr="00F102D3">
        <w:rPr>
          <w:rFonts w:ascii="Calibri" w:hAnsi="Calibri"/>
          <w:i/>
        </w:rPr>
        <w:t>sounds</w:t>
      </w:r>
      <w:r>
        <w:rPr>
          <w:rFonts w:ascii="Calibri" w:hAnsi="Calibri"/>
        </w:rPr>
        <w:t xml:space="preserve"> similar, in practice, it is quite different.  In 2010 the executor could choose assets to apply a set quantity of basis to, pursuant to specific statute.</w:t>
      </w:r>
      <w:r>
        <w:rPr>
          <w:rStyle w:val="FootnoteReference"/>
          <w:rFonts w:ascii="Calibri" w:hAnsi="Calibri"/>
        </w:rPr>
        <w:footnoteReference w:id="66"/>
      </w:r>
      <w:r>
        <w:rPr>
          <w:rFonts w:ascii="Calibri" w:hAnsi="Calibri"/>
        </w:rPr>
        <w:t xml:space="preserve">  Ideally, we would like to give Jane’s executor or the trustee the power to choose the assets to comprise the $500,000 of appointed assets – in both drafting and in practice that is deceptively simple.  However, this is quite different from 2010 carry over/step up law, and different from “pick and choose” formula funding.  </w:t>
      </w:r>
    </w:p>
    <w:p w14:paraId="54466EC6" w14:textId="77777777" w:rsidR="004B6436" w:rsidRDefault="00491FB5" w:rsidP="002B1A6E">
      <w:pPr>
        <w:spacing w:line="360" w:lineRule="auto"/>
        <w:ind w:firstLine="720"/>
        <w:rPr>
          <w:rFonts w:ascii="Calibri" w:hAnsi="Calibri"/>
        </w:rPr>
      </w:pPr>
      <w:r>
        <w:rPr>
          <w:rFonts w:ascii="Calibri" w:hAnsi="Calibri"/>
        </w:rPr>
        <w:t>If the power of appointment is deemed to apply to a pecuniary amount (here, $500,000), rather than a fractional formula (500,000/2,100,000), it may have undesired income tax consequences</w:t>
      </w:r>
      <w:r w:rsidR="000568C6">
        <w:rPr>
          <w:rFonts w:ascii="Calibri" w:hAnsi="Calibri"/>
        </w:rPr>
        <w:t xml:space="preserve"> upon funding</w:t>
      </w:r>
      <w:r>
        <w:rPr>
          <w:rFonts w:ascii="Calibri" w:hAnsi="Calibri"/>
        </w:rPr>
        <w:t>.</w:t>
      </w:r>
      <w:r>
        <w:rPr>
          <w:rStyle w:val="FootnoteReference"/>
          <w:rFonts w:ascii="Calibri" w:hAnsi="Calibri"/>
        </w:rPr>
        <w:footnoteReference w:id="67"/>
      </w:r>
      <w:r>
        <w:rPr>
          <w:rFonts w:ascii="Calibri" w:hAnsi="Calibri"/>
        </w:rPr>
        <w:t xml:space="preserve">  </w:t>
      </w:r>
      <w:r w:rsidR="00F256E4">
        <w:rPr>
          <w:rFonts w:ascii="Calibri" w:hAnsi="Calibri"/>
        </w:rPr>
        <w:t>By contrast, a trustee should recognize</w:t>
      </w:r>
      <w:r w:rsidR="00F256E4" w:rsidRPr="00F256E4">
        <w:rPr>
          <w:rFonts w:ascii="Calibri" w:hAnsi="Calibri"/>
        </w:rPr>
        <w:t xml:space="preserve"> no gain or loss on a distribution in satisfaction of a specific </w:t>
      </w:r>
      <w:r w:rsidR="00F256E4">
        <w:rPr>
          <w:rFonts w:ascii="Calibri" w:hAnsi="Calibri"/>
        </w:rPr>
        <w:t>appointment</w:t>
      </w:r>
      <w:r w:rsidR="00F256E4" w:rsidRPr="00F256E4">
        <w:rPr>
          <w:rFonts w:ascii="Calibri" w:hAnsi="Calibri"/>
        </w:rPr>
        <w:t xml:space="preserve"> if the fiduciary delivers to the beneficiary the exact property described in </w:t>
      </w:r>
      <w:r w:rsidR="00F256E4">
        <w:rPr>
          <w:rFonts w:ascii="Calibri" w:hAnsi="Calibri"/>
        </w:rPr>
        <w:t>appointment – the basis, stepped up to date of death or alternate valuation date value, should carry over accordingly</w:t>
      </w:r>
      <w:r w:rsidR="00F256E4" w:rsidRPr="00F256E4">
        <w:rPr>
          <w:rFonts w:ascii="Calibri" w:hAnsi="Calibri"/>
        </w:rPr>
        <w:t>.</w:t>
      </w:r>
      <w:r w:rsidR="00F256E4">
        <w:rPr>
          <w:rStyle w:val="FootnoteReference"/>
          <w:rFonts w:ascii="Calibri" w:hAnsi="Calibri"/>
        </w:rPr>
        <w:footnoteReference w:id="68"/>
      </w:r>
    </w:p>
    <w:p w14:paraId="0B452B8E" w14:textId="77777777" w:rsidR="00491FB5" w:rsidRDefault="00491FB5" w:rsidP="002B1A6E">
      <w:pPr>
        <w:spacing w:line="360" w:lineRule="auto"/>
        <w:ind w:firstLine="720"/>
        <w:rPr>
          <w:rFonts w:ascii="Calibri" w:hAnsi="Calibri"/>
        </w:rPr>
      </w:pPr>
      <w:r>
        <w:rPr>
          <w:rFonts w:ascii="Calibri" w:hAnsi="Calibri"/>
        </w:rPr>
        <w:lastRenderedPageBreak/>
        <w:t>Thus, we should avoid simple powers of appointment over, for example, “</w:t>
      </w:r>
      <w:r w:rsidR="00F550FE">
        <w:rPr>
          <w:rFonts w:ascii="Calibri" w:hAnsi="Calibri"/>
        </w:rPr>
        <w:t>the maximum</w:t>
      </w:r>
      <w:r>
        <w:rPr>
          <w:rFonts w:ascii="Calibri" w:hAnsi="Calibri"/>
        </w:rPr>
        <w:t xml:space="preserve"> amount of assets </w:t>
      </w:r>
      <w:r w:rsidR="00F550FE">
        <w:rPr>
          <w:rFonts w:ascii="Calibri" w:hAnsi="Calibri"/>
        </w:rPr>
        <w:t>that would not cause</w:t>
      </w:r>
      <w:r>
        <w:rPr>
          <w:rFonts w:ascii="Calibri" w:hAnsi="Calibri"/>
        </w:rPr>
        <w:t xml:space="preserve"> my spouse’s </w:t>
      </w:r>
      <w:r w:rsidR="00F550FE">
        <w:rPr>
          <w:rFonts w:ascii="Calibri" w:hAnsi="Calibri"/>
        </w:rPr>
        <w:t>estate to incur state or federal estate or generation skipping transfer tax</w:t>
      </w:r>
      <w:r>
        <w:rPr>
          <w:rFonts w:ascii="Calibri" w:hAnsi="Calibri"/>
        </w:rPr>
        <w:t>”</w:t>
      </w:r>
      <w:r w:rsidR="00F550FE">
        <w:rPr>
          <w:rFonts w:ascii="Calibri" w:hAnsi="Calibri"/>
        </w:rPr>
        <w:t xml:space="preserve"> – even though this may not be a problem in many cases, and usually far superior to doing nothing</w:t>
      </w:r>
      <w:r>
        <w:rPr>
          <w:rFonts w:ascii="Calibri" w:hAnsi="Calibri"/>
        </w:rPr>
        <w:t xml:space="preserve">.  </w:t>
      </w:r>
    </w:p>
    <w:p w14:paraId="77A48E72" w14:textId="77777777" w:rsidR="00491FB5" w:rsidRDefault="004B6436" w:rsidP="002B1A6E">
      <w:pPr>
        <w:spacing w:line="360" w:lineRule="auto"/>
        <w:ind w:firstLine="720"/>
        <w:rPr>
          <w:rFonts w:ascii="Calibri" w:hAnsi="Calibri"/>
        </w:rPr>
      </w:pPr>
      <w:r>
        <w:rPr>
          <w:rFonts w:ascii="Calibri" w:hAnsi="Calibri"/>
        </w:rPr>
        <w:t>I</w:t>
      </w:r>
      <w:r w:rsidR="00491FB5">
        <w:rPr>
          <w:rFonts w:ascii="Calibri" w:hAnsi="Calibri"/>
        </w:rPr>
        <w:t>f Jane’s testamentary power potentially extends to all of the applicable property equally ($2.1 million), only limited to $500,000, all property subject to that provision should get a fractional adjustment to basis accordingly – no different than if a child dies at age 36 and had a power to withdraw 1/3 of corpus at age 35 and did not take it – all assets would get a 1/3 basis adjustment.</w:t>
      </w:r>
      <w:r w:rsidR="00491FB5">
        <w:rPr>
          <w:rStyle w:val="FootnoteReference"/>
          <w:rFonts w:ascii="Calibri" w:hAnsi="Calibri"/>
        </w:rPr>
        <w:footnoteReference w:id="69"/>
      </w:r>
      <w:r w:rsidR="00491FB5">
        <w:rPr>
          <w:rFonts w:ascii="Calibri" w:hAnsi="Calibri"/>
        </w:rPr>
        <w:t xml:space="preserve">  A pro rata adjustment would lead to wasted basis, since a $1,000,000 asset with $1 gain would soak up the same applicable exclusion amount as a $1,000,000 asset with $900,000 gain.  This would be better than no extra basis at all, but not as optimal as the trustee limiting the powerholder’s general power, or, more conservatively, establishing an ordering rule to determine </w:t>
      </w:r>
      <w:r>
        <w:rPr>
          <w:rFonts w:ascii="Calibri" w:hAnsi="Calibri"/>
        </w:rPr>
        <w:t xml:space="preserve">exactly </w:t>
      </w:r>
      <w:r w:rsidR="00491FB5">
        <w:rPr>
          <w:rFonts w:ascii="Calibri" w:hAnsi="Calibri"/>
        </w:rPr>
        <w:t>which property the power pertains to.</w:t>
      </w:r>
    </w:p>
    <w:p w14:paraId="491D3675" w14:textId="77777777" w:rsidR="00D9579B" w:rsidRPr="00D9579B" w:rsidRDefault="00D9579B" w:rsidP="002B1A6E">
      <w:pPr>
        <w:autoSpaceDE w:val="0"/>
        <w:autoSpaceDN w:val="0"/>
        <w:adjustRightInd w:val="0"/>
        <w:spacing w:line="360" w:lineRule="auto"/>
        <w:ind w:firstLine="720"/>
        <w:jc w:val="both"/>
        <w:rPr>
          <w:rFonts w:ascii="Calibri" w:hAnsi="Calibri"/>
          <w:b/>
        </w:rPr>
      </w:pPr>
      <w:r w:rsidRPr="00D9579B">
        <w:rPr>
          <w:rFonts w:ascii="Calibri" w:hAnsi="Calibri"/>
          <w:b/>
        </w:rPr>
        <w:t>Trustee Choice v. Ordering Rule</w:t>
      </w:r>
    </w:p>
    <w:p w14:paraId="00BF0E6F" w14:textId="77777777" w:rsidR="00125A02" w:rsidRDefault="00491FB5" w:rsidP="002B1A6E">
      <w:pPr>
        <w:autoSpaceDE w:val="0"/>
        <w:autoSpaceDN w:val="0"/>
        <w:adjustRightInd w:val="0"/>
        <w:spacing w:line="360" w:lineRule="auto"/>
        <w:ind w:firstLine="720"/>
        <w:jc w:val="both"/>
        <w:rPr>
          <w:rFonts w:ascii="Calibri" w:hAnsi="Calibri"/>
        </w:rPr>
      </w:pPr>
      <w:r>
        <w:rPr>
          <w:rFonts w:ascii="Calibri" w:hAnsi="Calibri"/>
        </w:rPr>
        <w:t xml:space="preserve">The trustee might be given a fiduciary limited power of appointment to choose the appointive assets subject to the beneficiary’s testamentary </w:t>
      </w:r>
      <w:r w:rsidR="00AA5E52">
        <w:rPr>
          <w:rFonts w:ascii="Calibri" w:hAnsi="Calibri"/>
        </w:rPr>
        <w:t>GPOA</w:t>
      </w:r>
      <w:r>
        <w:rPr>
          <w:rFonts w:ascii="Calibri" w:hAnsi="Calibri"/>
        </w:rPr>
        <w:t>.  Black letter law defines a power of appointment as “</w:t>
      </w:r>
      <w:r>
        <w:rPr>
          <w:rFonts w:ascii="Calibri" w:hAnsi="Calibri" w:cs="Helv"/>
          <w:bCs/>
          <w:color w:val="000000"/>
        </w:rPr>
        <w:t xml:space="preserve">a power that enables the donee of the power to designate recipients of beneficial ownership interests in </w:t>
      </w:r>
      <w:r w:rsidRPr="00D9579B">
        <w:rPr>
          <w:rFonts w:ascii="Calibri" w:hAnsi="Calibri" w:cs="Helv"/>
          <w:bCs/>
          <w:i/>
          <w:color w:val="000000"/>
        </w:rPr>
        <w:t>or powers of appointment</w:t>
      </w:r>
      <w:r>
        <w:rPr>
          <w:rFonts w:ascii="Calibri" w:hAnsi="Calibri" w:cs="Helv"/>
          <w:bCs/>
          <w:color w:val="000000"/>
        </w:rPr>
        <w:t xml:space="preserve"> </w:t>
      </w:r>
      <w:r w:rsidRPr="00D9579B">
        <w:rPr>
          <w:rFonts w:ascii="Calibri" w:hAnsi="Calibri" w:cs="Helv"/>
          <w:bCs/>
          <w:i/>
          <w:color w:val="000000"/>
        </w:rPr>
        <w:t>over</w:t>
      </w:r>
      <w:r>
        <w:rPr>
          <w:rFonts w:ascii="Calibri" w:hAnsi="Calibri" w:cs="Helv"/>
          <w:bCs/>
          <w:color w:val="000000"/>
        </w:rPr>
        <w:t xml:space="preserve"> the appointive </w:t>
      </w:r>
      <w:r w:rsidRPr="000A654C">
        <w:rPr>
          <w:rFonts w:ascii="Calibri" w:hAnsi="Calibri" w:cs="Helv"/>
          <w:bCs/>
          <w:i/>
          <w:color w:val="000000"/>
        </w:rPr>
        <w:t>propert</w:t>
      </w:r>
      <w:r>
        <w:rPr>
          <w:rFonts w:ascii="Calibri" w:hAnsi="Calibri" w:cs="Helv"/>
          <w:bCs/>
          <w:i/>
          <w:color w:val="000000"/>
        </w:rPr>
        <w:t>y</w:t>
      </w:r>
      <w:r>
        <w:rPr>
          <w:rFonts w:ascii="Calibri" w:hAnsi="Calibri"/>
        </w:rPr>
        <w:t>.”</w:t>
      </w:r>
      <w:r>
        <w:rPr>
          <w:rStyle w:val="FootnoteReference"/>
          <w:rFonts w:ascii="Calibri" w:hAnsi="Calibri"/>
        </w:rPr>
        <w:footnoteReference w:id="70"/>
      </w:r>
      <w:r>
        <w:rPr>
          <w:rFonts w:ascii="Calibri" w:hAnsi="Calibri"/>
        </w:rPr>
        <w:t xml:space="preserve">  </w:t>
      </w:r>
      <w:r w:rsidR="007E5056">
        <w:rPr>
          <w:rFonts w:ascii="Calibri" w:hAnsi="Calibri"/>
        </w:rPr>
        <w:t>Arguably</w:t>
      </w:r>
      <w:r>
        <w:rPr>
          <w:rFonts w:ascii="Calibri" w:hAnsi="Calibri"/>
        </w:rPr>
        <w:t>, a trustee with such a power would be the donee of a fiduciary limited power of appointment to designate recipients of powers of appointment over the appointive property.</w:t>
      </w:r>
      <w:r>
        <w:rPr>
          <w:rStyle w:val="FootnoteReference"/>
          <w:rFonts w:ascii="Calibri" w:hAnsi="Calibri"/>
        </w:rPr>
        <w:footnoteReference w:id="71"/>
      </w:r>
      <w:r>
        <w:rPr>
          <w:rFonts w:ascii="Calibri" w:hAnsi="Calibri"/>
        </w:rPr>
        <w:t xml:space="preserve">  </w:t>
      </w:r>
    </w:p>
    <w:p w14:paraId="66BFEEE7" w14:textId="77777777" w:rsidR="00D9579B" w:rsidRDefault="00125A02" w:rsidP="00E31C61">
      <w:pPr>
        <w:autoSpaceDE w:val="0"/>
        <w:autoSpaceDN w:val="0"/>
        <w:adjustRightInd w:val="0"/>
        <w:spacing w:line="360" w:lineRule="auto"/>
        <w:ind w:firstLine="720"/>
        <w:jc w:val="both"/>
        <w:rPr>
          <w:rFonts w:ascii="Calibri" w:hAnsi="Calibri"/>
        </w:rPr>
      </w:pPr>
      <w:r>
        <w:rPr>
          <w:rFonts w:ascii="Calibri" w:hAnsi="Calibri"/>
        </w:rPr>
        <w:t xml:space="preserve">While this is fundamentally different </w:t>
      </w:r>
      <w:r w:rsidR="00D03195">
        <w:rPr>
          <w:rFonts w:ascii="Calibri" w:hAnsi="Calibri"/>
        </w:rPr>
        <w:t xml:space="preserve">in </w:t>
      </w:r>
      <w:r w:rsidR="000E7AF7">
        <w:rPr>
          <w:rFonts w:ascii="Calibri" w:hAnsi="Calibri"/>
        </w:rPr>
        <w:t>some</w:t>
      </w:r>
      <w:r w:rsidR="00D03195">
        <w:rPr>
          <w:rFonts w:ascii="Calibri" w:hAnsi="Calibri"/>
        </w:rPr>
        <w:t xml:space="preserve"> ways </w:t>
      </w:r>
      <w:r>
        <w:rPr>
          <w:rFonts w:ascii="Calibri" w:hAnsi="Calibri"/>
        </w:rPr>
        <w:t>from AB funding formulas that involve trustee choice</w:t>
      </w:r>
      <w:r w:rsidR="00E31C61">
        <w:rPr>
          <w:rFonts w:ascii="Calibri" w:hAnsi="Calibri"/>
        </w:rPr>
        <w:t>, the IRS may try to apply a “fairly representative” requirement anyway.</w:t>
      </w:r>
      <w:r w:rsidR="00E31C61">
        <w:rPr>
          <w:rStyle w:val="FootnoteReference"/>
          <w:rFonts w:ascii="Calibri" w:hAnsi="Calibri"/>
        </w:rPr>
        <w:footnoteReference w:id="72"/>
      </w:r>
      <w:r w:rsidR="00E31C61">
        <w:rPr>
          <w:rFonts w:ascii="Calibri" w:hAnsi="Calibri"/>
        </w:rPr>
        <w:t xml:space="preserve">  </w:t>
      </w:r>
      <w:r w:rsidR="000E7AF7">
        <w:rPr>
          <w:rFonts w:ascii="Calibri" w:hAnsi="Calibri"/>
        </w:rPr>
        <w:t xml:space="preserve">Moreover, because the power does not apply to specific assets at death, it may be </w:t>
      </w:r>
      <w:r w:rsidR="000E7AF7">
        <w:rPr>
          <w:rFonts w:ascii="Calibri" w:hAnsi="Calibri"/>
        </w:rPr>
        <w:lastRenderedPageBreak/>
        <w:t xml:space="preserve">seen as a fulfillment of a pecuniary amount, rather than a power over specific assets, with attendant </w:t>
      </w:r>
      <w:r w:rsidR="00D9579B">
        <w:rPr>
          <w:rFonts w:ascii="Calibri" w:hAnsi="Calibri"/>
        </w:rPr>
        <w:t>post-mortem gain</w:t>
      </w:r>
      <w:r w:rsidR="000E7AF7">
        <w:rPr>
          <w:rFonts w:ascii="Calibri" w:hAnsi="Calibri"/>
        </w:rPr>
        <w:t xml:space="preserve"> triggering issues discussed above.  </w:t>
      </w:r>
      <w:r w:rsidR="001F1C02">
        <w:rPr>
          <w:rFonts w:ascii="Calibri" w:hAnsi="Calibri"/>
        </w:rPr>
        <w:t xml:space="preserve">Arguably the power holder’s </w:t>
      </w:r>
      <w:r w:rsidR="001F1C02" w:rsidRPr="001F1C02">
        <w:rPr>
          <w:rFonts w:ascii="Calibri" w:hAnsi="Calibri"/>
          <w:i/>
        </w:rPr>
        <w:t>GENERAL</w:t>
      </w:r>
      <w:r w:rsidR="001F1C02">
        <w:rPr>
          <w:rFonts w:ascii="Calibri" w:hAnsi="Calibri"/>
        </w:rPr>
        <w:t xml:space="preserve"> power, once curtailed by the trustee’s fiduciary limited power, is only over specific assets chosen by the trustee.  But I would not count on an IRS agent understanding this.  </w:t>
      </w:r>
    </w:p>
    <w:p w14:paraId="796E5227" w14:textId="77777777" w:rsidR="00E31C61" w:rsidRDefault="001F1C02" w:rsidP="00E31C61">
      <w:pPr>
        <w:autoSpaceDE w:val="0"/>
        <w:autoSpaceDN w:val="0"/>
        <w:adjustRightInd w:val="0"/>
        <w:spacing w:line="360" w:lineRule="auto"/>
        <w:ind w:firstLine="720"/>
        <w:jc w:val="both"/>
        <w:rPr>
          <w:rFonts w:ascii="Calibri" w:hAnsi="Calibri"/>
        </w:rPr>
      </w:pPr>
      <w:r>
        <w:rPr>
          <w:rFonts w:ascii="Calibri" w:hAnsi="Calibri"/>
        </w:rPr>
        <w:t>Moreover, what if the beneficiary does not exercise the GPOA</w:t>
      </w:r>
      <w:r w:rsidR="00F947DD">
        <w:rPr>
          <w:rFonts w:ascii="Calibri" w:hAnsi="Calibri"/>
        </w:rPr>
        <w:t>?  This</w:t>
      </w:r>
      <w:r>
        <w:rPr>
          <w:rFonts w:ascii="Calibri" w:hAnsi="Calibri"/>
        </w:rPr>
        <w:t xml:space="preserve"> would be quite common</w:t>
      </w:r>
      <w:r w:rsidR="00F947DD">
        <w:rPr>
          <w:rFonts w:ascii="Calibri" w:hAnsi="Calibri"/>
        </w:rPr>
        <w:t>.</w:t>
      </w:r>
      <w:r>
        <w:rPr>
          <w:rFonts w:ascii="Calibri" w:hAnsi="Calibri"/>
        </w:rPr>
        <w:t xml:space="preserve">  </w:t>
      </w:r>
      <w:r w:rsidR="00C73CE4">
        <w:rPr>
          <w:rFonts w:ascii="Calibri" w:hAnsi="Calibri"/>
        </w:rPr>
        <w:t xml:space="preserve">Would </w:t>
      </w:r>
      <w:r w:rsidR="00D9579B">
        <w:rPr>
          <w:rFonts w:ascii="Calibri" w:hAnsi="Calibri"/>
        </w:rPr>
        <w:t>th</w:t>
      </w:r>
      <w:r w:rsidR="00C73CE4">
        <w:rPr>
          <w:rFonts w:ascii="Calibri" w:hAnsi="Calibri"/>
        </w:rPr>
        <w:t>e IRS try to ignore the trustee’s choice as</w:t>
      </w:r>
      <w:r>
        <w:rPr>
          <w:rFonts w:ascii="Calibri" w:hAnsi="Calibri"/>
        </w:rPr>
        <w:t xml:space="preserve"> moot </w:t>
      </w:r>
      <w:r w:rsidR="00C73CE4">
        <w:rPr>
          <w:rFonts w:ascii="Calibri" w:hAnsi="Calibri"/>
        </w:rPr>
        <w:t xml:space="preserve">except for </w:t>
      </w:r>
      <w:r w:rsidR="00D9579B">
        <w:rPr>
          <w:rFonts w:ascii="Calibri" w:hAnsi="Calibri"/>
        </w:rPr>
        <w:t xml:space="preserve">the tax effect </w:t>
      </w:r>
      <w:r w:rsidR="00C73CE4">
        <w:rPr>
          <w:rFonts w:ascii="Calibri" w:hAnsi="Calibri"/>
        </w:rPr>
        <w:t>and attempt to disregard it,</w:t>
      </w:r>
      <w:r w:rsidR="007950B9">
        <w:rPr>
          <w:rFonts w:ascii="Calibri" w:hAnsi="Calibri"/>
        </w:rPr>
        <w:t xml:space="preserve"> since the trustee’s</w:t>
      </w:r>
      <w:r>
        <w:rPr>
          <w:rFonts w:ascii="Calibri" w:hAnsi="Calibri"/>
        </w:rPr>
        <w:t xml:space="preserve"> </w:t>
      </w:r>
      <w:r w:rsidR="007950B9">
        <w:rPr>
          <w:rFonts w:ascii="Calibri" w:hAnsi="Calibri"/>
        </w:rPr>
        <w:t>“</w:t>
      </w:r>
      <w:r>
        <w:rPr>
          <w:rFonts w:ascii="Calibri" w:hAnsi="Calibri"/>
        </w:rPr>
        <w:t>choice</w:t>
      </w:r>
      <w:r w:rsidR="007950B9">
        <w:rPr>
          <w:rFonts w:ascii="Calibri" w:hAnsi="Calibri"/>
        </w:rPr>
        <w:t>”</w:t>
      </w:r>
      <w:r>
        <w:rPr>
          <w:rFonts w:ascii="Calibri" w:hAnsi="Calibri"/>
        </w:rPr>
        <w:t xml:space="preserve"> has no effect on </w:t>
      </w:r>
      <w:r w:rsidR="00D9579B">
        <w:rPr>
          <w:rFonts w:ascii="Calibri" w:hAnsi="Calibri"/>
        </w:rPr>
        <w:t>where the assets go or how they are administered</w:t>
      </w:r>
      <w:r w:rsidR="00C73CE4">
        <w:rPr>
          <w:rFonts w:ascii="Calibri" w:hAnsi="Calibri"/>
        </w:rPr>
        <w:t>?</w:t>
      </w:r>
      <w:r w:rsidR="00CF1700">
        <w:rPr>
          <w:rStyle w:val="FootnoteReference"/>
          <w:rFonts w:ascii="Calibri" w:hAnsi="Calibri"/>
        </w:rPr>
        <w:footnoteReference w:id="73"/>
      </w:r>
      <w:r>
        <w:rPr>
          <w:rFonts w:ascii="Calibri" w:hAnsi="Calibri"/>
        </w:rPr>
        <w:t xml:space="preserve">  </w:t>
      </w:r>
      <w:r w:rsidR="00C73CE4">
        <w:rPr>
          <w:rFonts w:ascii="Calibri" w:hAnsi="Calibri"/>
        </w:rPr>
        <w:t xml:space="preserve">It’s not a strong argument. </w:t>
      </w:r>
      <w:r>
        <w:rPr>
          <w:rFonts w:ascii="Calibri" w:hAnsi="Calibri"/>
        </w:rPr>
        <w:t>All in all</w:t>
      </w:r>
      <w:r w:rsidR="00E31C61">
        <w:rPr>
          <w:rFonts w:ascii="Calibri" w:hAnsi="Calibri"/>
        </w:rPr>
        <w:t xml:space="preserve">, </w:t>
      </w:r>
      <w:r w:rsidR="00491FB5">
        <w:rPr>
          <w:rFonts w:ascii="Calibri" w:hAnsi="Calibri"/>
        </w:rPr>
        <w:t xml:space="preserve">it is probably more conservative and simpler in concept to simply make clear the GPOA never applies to the less appreciated assets, and is never subject to any </w:t>
      </w:r>
      <w:r>
        <w:rPr>
          <w:rFonts w:ascii="Calibri" w:hAnsi="Calibri"/>
        </w:rPr>
        <w:t>trustee</w:t>
      </w:r>
      <w:r w:rsidR="00491FB5">
        <w:rPr>
          <w:rFonts w:ascii="Calibri" w:hAnsi="Calibri"/>
        </w:rPr>
        <w:t xml:space="preserve">’s discretionary choice.  </w:t>
      </w:r>
    </w:p>
    <w:p w14:paraId="345CF192" w14:textId="77777777" w:rsidR="00491FB5" w:rsidRDefault="00491FB5" w:rsidP="00E31C61">
      <w:pPr>
        <w:autoSpaceDE w:val="0"/>
        <w:autoSpaceDN w:val="0"/>
        <w:adjustRightInd w:val="0"/>
        <w:spacing w:line="360" w:lineRule="auto"/>
        <w:ind w:firstLine="720"/>
        <w:jc w:val="both"/>
        <w:rPr>
          <w:rFonts w:ascii="Calibri" w:hAnsi="Calibri"/>
        </w:rPr>
      </w:pPr>
      <w:r>
        <w:rPr>
          <w:rFonts w:ascii="Calibri" w:hAnsi="Calibri"/>
        </w:rPr>
        <w:t>So, in our example, the trust provides that the GPOA applies to the most appreciated asset first, cascading to each next individual asset until $500,000 in total property is reached.  In our case, the real estate has the greatest appreciation (assuming there is not a more appreciated stock in “various stocks” category), thus the GPOA would apply to 5/6 interest (be it % as tenant in common, or more likely, % LLC membership interest).  Thus, the basis would be increased to FMV on the date of Jane’s death as to 5/6 of the property (5/6 times $600,000, or $500,000) and the remaining 1/6 would retain its carry over basis (1/6 of $200,000, or $33,333).</w:t>
      </w:r>
      <w:r>
        <w:rPr>
          <w:rStyle w:val="FootnoteReference"/>
          <w:rFonts w:ascii="Calibri" w:hAnsi="Calibri"/>
        </w:rPr>
        <w:footnoteReference w:id="74"/>
      </w:r>
      <w:r>
        <w:rPr>
          <w:rFonts w:ascii="Calibri" w:hAnsi="Calibri"/>
        </w:rPr>
        <w:t xml:space="preserve">  This means a basis increase from $200,000 to $533,333.  This method could easily make for a rather extensive spreadsheet when dealing with dozens </w:t>
      </w:r>
      <w:r w:rsidR="002837F6">
        <w:rPr>
          <w:rFonts w:ascii="Calibri" w:hAnsi="Calibri"/>
        </w:rPr>
        <w:t xml:space="preserve">if not hundreds </w:t>
      </w:r>
      <w:r>
        <w:rPr>
          <w:rFonts w:ascii="Calibri" w:hAnsi="Calibri"/>
        </w:rPr>
        <w:t>of individual stock positions</w:t>
      </w:r>
      <w:r w:rsidR="000568C6">
        <w:rPr>
          <w:rFonts w:ascii="Calibri" w:hAnsi="Calibri"/>
        </w:rPr>
        <w:t>, but it’s less burdensome than what 2010 executors had to deal with for carryover basis</w:t>
      </w:r>
      <w:r w:rsidR="002837F6">
        <w:rPr>
          <w:rFonts w:ascii="Calibri" w:hAnsi="Calibri"/>
        </w:rPr>
        <w:t>, and is not much of an issue with modern spreadsheets</w:t>
      </w:r>
      <w:r>
        <w:rPr>
          <w:rFonts w:ascii="Calibri" w:hAnsi="Calibri"/>
        </w:rPr>
        <w:t xml:space="preserve">.  </w:t>
      </w:r>
    </w:p>
    <w:p w14:paraId="27C17AC0" w14:textId="77777777" w:rsidR="00491FB5" w:rsidRDefault="00491FB5" w:rsidP="009F277D">
      <w:pPr>
        <w:autoSpaceDE w:val="0"/>
        <w:autoSpaceDN w:val="0"/>
        <w:adjustRightInd w:val="0"/>
        <w:spacing w:line="360" w:lineRule="auto"/>
        <w:ind w:firstLine="720"/>
        <w:jc w:val="both"/>
        <w:rPr>
          <w:rFonts w:ascii="Calibri" w:hAnsi="Calibri" w:cs="Helv"/>
          <w:bCs/>
          <w:color w:val="000000"/>
        </w:rPr>
      </w:pPr>
      <w:r>
        <w:rPr>
          <w:rFonts w:ascii="Calibri" w:hAnsi="Calibri"/>
        </w:rPr>
        <w:t xml:space="preserve">In our ordering example, the GPOA could never apply to the less-appreciated assets, and hence the IRS would have no statutory basis to include them in Jane’s estate (or accord </w:t>
      </w:r>
      <w:r>
        <w:rPr>
          <w:rFonts w:ascii="Calibri" w:hAnsi="Calibri"/>
        </w:rPr>
        <w:lastRenderedPageBreak/>
        <w:t>them an adjusted basis).</w:t>
      </w:r>
      <w:r>
        <w:rPr>
          <w:rFonts w:ascii="Calibri" w:hAnsi="Calibri" w:cs="Helv"/>
          <w:bCs/>
          <w:color w:val="000000"/>
        </w:rPr>
        <w:t xml:space="preserve">  It applies to </w:t>
      </w:r>
      <w:r w:rsidRPr="00FD7069">
        <w:rPr>
          <w:rFonts w:ascii="Calibri" w:hAnsi="Calibri" w:cs="Helv"/>
          <w:bCs/>
          <w:i/>
          <w:color w:val="000000"/>
        </w:rPr>
        <w:t>specific</w:t>
      </w:r>
      <w:r>
        <w:rPr>
          <w:rFonts w:ascii="Calibri" w:hAnsi="Calibri" w:cs="Helv"/>
          <w:bCs/>
          <w:color w:val="000000"/>
        </w:rPr>
        <w:t xml:space="preserve"> property, not a dollar amount or a fraction (though it could apply to say, 34 of 100 shares, etc</w:t>
      </w:r>
      <w:r w:rsidR="005F5A52">
        <w:rPr>
          <w:rFonts w:ascii="Calibri" w:hAnsi="Calibri" w:cs="Helv"/>
          <w:bCs/>
          <w:color w:val="000000"/>
        </w:rPr>
        <w:t>.</w:t>
      </w:r>
      <w:r>
        <w:rPr>
          <w:rFonts w:ascii="Calibri" w:hAnsi="Calibri" w:cs="Helv"/>
          <w:bCs/>
          <w:color w:val="000000"/>
        </w:rPr>
        <w:t>).</w:t>
      </w:r>
      <w:r w:rsidR="00692A61">
        <w:rPr>
          <w:rStyle w:val="FootnoteReference"/>
          <w:rFonts w:ascii="Calibri" w:hAnsi="Calibri" w:cs="Helv"/>
          <w:bCs/>
          <w:color w:val="000000"/>
        </w:rPr>
        <w:footnoteReference w:id="75"/>
      </w:r>
      <w:r>
        <w:rPr>
          <w:rFonts w:ascii="Calibri" w:hAnsi="Calibri" w:cs="Helv"/>
          <w:bCs/>
          <w:color w:val="000000"/>
        </w:rPr>
        <w:t xml:space="preserve">  If the most appreciated property is family business stock, that’s what it applies to, and there is no discretion in the trustee or the powerholder to change the appointive assets subject to the GPOA.  While this gives up </w:t>
      </w:r>
      <w:r w:rsidR="00950C93">
        <w:rPr>
          <w:rFonts w:ascii="Calibri" w:hAnsi="Calibri" w:cs="Helv"/>
          <w:bCs/>
          <w:color w:val="000000"/>
        </w:rPr>
        <w:t>some</w:t>
      </w:r>
      <w:r>
        <w:rPr>
          <w:rFonts w:ascii="Calibri" w:hAnsi="Calibri" w:cs="Helv"/>
          <w:bCs/>
          <w:color w:val="000000"/>
        </w:rPr>
        <w:t xml:space="preserve"> flexibility over the trustee power noted above, it is probably the more conservative route.</w:t>
      </w:r>
    </w:p>
    <w:p w14:paraId="368CF0EE" w14:textId="77777777" w:rsidR="00A91FFA" w:rsidRPr="00A91FFA" w:rsidRDefault="00A91FFA" w:rsidP="00A91FFA">
      <w:pPr>
        <w:autoSpaceDE w:val="0"/>
        <w:autoSpaceDN w:val="0"/>
        <w:adjustRightInd w:val="0"/>
        <w:spacing w:line="360" w:lineRule="auto"/>
        <w:ind w:firstLine="720"/>
        <w:jc w:val="both"/>
        <w:rPr>
          <w:rFonts w:ascii="Calibri" w:hAnsi="Calibri" w:cs="Helv"/>
          <w:b/>
          <w:bCs/>
          <w:color w:val="000000"/>
        </w:rPr>
      </w:pPr>
      <w:r w:rsidRPr="00A91FFA">
        <w:rPr>
          <w:rFonts w:ascii="Calibri" w:hAnsi="Calibri" w:cs="Helv"/>
          <w:b/>
          <w:bCs/>
          <w:color w:val="000000"/>
        </w:rPr>
        <w:t>Income Tax Certainty by Forcing a Form 706 Filing for the Power Holder’s Estate</w:t>
      </w:r>
    </w:p>
    <w:p w14:paraId="5803B533" w14:textId="77777777" w:rsidR="00A91FFA" w:rsidRPr="00A91FFA" w:rsidRDefault="00A91FFA" w:rsidP="00A91FFA">
      <w:pPr>
        <w:autoSpaceDE w:val="0"/>
        <w:autoSpaceDN w:val="0"/>
        <w:adjustRightInd w:val="0"/>
        <w:spacing w:line="360" w:lineRule="auto"/>
        <w:ind w:firstLine="720"/>
        <w:jc w:val="both"/>
        <w:rPr>
          <w:rFonts w:ascii="Calibri" w:hAnsi="Calibri" w:cs="Helv"/>
          <w:bCs/>
          <w:color w:val="000000"/>
        </w:rPr>
      </w:pPr>
      <w:r w:rsidRPr="00A91FFA">
        <w:rPr>
          <w:rFonts w:ascii="Calibri" w:hAnsi="Calibri" w:cs="Helv"/>
          <w:bCs/>
          <w:color w:val="000000"/>
        </w:rPr>
        <w:t>Some argue that a formula GPOA, if the appointive assets are large enough to trigger a cap, triggers a Form 706 filing and additional estate expense.  This is true, because even with a zero-tax formula, the gross estate before will always be larger than applicable exclusion.  The requirement to file an estate tax return is based on the gross estate, not the net.</w:t>
      </w:r>
      <w:r w:rsidRPr="00A91FFA">
        <w:rPr>
          <w:rFonts w:ascii="Calibri" w:hAnsi="Calibri" w:cs="Helv"/>
          <w:bCs/>
          <w:color w:val="000000"/>
          <w:vertAlign w:val="superscript"/>
        </w:rPr>
        <w:footnoteReference w:id="76"/>
      </w:r>
      <w:r w:rsidRPr="00A91FFA">
        <w:rPr>
          <w:rFonts w:ascii="Calibri" w:hAnsi="Calibri" w:cs="Helv"/>
          <w:bCs/>
          <w:color w:val="000000"/>
        </w:rPr>
        <w:t xml:space="preserve">  This is actually a significant </w:t>
      </w:r>
      <w:r w:rsidR="00F00FC2">
        <w:rPr>
          <w:rFonts w:ascii="Calibri" w:hAnsi="Calibri" w:cs="Helv"/>
          <w:bCs/>
          <w:color w:val="000000"/>
        </w:rPr>
        <w:t xml:space="preserve">tax </w:t>
      </w:r>
      <w:r w:rsidRPr="00A91FFA">
        <w:rPr>
          <w:rFonts w:ascii="Calibri" w:hAnsi="Calibri" w:cs="Helv"/>
          <w:bCs/>
          <w:i/>
          <w:color w:val="000000"/>
        </w:rPr>
        <w:t>benefit</w:t>
      </w:r>
      <w:r w:rsidRPr="00A91FFA">
        <w:rPr>
          <w:rFonts w:ascii="Calibri" w:hAnsi="Calibri" w:cs="Helv"/>
          <w:bCs/>
          <w:color w:val="000000"/>
        </w:rPr>
        <w:t>.  The reason is that, when a Form 706 is required to be filed, the IRS is locked into the basis of hard to value assets for subsequent income tax purposes:</w:t>
      </w:r>
      <w:r w:rsidRPr="00A91FFA">
        <w:rPr>
          <w:rFonts w:ascii="Calibri" w:hAnsi="Calibri" w:cs="Helv"/>
          <w:bCs/>
          <w:color w:val="000000"/>
          <w:vertAlign w:val="superscript"/>
        </w:rPr>
        <w:footnoteReference w:id="77"/>
      </w:r>
    </w:p>
    <w:p w14:paraId="5226AB89" w14:textId="77777777" w:rsidR="00A91FFA" w:rsidRPr="00A91FFA" w:rsidRDefault="00A91FFA" w:rsidP="00A91FFA">
      <w:pPr>
        <w:autoSpaceDE w:val="0"/>
        <w:autoSpaceDN w:val="0"/>
        <w:adjustRightInd w:val="0"/>
        <w:ind w:left="720"/>
        <w:jc w:val="both"/>
        <w:rPr>
          <w:rFonts w:ascii="Calibri" w:hAnsi="Calibri" w:cs="Helv"/>
          <w:bCs/>
          <w:color w:val="000000"/>
        </w:rPr>
      </w:pPr>
      <w:r w:rsidRPr="00A91FFA">
        <w:rPr>
          <w:rFonts w:ascii="Calibri" w:hAnsi="Calibri" w:cs="Helv"/>
          <w:bCs/>
          <w:color w:val="000000"/>
        </w:rPr>
        <w:t xml:space="preserve"> (a) Fair market value. For purposes of this section and § 1.1014-1, the value of property as of the date of the decedent's death as appraised for the purpose of the Federal estate tax or the alternate value as appraised for such purpose, whichever is applicable, shall be deemed to be its fair market value. If no estate tax return is required to be filed under section 6018 (or under section 821 or 864 of the Internal Revenue Code of 1939), the value of the property appraised as of the date of the decedent's death for the purpose of State inheritance or transmission taxes shall be deemed to be its fair market value and no alternate valuation date shall be applicable.</w:t>
      </w:r>
    </w:p>
    <w:p w14:paraId="308F94FE" w14:textId="77777777" w:rsidR="00A91FFA" w:rsidRPr="00A91FFA" w:rsidRDefault="00A91FFA" w:rsidP="00A91FFA">
      <w:pPr>
        <w:autoSpaceDE w:val="0"/>
        <w:autoSpaceDN w:val="0"/>
        <w:adjustRightInd w:val="0"/>
        <w:ind w:left="720"/>
        <w:jc w:val="both"/>
        <w:rPr>
          <w:rFonts w:ascii="Calibri" w:hAnsi="Calibri" w:cs="Helv"/>
          <w:bCs/>
          <w:color w:val="000000"/>
        </w:rPr>
      </w:pPr>
    </w:p>
    <w:p w14:paraId="0F538F2C" w14:textId="77777777" w:rsidR="00A91FFA" w:rsidRDefault="00A91FFA" w:rsidP="00A91FFA">
      <w:pPr>
        <w:autoSpaceDE w:val="0"/>
        <w:autoSpaceDN w:val="0"/>
        <w:adjustRightInd w:val="0"/>
        <w:spacing w:line="360" w:lineRule="auto"/>
        <w:ind w:firstLine="720"/>
        <w:jc w:val="both"/>
        <w:rPr>
          <w:rFonts w:ascii="Calibri" w:hAnsi="Calibri" w:cs="Helv"/>
          <w:bCs/>
          <w:color w:val="000000"/>
        </w:rPr>
      </w:pPr>
      <w:r w:rsidRPr="00A91FFA">
        <w:rPr>
          <w:rFonts w:ascii="Calibri" w:hAnsi="Calibri" w:cs="Helv"/>
          <w:bCs/>
          <w:color w:val="000000"/>
        </w:rPr>
        <w:t xml:space="preserve">This helps to ensure certainty for later depreciation and capital gains calculations, not only for the appointed assets, but the power holder’s other estate </w:t>
      </w:r>
      <w:r w:rsidR="00F00FC2">
        <w:rPr>
          <w:rFonts w:ascii="Calibri" w:hAnsi="Calibri" w:cs="Helv"/>
          <w:bCs/>
          <w:color w:val="000000"/>
        </w:rPr>
        <w:t xml:space="preserve">assets </w:t>
      </w:r>
      <w:r w:rsidRPr="00A91FFA">
        <w:rPr>
          <w:rFonts w:ascii="Calibri" w:hAnsi="Calibri" w:cs="Helv"/>
          <w:bCs/>
          <w:color w:val="000000"/>
        </w:rPr>
        <w:t>as well.</w:t>
      </w:r>
    </w:p>
    <w:p w14:paraId="13A8359F" w14:textId="77777777" w:rsidR="007A5592" w:rsidRPr="00A91FFA" w:rsidRDefault="007A5592" w:rsidP="00A91FFA">
      <w:pPr>
        <w:autoSpaceDE w:val="0"/>
        <w:autoSpaceDN w:val="0"/>
        <w:adjustRightInd w:val="0"/>
        <w:spacing w:line="360" w:lineRule="auto"/>
        <w:ind w:firstLine="720"/>
        <w:jc w:val="both"/>
        <w:rPr>
          <w:rFonts w:ascii="Calibri" w:hAnsi="Calibri" w:cs="Helv"/>
          <w:bCs/>
          <w:color w:val="000000"/>
        </w:rPr>
      </w:pPr>
    </w:p>
    <w:p w14:paraId="371DD5CD" w14:textId="77777777" w:rsidR="00950C93" w:rsidRPr="00AD7D16" w:rsidRDefault="00950C93" w:rsidP="00180FD1">
      <w:pPr>
        <w:pStyle w:val="ListParagraph"/>
        <w:numPr>
          <w:ilvl w:val="0"/>
          <w:numId w:val="19"/>
        </w:numPr>
        <w:autoSpaceDE w:val="0"/>
        <w:autoSpaceDN w:val="0"/>
        <w:adjustRightInd w:val="0"/>
        <w:spacing w:line="360" w:lineRule="auto"/>
        <w:ind w:left="720" w:hanging="720"/>
        <w:jc w:val="both"/>
        <w:rPr>
          <w:rFonts w:ascii="Calibri" w:hAnsi="Calibri" w:cs="Helv"/>
          <w:b/>
          <w:bCs/>
          <w:color w:val="000000"/>
        </w:rPr>
      </w:pPr>
      <w:r w:rsidRPr="00AD7D16">
        <w:rPr>
          <w:rFonts w:ascii="Calibri" w:hAnsi="Calibri" w:cs="Helv"/>
          <w:b/>
          <w:bCs/>
          <w:color w:val="000000"/>
        </w:rPr>
        <w:t xml:space="preserve">Issues if </w:t>
      </w:r>
      <w:r w:rsidR="00AD0839">
        <w:rPr>
          <w:rFonts w:ascii="Calibri" w:hAnsi="Calibri" w:cs="Helv"/>
          <w:b/>
          <w:bCs/>
          <w:color w:val="000000"/>
        </w:rPr>
        <w:t>the S</w:t>
      </w:r>
      <w:r w:rsidRPr="00AD7D16">
        <w:rPr>
          <w:rFonts w:ascii="Calibri" w:hAnsi="Calibri" w:cs="Helv"/>
          <w:b/>
          <w:bCs/>
          <w:color w:val="000000"/>
        </w:rPr>
        <w:t xml:space="preserve">pouse is </w:t>
      </w:r>
      <w:r w:rsidR="00AD0839">
        <w:rPr>
          <w:rFonts w:ascii="Calibri" w:hAnsi="Calibri" w:cs="Helv"/>
          <w:b/>
          <w:bCs/>
          <w:color w:val="000000"/>
        </w:rPr>
        <w:t>Sole Trustee or I</w:t>
      </w:r>
      <w:r w:rsidRPr="00AD7D16">
        <w:rPr>
          <w:rFonts w:ascii="Calibri" w:hAnsi="Calibri" w:cs="Helv"/>
          <w:b/>
          <w:bCs/>
          <w:color w:val="000000"/>
        </w:rPr>
        <w:t>nve</w:t>
      </w:r>
      <w:r w:rsidR="00AD0839">
        <w:rPr>
          <w:rFonts w:ascii="Calibri" w:hAnsi="Calibri" w:cs="Helv"/>
          <w:b/>
          <w:bCs/>
          <w:color w:val="000000"/>
        </w:rPr>
        <w:t>stment A</w:t>
      </w:r>
      <w:r w:rsidRPr="00AD7D16">
        <w:rPr>
          <w:rFonts w:ascii="Calibri" w:hAnsi="Calibri" w:cs="Helv"/>
          <w:b/>
          <w:bCs/>
          <w:color w:val="000000"/>
        </w:rPr>
        <w:t>dvisor</w:t>
      </w:r>
    </w:p>
    <w:p w14:paraId="0E9FE66D" w14:textId="77777777" w:rsidR="002837F6" w:rsidRDefault="00491FB5" w:rsidP="00891A00">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If the spouse is the sole trustee or sole investment advisor under direction or delegation, could his or her indirect power to </w:t>
      </w:r>
      <w:r w:rsidR="004B6436">
        <w:rPr>
          <w:rFonts w:ascii="Calibri" w:hAnsi="Calibri" w:cs="Helv"/>
          <w:bCs/>
          <w:color w:val="000000"/>
        </w:rPr>
        <w:t>manipulate</w:t>
      </w:r>
      <w:r>
        <w:rPr>
          <w:rFonts w:ascii="Calibri" w:hAnsi="Calibri" w:cs="Helv"/>
          <w:bCs/>
          <w:color w:val="000000"/>
        </w:rPr>
        <w:t xml:space="preserve"> gains and losses on investments, and therefore basis, somehow deem such powers to be general over </w:t>
      </w:r>
      <w:r w:rsidRPr="00682FF1">
        <w:rPr>
          <w:rFonts w:ascii="Calibri" w:hAnsi="Calibri" w:cs="Helv"/>
          <w:b/>
          <w:bCs/>
          <w:color w:val="000000"/>
        </w:rPr>
        <w:t>all</w:t>
      </w:r>
      <w:r>
        <w:rPr>
          <w:rFonts w:ascii="Calibri" w:hAnsi="Calibri" w:cs="Helv"/>
          <w:bCs/>
          <w:color w:val="000000"/>
        </w:rPr>
        <w:t xml:space="preserve"> the assets up to the </w:t>
      </w:r>
      <w:r>
        <w:rPr>
          <w:rFonts w:ascii="Calibri" w:hAnsi="Calibri" w:cs="Helv"/>
          <w:bCs/>
          <w:color w:val="000000"/>
        </w:rPr>
        <w:lastRenderedPageBreak/>
        <w:t xml:space="preserve">remaining applicable exclusion amount?  This would be quite a stretch, since the Uniform Prudent Investor Act and other </w:t>
      </w:r>
      <w:r w:rsidR="000568C6">
        <w:rPr>
          <w:rFonts w:ascii="Calibri" w:hAnsi="Calibri" w:cs="Helv"/>
          <w:bCs/>
          <w:color w:val="000000"/>
        </w:rPr>
        <w:t xml:space="preserve">common law </w:t>
      </w:r>
      <w:r>
        <w:rPr>
          <w:rFonts w:ascii="Calibri" w:hAnsi="Calibri" w:cs="Helv"/>
          <w:bCs/>
          <w:color w:val="000000"/>
        </w:rPr>
        <w:t>fiduciary duties preclude any self-dealing or avoidance of diversification unless the document waives them.</w:t>
      </w:r>
      <w:r>
        <w:rPr>
          <w:rStyle w:val="FootnoteReference"/>
          <w:rFonts w:ascii="Calibri" w:hAnsi="Calibri" w:cs="Helv"/>
          <w:bCs/>
          <w:color w:val="000000"/>
        </w:rPr>
        <w:footnoteReference w:id="78"/>
      </w:r>
      <w:r>
        <w:rPr>
          <w:rFonts w:ascii="Calibri" w:hAnsi="Calibri" w:cs="Helv"/>
          <w:bCs/>
          <w:color w:val="000000"/>
        </w:rPr>
        <w:t xml:space="preserve">  </w:t>
      </w:r>
      <w:r w:rsidR="000E64B1">
        <w:rPr>
          <w:rFonts w:ascii="Calibri" w:hAnsi="Calibri" w:cs="Helv"/>
          <w:bCs/>
          <w:color w:val="000000"/>
        </w:rPr>
        <w:t>There is a longstanding duty of impartiality imposed on trustees.</w:t>
      </w:r>
      <w:r w:rsidR="000E64B1">
        <w:rPr>
          <w:rStyle w:val="FootnoteReference"/>
          <w:rFonts w:ascii="Calibri" w:hAnsi="Calibri" w:cs="Helv"/>
          <w:bCs/>
          <w:color w:val="000000"/>
        </w:rPr>
        <w:footnoteReference w:id="79"/>
      </w:r>
      <w:r w:rsidR="000E64B1">
        <w:rPr>
          <w:rFonts w:ascii="Calibri" w:hAnsi="Calibri" w:cs="Helv"/>
          <w:bCs/>
          <w:color w:val="000000"/>
        </w:rPr>
        <w:t xml:space="preserve">  </w:t>
      </w:r>
      <w:r w:rsidR="00D001BC">
        <w:rPr>
          <w:rFonts w:ascii="Calibri" w:hAnsi="Calibri" w:cs="Helv"/>
          <w:bCs/>
          <w:color w:val="000000"/>
        </w:rPr>
        <w:t>Thankfully, there is a regulation to protect from this:</w:t>
      </w:r>
    </w:p>
    <w:p w14:paraId="290D994A" w14:textId="77777777" w:rsidR="00DC1C98" w:rsidRDefault="00D001BC" w:rsidP="002837F6">
      <w:pPr>
        <w:autoSpaceDE w:val="0"/>
        <w:autoSpaceDN w:val="0"/>
        <w:adjustRightInd w:val="0"/>
        <w:ind w:left="720"/>
        <w:jc w:val="both"/>
        <w:rPr>
          <w:rFonts w:ascii="Verdana" w:hAnsi="Verdana"/>
          <w:sz w:val="14"/>
          <w:szCs w:val="14"/>
        </w:rPr>
      </w:pPr>
      <w:r w:rsidRPr="00D001BC">
        <w:rPr>
          <w:rFonts w:ascii="Calibri" w:hAnsi="Calibri" w:cs="Helv"/>
          <w:bCs/>
        </w:rPr>
        <w:t>“</w:t>
      </w:r>
      <w:r w:rsidRPr="00D001BC">
        <w:rPr>
          <w:rFonts w:ascii="Calibri" w:hAnsi="Calibri"/>
        </w:rPr>
        <w:t xml:space="preserve">The mere power of management, investment, custody of assets, or the power to allocate receipts and disbursements as between income and principal, exercisable in a fiduciary capacity, whereby the holder has no power to enlarge or shift any of the beneficial interests therein except as an incidental consequence of the discharge of such fiduciary duties is </w:t>
      </w:r>
      <w:r w:rsidRPr="0063703D">
        <w:rPr>
          <w:rFonts w:ascii="Calibri" w:hAnsi="Calibri"/>
          <w:b/>
        </w:rPr>
        <w:t>not</w:t>
      </w:r>
      <w:r w:rsidRPr="00D001BC">
        <w:rPr>
          <w:rFonts w:ascii="Calibri" w:hAnsi="Calibri"/>
        </w:rPr>
        <w:t xml:space="preserve"> a power of appointment.”</w:t>
      </w:r>
      <w:r>
        <w:rPr>
          <w:rStyle w:val="FootnoteReference"/>
          <w:rFonts w:ascii="Calibri" w:hAnsi="Calibri"/>
        </w:rPr>
        <w:footnoteReference w:id="80"/>
      </w:r>
      <w:r w:rsidRPr="00D001BC">
        <w:rPr>
          <w:rFonts w:ascii="Verdana" w:hAnsi="Verdana"/>
          <w:sz w:val="14"/>
          <w:szCs w:val="14"/>
        </w:rPr>
        <w:t xml:space="preserve">  </w:t>
      </w:r>
    </w:p>
    <w:p w14:paraId="69CA0228" w14:textId="77777777" w:rsidR="002837F6" w:rsidRDefault="002837F6" w:rsidP="002837F6">
      <w:pPr>
        <w:autoSpaceDE w:val="0"/>
        <w:autoSpaceDN w:val="0"/>
        <w:adjustRightInd w:val="0"/>
        <w:ind w:left="720"/>
        <w:jc w:val="both"/>
        <w:rPr>
          <w:rFonts w:ascii="Verdana" w:hAnsi="Verdana"/>
          <w:sz w:val="14"/>
          <w:szCs w:val="14"/>
        </w:rPr>
      </w:pPr>
    </w:p>
    <w:p w14:paraId="05C1B07F" w14:textId="77777777" w:rsidR="00D001BC" w:rsidRDefault="00491FB5" w:rsidP="002837F6">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Still, this may be one more reason for a conservative practitioner to use an independent trustee, co-trustee and/or investment trustee.</w:t>
      </w:r>
      <w:r w:rsidRPr="00C97F61">
        <w:rPr>
          <w:rFonts w:ascii="Calibri" w:hAnsi="Calibri" w:cs="Helv"/>
          <w:bCs/>
          <w:color w:val="000000"/>
        </w:rPr>
        <w:t xml:space="preserve"> </w:t>
      </w:r>
      <w:r w:rsidR="00D001BC">
        <w:rPr>
          <w:rFonts w:ascii="Calibri" w:hAnsi="Calibri" w:cs="Helv"/>
          <w:bCs/>
          <w:color w:val="000000"/>
        </w:rPr>
        <w:t xml:space="preserve"> </w:t>
      </w:r>
      <w:r w:rsidR="00D352E2">
        <w:rPr>
          <w:rFonts w:ascii="Calibri" w:hAnsi="Calibri" w:cs="Helv"/>
          <w:bCs/>
          <w:color w:val="000000"/>
        </w:rPr>
        <w:t>T</w:t>
      </w:r>
      <w:r w:rsidR="00D001BC">
        <w:rPr>
          <w:rFonts w:ascii="Calibri" w:hAnsi="Calibri" w:cs="Helv"/>
          <w:bCs/>
          <w:color w:val="000000"/>
        </w:rPr>
        <w:t>here are important side benefits to this –</w:t>
      </w:r>
      <w:r w:rsidR="00D352E2">
        <w:rPr>
          <w:rFonts w:ascii="Calibri" w:hAnsi="Calibri" w:cs="Helv"/>
          <w:bCs/>
          <w:color w:val="000000"/>
        </w:rPr>
        <w:t xml:space="preserve"> </w:t>
      </w:r>
      <w:r w:rsidR="00DC1C98">
        <w:rPr>
          <w:rFonts w:ascii="Calibri" w:hAnsi="Calibri" w:cs="Helv"/>
          <w:bCs/>
          <w:color w:val="000000"/>
        </w:rPr>
        <w:t xml:space="preserve">better asset protection when a current beneficiary is not sole trustee, </w:t>
      </w:r>
      <w:r w:rsidR="00D352E2">
        <w:rPr>
          <w:rFonts w:ascii="Calibri" w:hAnsi="Calibri" w:cs="Helv"/>
          <w:bCs/>
          <w:color w:val="000000"/>
        </w:rPr>
        <w:t xml:space="preserve">protecting the </w:t>
      </w:r>
      <w:r w:rsidR="00D001BC">
        <w:rPr>
          <w:rFonts w:ascii="Calibri" w:hAnsi="Calibri" w:cs="Helv"/>
          <w:bCs/>
          <w:color w:val="000000"/>
        </w:rPr>
        <w:t xml:space="preserve">surviving spouse from breach of fiduciary duty charges from remaindermen for bad investment </w:t>
      </w:r>
      <w:r w:rsidR="00D352E2">
        <w:rPr>
          <w:rFonts w:ascii="Calibri" w:hAnsi="Calibri" w:cs="Helv"/>
          <w:bCs/>
          <w:color w:val="000000"/>
        </w:rPr>
        <w:t>decisions, or</w:t>
      </w:r>
      <w:r w:rsidR="00DC1C98">
        <w:rPr>
          <w:rFonts w:ascii="Calibri" w:hAnsi="Calibri" w:cs="Helv"/>
          <w:bCs/>
          <w:color w:val="000000"/>
        </w:rPr>
        <w:t xml:space="preserve"> </w:t>
      </w:r>
      <w:r w:rsidR="00D352E2">
        <w:rPr>
          <w:rFonts w:ascii="Calibri" w:hAnsi="Calibri" w:cs="Helv"/>
          <w:bCs/>
          <w:color w:val="000000"/>
        </w:rPr>
        <w:t>protecting the family from such mismanagement</w:t>
      </w:r>
      <w:r w:rsidR="00D001BC">
        <w:rPr>
          <w:rFonts w:ascii="Calibri" w:hAnsi="Calibri" w:cs="Helv"/>
          <w:bCs/>
          <w:color w:val="000000"/>
        </w:rPr>
        <w:t xml:space="preserve"> in the first place.</w:t>
      </w:r>
      <w:r w:rsidR="00DC1C98">
        <w:rPr>
          <w:rStyle w:val="FootnoteReference"/>
          <w:rFonts w:ascii="Calibri" w:hAnsi="Calibri" w:cs="Helv"/>
          <w:bCs/>
          <w:color w:val="000000"/>
        </w:rPr>
        <w:footnoteReference w:id="81"/>
      </w:r>
      <w:r w:rsidR="00D001BC">
        <w:rPr>
          <w:rFonts w:ascii="Calibri" w:hAnsi="Calibri" w:cs="Helv"/>
          <w:bCs/>
          <w:color w:val="000000"/>
        </w:rPr>
        <w:t xml:space="preserve">  </w:t>
      </w:r>
    </w:p>
    <w:p w14:paraId="7E53E482" w14:textId="77777777" w:rsidR="00491FB5" w:rsidRDefault="00491FB5" w:rsidP="00891A00">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If such a design is </w:t>
      </w:r>
      <w:r w:rsidR="00D001BC">
        <w:rPr>
          <w:rFonts w:ascii="Calibri" w:hAnsi="Calibri" w:cs="Helv"/>
          <w:bCs/>
          <w:color w:val="000000"/>
        </w:rPr>
        <w:t xml:space="preserve">still </w:t>
      </w:r>
      <w:r>
        <w:rPr>
          <w:rFonts w:ascii="Calibri" w:hAnsi="Calibri" w:cs="Helv"/>
          <w:bCs/>
          <w:color w:val="000000"/>
        </w:rPr>
        <w:t xml:space="preserve">undesirable, </w:t>
      </w:r>
      <w:r w:rsidR="00AD0839">
        <w:rPr>
          <w:rFonts w:ascii="Calibri" w:hAnsi="Calibri" w:cs="Helv"/>
          <w:bCs/>
          <w:color w:val="000000"/>
        </w:rPr>
        <w:t>consider</w:t>
      </w:r>
      <w:r>
        <w:rPr>
          <w:rFonts w:ascii="Calibri" w:hAnsi="Calibri" w:cs="Helv"/>
          <w:bCs/>
          <w:color w:val="000000"/>
        </w:rPr>
        <w:t xml:space="preserve"> granting the spouse a limited testamentary power of appointment eligible to trigger the </w:t>
      </w:r>
      <w:r w:rsidR="00D001BC">
        <w:rPr>
          <w:rFonts w:ascii="Calibri" w:hAnsi="Calibri" w:cs="Helv"/>
          <w:bCs/>
          <w:color w:val="000000"/>
        </w:rPr>
        <w:t>Delaware Tax Trap</w:t>
      </w:r>
      <w:r>
        <w:rPr>
          <w:rFonts w:ascii="Calibri" w:hAnsi="Calibri" w:cs="Helv"/>
          <w:bCs/>
          <w:color w:val="000000"/>
        </w:rPr>
        <w:t xml:space="preserve">, which could be over </w:t>
      </w:r>
      <w:r w:rsidRPr="00AD0839">
        <w:rPr>
          <w:rFonts w:ascii="Calibri" w:hAnsi="Calibri" w:cs="Helv"/>
          <w:bCs/>
          <w:i/>
          <w:color w:val="000000"/>
        </w:rPr>
        <w:t>all assets equally</w:t>
      </w:r>
      <w:r>
        <w:rPr>
          <w:rFonts w:ascii="Calibri" w:hAnsi="Calibri" w:cs="Helv"/>
          <w:bCs/>
          <w:color w:val="000000"/>
        </w:rPr>
        <w:t xml:space="preserve">.  Any structuring to exploit a step up or avoid a step down would be done through the spouse’s own Will or Trust exercising the </w:t>
      </w:r>
      <w:r w:rsidRPr="00BD3239">
        <w:rPr>
          <w:rFonts w:ascii="Calibri" w:hAnsi="Calibri" w:cs="Helv"/>
          <w:bCs/>
          <w:i/>
          <w:color w:val="000000"/>
        </w:rPr>
        <w:t>non-fiduciary</w:t>
      </w:r>
      <w:r>
        <w:rPr>
          <w:rFonts w:ascii="Calibri" w:hAnsi="Calibri" w:cs="Helv"/>
          <w:bCs/>
          <w:color w:val="000000"/>
        </w:rPr>
        <w:t xml:space="preserve"> LPOA</w:t>
      </w:r>
      <w:r w:rsidR="00AD0839">
        <w:rPr>
          <w:rFonts w:ascii="Calibri" w:hAnsi="Calibri" w:cs="Helv"/>
          <w:bCs/>
          <w:color w:val="000000"/>
        </w:rPr>
        <w:t xml:space="preserve"> over only specific assets</w:t>
      </w:r>
      <w:r>
        <w:rPr>
          <w:rFonts w:ascii="Calibri" w:hAnsi="Calibri" w:cs="Helv"/>
          <w:bCs/>
          <w:color w:val="000000"/>
        </w:rPr>
        <w:t xml:space="preserve">, rather than through the trust document or vagaries of investment return, and therefore immune to any such argument.  </w:t>
      </w:r>
      <w:r w:rsidR="00D001BC">
        <w:rPr>
          <w:rFonts w:ascii="Calibri" w:hAnsi="Calibri" w:cs="Helv"/>
          <w:bCs/>
          <w:color w:val="000000"/>
        </w:rPr>
        <w:t xml:space="preserve">However, the regulation cited above </w:t>
      </w:r>
      <w:r w:rsidR="00D03195">
        <w:rPr>
          <w:rFonts w:ascii="Calibri" w:hAnsi="Calibri" w:cs="Helv"/>
          <w:bCs/>
          <w:color w:val="000000"/>
        </w:rPr>
        <w:t xml:space="preserve">probably </w:t>
      </w:r>
      <w:r w:rsidR="00D001BC">
        <w:rPr>
          <w:rFonts w:ascii="Calibri" w:hAnsi="Calibri" w:cs="Helv"/>
          <w:bCs/>
          <w:color w:val="000000"/>
        </w:rPr>
        <w:lastRenderedPageBreak/>
        <w:t>provides ample cover for surviving spouses as sole trustees.</w:t>
      </w:r>
      <w:r w:rsidR="00D03195">
        <w:rPr>
          <w:rFonts w:ascii="Calibri" w:hAnsi="Calibri" w:cs="Helv"/>
          <w:bCs/>
          <w:color w:val="000000"/>
        </w:rPr>
        <w:t xml:space="preserve">  There are other various reasons that LPOAs and the Delaware Tax Trap should be considered discussed later in this article.</w:t>
      </w:r>
    </w:p>
    <w:p w14:paraId="7372410A" w14:textId="77777777" w:rsidR="007A5592" w:rsidRDefault="007A5592">
      <w:pPr>
        <w:rPr>
          <w:rFonts w:ascii="Calibri" w:hAnsi="Calibri"/>
          <w:b/>
        </w:rPr>
      </w:pPr>
      <w:r>
        <w:rPr>
          <w:rFonts w:ascii="Calibri" w:hAnsi="Calibri"/>
          <w:b/>
        </w:rPr>
        <w:br w:type="page"/>
      </w:r>
    </w:p>
    <w:p w14:paraId="0136198B" w14:textId="77777777" w:rsidR="00491FB5" w:rsidRPr="0001515F" w:rsidRDefault="00491FB5" w:rsidP="00180FD1">
      <w:pPr>
        <w:pStyle w:val="ListParagraph"/>
        <w:numPr>
          <w:ilvl w:val="0"/>
          <w:numId w:val="19"/>
        </w:numPr>
        <w:autoSpaceDE w:val="0"/>
        <w:autoSpaceDN w:val="0"/>
        <w:adjustRightInd w:val="0"/>
        <w:spacing w:line="360" w:lineRule="auto"/>
        <w:jc w:val="both"/>
        <w:rPr>
          <w:rFonts w:ascii="Calibri" w:hAnsi="Calibri"/>
          <w:b/>
        </w:rPr>
      </w:pPr>
      <w:r w:rsidRPr="0001515F">
        <w:rPr>
          <w:rFonts w:ascii="Calibri" w:hAnsi="Calibri"/>
          <w:b/>
        </w:rPr>
        <w:lastRenderedPageBreak/>
        <w:t xml:space="preserve">Variations to Accommodate Separate </w:t>
      </w:r>
      <w:r w:rsidRPr="0001515F">
        <w:rPr>
          <w:rFonts w:ascii="Calibri" w:hAnsi="Calibri"/>
          <w:b/>
          <w:i/>
        </w:rPr>
        <w:t>State</w:t>
      </w:r>
      <w:r w:rsidRPr="0001515F">
        <w:rPr>
          <w:rFonts w:ascii="Calibri" w:hAnsi="Calibri"/>
          <w:b/>
        </w:rPr>
        <w:t xml:space="preserve"> Estate and Inheritance Taxes</w:t>
      </w:r>
    </w:p>
    <w:p w14:paraId="137E952F" w14:textId="77777777" w:rsidR="00491FB5" w:rsidRDefault="00491FB5" w:rsidP="00AB6DD6">
      <w:pPr>
        <w:spacing w:line="360" w:lineRule="auto"/>
        <w:ind w:firstLine="720"/>
        <w:rPr>
          <w:rFonts w:ascii="Calibri" w:hAnsi="Calibri" w:cs="Helv"/>
          <w:bCs/>
          <w:color w:val="000000"/>
        </w:rPr>
      </w:pPr>
      <w:r>
        <w:rPr>
          <w:rFonts w:ascii="Calibri" w:hAnsi="Calibri"/>
        </w:rPr>
        <w:t>We</w:t>
      </w:r>
      <w:r>
        <w:rPr>
          <w:rFonts w:ascii="Calibri" w:hAnsi="Calibri" w:cs="Helv"/>
          <w:bCs/>
          <w:color w:val="000000"/>
        </w:rPr>
        <w:t xml:space="preserve"> do not want inclusion in the federal estate, even if it causes no estate tax, to also inadvertently increase </w:t>
      </w:r>
      <w:r w:rsidRPr="00D14219">
        <w:rPr>
          <w:rFonts w:ascii="Calibri" w:hAnsi="Calibri" w:cs="Helv"/>
          <w:bCs/>
          <w:i/>
          <w:color w:val="000000"/>
        </w:rPr>
        <w:t>state</w:t>
      </w:r>
      <w:r>
        <w:rPr>
          <w:rFonts w:ascii="Calibri" w:hAnsi="Calibri" w:cs="Helv"/>
          <w:bCs/>
          <w:color w:val="000000"/>
        </w:rPr>
        <w:t xml:space="preserve"> estate tax, unless there is a greater overall income tax benefit.</w:t>
      </w:r>
      <w:r>
        <w:rPr>
          <w:rStyle w:val="FootnoteReference"/>
          <w:rFonts w:ascii="Calibri" w:hAnsi="Calibri" w:cs="Helv"/>
          <w:bCs/>
          <w:color w:val="000000"/>
        </w:rPr>
        <w:footnoteReference w:id="82"/>
      </w:r>
      <w:r>
        <w:rPr>
          <w:rFonts w:ascii="Calibri" w:hAnsi="Calibri" w:cs="Helv"/>
          <w:bCs/>
          <w:color w:val="000000"/>
        </w:rPr>
        <w:t xml:space="preserve">  Consider the extremes: we </w:t>
      </w:r>
      <w:r w:rsidR="00AD0839">
        <w:rPr>
          <w:rFonts w:ascii="Calibri" w:hAnsi="Calibri" w:cs="Helv"/>
          <w:bCs/>
          <w:color w:val="000000"/>
        </w:rPr>
        <w:t>do</w:t>
      </w:r>
      <w:r>
        <w:rPr>
          <w:rFonts w:ascii="Calibri" w:hAnsi="Calibri" w:cs="Helv"/>
          <w:bCs/>
          <w:color w:val="000000"/>
        </w:rPr>
        <w:t xml:space="preserve"> not want to grant a GPOA over stock bought at $95</w:t>
      </w:r>
      <w:r w:rsidRPr="009930AE">
        <w:rPr>
          <w:rFonts w:ascii="Calibri" w:hAnsi="Calibri" w:cs="Helv"/>
          <w:bCs/>
          <w:color w:val="000000"/>
        </w:rPr>
        <w:t xml:space="preserve"> rising to $100</w:t>
      </w:r>
      <w:r>
        <w:rPr>
          <w:rFonts w:ascii="Calibri" w:hAnsi="Calibri" w:cs="Helv"/>
          <w:bCs/>
          <w:color w:val="000000"/>
        </w:rPr>
        <w:t xml:space="preserve"> </w:t>
      </w:r>
      <w:r w:rsidR="00AD0839">
        <w:rPr>
          <w:rFonts w:ascii="Calibri" w:hAnsi="Calibri" w:cs="Helv"/>
          <w:bCs/>
          <w:color w:val="000000"/>
        </w:rPr>
        <w:t xml:space="preserve">at date of powerholder’s death to save </w:t>
      </w:r>
      <w:r>
        <w:rPr>
          <w:rFonts w:ascii="Calibri" w:hAnsi="Calibri" w:cs="Helv"/>
          <w:bCs/>
          <w:color w:val="000000"/>
        </w:rPr>
        <w:t>$1 or so in potential capital gains tax savings</w:t>
      </w:r>
      <w:r w:rsidRPr="009930AE">
        <w:rPr>
          <w:rFonts w:ascii="Calibri" w:hAnsi="Calibri" w:cs="Helv"/>
          <w:bCs/>
          <w:color w:val="000000"/>
        </w:rPr>
        <w:t xml:space="preserve"> </w:t>
      </w:r>
      <w:r>
        <w:rPr>
          <w:rFonts w:ascii="Calibri" w:hAnsi="Calibri" w:cs="Helv"/>
          <w:bCs/>
          <w:color w:val="000000"/>
        </w:rPr>
        <w:t>if the state</w:t>
      </w:r>
      <w:r w:rsidRPr="009930AE">
        <w:rPr>
          <w:rFonts w:ascii="Calibri" w:hAnsi="Calibri" w:cs="Helv"/>
          <w:bCs/>
          <w:color w:val="000000"/>
        </w:rPr>
        <w:t xml:space="preserve"> </w:t>
      </w:r>
      <w:r>
        <w:rPr>
          <w:rFonts w:ascii="Calibri" w:hAnsi="Calibri" w:cs="Helv"/>
          <w:bCs/>
          <w:color w:val="000000"/>
        </w:rPr>
        <w:t xml:space="preserve">estate tax incurred </w:t>
      </w:r>
      <w:r w:rsidR="00AD0839">
        <w:rPr>
          <w:rFonts w:ascii="Calibri" w:hAnsi="Calibri" w:cs="Helv"/>
          <w:bCs/>
          <w:color w:val="000000"/>
        </w:rPr>
        <w:t>on the $100 is $</w:t>
      </w:r>
      <w:r>
        <w:rPr>
          <w:rFonts w:ascii="Calibri" w:hAnsi="Calibri" w:cs="Helv"/>
          <w:bCs/>
          <w:color w:val="000000"/>
        </w:rPr>
        <w:t>16!</w:t>
      </w:r>
      <w:r w:rsidRPr="009930AE">
        <w:rPr>
          <w:rFonts w:ascii="Calibri" w:hAnsi="Calibri" w:cs="Helv"/>
          <w:bCs/>
          <w:color w:val="000000"/>
        </w:rPr>
        <w:t xml:space="preserve">  </w:t>
      </w:r>
      <w:r>
        <w:rPr>
          <w:rFonts w:ascii="Calibri" w:hAnsi="Calibri" w:cs="Helv"/>
          <w:bCs/>
          <w:color w:val="000000"/>
        </w:rPr>
        <w:t>Clients in those states may have a $1 of $2 million state estate tax exempt trust and up to $3.25 or $4.25 million state-QTIPed trust.  Obviously the latter is first choice to cull any basis from by inclusion in the beneficiary’s estate</w:t>
      </w:r>
      <w:r w:rsidR="00AD0839">
        <w:rPr>
          <w:rFonts w:ascii="Calibri" w:hAnsi="Calibri" w:cs="Helv"/>
          <w:bCs/>
          <w:color w:val="000000"/>
        </w:rPr>
        <w:t>, since it would not cause any additional state estate tax</w:t>
      </w:r>
      <w:r>
        <w:rPr>
          <w:rFonts w:ascii="Calibri" w:hAnsi="Calibri" w:cs="Helv"/>
          <w:bCs/>
          <w:color w:val="000000"/>
        </w:rPr>
        <w:t>.</w:t>
      </w:r>
      <w:r w:rsidR="00662041">
        <w:rPr>
          <w:rStyle w:val="FootnoteReference"/>
          <w:rFonts w:ascii="Calibri" w:hAnsi="Calibri" w:cs="Helv"/>
          <w:bCs/>
          <w:color w:val="000000"/>
        </w:rPr>
        <w:footnoteReference w:id="83"/>
      </w:r>
    </w:p>
    <w:p w14:paraId="5A3C7BA3" w14:textId="77777777" w:rsidR="00491FB5" w:rsidRPr="00AB6DD6" w:rsidRDefault="00491FB5" w:rsidP="00AB6DD6">
      <w:pPr>
        <w:spacing w:line="360" w:lineRule="auto"/>
        <w:ind w:firstLine="720"/>
        <w:rPr>
          <w:rFonts w:ascii="Calibri" w:hAnsi="Calibri" w:cs="Helv"/>
          <w:bCs/>
          <w:color w:val="000000"/>
        </w:rPr>
      </w:pPr>
      <w:r>
        <w:rPr>
          <w:rFonts w:ascii="Calibri" w:hAnsi="Calibri" w:cs="Helv"/>
          <w:bCs/>
          <w:color w:val="000000"/>
        </w:rPr>
        <w:t>Conversely, assets with a lot of gain may benefit from an increase despite any state estate tax.  With the exception of Washington</w:t>
      </w:r>
      <w:r w:rsidR="00073207">
        <w:rPr>
          <w:rFonts w:ascii="Calibri" w:hAnsi="Calibri" w:cs="Helv"/>
          <w:bCs/>
          <w:color w:val="000000"/>
        </w:rPr>
        <w:t xml:space="preserve"> state</w:t>
      </w:r>
      <w:r>
        <w:rPr>
          <w:rFonts w:ascii="Calibri" w:hAnsi="Calibri" w:cs="Helv"/>
          <w:bCs/>
          <w:color w:val="000000"/>
        </w:rPr>
        <w:t>, most states that have estate tax also have a substantial state income tax, so that savings should be considered as well.  The gold in the example above might be said to benefit from $40,000 o</w:t>
      </w:r>
      <w:r w:rsidR="00D352E2">
        <w:rPr>
          <w:rFonts w:ascii="Calibri" w:hAnsi="Calibri" w:cs="Helv"/>
          <w:bCs/>
          <w:color w:val="000000"/>
        </w:rPr>
        <w:t>r</w:t>
      </w:r>
      <w:r>
        <w:rPr>
          <w:rFonts w:ascii="Calibri" w:hAnsi="Calibri" w:cs="Helv"/>
          <w:bCs/>
          <w:color w:val="000000"/>
        </w:rPr>
        <w:t xml:space="preserve"> so of savings by increased basis ($100,000 gain time 31.8% federal, 8.2% net state income tax), as opposed to perhaps $24,000 or so in state estate tax loss ($200,000 inclusion times 12% rate).  Again, t</w:t>
      </w:r>
      <w:r w:rsidRPr="009930AE">
        <w:rPr>
          <w:rFonts w:ascii="Calibri" w:hAnsi="Calibri" w:cs="Helv"/>
          <w:bCs/>
          <w:color w:val="000000"/>
        </w:rPr>
        <w:t>his can be accomp</w:t>
      </w:r>
      <w:r>
        <w:rPr>
          <w:rFonts w:ascii="Calibri" w:hAnsi="Calibri" w:cs="Helv"/>
          <w:bCs/>
          <w:color w:val="000000"/>
        </w:rPr>
        <w:t>lished with a formula to ensure that increases to the</w:t>
      </w:r>
      <w:r w:rsidRPr="009930AE">
        <w:rPr>
          <w:rFonts w:ascii="Calibri" w:hAnsi="Calibri" w:cs="Helv"/>
          <w:bCs/>
          <w:color w:val="000000"/>
        </w:rPr>
        <w:t xml:space="preserve"> estate </w:t>
      </w:r>
      <w:r>
        <w:rPr>
          <w:rFonts w:ascii="Calibri" w:hAnsi="Calibri" w:cs="Helv"/>
          <w:bCs/>
          <w:color w:val="000000"/>
        </w:rPr>
        <w:t xml:space="preserve">are only made </w:t>
      </w:r>
      <w:r w:rsidRPr="009930AE">
        <w:rPr>
          <w:rFonts w:ascii="Calibri" w:hAnsi="Calibri" w:cs="Helv"/>
          <w:bCs/>
          <w:color w:val="000000"/>
        </w:rPr>
        <w:t>to the extent that the value of the step up ex</w:t>
      </w:r>
      <w:r>
        <w:rPr>
          <w:rFonts w:ascii="Calibri" w:hAnsi="Calibri" w:cs="Helv"/>
          <w:bCs/>
          <w:color w:val="000000"/>
        </w:rPr>
        <w:t>ceeds the cost of the extra state</w:t>
      </w:r>
      <w:r w:rsidRPr="009930AE">
        <w:rPr>
          <w:rFonts w:ascii="Calibri" w:hAnsi="Calibri" w:cs="Helv"/>
          <w:bCs/>
          <w:color w:val="000000"/>
        </w:rPr>
        <w:t xml:space="preserve"> estate tax.</w:t>
      </w:r>
      <w:r>
        <w:rPr>
          <w:rFonts w:ascii="Calibri" w:hAnsi="Calibri" w:cs="Helv"/>
          <w:bCs/>
          <w:color w:val="000000"/>
        </w:rPr>
        <w:t xml:space="preserve">  </w:t>
      </w:r>
    </w:p>
    <w:p w14:paraId="5D5FF4A1" w14:textId="77777777" w:rsidR="00662041" w:rsidRDefault="00491FB5" w:rsidP="0053579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Practitioners in states with a $1 million </w:t>
      </w:r>
      <w:r w:rsidR="00F13795">
        <w:rPr>
          <w:rFonts w:ascii="Calibri" w:hAnsi="Calibri" w:cs="Helv"/>
          <w:bCs/>
          <w:color w:val="000000"/>
        </w:rPr>
        <w:t xml:space="preserve">or less </w:t>
      </w:r>
      <w:r>
        <w:rPr>
          <w:rFonts w:ascii="Calibri" w:hAnsi="Calibri" w:cs="Helv"/>
          <w:bCs/>
          <w:color w:val="000000"/>
        </w:rPr>
        <w:t xml:space="preserve">estate tax exemption may opt for simplicity of drafting/administration and simply forego the GPOA over any state-estate tax exempt trust property, since the savings may not be as great.  However, </w:t>
      </w:r>
      <w:r w:rsidRPr="00D352E2">
        <w:rPr>
          <w:rFonts w:ascii="Calibri" w:hAnsi="Calibri" w:cs="Helv"/>
          <w:bCs/>
          <w:i/>
          <w:color w:val="000000"/>
        </w:rPr>
        <w:t xml:space="preserve">surviving spouses may change residence or the </w:t>
      </w:r>
      <w:r w:rsidR="00D352E2">
        <w:rPr>
          <w:rFonts w:ascii="Calibri" w:hAnsi="Calibri" w:cs="Helv"/>
          <w:bCs/>
          <w:i/>
          <w:color w:val="000000"/>
        </w:rPr>
        <w:t xml:space="preserve">applicable </w:t>
      </w:r>
      <w:r w:rsidRPr="00D352E2">
        <w:rPr>
          <w:rFonts w:ascii="Calibri" w:hAnsi="Calibri" w:cs="Helv"/>
          <w:bCs/>
          <w:i/>
          <w:color w:val="000000"/>
        </w:rPr>
        <w:t>state tax regime may change</w:t>
      </w:r>
      <w:r>
        <w:rPr>
          <w:rFonts w:ascii="Calibri" w:hAnsi="Calibri" w:cs="Helv"/>
          <w:bCs/>
          <w:color w:val="000000"/>
        </w:rPr>
        <w:t xml:space="preserve"> (as it has recently in Ohio, Indiana </w:t>
      </w:r>
      <w:r w:rsidR="000568C6">
        <w:rPr>
          <w:rFonts w:ascii="Calibri" w:hAnsi="Calibri" w:cs="Helv"/>
          <w:bCs/>
          <w:color w:val="000000"/>
        </w:rPr>
        <w:t xml:space="preserve">Minnesota </w:t>
      </w:r>
      <w:r>
        <w:rPr>
          <w:rFonts w:ascii="Calibri" w:hAnsi="Calibri" w:cs="Helv"/>
          <w:bCs/>
          <w:color w:val="000000"/>
        </w:rPr>
        <w:t xml:space="preserve">and other states).  Some states have larger exemptions of $2 million, $3.5 million or more that make it more compelling.  </w:t>
      </w:r>
    </w:p>
    <w:p w14:paraId="4538AB37" w14:textId="77777777" w:rsidR="00491FB5" w:rsidRDefault="00491FB5" w:rsidP="0053579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lastRenderedPageBreak/>
        <w:t xml:space="preserve">Practitioners may want to modify their formula to soak up available </w:t>
      </w:r>
      <w:r w:rsidRPr="00073207">
        <w:rPr>
          <w:rFonts w:ascii="Calibri" w:hAnsi="Calibri" w:cs="Helv"/>
          <w:b/>
          <w:bCs/>
          <w:i/>
          <w:color w:val="000000"/>
        </w:rPr>
        <w:t>state</w:t>
      </w:r>
      <w:r>
        <w:rPr>
          <w:rFonts w:ascii="Calibri" w:hAnsi="Calibri" w:cs="Helv"/>
          <w:bCs/>
          <w:color w:val="000000"/>
        </w:rPr>
        <w:t xml:space="preserve"> estate tax exclusion, and then limit appointive assets also subject to state estate tax.  For example, only “collectible assets with basis 70% or lower than fair market value at date of death, real estate with basis 60% or lower, or any other asset with a basis 50% or lower.”  The above percentages are approximations and clients and practitioners may deviate from these considerably, but the concept is to create some greater threshold for inclusion if state estate tax were to be paid.  Some clients may prefer to forego a basis increase at second death altogether if a 12-19% state estate or inheritance tax were incurred, on the theory that any capital gains tax can theoretically remain unrealized until the beneficiary’s death and receive an additional step up.  Depreciable assets may be preferred as appointive assets due to the ability of additional basis to decrease current taxation.     </w:t>
      </w:r>
    </w:p>
    <w:p w14:paraId="2A0D37F2" w14:textId="77777777" w:rsidR="005179B5" w:rsidRDefault="005179B5" w:rsidP="0053579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Practitioners in states with an estate/inheritance tax should consider whether to modify any formula to account for out of state real estate or tangible personal property.  Some states’ </w:t>
      </w:r>
      <w:r w:rsidR="002E586E">
        <w:rPr>
          <w:rFonts w:ascii="Calibri" w:hAnsi="Calibri" w:cs="Helv"/>
          <w:bCs/>
          <w:color w:val="000000"/>
        </w:rPr>
        <w:t xml:space="preserve">tax </w:t>
      </w:r>
      <w:r>
        <w:rPr>
          <w:rFonts w:ascii="Calibri" w:hAnsi="Calibri" w:cs="Helv"/>
          <w:bCs/>
          <w:color w:val="000000"/>
        </w:rPr>
        <w:t>regimes exempt such assets from tax altogether, in which case you would want any GPOA (or LPOA appointment triggering the DTT) to apply to those assets first without fear of causing additional state transfer tax.</w:t>
      </w:r>
      <w:r>
        <w:rPr>
          <w:rStyle w:val="FootnoteReference"/>
          <w:rFonts w:ascii="Calibri" w:hAnsi="Calibri" w:cs="Helv"/>
          <w:bCs/>
          <w:color w:val="000000"/>
        </w:rPr>
        <w:footnoteReference w:id="84"/>
      </w:r>
      <w:r>
        <w:rPr>
          <w:rFonts w:ascii="Calibri" w:hAnsi="Calibri" w:cs="Helv"/>
          <w:bCs/>
          <w:color w:val="000000"/>
        </w:rPr>
        <w:t xml:space="preserve">  </w:t>
      </w:r>
    </w:p>
    <w:p w14:paraId="127BD61F" w14:textId="77777777" w:rsidR="005179B5" w:rsidRDefault="005179B5" w:rsidP="0053579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Other states apply a convoluted percentage </w:t>
      </w:r>
      <w:r w:rsidR="002E586E">
        <w:rPr>
          <w:rFonts w:ascii="Calibri" w:hAnsi="Calibri" w:cs="Helv"/>
          <w:bCs/>
          <w:color w:val="000000"/>
        </w:rPr>
        <w:t xml:space="preserve">to tax out of state real estate and tangible property </w:t>
      </w:r>
      <w:r>
        <w:rPr>
          <w:rFonts w:ascii="Calibri" w:hAnsi="Calibri" w:cs="Helv"/>
          <w:bCs/>
          <w:color w:val="000000"/>
        </w:rPr>
        <w:t>(it smells unconstitutional, but it would probably be upheld).  For example, a taxpayer has $3 million estate, $1 million is out of state real estate and the state has $2 million exemption.  Rather than</w:t>
      </w:r>
      <w:r w:rsidR="00D362EC">
        <w:rPr>
          <w:rFonts w:ascii="Calibri" w:hAnsi="Calibri" w:cs="Helv"/>
          <w:bCs/>
          <w:color w:val="000000"/>
        </w:rPr>
        <w:t xml:space="preserve"> interpreting this as a $2 million net estate</w:t>
      </w:r>
      <w:r w:rsidR="002E586E">
        <w:rPr>
          <w:rFonts w:ascii="Calibri" w:hAnsi="Calibri" w:cs="Helv"/>
          <w:bCs/>
          <w:color w:val="000000"/>
        </w:rPr>
        <w:t xml:space="preserve"> for state tax purposes</w:t>
      </w:r>
      <w:r w:rsidR="00D362EC">
        <w:rPr>
          <w:rFonts w:ascii="Calibri" w:hAnsi="Calibri" w:cs="Helv"/>
          <w:bCs/>
          <w:color w:val="000000"/>
        </w:rPr>
        <w:t xml:space="preserve">, </w:t>
      </w:r>
      <w:r w:rsidR="002E586E">
        <w:rPr>
          <w:rFonts w:ascii="Calibri" w:hAnsi="Calibri" w:cs="Helv"/>
          <w:bCs/>
          <w:color w:val="000000"/>
        </w:rPr>
        <w:t xml:space="preserve">resulting in </w:t>
      </w:r>
      <w:r w:rsidR="00D362EC">
        <w:rPr>
          <w:rFonts w:ascii="Calibri" w:hAnsi="Calibri" w:cs="Helv"/>
          <w:bCs/>
          <w:color w:val="000000"/>
        </w:rPr>
        <w:t xml:space="preserve">$0 tax, this may result in a $3 million estate, tentative tax of $150,000, reduced by 1/3 due to the percentage of estate that is out of state property, or $100,000.  Would a client (or his beneficiaries) want to pay a </w:t>
      </w:r>
      <w:r w:rsidR="00D362EC" w:rsidRPr="00D362EC">
        <w:rPr>
          <w:rFonts w:ascii="Calibri" w:hAnsi="Calibri" w:cs="Helv"/>
          <w:bCs/>
          <w:i/>
          <w:color w:val="000000"/>
        </w:rPr>
        <w:t>reduced</w:t>
      </w:r>
      <w:r w:rsidR="00D362EC">
        <w:rPr>
          <w:rFonts w:ascii="Calibri" w:hAnsi="Calibri" w:cs="Helv"/>
          <w:bCs/>
          <w:color w:val="000000"/>
        </w:rPr>
        <w:t xml:space="preserve"> state estate tax to gain additional basis?  </w:t>
      </w:r>
      <w:r w:rsidR="002E586E">
        <w:rPr>
          <w:rFonts w:ascii="Calibri" w:hAnsi="Calibri" w:cs="Helv"/>
          <w:bCs/>
          <w:color w:val="000000"/>
        </w:rPr>
        <w:t>Again, it would depend on the nature of the asset, likely use in the hands of the beneficiary and its appreciation, but</w:t>
      </w:r>
      <w:r w:rsidR="00D362EC">
        <w:rPr>
          <w:rFonts w:ascii="Calibri" w:hAnsi="Calibri" w:cs="Helv"/>
          <w:bCs/>
          <w:color w:val="000000"/>
        </w:rPr>
        <w:t xml:space="preserve"> </w:t>
      </w:r>
      <w:r w:rsidR="002E586E">
        <w:rPr>
          <w:rFonts w:ascii="Calibri" w:hAnsi="Calibri" w:cs="Helv"/>
          <w:bCs/>
          <w:color w:val="000000"/>
        </w:rPr>
        <w:t>it becomes a closer call if state tax is reduced.</w:t>
      </w:r>
    </w:p>
    <w:p w14:paraId="33D210BF" w14:textId="77777777" w:rsidR="007A5592" w:rsidRDefault="007A5592">
      <w:pPr>
        <w:rPr>
          <w:rFonts w:ascii="Calibri" w:hAnsi="Calibri" w:cs="Helv"/>
          <w:b/>
          <w:bCs/>
          <w:color w:val="000000"/>
        </w:rPr>
      </w:pPr>
      <w:r>
        <w:rPr>
          <w:rFonts w:ascii="Calibri" w:hAnsi="Calibri" w:cs="Helv"/>
          <w:b/>
          <w:bCs/>
          <w:color w:val="000000"/>
        </w:rPr>
        <w:br w:type="page"/>
      </w:r>
    </w:p>
    <w:p w14:paraId="1CD92CAE" w14:textId="77777777" w:rsidR="00491FB5" w:rsidRPr="00AD0839" w:rsidRDefault="00491FB5" w:rsidP="00180FD1">
      <w:pPr>
        <w:pStyle w:val="ListParagraph"/>
        <w:numPr>
          <w:ilvl w:val="0"/>
          <w:numId w:val="19"/>
        </w:numPr>
        <w:autoSpaceDE w:val="0"/>
        <w:autoSpaceDN w:val="0"/>
        <w:adjustRightInd w:val="0"/>
        <w:spacing w:line="360" w:lineRule="auto"/>
        <w:ind w:left="720" w:hanging="720"/>
        <w:rPr>
          <w:rFonts w:ascii="Calibri" w:hAnsi="Calibri" w:cs="Helv"/>
          <w:b/>
          <w:bCs/>
          <w:color w:val="000000"/>
        </w:rPr>
      </w:pPr>
      <w:r w:rsidRPr="00AD0839">
        <w:rPr>
          <w:rFonts w:ascii="Calibri" w:hAnsi="Calibri" w:cs="Helv"/>
          <w:b/>
          <w:bCs/>
          <w:color w:val="000000"/>
        </w:rPr>
        <w:lastRenderedPageBreak/>
        <w:t xml:space="preserve">Crafting GPOAs to Keep Fidelity to the Estate Plan and Preserve Asset Protection </w:t>
      </w:r>
    </w:p>
    <w:p w14:paraId="5293D904" w14:textId="77777777" w:rsidR="00491FB5" w:rsidRDefault="00491FB5" w:rsidP="0053579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This brings us to the second perceived drawback of such planning – the potential thwarting of an estate plan by the inclusion of a testamentary general power of appointment.  Remember that the IRS has historically bent over backwards to construe a GPOA, because in the past it produced more revenue than a more restrictive interpretation.</w:t>
      </w:r>
      <w:r w:rsidR="00275E70">
        <w:rPr>
          <w:rStyle w:val="FootnoteReference"/>
          <w:rFonts w:ascii="Calibri" w:hAnsi="Calibri" w:cs="Helv"/>
          <w:bCs/>
          <w:color w:val="000000"/>
        </w:rPr>
        <w:footnoteReference w:id="85"/>
      </w:r>
      <w:r>
        <w:rPr>
          <w:rFonts w:ascii="Calibri" w:hAnsi="Calibri" w:cs="Helv"/>
          <w:bCs/>
          <w:color w:val="000000"/>
        </w:rPr>
        <w:t xml:space="preserve">  Thankfully, we have a broad statute, regulations and many tax cases on which to rely, as well as favorable law in the asset protection context, so that GPOAs may pose little threat to the estate plan if properly constructed. </w:t>
      </w:r>
    </w:p>
    <w:p w14:paraId="51DB9C7A" w14:textId="77777777" w:rsidR="00491FB5" w:rsidRDefault="00491FB5" w:rsidP="008C4BF2">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If the GPOA marital deduction is claimed, any GPOA must include the spouse or spouse’s estate, not just creditors, and must be “exercisable by such spouse alone and in all events”.</w:t>
      </w:r>
      <w:r>
        <w:rPr>
          <w:rStyle w:val="FootnoteReference"/>
          <w:rFonts w:ascii="Calibri" w:hAnsi="Calibri" w:cs="Helv"/>
          <w:bCs/>
          <w:color w:val="000000"/>
        </w:rPr>
        <w:footnoteReference w:id="86"/>
      </w:r>
      <w:r>
        <w:rPr>
          <w:rFonts w:ascii="Calibri" w:hAnsi="Calibri" w:cs="Helv"/>
          <w:bCs/>
          <w:color w:val="000000"/>
        </w:rPr>
        <w:t xml:space="preserve">  However, if no marital deduction was claimed, as we aim to do in an Optimal Basis Increase Trust, the following limitations may be included: </w:t>
      </w:r>
    </w:p>
    <w:p w14:paraId="6385C458" w14:textId="77777777" w:rsidR="00491FB5" w:rsidRDefault="00491FB5" w:rsidP="0053579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A GPOA may limit the scope of eligible beneficiaries so long as creditors of the powerholder are included.  For example: “I grant my beneficiary the testamentary power to appoint to any of my descendants [or to any trust primarily therefore, which is usually an </w:t>
      </w:r>
      <w:r>
        <w:rPr>
          <w:rFonts w:ascii="Calibri" w:hAnsi="Calibri" w:cs="Helv"/>
          <w:bCs/>
          <w:color w:val="000000"/>
        </w:rPr>
        <w:lastRenderedPageBreak/>
        <w:t>option for trusts not designed to qualify as a “see through accumulation trust” for retirement benefits].</w:t>
      </w:r>
      <w:r w:rsidR="00601DEC">
        <w:rPr>
          <w:rStyle w:val="FootnoteReference"/>
          <w:rFonts w:ascii="Calibri" w:hAnsi="Calibri" w:cs="Helv"/>
          <w:bCs/>
          <w:color w:val="000000"/>
        </w:rPr>
        <w:footnoteReference w:id="87"/>
      </w:r>
      <w:r>
        <w:rPr>
          <w:rFonts w:ascii="Calibri" w:hAnsi="Calibri" w:cs="Helv"/>
          <w:bCs/>
          <w:color w:val="000000"/>
        </w:rPr>
        <w:t xml:space="preserve">  My beneficiary also may appoint to creditors of his or her estate.”</w:t>
      </w:r>
      <w:r>
        <w:rPr>
          <w:rStyle w:val="FootnoteReference"/>
          <w:rFonts w:ascii="Calibri" w:hAnsi="Calibri" w:cs="Helv"/>
          <w:bCs/>
          <w:color w:val="000000"/>
        </w:rPr>
        <w:footnoteReference w:id="88"/>
      </w:r>
    </w:p>
    <w:p w14:paraId="0FA92AD2" w14:textId="053038AA" w:rsidR="008E553D" w:rsidRDefault="00491FB5" w:rsidP="0053579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Furthermore, a power is still a GPOA if it may only be exercised with the consent of a non-adverse party.</w:t>
      </w:r>
      <w:r>
        <w:rPr>
          <w:rStyle w:val="FootnoteReference"/>
          <w:rFonts w:ascii="Calibri" w:hAnsi="Calibri" w:cs="Helv"/>
          <w:bCs/>
          <w:color w:val="000000"/>
        </w:rPr>
        <w:footnoteReference w:id="89"/>
      </w:r>
      <w:r>
        <w:rPr>
          <w:rFonts w:ascii="Calibri" w:hAnsi="Calibri" w:cs="Helv"/>
          <w:bCs/>
          <w:color w:val="000000"/>
        </w:rPr>
        <w:t xml:space="preserve">  </w:t>
      </w:r>
      <w:r w:rsidR="0046625F">
        <w:rPr>
          <w:rFonts w:ascii="Calibri" w:hAnsi="Calibri" w:cs="Helv"/>
          <w:bCs/>
          <w:color w:val="000000"/>
        </w:rPr>
        <w:t xml:space="preserve">Who is “adverse”?  Generally, it is someone with a present or future chance to obtain a </w:t>
      </w:r>
      <w:r w:rsidR="003837D2">
        <w:rPr>
          <w:rFonts w:ascii="Calibri" w:hAnsi="Calibri" w:cs="Helv"/>
          <w:bCs/>
          <w:color w:val="000000"/>
        </w:rPr>
        <w:t xml:space="preserve">substantial </w:t>
      </w:r>
      <w:r w:rsidR="0046625F">
        <w:rPr>
          <w:rFonts w:ascii="Calibri" w:hAnsi="Calibri" w:cs="Helv"/>
          <w:bCs/>
          <w:color w:val="000000"/>
        </w:rPr>
        <w:t>personal benefit from the property – not all beneficiaries would always be adverse.</w:t>
      </w:r>
      <w:r w:rsidR="0046625F">
        <w:rPr>
          <w:rStyle w:val="FootnoteReference"/>
          <w:rFonts w:ascii="Calibri" w:hAnsi="Calibri" w:cs="Helv"/>
          <w:bCs/>
          <w:color w:val="000000"/>
        </w:rPr>
        <w:footnoteReference w:id="90"/>
      </w:r>
      <w:r w:rsidR="0046625F">
        <w:rPr>
          <w:rFonts w:ascii="Calibri" w:hAnsi="Calibri" w:cs="Helv"/>
          <w:bCs/>
          <w:color w:val="000000"/>
        </w:rPr>
        <w:t xml:space="preserve">  </w:t>
      </w:r>
      <w:r w:rsidR="008E553D">
        <w:rPr>
          <w:rFonts w:ascii="Calibri" w:hAnsi="Calibri" w:cs="Helv"/>
          <w:bCs/>
          <w:color w:val="000000"/>
        </w:rPr>
        <w:t xml:space="preserve">The jurisprudence is strongly in favor of finding parties to be non-adverse.  In one Revenue Ruling, even a child who was a clear default remainder beneficiary of a trust was not considered adverse to her mother, who had a power to appoint to herself with </w:t>
      </w:r>
      <w:r w:rsidR="008E553D">
        <w:rPr>
          <w:rFonts w:ascii="Calibri" w:hAnsi="Calibri" w:cs="Helv"/>
          <w:bCs/>
          <w:color w:val="000000"/>
        </w:rPr>
        <w:lastRenderedPageBreak/>
        <w:t>permission of her child.  Why?  Because the child could have been divested via mom’s special testamentary power of appointment, making her insufficiently adverse!</w:t>
      </w:r>
      <w:r w:rsidR="008E553D">
        <w:rPr>
          <w:rStyle w:val="FootnoteReference"/>
          <w:rFonts w:ascii="Calibri" w:hAnsi="Calibri" w:cs="Helv"/>
          <w:bCs/>
          <w:color w:val="000000"/>
        </w:rPr>
        <w:footnoteReference w:id="91"/>
      </w:r>
    </w:p>
    <w:p w14:paraId="40CA3FB1" w14:textId="77777777" w:rsidR="00491FB5" w:rsidRDefault="00491FB5" w:rsidP="0053579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Surprisingly, even a trustee</w:t>
      </w:r>
      <w:r w:rsidR="004001B6">
        <w:rPr>
          <w:rFonts w:ascii="Calibri" w:hAnsi="Calibri" w:cs="Helv"/>
          <w:bCs/>
          <w:color w:val="000000"/>
        </w:rPr>
        <w:t xml:space="preserve"> with fiduciary duties to </w:t>
      </w:r>
      <w:r>
        <w:rPr>
          <w:rFonts w:ascii="Calibri" w:hAnsi="Calibri" w:cs="Helv"/>
          <w:bCs/>
          <w:color w:val="000000"/>
        </w:rPr>
        <w:t>beneficiaries</w:t>
      </w:r>
      <w:r w:rsidR="0046625F">
        <w:rPr>
          <w:rFonts w:ascii="Calibri" w:hAnsi="Calibri" w:cs="Helv"/>
          <w:bCs/>
          <w:color w:val="000000"/>
        </w:rPr>
        <w:t xml:space="preserve"> who would clearly be adverse</w:t>
      </w:r>
      <w:r>
        <w:rPr>
          <w:rFonts w:ascii="Calibri" w:hAnsi="Calibri" w:cs="Helv"/>
          <w:bCs/>
          <w:color w:val="000000"/>
        </w:rPr>
        <w:t xml:space="preserve"> is not considered adverse</w:t>
      </w:r>
      <w:r w:rsidR="0046625F">
        <w:rPr>
          <w:rFonts w:ascii="Calibri" w:hAnsi="Calibri" w:cs="Helv"/>
          <w:bCs/>
          <w:color w:val="000000"/>
        </w:rPr>
        <w:t xml:space="preserve"> itself</w:t>
      </w:r>
      <w:r>
        <w:rPr>
          <w:rFonts w:ascii="Calibri" w:hAnsi="Calibri" w:cs="Helv"/>
          <w:bCs/>
          <w:color w:val="000000"/>
        </w:rPr>
        <w:t>.</w:t>
      </w:r>
      <w:r>
        <w:rPr>
          <w:rStyle w:val="FootnoteReference"/>
          <w:rFonts w:ascii="Calibri" w:hAnsi="Calibri" w:cs="Helv"/>
          <w:bCs/>
          <w:color w:val="000000"/>
        </w:rPr>
        <w:footnoteReference w:id="92"/>
      </w:r>
      <w:r>
        <w:rPr>
          <w:rFonts w:ascii="Calibri" w:hAnsi="Calibri" w:cs="Helv"/>
          <w:bCs/>
          <w:color w:val="000000"/>
        </w:rPr>
        <w:t xml:space="preserve">  For example, one might add to the above: “However, my beneficiary may only exercise said appointment with the consent of [name of non-adverse party, </w:t>
      </w:r>
      <w:r w:rsidR="0012196F">
        <w:rPr>
          <w:rFonts w:ascii="Calibri" w:hAnsi="Calibri" w:cs="Helv"/>
          <w:bCs/>
          <w:color w:val="000000"/>
        </w:rPr>
        <w:t>and/</w:t>
      </w:r>
      <w:r w:rsidR="0046625F">
        <w:rPr>
          <w:rFonts w:ascii="Calibri" w:hAnsi="Calibri" w:cs="Helv"/>
          <w:bCs/>
          <w:color w:val="000000"/>
        </w:rPr>
        <w:t>or] my trustee</w:t>
      </w:r>
      <w:r w:rsidR="008154F6">
        <w:rPr>
          <w:rFonts w:ascii="Calibri" w:hAnsi="Calibri" w:cs="Helv"/>
          <w:bCs/>
          <w:color w:val="000000"/>
        </w:rPr>
        <w:t xml:space="preserve"> [or trust protector]</w:t>
      </w:r>
      <w:r>
        <w:rPr>
          <w:rFonts w:ascii="Calibri" w:hAnsi="Calibri" w:cs="Helv"/>
          <w:bCs/>
          <w:color w:val="000000"/>
        </w:rPr>
        <w:t xml:space="preserve">.”  </w:t>
      </w:r>
      <w:r w:rsidR="008154F6">
        <w:rPr>
          <w:rFonts w:ascii="Calibri" w:hAnsi="Calibri" w:cs="Helv"/>
          <w:bCs/>
          <w:color w:val="000000"/>
        </w:rPr>
        <w:t>Courts generally uphold such preconditions on exercise.</w:t>
      </w:r>
      <w:r w:rsidR="008154F6">
        <w:rPr>
          <w:rStyle w:val="FootnoteReference"/>
          <w:rFonts w:ascii="Calibri" w:hAnsi="Calibri" w:cs="Helv"/>
          <w:bCs/>
          <w:color w:val="000000"/>
        </w:rPr>
        <w:footnoteReference w:id="93"/>
      </w:r>
      <w:r w:rsidR="008154F6">
        <w:rPr>
          <w:rFonts w:ascii="Calibri" w:hAnsi="Calibri" w:cs="Helv"/>
          <w:bCs/>
          <w:color w:val="000000"/>
        </w:rPr>
        <w:t xml:space="preserve">  </w:t>
      </w:r>
      <w:r w:rsidR="007C709E">
        <w:rPr>
          <w:rFonts w:ascii="Calibri" w:hAnsi="Calibri" w:cs="Helv"/>
          <w:bCs/>
          <w:color w:val="000000"/>
        </w:rPr>
        <w:t>It is unclear whether a beneficiary/trustee would be adverse – for planning purposes, assume it could be either.  Therefore</w:t>
      </w:r>
      <w:r w:rsidR="007A5592">
        <w:rPr>
          <w:rFonts w:ascii="Calibri" w:hAnsi="Calibri" w:cs="Helv"/>
          <w:bCs/>
          <w:color w:val="000000"/>
        </w:rPr>
        <w:t>,</w:t>
      </w:r>
      <w:r w:rsidR="007C709E">
        <w:rPr>
          <w:rFonts w:ascii="Calibri" w:hAnsi="Calibri" w:cs="Helv"/>
          <w:bCs/>
          <w:color w:val="000000"/>
        </w:rPr>
        <w:t xml:space="preserve"> i</w:t>
      </w:r>
      <w:r>
        <w:rPr>
          <w:rFonts w:ascii="Calibri" w:hAnsi="Calibri" w:cs="Helv"/>
          <w:bCs/>
          <w:color w:val="000000"/>
        </w:rPr>
        <w:t>f you name a trustee</w:t>
      </w:r>
      <w:r w:rsidR="007C709E">
        <w:rPr>
          <w:rFonts w:ascii="Calibri" w:hAnsi="Calibri" w:cs="Helv"/>
          <w:bCs/>
          <w:color w:val="000000"/>
        </w:rPr>
        <w:t xml:space="preserve"> as an intended non-adverse consenting party, then </w:t>
      </w:r>
      <w:r w:rsidR="0046625F">
        <w:rPr>
          <w:rFonts w:ascii="Calibri" w:hAnsi="Calibri" w:cs="Helv"/>
          <w:bCs/>
          <w:color w:val="000000"/>
        </w:rPr>
        <w:t xml:space="preserve">make sure the trustee is not a beneficiary, and perhaps insert </w:t>
      </w:r>
      <w:r>
        <w:rPr>
          <w:rFonts w:ascii="Calibri" w:hAnsi="Calibri" w:cs="Helv"/>
          <w:bCs/>
          <w:color w:val="000000"/>
        </w:rPr>
        <w:t xml:space="preserve">provisions to enable appointment of a non-adverse party as trustee if, for instance, a beneficiary were the successor trustee (and adverse) and the beneficiary actually attempted to appoint to their creditors.  If you name a non-adverse party, make sure to name alternates in the event the first is deceased or incapacitated.  In theory, one could name multiple non-adverse parties necessary for unanimous consent, but pushing </w:t>
      </w:r>
      <w:r w:rsidR="004001B6">
        <w:rPr>
          <w:rFonts w:ascii="Calibri" w:hAnsi="Calibri" w:cs="Helv"/>
          <w:bCs/>
          <w:color w:val="000000"/>
        </w:rPr>
        <w:t xml:space="preserve">that </w:t>
      </w:r>
      <w:r>
        <w:rPr>
          <w:rFonts w:ascii="Calibri" w:hAnsi="Calibri" w:cs="Helv"/>
          <w:bCs/>
          <w:color w:val="000000"/>
        </w:rPr>
        <w:t xml:space="preserve">envelope is hardly necessary.  </w:t>
      </w:r>
    </w:p>
    <w:p w14:paraId="21A73094" w14:textId="77777777" w:rsidR="00D3124A" w:rsidRPr="00EF6632" w:rsidRDefault="00D3124A" w:rsidP="00535798">
      <w:pPr>
        <w:autoSpaceDE w:val="0"/>
        <w:autoSpaceDN w:val="0"/>
        <w:adjustRightInd w:val="0"/>
        <w:spacing w:line="360" w:lineRule="auto"/>
        <w:ind w:firstLine="720"/>
        <w:rPr>
          <w:rFonts w:asciiTheme="minorHAnsi" w:hAnsiTheme="minorHAnsi" w:cs="Helv"/>
          <w:bCs/>
          <w:sz w:val="28"/>
        </w:rPr>
      </w:pPr>
      <w:r>
        <w:rPr>
          <w:rFonts w:ascii="Calibri" w:hAnsi="Calibri" w:cs="Helv"/>
          <w:bCs/>
        </w:rPr>
        <w:lastRenderedPageBreak/>
        <w:t xml:space="preserve">Even more surprising </w:t>
      </w:r>
      <w:r w:rsidR="000652AA">
        <w:rPr>
          <w:rFonts w:ascii="Calibri" w:hAnsi="Calibri" w:cs="Helv"/>
          <w:bCs/>
        </w:rPr>
        <w:t>is that requiring</w:t>
      </w:r>
      <w:r>
        <w:rPr>
          <w:rFonts w:ascii="Calibri" w:hAnsi="Calibri" w:cs="Helv"/>
          <w:bCs/>
        </w:rPr>
        <w:t xml:space="preserve"> consent of a </w:t>
      </w:r>
      <w:r w:rsidRPr="00243DB5">
        <w:rPr>
          <w:rFonts w:ascii="Calibri" w:hAnsi="Calibri" w:cs="Helv"/>
          <w:bCs/>
          <w:i/>
        </w:rPr>
        <w:t>probate court</w:t>
      </w:r>
      <w:r>
        <w:rPr>
          <w:rFonts w:ascii="Calibri" w:hAnsi="Calibri" w:cs="Helv"/>
          <w:bCs/>
        </w:rPr>
        <w:t xml:space="preserve"> </w:t>
      </w:r>
      <w:r w:rsidR="00243DB5">
        <w:rPr>
          <w:rFonts w:ascii="Calibri" w:hAnsi="Calibri" w:cs="Helv"/>
          <w:bCs/>
        </w:rPr>
        <w:t xml:space="preserve">to exercise a power </w:t>
      </w:r>
      <w:r>
        <w:rPr>
          <w:rFonts w:ascii="Calibri" w:hAnsi="Calibri" w:cs="Helv"/>
          <w:bCs/>
        </w:rPr>
        <w:t>may be treated similarly to consent of a non-adverse, independent trustee.</w:t>
      </w:r>
      <w:r>
        <w:rPr>
          <w:rStyle w:val="FootnoteReference"/>
          <w:rFonts w:ascii="Calibri" w:hAnsi="Calibri" w:cs="Helv"/>
          <w:bCs/>
        </w:rPr>
        <w:footnoteReference w:id="94"/>
      </w:r>
      <w:r>
        <w:rPr>
          <w:rFonts w:ascii="Calibri" w:hAnsi="Calibri" w:cs="Helv"/>
          <w:bCs/>
        </w:rPr>
        <w:t xml:space="preserve">  In </w:t>
      </w:r>
      <w:r w:rsidRPr="00243DB5">
        <w:rPr>
          <w:rFonts w:ascii="Calibri" w:hAnsi="Calibri" w:cs="Helv"/>
          <w:bCs/>
          <w:i/>
        </w:rPr>
        <w:t>Picciano</w:t>
      </w:r>
      <w:r>
        <w:rPr>
          <w:rFonts w:ascii="Calibri" w:hAnsi="Calibri" w:cs="Helv"/>
          <w:bCs/>
        </w:rPr>
        <w:t xml:space="preserve">, the </w:t>
      </w:r>
      <w:r w:rsidR="00243DB5">
        <w:rPr>
          <w:rFonts w:ascii="Calibri" w:hAnsi="Calibri" w:cs="Helv"/>
          <w:bCs/>
        </w:rPr>
        <w:t xml:space="preserve">decedent </w:t>
      </w:r>
      <w:r w:rsidR="00243DB5" w:rsidRPr="00243DB5">
        <w:rPr>
          <w:rFonts w:ascii="Calibri" w:hAnsi="Calibri" w:cs="Helv"/>
          <w:bCs/>
        </w:rPr>
        <w:t xml:space="preserve">was required to obtain </w:t>
      </w:r>
      <w:r w:rsidR="00243DB5">
        <w:rPr>
          <w:rFonts w:ascii="Calibri" w:hAnsi="Calibri" w:cs="Helv"/>
          <w:bCs/>
        </w:rPr>
        <w:t>a probate</w:t>
      </w:r>
      <w:r w:rsidR="00243DB5" w:rsidRPr="00243DB5">
        <w:rPr>
          <w:rFonts w:ascii="Calibri" w:hAnsi="Calibri" w:cs="Helv"/>
          <w:bCs/>
        </w:rPr>
        <w:t xml:space="preserve"> court's consent before selling or conveying the property</w:t>
      </w:r>
      <w:r w:rsidR="00243DB5">
        <w:rPr>
          <w:rFonts w:ascii="Calibri" w:hAnsi="Calibri" w:cs="Helv"/>
          <w:bCs/>
        </w:rPr>
        <w:t xml:space="preserve"> left to her by her late husband over which she effectively had a power of appointment.  Citing </w:t>
      </w:r>
      <w:r w:rsidR="000652AA">
        <w:rPr>
          <w:rFonts w:ascii="Calibri" w:hAnsi="Calibri" w:cs="Helv"/>
          <w:bCs/>
        </w:rPr>
        <w:t xml:space="preserve">and comparing </w:t>
      </w:r>
      <w:r w:rsidR="00243DB5" w:rsidRPr="00243DB5">
        <w:rPr>
          <w:rFonts w:ascii="Calibri" w:hAnsi="Calibri" w:cs="Helv"/>
          <w:bCs/>
          <w:i/>
        </w:rPr>
        <w:t>Towle</w:t>
      </w:r>
      <w:r w:rsidR="000652AA">
        <w:rPr>
          <w:rFonts w:ascii="Calibri" w:hAnsi="Calibri" w:cs="Helv"/>
          <w:bCs/>
          <w:i/>
        </w:rPr>
        <w:t xml:space="preserve"> (cited above)</w:t>
      </w:r>
      <w:r w:rsidR="00243DB5">
        <w:rPr>
          <w:rFonts w:ascii="Calibri" w:hAnsi="Calibri" w:cs="Helv"/>
          <w:bCs/>
        </w:rPr>
        <w:t xml:space="preserve"> and numerous other cases, the </w:t>
      </w:r>
      <w:r w:rsidR="00243DB5" w:rsidRPr="00243DB5">
        <w:rPr>
          <w:rFonts w:ascii="Calibri" w:hAnsi="Calibri" w:cs="Helv"/>
          <w:bCs/>
          <w:i/>
        </w:rPr>
        <w:t>Picciano</w:t>
      </w:r>
      <w:r w:rsidR="00243DB5">
        <w:rPr>
          <w:rFonts w:ascii="Calibri" w:hAnsi="Calibri" w:cs="Helv"/>
          <w:bCs/>
        </w:rPr>
        <w:t xml:space="preserve"> court found that the </w:t>
      </w:r>
      <w:r w:rsidR="000652AA" w:rsidRPr="00395A6A">
        <w:rPr>
          <w:rFonts w:asciiTheme="minorHAnsi" w:hAnsiTheme="minorHAnsi"/>
          <w:bCs/>
        </w:rPr>
        <w:t>“</w:t>
      </w:r>
      <w:r w:rsidR="000652AA" w:rsidRPr="00395A6A">
        <w:rPr>
          <w:rFonts w:asciiTheme="minorHAnsi" w:hAnsiTheme="minorHAnsi"/>
        </w:rPr>
        <w:t>Probate Court had no "interest" in the property passing under the Bunnell will because that Court could in no way benefit from that property. It could be said that the Clermont County Probate Court stood as a trustee, but as such it did not stand in the place of the remaindermen such that it had an interest adverse to that of the deceased.”</w:t>
      </w:r>
      <w:r w:rsidR="00395A6A">
        <w:rPr>
          <w:rStyle w:val="FootnoteReference"/>
          <w:rFonts w:asciiTheme="minorHAnsi" w:hAnsiTheme="minorHAnsi"/>
        </w:rPr>
        <w:footnoteReference w:id="95"/>
      </w:r>
      <w:r w:rsidR="000652AA" w:rsidRPr="00395A6A">
        <w:rPr>
          <w:szCs w:val="20"/>
        </w:rPr>
        <w:t xml:space="preserve">  </w:t>
      </w:r>
      <w:r w:rsidR="000652AA" w:rsidRPr="00EF6632">
        <w:rPr>
          <w:rFonts w:asciiTheme="minorHAnsi" w:hAnsiTheme="minorHAnsi"/>
          <w:szCs w:val="20"/>
        </w:rPr>
        <w:t xml:space="preserve">Thus, </w:t>
      </w:r>
      <w:r w:rsidR="00B67F2B" w:rsidRPr="00240A9A">
        <w:rPr>
          <w:rFonts w:asciiTheme="minorHAnsi" w:hAnsiTheme="minorHAnsi"/>
          <w:i/>
          <w:szCs w:val="20"/>
        </w:rPr>
        <w:t xml:space="preserve">even </w:t>
      </w:r>
      <w:r w:rsidR="000652AA" w:rsidRPr="00240A9A">
        <w:rPr>
          <w:rFonts w:asciiTheme="minorHAnsi" w:hAnsiTheme="minorHAnsi"/>
          <w:i/>
          <w:szCs w:val="20"/>
        </w:rPr>
        <w:t>requiring probate court approval to exercise</w:t>
      </w:r>
      <w:r w:rsidR="00B67F2B" w:rsidRPr="00240A9A">
        <w:rPr>
          <w:rFonts w:asciiTheme="minorHAnsi" w:hAnsiTheme="minorHAnsi"/>
          <w:i/>
          <w:szCs w:val="20"/>
        </w:rPr>
        <w:t xml:space="preserve"> a </w:t>
      </w:r>
      <w:r w:rsidR="00240A9A">
        <w:rPr>
          <w:rFonts w:asciiTheme="minorHAnsi" w:hAnsiTheme="minorHAnsi"/>
          <w:i/>
          <w:szCs w:val="20"/>
        </w:rPr>
        <w:t xml:space="preserve">testamentary </w:t>
      </w:r>
      <w:r w:rsidR="00B67F2B" w:rsidRPr="00240A9A">
        <w:rPr>
          <w:rFonts w:asciiTheme="minorHAnsi" w:hAnsiTheme="minorHAnsi"/>
          <w:i/>
          <w:szCs w:val="20"/>
        </w:rPr>
        <w:t>power</w:t>
      </w:r>
      <w:r w:rsidR="000652AA" w:rsidRPr="00240A9A">
        <w:rPr>
          <w:rFonts w:asciiTheme="minorHAnsi" w:hAnsiTheme="minorHAnsi"/>
          <w:i/>
          <w:szCs w:val="20"/>
        </w:rPr>
        <w:t xml:space="preserve"> does not negate a general power of appointment</w:t>
      </w:r>
      <w:r w:rsidR="000652AA" w:rsidRPr="00EF6632">
        <w:rPr>
          <w:rFonts w:asciiTheme="minorHAnsi" w:hAnsiTheme="minorHAnsi"/>
          <w:szCs w:val="20"/>
        </w:rPr>
        <w:t>.</w:t>
      </w:r>
    </w:p>
    <w:p w14:paraId="29F2BDDB" w14:textId="77777777" w:rsidR="00491FB5" w:rsidRPr="00FE45FD" w:rsidRDefault="00B67F2B" w:rsidP="00535798">
      <w:pPr>
        <w:autoSpaceDE w:val="0"/>
        <w:autoSpaceDN w:val="0"/>
        <w:adjustRightInd w:val="0"/>
        <w:spacing w:line="360" w:lineRule="auto"/>
        <w:ind w:firstLine="720"/>
        <w:rPr>
          <w:rFonts w:ascii="Calibri" w:hAnsi="Calibri" w:cs="Helv"/>
          <w:bCs/>
        </w:rPr>
      </w:pPr>
      <w:r>
        <w:rPr>
          <w:rFonts w:ascii="Calibri" w:hAnsi="Calibri" w:cs="Helv"/>
          <w:bCs/>
        </w:rPr>
        <w:t>Furthermore, a general power of appointment</w:t>
      </w:r>
      <w:r w:rsidR="00491FB5" w:rsidRPr="00FE45FD">
        <w:rPr>
          <w:rFonts w:ascii="Calibri" w:hAnsi="Calibri" w:cs="Helv"/>
          <w:bCs/>
        </w:rPr>
        <w:t xml:space="preserve"> is </w:t>
      </w:r>
      <w:r w:rsidR="00491FB5">
        <w:rPr>
          <w:rFonts w:ascii="Calibri" w:hAnsi="Calibri" w:cs="Helv"/>
          <w:bCs/>
        </w:rPr>
        <w:t>“</w:t>
      </w:r>
      <w:r w:rsidR="00491FB5" w:rsidRPr="00FE45FD">
        <w:rPr>
          <w:rFonts w:ascii="Calibri" w:hAnsi="Calibri" w:cs="Helv"/>
          <w:bCs/>
        </w:rPr>
        <w:t xml:space="preserve">considered to exist </w:t>
      </w:r>
      <w:r w:rsidR="00491FB5" w:rsidRPr="00FE45FD">
        <w:rPr>
          <w:rFonts w:ascii="Calibri" w:hAnsi="Calibri"/>
        </w:rPr>
        <w:t>on the date of a decedent's death even though the exercise of the power is subject to the precedent giving of notice, or even though the exercise of the power takes effect only on the expiration of a stated period after its exercise, whether or not on or before the decedent's death notice has been given or the power has been exercised.</w:t>
      </w:r>
      <w:r w:rsidR="00491FB5">
        <w:rPr>
          <w:rFonts w:ascii="Calibri" w:hAnsi="Calibri"/>
        </w:rPr>
        <w:t>”</w:t>
      </w:r>
      <w:r w:rsidR="00491FB5">
        <w:rPr>
          <w:rStyle w:val="FootnoteReference"/>
          <w:rFonts w:ascii="Calibri" w:hAnsi="Calibri"/>
        </w:rPr>
        <w:footnoteReference w:id="96"/>
      </w:r>
      <w:r w:rsidR="00491FB5">
        <w:rPr>
          <w:rFonts w:ascii="Calibri" w:hAnsi="Calibri"/>
        </w:rPr>
        <w:t xml:space="preserve">  This offers even more opportunity to make GPOAs more difficult to actually exercise, yet still come within the safe harbor of a treasury regulation.</w:t>
      </w:r>
    </w:p>
    <w:p w14:paraId="6A31BEDB" w14:textId="77777777" w:rsidR="00491FB5" w:rsidRDefault="00491FB5" w:rsidP="0053579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If there is a qualified plan or IRA payable to the trust designed to be a see through trust (specifically, an “accumulation” trust, it would not be necessary for a “conduit” trust), one might consider a further restriction to prevent disqualification – “to creditors who are individual persons younger than my beneficiary” (a technique </w:t>
      </w:r>
      <w:r w:rsidRPr="00203CBC">
        <w:rPr>
          <w:rFonts w:ascii="Calibri" w:hAnsi="Calibri" w:cs="Helv"/>
          <w:bCs/>
          <w:i/>
          <w:color w:val="000000"/>
        </w:rPr>
        <w:t>seemingly</w:t>
      </w:r>
      <w:r>
        <w:rPr>
          <w:rFonts w:ascii="Calibri" w:hAnsi="Calibri" w:cs="Helv"/>
          <w:bCs/>
          <w:color w:val="000000"/>
        </w:rPr>
        <w:t xml:space="preserve"> blessed by a recent PLR that permitted such a circumscribed GPOA to retain see through trust status).</w:t>
      </w:r>
      <w:r>
        <w:rPr>
          <w:rStyle w:val="FootnoteReference"/>
          <w:rFonts w:ascii="Calibri" w:hAnsi="Calibri" w:cs="Helv"/>
          <w:bCs/>
          <w:color w:val="000000"/>
        </w:rPr>
        <w:footnoteReference w:id="97"/>
      </w:r>
      <w:r>
        <w:rPr>
          <w:rFonts w:ascii="Calibri" w:hAnsi="Calibri" w:cs="Helv"/>
          <w:bCs/>
          <w:color w:val="000000"/>
        </w:rPr>
        <w:t xml:space="preserve">  Although </w:t>
      </w:r>
      <w:r>
        <w:rPr>
          <w:rFonts w:ascii="Calibri" w:hAnsi="Calibri" w:cs="Helv"/>
          <w:bCs/>
          <w:color w:val="000000"/>
        </w:rPr>
        <w:lastRenderedPageBreak/>
        <w:t>the OBIT techniques herein to increase basis would not apply to IRAs or qualified plans,</w:t>
      </w:r>
      <w:r>
        <w:rPr>
          <w:rStyle w:val="FootnoteReference"/>
          <w:rFonts w:ascii="Calibri" w:hAnsi="Calibri" w:cs="Helv"/>
          <w:bCs/>
          <w:color w:val="000000"/>
        </w:rPr>
        <w:footnoteReference w:id="98"/>
      </w:r>
      <w:r>
        <w:rPr>
          <w:rFonts w:ascii="Calibri" w:hAnsi="Calibri" w:cs="Helv"/>
          <w:bCs/>
          <w:color w:val="000000"/>
        </w:rPr>
        <w:t xml:space="preserve"> you may have a GST non-exempt share over which a GPOA is desired.  It would probably be preferred to use a conduit trust, but if for some reason that is undesirable, there may not be a lot to lose in circumscribing the GPOA in this manner as applied to such a trust.</w:t>
      </w:r>
      <w:r w:rsidR="00FB7FA3">
        <w:rPr>
          <w:rFonts w:ascii="Calibri" w:hAnsi="Calibri" w:cs="Helv"/>
          <w:bCs/>
          <w:color w:val="000000"/>
        </w:rPr>
        <w:t xml:space="preserve">  </w:t>
      </w:r>
    </w:p>
    <w:p w14:paraId="6837689A" w14:textId="77777777" w:rsidR="00491FB5" w:rsidRDefault="00491FB5" w:rsidP="00774F66">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Generally, I would not attempt to limit a GPOA in this manner for any non-standalone IRA accumulation trust – requiring appropriate non-adverse parties’ consent should be more than adequate to prevent unwanted exercise.  Although I could find no discussion in any </w:t>
      </w:r>
      <w:r w:rsidR="00240A9A">
        <w:rPr>
          <w:rFonts w:ascii="Calibri" w:hAnsi="Calibri" w:cs="Helv"/>
          <w:bCs/>
          <w:color w:val="000000"/>
        </w:rPr>
        <w:t>treatise</w:t>
      </w:r>
      <w:r>
        <w:rPr>
          <w:rFonts w:ascii="Calibri" w:hAnsi="Calibri" w:cs="Helv"/>
          <w:bCs/>
          <w:color w:val="000000"/>
        </w:rPr>
        <w:t xml:space="preserve">, case or otherwise, a reasonable interpretation might be that an attempted GPOA relying on the ability to appoint to creditors must include commonly found creditors to avoid being illusory.  That said, it may still be prudent to limit the power to appoint to creditors to the amount of the </w:t>
      </w:r>
      <w:r w:rsidR="00CD6AC7" w:rsidRPr="00CD6AC7">
        <w:rPr>
          <w:rFonts w:ascii="Calibri" w:hAnsi="Calibri" w:cs="Helv"/>
          <w:bCs/>
          <w:i/>
          <w:color w:val="000000"/>
        </w:rPr>
        <w:t>legally enforceable</w:t>
      </w:r>
      <w:r w:rsidR="00CD6AC7">
        <w:rPr>
          <w:rFonts w:ascii="Calibri" w:hAnsi="Calibri" w:cs="Helv"/>
          <w:bCs/>
          <w:color w:val="000000"/>
        </w:rPr>
        <w:t xml:space="preserve"> </w:t>
      </w:r>
      <w:r>
        <w:rPr>
          <w:rFonts w:ascii="Calibri" w:hAnsi="Calibri" w:cs="Helv"/>
          <w:bCs/>
          <w:color w:val="000000"/>
        </w:rPr>
        <w:t xml:space="preserve">debt and to reasonably equivalent value for contractual debt.  Otherwise, a powerholder could </w:t>
      </w:r>
      <w:r w:rsidR="00EB69FB">
        <w:rPr>
          <w:rFonts w:ascii="Calibri" w:hAnsi="Calibri" w:cs="Helv"/>
          <w:bCs/>
          <w:color w:val="000000"/>
        </w:rPr>
        <w:t>in theory</w:t>
      </w:r>
      <w:r>
        <w:rPr>
          <w:rFonts w:ascii="Calibri" w:hAnsi="Calibri" w:cs="Helv"/>
          <w:bCs/>
          <w:color w:val="000000"/>
        </w:rPr>
        <w:t xml:space="preserve"> borrow $1 from anyone and/or promise to pay unlimited amounts in exchange for some peppercorn of </w:t>
      </w:r>
      <w:r w:rsidR="00EB69FB">
        <w:rPr>
          <w:rFonts w:ascii="Calibri" w:hAnsi="Calibri" w:cs="Helv"/>
          <w:bCs/>
          <w:color w:val="000000"/>
        </w:rPr>
        <w:t xml:space="preserve">valid </w:t>
      </w:r>
      <w:r>
        <w:rPr>
          <w:rFonts w:ascii="Calibri" w:hAnsi="Calibri" w:cs="Helv"/>
          <w:bCs/>
          <w:color w:val="000000"/>
        </w:rPr>
        <w:t>consideration to enable an appointment of all the assets to whomever they wished.</w:t>
      </w:r>
      <w:r w:rsidR="009347B9">
        <w:rPr>
          <w:rStyle w:val="FootnoteReference"/>
          <w:rFonts w:ascii="Calibri" w:hAnsi="Calibri" w:cs="Helv"/>
          <w:bCs/>
          <w:color w:val="000000"/>
        </w:rPr>
        <w:footnoteReference w:id="99"/>
      </w:r>
    </w:p>
    <w:p w14:paraId="20B1660E" w14:textId="3ACC6444" w:rsidR="00B55D50" w:rsidRDefault="00B55D50" w:rsidP="00537D68">
      <w:pPr>
        <w:autoSpaceDE w:val="0"/>
        <w:autoSpaceDN w:val="0"/>
        <w:adjustRightInd w:val="0"/>
        <w:spacing w:line="360" w:lineRule="auto"/>
        <w:ind w:firstLine="720"/>
        <w:rPr>
          <w:rFonts w:ascii="Calibri" w:hAnsi="Calibri" w:cs="Calibri"/>
        </w:rPr>
      </w:pPr>
      <w:r>
        <w:rPr>
          <w:rFonts w:ascii="Calibri" w:hAnsi="Calibri" w:cs="Calibri"/>
        </w:rPr>
        <w:t xml:space="preserve">In addition, any “consent” provision should ensure that there are backups and defaults to ensure </w:t>
      </w:r>
      <w:r w:rsidR="00537D68">
        <w:rPr>
          <w:rFonts w:ascii="Calibri" w:hAnsi="Calibri" w:cs="Calibri"/>
        </w:rPr>
        <w:t>that the</w:t>
      </w:r>
      <w:r w:rsidR="00240A9A">
        <w:rPr>
          <w:rFonts w:ascii="Calibri" w:hAnsi="Calibri" w:cs="Calibri"/>
        </w:rPr>
        <w:t>re is</w:t>
      </w:r>
      <w:r w:rsidR="00537D68">
        <w:rPr>
          <w:rFonts w:ascii="Calibri" w:hAnsi="Calibri" w:cs="Calibri"/>
        </w:rPr>
        <w:t xml:space="preserve"> consenting party </w:t>
      </w:r>
      <w:r w:rsidR="00240A9A">
        <w:rPr>
          <w:rFonts w:ascii="Calibri" w:hAnsi="Calibri" w:cs="Calibri"/>
        </w:rPr>
        <w:t>with</w:t>
      </w:r>
      <w:r w:rsidR="00537D68">
        <w:rPr>
          <w:rFonts w:ascii="Calibri" w:hAnsi="Calibri" w:cs="Calibri"/>
        </w:rPr>
        <w:t xml:space="preserve"> a</w:t>
      </w:r>
      <w:r w:rsidR="00240A9A">
        <w:rPr>
          <w:rFonts w:ascii="Calibri" w:hAnsi="Calibri" w:cs="Calibri"/>
        </w:rPr>
        <w:t xml:space="preserve"> bona fide ability to ratify any appointments at the time of death or shortly thereafter</w:t>
      </w:r>
      <w:r>
        <w:rPr>
          <w:rFonts w:ascii="Calibri" w:hAnsi="Calibri" w:cs="Calibri"/>
        </w:rPr>
        <w:t>.</w:t>
      </w:r>
      <w:r w:rsidR="005E21AF">
        <w:rPr>
          <w:rStyle w:val="FootnoteReference"/>
          <w:rFonts w:ascii="Calibri" w:hAnsi="Calibri" w:cs="Calibri"/>
        </w:rPr>
        <w:footnoteReference w:id="100"/>
      </w:r>
      <w:r>
        <w:rPr>
          <w:rFonts w:ascii="Calibri" w:hAnsi="Calibri" w:cs="Calibri"/>
        </w:rPr>
        <w:t xml:space="preserve"> This would entail</w:t>
      </w:r>
      <w:r w:rsidR="00537D68">
        <w:rPr>
          <w:rFonts w:ascii="Calibri" w:hAnsi="Calibri" w:cs="Calibri"/>
        </w:rPr>
        <w:t xml:space="preserve"> </w:t>
      </w:r>
      <w:r>
        <w:rPr>
          <w:rFonts w:ascii="Calibri" w:hAnsi="Calibri" w:cs="Calibri"/>
        </w:rPr>
        <w:t xml:space="preserve">naming alternates (my </w:t>
      </w:r>
      <w:r w:rsidR="00537D68">
        <w:rPr>
          <w:rFonts w:ascii="Calibri" w:hAnsi="Calibri" w:cs="Calibri"/>
        </w:rPr>
        <w:t>recommendation</w:t>
      </w:r>
      <w:r>
        <w:rPr>
          <w:rFonts w:ascii="Calibri" w:hAnsi="Calibri" w:cs="Calibri"/>
        </w:rPr>
        <w:t xml:space="preserve">) and/or allowing a trustee, trust protector or local court to appoint a non‐adverse consenting party (which might </w:t>
      </w:r>
      <w:r w:rsidR="001746A3">
        <w:rPr>
          <w:rFonts w:ascii="Calibri" w:hAnsi="Calibri" w:cs="Calibri"/>
        </w:rPr>
        <w:t xml:space="preserve">even </w:t>
      </w:r>
      <w:r>
        <w:rPr>
          <w:rFonts w:ascii="Calibri" w:hAnsi="Calibri" w:cs="Calibri"/>
        </w:rPr>
        <w:t>be a trustee). For example, if there is no way the "consenter" COULD consent</w:t>
      </w:r>
      <w:r w:rsidR="001746A3">
        <w:rPr>
          <w:rFonts w:ascii="Calibri" w:hAnsi="Calibri" w:cs="Calibri"/>
        </w:rPr>
        <w:t xml:space="preserve"> (</w:t>
      </w:r>
      <w:r w:rsidR="00514839">
        <w:rPr>
          <w:rFonts w:ascii="Calibri" w:hAnsi="Calibri" w:cs="Calibri"/>
        </w:rPr>
        <w:t>e.g.,</w:t>
      </w:r>
      <w:r w:rsidR="001746A3">
        <w:rPr>
          <w:rFonts w:ascii="Calibri" w:hAnsi="Calibri" w:cs="Calibri"/>
        </w:rPr>
        <w:t xml:space="preserve"> if dead)</w:t>
      </w:r>
      <w:r>
        <w:rPr>
          <w:rFonts w:ascii="Calibri" w:hAnsi="Calibri" w:cs="Calibri"/>
        </w:rPr>
        <w:t xml:space="preserve">, and the default in its absence were to deny the appointment, then </w:t>
      </w:r>
      <w:r w:rsidR="001746A3">
        <w:rPr>
          <w:rFonts w:ascii="Calibri" w:hAnsi="Calibri" w:cs="Calibri"/>
        </w:rPr>
        <w:t xml:space="preserve">there </w:t>
      </w:r>
      <w:r w:rsidR="005F5A52">
        <w:rPr>
          <w:rFonts w:ascii="Calibri" w:hAnsi="Calibri" w:cs="Calibri"/>
        </w:rPr>
        <w:t>is probably</w:t>
      </w:r>
      <w:r w:rsidR="001746A3">
        <w:rPr>
          <w:rFonts w:ascii="Calibri" w:hAnsi="Calibri" w:cs="Calibri"/>
        </w:rPr>
        <w:t xml:space="preserve"> no general power under §2041.  If the “consenting party” </w:t>
      </w:r>
      <w:r w:rsidR="001746A3">
        <w:rPr>
          <w:rFonts w:ascii="Calibri" w:hAnsi="Calibri" w:cs="Calibri"/>
        </w:rPr>
        <w:lastRenderedPageBreak/>
        <w:t xml:space="preserve">is under a legal disability, </w:t>
      </w:r>
      <w:r>
        <w:rPr>
          <w:rFonts w:ascii="Calibri" w:hAnsi="Calibri" w:cs="Calibri"/>
        </w:rPr>
        <w:t xml:space="preserve">the IRS </w:t>
      </w:r>
      <w:r w:rsidR="001746A3">
        <w:rPr>
          <w:rFonts w:ascii="Calibri" w:hAnsi="Calibri" w:cs="Calibri"/>
        </w:rPr>
        <w:t>has</w:t>
      </w:r>
      <w:r>
        <w:rPr>
          <w:rFonts w:ascii="Calibri" w:hAnsi="Calibri" w:cs="Calibri"/>
        </w:rPr>
        <w:t xml:space="preserve"> an argument (albeit weak</w:t>
      </w:r>
      <w:r w:rsidR="00537D68">
        <w:rPr>
          <w:rFonts w:ascii="Calibri" w:hAnsi="Calibri" w:cs="Calibri"/>
        </w:rPr>
        <w:t>, considering the precedent</w:t>
      </w:r>
      <w:r>
        <w:rPr>
          <w:rFonts w:ascii="Calibri" w:hAnsi="Calibri" w:cs="Calibri"/>
        </w:rPr>
        <w:t xml:space="preserve">) that there </w:t>
      </w:r>
      <w:r w:rsidR="001746A3">
        <w:rPr>
          <w:rFonts w:ascii="Calibri" w:hAnsi="Calibri" w:cs="Calibri"/>
        </w:rPr>
        <w:t>is</w:t>
      </w:r>
      <w:r>
        <w:rPr>
          <w:rFonts w:ascii="Calibri" w:hAnsi="Calibri" w:cs="Calibri"/>
        </w:rPr>
        <w:t xml:space="preserve"> no GPOA</w:t>
      </w:r>
      <w:r w:rsidR="001746A3">
        <w:rPr>
          <w:rFonts w:ascii="Calibri" w:hAnsi="Calibri" w:cs="Calibri"/>
        </w:rPr>
        <w:t>, unless an agent/conservator/guardian can consent</w:t>
      </w:r>
      <w:r>
        <w:rPr>
          <w:rFonts w:ascii="Calibri" w:hAnsi="Calibri" w:cs="Calibri"/>
        </w:rPr>
        <w:t xml:space="preserve">. What if the non‐adverse party renounces </w:t>
      </w:r>
      <w:r w:rsidR="001746A3">
        <w:rPr>
          <w:rFonts w:ascii="Calibri" w:hAnsi="Calibri" w:cs="Calibri"/>
        </w:rPr>
        <w:t>or disclaims</w:t>
      </w:r>
      <w:r>
        <w:rPr>
          <w:rFonts w:ascii="Calibri" w:hAnsi="Calibri" w:cs="Calibri"/>
        </w:rPr>
        <w:t xml:space="preserve"> their power to consent</w:t>
      </w:r>
      <w:r w:rsidR="001746A3">
        <w:rPr>
          <w:rFonts w:ascii="Calibri" w:hAnsi="Calibri" w:cs="Calibri"/>
        </w:rPr>
        <w:t xml:space="preserve"> rather than simply declining</w:t>
      </w:r>
      <w:r>
        <w:rPr>
          <w:rFonts w:ascii="Calibri" w:hAnsi="Calibri" w:cs="Calibri"/>
        </w:rPr>
        <w:t xml:space="preserve">, or is simply never informed of the existence of their consent power, or never returns the trustee’s phone calls, letters, emails (all very possible)? </w:t>
      </w:r>
      <w:r w:rsidR="007A6E6B">
        <w:rPr>
          <w:rFonts w:ascii="Calibri" w:hAnsi="Calibri" w:cs="Calibri"/>
        </w:rPr>
        <w:t xml:space="preserve"> </w:t>
      </w:r>
      <w:r>
        <w:rPr>
          <w:rFonts w:ascii="Calibri" w:hAnsi="Calibri" w:cs="Calibri"/>
        </w:rPr>
        <w:t>Those problems can be drafted around. For instance, the document can permit an agent/guardian to act for incapacitated "consenter", you can name alternates</w:t>
      </w:r>
      <w:r w:rsidR="00716FB7">
        <w:rPr>
          <w:rFonts w:ascii="Calibri" w:hAnsi="Calibri" w:cs="Calibri"/>
        </w:rPr>
        <w:t xml:space="preserve"> in lieu of death or disclaimer/</w:t>
      </w:r>
      <w:r w:rsidR="007A6E6B">
        <w:rPr>
          <w:rFonts w:ascii="Calibri" w:hAnsi="Calibri" w:cs="Calibri"/>
        </w:rPr>
        <w:t>resignation/</w:t>
      </w:r>
      <w:r w:rsidR="00716FB7">
        <w:rPr>
          <w:rFonts w:ascii="Calibri" w:hAnsi="Calibri" w:cs="Calibri"/>
        </w:rPr>
        <w:t>renunciation</w:t>
      </w:r>
      <w:r>
        <w:rPr>
          <w:rFonts w:ascii="Calibri" w:hAnsi="Calibri" w:cs="Calibri"/>
        </w:rPr>
        <w:t xml:space="preserve">, and, of course, you </w:t>
      </w:r>
      <w:r w:rsidR="00716FB7">
        <w:rPr>
          <w:rFonts w:ascii="Calibri" w:hAnsi="Calibri" w:cs="Calibri"/>
        </w:rPr>
        <w:t>can</w:t>
      </w:r>
      <w:r>
        <w:rPr>
          <w:rFonts w:ascii="Calibri" w:hAnsi="Calibri" w:cs="Calibri"/>
        </w:rPr>
        <w:t xml:space="preserve"> have the default be to ALLOW exercise rather than deny it</w:t>
      </w:r>
      <w:r w:rsidR="00716FB7">
        <w:rPr>
          <w:rFonts w:ascii="Calibri" w:hAnsi="Calibri" w:cs="Calibri"/>
        </w:rPr>
        <w:t xml:space="preserve"> in the event there is no consenting party available, or copy the </w:t>
      </w:r>
      <w:r w:rsidR="00716FB7" w:rsidRPr="00716FB7">
        <w:rPr>
          <w:rFonts w:ascii="Calibri" w:hAnsi="Calibri" w:cs="Calibri"/>
          <w:i/>
        </w:rPr>
        <w:t>Picciano</w:t>
      </w:r>
      <w:r w:rsidR="00716FB7">
        <w:rPr>
          <w:rFonts w:ascii="Calibri" w:hAnsi="Calibri" w:cs="Calibri"/>
        </w:rPr>
        <w:t xml:space="preserve"> case and provide probate court consent as backup</w:t>
      </w:r>
      <w:r>
        <w:rPr>
          <w:rFonts w:ascii="Calibri" w:hAnsi="Calibri" w:cs="Calibri"/>
        </w:rPr>
        <w:t>.</w:t>
      </w:r>
    </w:p>
    <w:p w14:paraId="613902C6" w14:textId="77777777" w:rsidR="00B55D50" w:rsidRDefault="00B55D50" w:rsidP="00B55D50">
      <w:pPr>
        <w:autoSpaceDE w:val="0"/>
        <w:autoSpaceDN w:val="0"/>
        <w:adjustRightInd w:val="0"/>
        <w:spacing w:line="360" w:lineRule="auto"/>
        <w:ind w:firstLine="720"/>
        <w:rPr>
          <w:rFonts w:ascii="Calibri" w:hAnsi="Calibri" w:cs="Calibri"/>
        </w:rPr>
      </w:pPr>
      <w:r>
        <w:rPr>
          <w:rFonts w:ascii="Calibri" w:hAnsi="Calibri" w:cs="Calibri"/>
        </w:rPr>
        <w:t xml:space="preserve">For instance, a default </w:t>
      </w:r>
      <w:r w:rsidR="00716FB7">
        <w:rPr>
          <w:rFonts w:ascii="Calibri" w:hAnsi="Calibri" w:cs="Calibri"/>
        </w:rPr>
        <w:t>clause might</w:t>
      </w:r>
      <w:r>
        <w:rPr>
          <w:rFonts w:ascii="Calibri" w:hAnsi="Calibri" w:cs="Calibri"/>
        </w:rPr>
        <w:t xml:space="preserve"> allow the decedent's GPOA to be exercised unless</w:t>
      </w:r>
    </w:p>
    <w:p w14:paraId="632C4E01" w14:textId="77777777" w:rsidR="00B55D50" w:rsidRDefault="00B55D50" w:rsidP="00B55D50">
      <w:pPr>
        <w:autoSpaceDE w:val="0"/>
        <w:autoSpaceDN w:val="0"/>
        <w:adjustRightInd w:val="0"/>
        <w:spacing w:line="360" w:lineRule="auto"/>
        <w:rPr>
          <w:rFonts w:ascii="Calibri" w:hAnsi="Calibri" w:cs="Calibri"/>
        </w:rPr>
      </w:pPr>
      <w:r>
        <w:rPr>
          <w:rFonts w:ascii="Calibri" w:hAnsi="Calibri" w:cs="Calibri"/>
        </w:rPr>
        <w:t>a written acknowledgment of the "consent" power is received from a "consenter", or the trustee has actual knowledge that the consenter has been informed, within so many</w:t>
      </w:r>
    </w:p>
    <w:p w14:paraId="35B961AB" w14:textId="77777777" w:rsidR="00B55D50" w:rsidRDefault="00B55D50" w:rsidP="00B55D50">
      <w:pPr>
        <w:autoSpaceDE w:val="0"/>
        <w:autoSpaceDN w:val="0"/>
        <w:adjustRightInd w:val="0"/>
        <w:spacing w:line="360" w:lineRule="auto"/>
        <w:rPr>
          <w:rFonts w:ascii="Calibri" w:hAnsi="Calibri" w:cs="Calibri"/>
        </w:rPr>
      </w:pPr>
      <w:r>
        <w:rPr>
          <w:rFonts w:ascii="Calibri" w:hAnsi="Calibri" w:cs="Calibri"/>
        </w:rPr>
        <w:t xml:space="preserve">months. </w:t>
      </w:r>
      <w:r w:rsidR="00716FB7">
        <w:rPr>
          <w:rFonts w:ascii="Calibri" w:hAnsi="Calibri" w:cs="Calibri"/>
        </w:rPr>
        <w:t>One can add</w:t>
      </w:r>
      <w:r>
        <w:rPr>
          <w:rFonts w:ascii="Calibri" w:hAnsi="Calibri" w:cs="Calibri"/>
        </w:rPr>
        <w:t xml:space="preserve"> language to allow agent/guardian consent, and language to trigger or appoint an alternate "consenter" under certain circumstances. You could have mere receipt of acknowledgment deny the effectiveness of the GPOA unless consent is </w:t>
      </w:r>
      <w:r w:rsidR="00537D68">
        <w:rPr>
          <w:rFonts w:ascii="Calibri" w:hAnsi="Calibri" w:cs="Calibri"/>
        </w:rPr>
        <w:t xml:space="preserve">timely </w:t>
      </w:r>
      <w:r>
        <w:rPr>
          <w:rFonts w:ascii="Calibri" w:hAnsi="Calibri" w:cs="Calibri"/>
        </w:rPr>
        <w:t>granted</w:t>
      </w:r>
      <w:r w:rsidR="00716FB7">
        <w:rPr>
          <w:rFonts w:ascii="Calibri" w:hAnsi="Calibri" w:cs="Calibri"/>
        </w:rPr>
        <w:t xml:space="preserve"> within 30 days</w:t>
      </w:r>
      <w:r>
        <w:rPr>
          <w:rFonts w:ascii="Calibri" w:hAnsi="Calibri" w:cs="Calibri"/>
        </w:rPr>
        <w:t xml:space="preserve">, or draft it as a veto power. </w:t>
      </w:r>
      <w:r w:rsidR="00716FB7">
        <w:rPr>
          <w:rFonts w:ascii="Calibri" w:hAnsi="Calibri" w:cs="Calibri"/>
        </w:rPr>
        <w:t>In short,</w:t>
      </w:r>
      <w:r>
        <w:rPr>
          <w:rFonts w:ascii="Calibri" w:hAnsi="Calibri" w:cs="Calibri"/>
        </w:rPr>
        <w:t xml:space="preserve"> you </w:t>
      </w:r>
      <w:r w:rsidR="00716FB7">
        <w:rPr>
          <w:rFonts w:ascii="Calibri" w:hAnsi="Calibri" w:cs="Calibri"/>
        </w:rPr>
        <w:t xml:space="preserve">can </w:t>
      </w:r>
      <w:r w:rsidR="000B6877">
        <w:rPr>
          <w:rFonts w:ascii="Calibri" w:hAnsi="Calibri" w:cs="Calibri"/>
        </w:rPr>
        <w:t>ensure</w:t>
      </w:r>
      <w:r>
        <w:rPr>
          <w:rFonts w:ascii="Calibri" w:hAnsi="Calibri" w:cs="Calibri"/>
        </w:rPr>
        <w:t xml:space="preserve"> the capability of exercise is always there</w:t>
      </w:r>
      <w:r w:rsidR="000B6877">
        <w:rPr>
          <w:rFonts w:ascii="Calibri" w:hAnsi="Calibri" w:cs="Calibri"/>
        </w:rPr>
        <w:t xml:space="preserve"> and effective under clear tax statute and precedent, even if the practical likelihood of both a power holder and consenting parties agreeing to appoint to creditors would be extraordinarily unlikely</w:t>
      </w:r>
      <w:r w:rsidR="00716FB7">
        <w:rPr>
          <w:rFonts w:ascii="Calibri" w:hAnsi="Calibri" w:cs="Calibri"/>
        </w:rPr>
        <w:t xml:space="preserve"> (see clauses in appendix)</w:t>
      </w:r>
      <w:r>
        <w:rPr>
          <w:rFonts w:ascii="Calibri" w:hAnsi="Calibri" w:cs="Calibri"/>
        </w:rPr>
        <w:t>.</w:t>
      </w:r>
    </w:p>
    <w:p w14:paraId="23E4A6C7" w14:textId="77777777" w:rsidR="007A5592" w:rsidRDefault="007A5592">
      <w:pPr>
        <w:rPr>
          <w:rFonts w:ascii="Calibri" w:hAnsi="Calibri" w:cs="Helv"/>
          <w:b/>
          <w:bCs/>
          <w:color w:val="000000"/>
        </w:rPr>
      </w:pPr>
      <w:r>
        <w:rPr>
          <w:rFonts w:ascii="Calibri" w:hAnsi="Calibri" w:cs="Helv"/>
          <w:b/>
          <w:bCs/>
          <w:color w:val="000000"/>
        </w:rPr>
        <w:br w:type="page"/>
      </w:r>
    </w:p>
    <w:p w14:paraId="15DEE8FA" w14:textId="77777777" w:rsidR="00FB7FA3" w:rsidRPr="00AD0839" w:rsidRDefault="00D15CCB" w:rsidP="00180FD1">
      <w:pPr>
        <w:pStyle w:val="ListParagraph"/>
        <w:numPr>
          <w:ilvl w:val="0"/>
          <w:numId w:val="19"/>
        </w:numPr>
        <w:autoSpaceDE w:val="0"/>
        <w:autoSpaceDN w:val="0"/>
        <w:adjustRightInd w:val="0"/>
        <w:spacing w:line="360" w:lineRule="auto"/>
        <w:ind w:left="720" w:hanging="720"/>
        <w:rPr>
          <w:rFonts w:ascii="Calibri" w:hAnsi="Calibri" w:cs="Helv"/>
          <w:b/>
          <w:bCs/>
          <w:color w:val="000000"/>
        </w:rPr>
      </w:pPr>
      <w:r>
        <w:rPr>
          <w:rFonts w:ascii="Calibri" w:hAnsi="Calibri" w:cs="Helv"/>
          <w:b/>
          <w:bCs/>
          <w:color w:val="000000"/>
        </w:rPr>
        <w:lastRenderedPageBreak/>
        <w:t>Could t</w:t>
      </w:r>
      <w:r w:rsidR="00FB7FA3" w:rsidRPr="00AD0839">
        <w:rPr>
          <w:rFonts w:ascii="Calibri" w:hAnsi="Calibri" w:cs="Helv"/>
          <w:b/>
          <w:bCs/>
          <w:color w:val="000000"/>
        </w:rPr>
        <w:t>estamentary GPOA</w:t>
      </w:r>
      <w:r>
        <w:rPr>
          <w:rFonts w:ascii="Calibri" w:hAnsi="Calibri" w:cs="Helv"/>
          <w:b/>
          <w:bCs/>
          <w:color w:val="000000"/>
        </w:rPr>
        <w:t xml:space="preserve"> asset</w:t>
      </w:r>
      <w:r w:rsidR="00FB7FA3" w:rsidRPr="00AD0839">
        <w:rPr>
          <w:rFonts w:ascii="Calibri" w:hAnsi="Calibri" w:cs="Helv"/>
          <w:b/>
          <w:bCs/>
          <w:color w:val="000000"/>
        </w:rPr>
        <w:t xml:space="preserve">s </w:t>
      </w:r>
      <w:r>
        <w:rPr>
          <w:rFonts w:ascii="Calibri" w:hAnsi="Calibri" w:cs="Helv"/>
          <w:b/>
          <w:bCs/>
          <w:color w:val="000000"/>
        </w:rPr>
        <w:t>be subject to creditors</w:t>
      </w:r>
      <w:r w:rsidR="00FB7FA3" w:rsidRPr="00AD0839">
        <w:rPr>
          <w:rFonts w:ascii="Calibri" w:hAnsi="Calibri" w:cs="Helv"/>
          <w:b/>
          <w:bCs/>
          <w:color w:val="000000"/>
        </w:rPr>
        <w:t xml:space="preserve"> of</w:t>
      </w:r>
      <w:r>
        <w:rPr>
          <w:rFonts w:ascii="Calibri" w:hAnsi="Calibri" w:cs="Helv"/>
          <w:b/>
          <w:bCs/>
          <w:color w:val="000000"/>
        </w:rPr>
        <w:t xml:space="preserve"> an</w:t>
      </w:r>
      <w:r w:rsidR="00FB7FA3" w:rsidRPr="00AD0839">
        <w:rPr>
          <w:rFonts w:ascii="Calibri" w:hAnsi="Calibri" w:cs="Helv"/>
          <w:b/>
          <w:bCs/>
          <w:color w:val="000000"/>
        </w:rPr>
        <w:t xml:space="preserve"> </w:t>
      </w:r>
      <w:r>
        <w:rPr>
          <w:rFonts w:ascii="Calibri" w:hAnsi="Calibri" w:cs="Helv"/>
          <w:b/>
          <w:bCs/>
          <w:color w:val="000000"/>
        </w:rPr>
        <w:t>i</w:t>
      </w:r>
      <w:r w:rsidR="00FB7FA3" w:rsidRPr="00AD0839">
        <w:rPr>
          <w:rFonts w:ascii="Calibri" w:hAnsi="Calibri" w:cs="Helv"/>
          <w:b/>
          <w:bCs/>
          <w:color w:val="000000"/>
        </w:rPr>
        <w:t xml:space="preserve">nsolvent </w:t>
      </w:r>
      <w:r>
        <w:rPr>
          <w:rFonts w:ascii="Calibri" w:hAnsi="Calibri" w:cs="Helv"/>
          <w:b/>
          <w:bCs/>
          <w:color w:val="000000"/>
        </w:rPr>
        <w:t>powerholder’s estate, or subject to state spousal elective share statutes?</w:t>
      </w:r>
    </w:p>
    <w:p w14:paraId="239C79A4" w14:textId="29F7ACC9" w:rsidR="00601967" w:rsidRDefault="00491FB5" w:rsidP="002B2E47">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While </w:t>
      </w:r>
      <w:r w:rsidR="00A96A95">
        <w:rPr>
          <w:rFonts w:ascii="Calibri" w:hAnsi="Calibri" w:cs="Helv"/>
          <w:bCs/>
          <w:color w:val="000000"/>
        </w:rPr>
        <w:t xml:space="preserve">only </w:t>
      </w:r>
      <w:r>
        <w:rPr>
          <w:rFonts w:ascii="Calibri" w:hAnsi="Calibri" w:cs="Helv"/>
          <w:bCs/>
          <w:color w:val="000000"/>
        </w:rPr>
        <w:t xml:space="preserve">a handful of states have </w:t>
      </w:r>
      <w:r w:rsidR="00A96A95">
        <w:rPr>
          <w:rFonts w:ascii="Calibri" w:hAnsi="Calibri" w:cs="Helv"/>
          <w:bCs/>
          <w:color w:val="000000"/>
        </w:rPr>
        <w:t>specific</w:t>
      </w:r>
      <w:r>
        <w:rPr>
          <w:rFonts w:ascii="Calibri" w:hAnsi="Calibri" w:cs="Helv"/>
          <w:bCs/>
          <w:color w:val="000000"/>
        </w:rPr>
        <w:t xml:space="preserve"> state law impacting </w:t>
      </w:r>
      <w:r w:rsidR="00A96A95">
        <w:rPr>
          <w:rFonts w:ascii="Calibri" w:hAnsi="Calibri" w:cs="Helv"/>
          <w:bCs/>
          <w:color w:val="000000"/>
        </w:rPr>
        <w:t xml:space="preserve">creditor access to </w:t>
      </w:r>
      <w:r>
        <w:rPr>
          <w:rFonts w:ascii="Calibri" w:hAnsi="Calibri" w:cs="Helv"/>
          <w:bCs/>
          <w:color w:val="000000"/>
        </w:rPr>
        <w:t xml:space="preserve">testamentary GPOAs, </w:t>
      </w:r>
      <w:r w:rsidR="00D15CCB">
        <w:rPr>
          <w:rFonts w:ascii="Calibri" w:hAnsi="Calibri" w:cs="Helv"/>
          <w:bCs/>
          <w:color w:val="000000"/>
        </w:rPr>
        <w:t>common</w:t>
      </w:r>
      <w:r>
        <w:rPr>
          <w:rFonts w:ascii="Calibri" w:hAnsi="Calibri" w:cs="Helv"/>
          <w:bCs/>
          <w:color w:val="000000"/>
        </w:rPr>
        <w:t xml:space="preserve"> law is generally </w:t>
      </w:r>
      <w:r w:rsidR="0069783C">
        <w:rPr>
          <w:rFonts w:ascii="Calibri" w:hAnsi="Calibri" w:cs="Helv"/>
          <w:bCs/>
          <w:color w:val="000000"/>
        </w:rPr>
        <w:t xml:space="preserve">quite </w:t>
      </w:r>
      <w:r>
        <w:rPr>
          <w:rFonts w:ascii="Calibri" w:hAnsi="Calibri" w:cs="Helv"/>
          <w:bCs/>
          <w:color w:val="000000"/>
        </w:rPr>
        <w:t xml:space="preserve">favorable as to whether and when a </w:t>
      </w:r>
      <w:r w:rsidRPr="001548CB">
        <w:rPr>
          <w:rFonts w:ascii="Calibri" w:hAnsi="Calibri" w:cs="Helv"/>
          <w:b/>
          <w:bCs/>
          <w:color w:val="000000"/>
        </w:rPr>
        <w:t>testamentary</w:t>
      </w:r>
      <w:r>
        <w:rPr>
          <w:rFonts w:ascii="Calibri" w:hAnsi="Calibri" w:cs="Helv"/>
          <w:bCs/>
          <w:color w:val="000000"/>
        </w:rPr>
        <w:t xml:space="preserve"> general power of appointment subjects the appointive assets to th</w:t>
      </w:r>
      <w:r w:rsidR="001548CB">
        <w:rPr>
          <w:rFonts w:ascii="Calibri" w:hAnsi="Calibri" w:cs="Helv"/>
          <w:bCs/>
          <w:color w:val="000000"/>
        </w:rPr>
        <w:t xml:space="preserve">e donee </w:t>
      </w:r>
      <w:r w:rsidR="007A5592">
        <w:rPr>
          <w:rFonts w:ascii="Calibri" w:hAnsi="Calibri" w:cs="Helv"/>
          <w:bCs/>
          <w:color w:val="000000"/>
        </w:rPr>
        <w:t>p</w:t>
      </w:r>
      <w:r w:rsidR="001548CB">
        <w:rPr>
          <w:rFonts w:ascii="Calibri" w:hAnsi="Calibri" w:cs="Helv"/>
          <w:bCs/>
          <w:color w:val="000000"/>
        </w:rPr>
        <w:t>owerholder’s creditors.</w:t>
      </w:r>
      <w:r w:rsidR="00F60826" w:rsidRPr="00F60826">
        <w:rPr>
          <w:rStyle w:val="FootnoteReference"/>
          <w:rFonts w:ascii="Calibri" w:hAnsi="Calibri" w:cs="Helv"/>
          <w:bCs/>
          <w:color w:val="000000"/>
        </w:rPr>
        <w:t xml:space="preserve"> </w:t>
      </w:r>
      <w:r w:rsidR="00F60826">
        <w:rPr>
          <w:rStyle w:val="FootnoteReference"/>
          <w:rFonts w:ascii="Calibri" w:hAnsi="Calibri" w:cs="Helv"/>
          <w:bCs/>
          <w:color w:val="000000"/>
        </w:rPr>
        <w:footnoteReference w:id="101"/>
      </w:r>
      <w:r>
        <w:rPr>
          <w:rFonts w:ascii="Calibri" w:hAnsi="Calibri" w:cs="Helv"/>
          <w:bCs/>
          <w:color w:val="000000"/>
        </w:rPr>
        <w:t xml:space="preserve"> </w:t>
      </w:r>
      <w:r w:rsidR="001548CB">
        <w:rPr>
          <w:rFonts w:ascii="Calibri" w:hAnsi="Calibri" w:cs="Helv"/>
          <w:bCs/>
          <w:color w:val="000000"/>
        </w:rPr>
        <w:t>In</w:t>
      </w:r>
      <w:r>
        <w:rPr>
          <w:rFonts w:ascii="Calibri" w:hAnsi="Calibri" w:cs="Helv"/>
          <w:bCs/>
          <w:color w:val="000000"/>
        </w:rPr>
        <w:t xml:space="preserve"> bankruptcy the assets are </w:t>
      </w:r>
      <w:r w:rsidR="00D57291">
        <w:rPr>
          <w:rFonts w:ascii="Calibri" w:hAnsi="Calibri" w:cs="Helv"/>
          <w:bCs/>
          <w:color w:val="000000"/>
        </w:rPr>
        <w:t>generally</w:t>
      </w:r>
      <w:r w:rsidR="00851EA4">
        <w:rPr>
          <w:rFonts w:ascii="Calibri" w:hAnsi="Calibri" w:cs="Helv"/>
          <w:bCs/>
          <w:color w:val="000000"/>
        </w:rPr>
        <w:t xml:space="preserve"> </w:t>
      </w:r>
      <w:r w:rsidRPr="00A96A95">
        <w:rPr>
          <w:rFonts w:ascii="Calibri" w:hAnsi="Calibri" w:cs="Helv"/>
          <w:b/>
          <w:bCs/>
          <w:color w:val="000000"/>
        </w:rPr>
        <w:t>not</w:t>
      </w:r>
      <w:r>
        <w:rPr>
          <w:rFonts w:ascii="Calibri" w:hAnsi="Calibri" w:cs="Helv"/>
          <w:bCs/>
          <w:color w:val="000000"/>
        </w:rPr>
        <w:t xml:space="preserve"> subject to creditors</w:t>
      </w:r>
      <w:r w:rsidR="001B5939">
        <w:rPr>
          <w:rFonts w:ascii="Calibri" w:hAnsi="Calibri" w:cs="Helv"/>
          <w:bCs/>
          <w:color w:val="000000"/>
        </w:rPr>
        <w:t>,</w:t>
      </w:r>
      <w:r w:rsidR="00FB0A77">
        <w:rPr>
          <w:rFonts w:ascii="Calibri" w:hAnsi="Calibri" w:cs="Helv"/>
          <w:bCs/>
          <w:color w:val="000000"/>
        </w:rPr>
        <w:t xml:space="preserve"> but this may </w:t>
      </w:r>
      <w:r w:rsidR="006C221E">
        <w:rPr>
          <w:rFonts w:ascii="Calibri" w:hAnsi="Calibri" w:cs="Helv"/>
          <w:bCs/>
          <w:color w:val="000000"/>
        </w:rPr>
        <w:t>turn on state law or lead to another conclusion</w:t>
      </w:r>
      <w:r w:rsidR="00FB0A77">
        <w:rPr>
          <w:rFonts w:ascii="Calibri" w:hAnsi="Calibri" w:cs="Helv"/>
          <w:bCs/>
          <w:color w:val="000000"/>
        </w:rPr>
        <w:t xml:space="preserve"> if a debtor dies during the bankruptcy</w:t>
      </w:r>
      <w:r>
        <w:rPr>
          <w:rFonts w:ascii="Calibri" w:hAnsi="Calibri" w:cs="Helv"/>
          <w:bCs/>
          <w:color w:val="000000"/>
        </w:rPr>
        <w:t>.</w:t>
      </w:r>
      <w:r w:rsidR="00F60826">
        <w:rPr>
          <w:rStyle w:val="FootnoteReference"/>
          <w:rFonts w:ascii="Calibri" w:hAnsi="Calibri" w:cs="Helv"/>
          <w:bCs/>
          <w:color w:val="000000"/>
        </w:rPr>
        <w:footnoteReference w:id="102"/>
      </w:r>
      <w:r>
        <w:rPr>
          <w:rFonts w:ascii="Calibri" w:hAnsi="Calibri" w:cs="Helv"/>
          <w:bCs/>
          <w:color w:val="000000"/>
        </w:rPr>
        <w:t xml:space="preserve">  </w:t>
      </w:r>
      <w:r w:rsidR="001B5939">
        <w:rPr>
          <w:rFonts w:ascii="Calibri" w:hAnsi="Calibri" w:cs="Helv"/>
          <w:bCs/>
          <w:color w:val="000000"/>
        </w:rPr>
        <w:t>A creditor’s access</w:t>
      </w:r>
      <w:r>
        <w:rPr>
          <w:rFonts w:ascii="Calibri" w:hAnsi="Calibri" w:cs="Helv"/>
          <w:bCs/>
          <w:color w:val="000000"/>
        </w:rPr>
        <w:t xml:space="preserve"> may depend on whether the power is </w:t>
      </w:r>
      <w:r w:rsidRPr="006E13C7">
        <w:rPr>
          <w:rFonts w:ascii="Calibri" w:hAnsi="Calibri" w:cs="Helv"/>
          <w:bCs/>
          <w:i/>
          <w:color w:val="000000"/>
        </w:rPr>
        <w:t>exercised</w:t>
      </w:r>
      <w:r>
        <w:rPr>
          <w:rFonts w:ascii="Calibri" w:hAnsi="Calibri" w:cs="Helv"/>
          <w:bCs/>
          <w:color w:val="000000"/>
        </w:rPr>
        <w:t xml:space="preserve"> or whethe</w:t>
      </w:r>
      <w:r w:rsidR="001548CB">
        <w:rPr>
          <w:rFonts w:ascii="Calibri" w:hAnsi="Calibri" w:cs="Helv"/>
          <w:bCs/>
          <w:color w:val="000000"/>
        </w:rPr>
        <w:t>r it is merely allowed to lapse</w:t>
      </w:r>
      <w:r w:rsidR="00AF4DFF">
        <w:rPr>
          <w:rFonts w:ascii="Calibri" w:hAnsi="Calibri" w:cs="Helv"/>
          <w:bCs/>
          <w:color w:val="000000"/>
        </w:rPr>
        <w:t xml:space="preserve">.  </w:t>
      </w:r>
    </w:p>
    <w:p w14:paraId="49618AF5" w14:textId="2A9A43DB" w:rsidR="001548CB" w:rsidRDefault="00AF4DFF" w:rsidP="002B2E47">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lastRenderedPageBreak/>
        <w:t xml:space="preserve">Here are three sources with </w:t>
      </w:r>
      <w:r w:rsidR="006E13C7">
        <w:rPr>
          <w:rFonts w:ascii="Calibri" w:hAnsi="Calibri" w:cs="Helv"/>
          <w:bCs/>
          <w:color w:val="000000"/>
        </w:rPr>
        <w:t xml:space="preserve">the </w:t>
      </w:r>
      <w:r>
        <w:rPr>
          <w:rFonts w:ascii="Calibri" w:hAnsi="Calibri" w:cs="Helv"/>
          <w:bCs/>
          <w:color w:val="000000"/>
        </w:rPr>
        <w:t xml:space="preserve">general rules.  The </w:t>
      </w:r>
      <w:r w:rsidR="00601967">
        <w:rPr>
          <w:rFonts w:ascii="Calibri" w:hAnsi="Calibri" w:cs="Helv"/>
          <w:bCs/>
          <w:color w:val="000000"/>
        </w:rPr>
        <w:t>third</w:t>
      </w:r>
      <w:r>
        <w:rPr>
          <w:rFonts w:ascii="Calibri" w:hAnsi="Calibri" w:cs="Helv"/>
          <w:bCs/>
          <w:color w:val="000000"/>
        </w:rPr>
        <w:t xml:space="preserve"> citation is </w:t>
      </w:r>
      <w:r w:rsidR="00601967">
        <w:rPr>
          <w:rFonts w:ascii="Calibri" w:hAnsi="Calibri" w:cs="Helv"/>
          <w:bCs/>
          <w:color w:val="000000"/>
        </w:rPr>
        <w:t xml:space="preserve">from </w:t>
      </w:r>
      <w:r>
        <w:rPr>
          <w:rFonts w:ascii="Calibri" w:hAnsi="Calibri" w:cs="Helv"/>
          <w:bCs/>
          <w:color w:val="000000"/>
        </w:rPr>
        <w:t xml:space="preserve">an attempt by </w:t>
      </w:r>
      <w:r w:rsidR="00601967">
        <w:rPr>
          <w:rFonts w:ascii="Calibri" w:hAnsi="Calibri" w:cs="Helv"/>
          <w:bCs/>
          <w:color w:val="000000"/>
        </w:rPr>
        <w:t>the National Conference of Commissioners on Uniform State Laws (</w:t>
      </w:r>
      <w:r w:rsidR="00F60826">
        <w:rPr>
          <w:rFonts w:ascii="Calibri" w:hAnsi="Calibri" w:cs="Helv"/>
          <w:bCs/>
          <w:color w:val="000000"/>
        </w:rPr>
        <w:t>NCCUSL</w:t>
      </w:r>
      <w:r w:rsidR="00601967">
        <w:rPr>
          <w:rFonts w:ascii="Calibri" w:hAnsi="Calibri" w:cs="Helv"/>
          <w:bCs/>
          <w:color w:val="000000"/>
        </w:rPr>
        <w:t>)</w:t>
      </w:r>
      <w:r w:rsidR="00F60826">
        <w:rPr>
          <w:rFonts w:ascii="Calibri" w:hAnsi="Calibri" w:cs="Helv"/>
          <w:bCs/>
          <w:color w:val="000000"/>
        </w:rPr>
        <w:t xml:space="preserve"> </w:t>
      </w:r>
      <w:r>
        <w:rPr>
          <w:rFonts w:ascii="Calibri" w:hAnsi="Calibri" w:cs="Helv"/>
          <w:bCs/>
          <w:color w:val="000000"/>
        </w:rPr>
        <w:t>to steer state law to</w:t>
      </w:r>
      <w:r w:rsidR="00120522">
        <w:rPr>
          <w:rFonts w:ascii="Calibri" w:hAnsi="Calibri" w:cs="Helv"/>
          <w:bCs/>
          <w:color w:val="000000"/>
        </w:rPr>
        <w:t>wards</w:t>
      </w:r>
      <w:r>
        <w:rPr>
          <w:rFonts w:ascii="Calibri" w:hAnsi="Calibri" w:cs="Helv"/>
          <w:bCs/>
          <w:color w:val="000000"/>
        </w:rPr>
        <w:t xml:space="preserve"> a more creditor-friendly position</w:t>
      </w:r>
      <w:r w:rsidR="00601967">
        <w:rPr>
          <w:rFonts w:ascii="Calibri" w:hAnsi="Calibri" w:cs="Helv"/>
          <w:bCs/>
          <w:color w:val="000000"/>
        </w:rPr>
        <w:t>.</w:t>
      </w:r>
      <w:r w:rsidR="00EA2F49">
        <w:rPr>
          <w:rStyle w:val="FootnoteReference"/>
          <w:rFonts w:ascii="Calibri" w:hAnsi="Calibri" w:cs="Helv"/>
          <w:bCs/>
          <w:color w:val="000000"/>
        </w:rPr>
        <w:footnoteReference w:id="103"/>
      </w:r>
    </w:p>
    <w:p w14:paraId="3E1CA4E8" w14:textId="77777777" w:rsidR="00601967" w:rsidRDefault="00601967" w:rsidP="001548CB">
      <w:pPr>
        <w:autoSpaceDE w:val="0"/>
        <w:autoSpaceDN w:val="0"/>
        <w:adjustRightInd w:val="0"/>
        <w:ind w:left="720"/>
        <w:rPr>
          <w:rFonts w:ascii="Calibri" w:hAnsi="Calibri" w:cs="Helv"/>
          <w:bCs/>
          <w:i/>
          <w:color w:val="000000"/>
        </w:rPr>
      </w:pPr>
    </w:p>
    <w:p w14:paraId="6BEF3231" w14:textId="77777777" w:rsidR="001548CB" w:rsidRPr="001548CB" w:rsidRDefault="001548CB" w:rsidP="001548CB">
      <w:pPr>
        <w:autoSpaceDE w:val="0"/>
        <w:autoSpaceDN w:val="0"/>
        <w:adjustRightInd w:val="0"/>
        <w:ind w:left="720"/>
        <w:rPr>
          <w:rFonts w:ascii="Calibri" w:hAnsi="Calibri" w:cs="Helv"/>
          <w:bCs/>
          <w:i/>
          <w:color w:val="000000"/>
        </w:rPr>
      </w:pPr>
      <w:r w:rsidRPr="001548CB">
        <w:rPr>
          <w:rFonts w:ascii="Calibri" w:hAnsi="Calibri" w:cs="Helv"/>
          <w:bCs/>
          <w:i/>
          <w:color w:val="000000"/>
        </w:rPr>
        <w:t xml:space="preserve">§ 13.2 Creditors of the Donee -- </w:t>
      </w:r>
      <w:r w:rsidRPr="001548CB">
        <w:rPr>
          <w:rFonts w:ascii="Calibri" w:hAnsi="Calibri" w:cs="Helv"/>
          <w:b/>
          <w:bCs/>
          <w:i/>
          <w:color w:val="000000"/>
        </w:rPr>
        <w:t xml:space="preserve">Unexercised </w:t>
      </w:r>
      <w:r w:rsidRPr="001548CB">
        <w:rPr>
          <w:rFonts w:ascii="Calibri" w:hAnsi="Calibri" w:cs="Helv"/>
          <w:bCs/>
          <w:i/>
          <w:color w:val="000000"/>
        </w:rPr>
        <w:t>General Power Not Created by Donee.</w:t>
      </w:r>
    </w:p>
    <w:p w14:paraId="526580CE" w14:textId="77777777" w:rsidR="001548CB" w:rsidRDefault="001548CB" w:rsidP="001548CB">
      <w:pPr>
        <w:autoSpaceDE w:val="0"/>
        <w:autoSpaceDN w:val="0"/>
        <w:adjustRightInd w:val="0"/>
        <w:ind w:left="720"/>
        <w:rPr>
          <w:rFonts w:ascii="Calibri" w:hAnsi="Calibri" w:cs="Helv"/>
          <w:bCs/>
          <w:color w:val="000000"/>
        </w:rPr>
      </w:pPr>
      <w:r w:rsidRPr="001548CB">
        <w:rPr>
          <w:rFonts w:ascii="Calibri" w:hAnsi="Calibri" w:cs="Helv"/>
          <w:bCs/>
          <w:color w:val="000000"/>
        </w:rPr>
        <w:t xml:space="preserve">Appointive assets covered by an unexercised general power of appointment, created by a person other than the donee, can be subjected to payment of claims of creditors of the donee, or claims against the donee's estate, </w:t>
      </w:r>
      <w:r w:rsidRPr="001548CB">
        <w:rPr>
          <w:rFonts w:ascii="Calibri" w:hAnsi="Calibri" w:cs="Helv"/>
          <w:b/>
          <w:bCs/>
          <w:i/>
          <w:color w:val="000000"/>
        </w:rPr>
        <w:t>but only to the extent provided by statute</w:t>
      </w:r>
      <w:r w:rsidRPr="001548CB">
        <w:rPr>
          <w:rFonts w:ascii="Calibri" w:hAnsi="Calibri" w:cs="Helv"/>
          <w:bCs/>
          <w:color w:val="000000"/>
        </w:rPr>
        <w:t>.</w:t>
      </w:r>
      <w:r w:rsidR="00AF4DFF">
        <w:rPr>
          <w:rStyle w:val="FootnoteReference"/>
          <w:rFonts w:ascii="Calibri" w:hAnsi="Calibri" w:cs="Helv"/>
          <w:bCs/>
          <w:color w:val="000000"/>
        </w:rPr>
        <w:footnoteReference w:id="104"/>
      </w:r>
    </w:p>
    <w:p w14:paraId="17DD9E48" w14:textId="77777777" w:rsidR="00601967" w:rsidRDefault="00601967" w:rsidP="001548CB">
      <w:pPr>
        <w:autoSpaceDE w:val="0"/>
        <w:autoSpaceDN w:val="0"/>
        <w:adjustRightInd w:val="0"/>
        <w:ind w:left="720"/>
        <w:rPr>
          <w:rFonts w:ascii="Calibri" w:hAnsi="Calibri" w:cs="Helv"/>
          <w:bCs/>
          <w:color w:val="000000"/>
        </w:rPr>
      </w:pPr>
    </w:p>
    <w:p w14:paraId="2C0DF445" w14:textId="77777777" w:rsidR="001548CB" w:rsidRPr="001548CB" w:rsidRDefault="001548CB" w:rsidP="001548CB">
      <w:pPr>
        <w:autoSpaceDE w:val="0"/>
        <w:autoSpaceDN w:val="0"/>
        <w:adjustRightInd w:val="0"/>
        <w:ind w:left="720"/>
        <w:rPr>
          <w:rFonts w:ascii="Calibri" w:hAnsi="Calibri" w:cs="Helv"/>
          <w:bCs/>
          <w:i/>
          <w:color w:val="000000"/>
        </w:rPr>
      </w:pPr>
      <w:r w:rsidRPr="001548CB">
        <w:rPr>
          <w:rFonts w:ascii="Calibri" w:hAnsi="Calibri" w:cs="Helv"/>
          <w:bCs/>
          <w:i/>
          <w:color w:val="000000"/>
        </w:rPr>
        <w:t xml:space="preserve">§ 13.4 Creditors of the Donee -- General Power </w:t>
      </w:r>
      <w:r w:rsidRPr="001548CB">
        <w:rPr>
          <w:rFonts w:ascii="Calibri" w:hAnsi="Calibri" w:cs="Helv"/>
          <w:b/>
          <w:bCs/>
          <w:i/>
          <w:color w:val="000000"/>
        </w:rPr>
        <w:t>Exercised</w:t>
      </w:r>
      <w:r w:rsidRPr="001548CB">
        <w:rPr>
          <w:rFonts w:ascii="Calibri" w:hAnsi="Calibri" w:cs="Helv"/>
          <w:bCs/>
          <w:i/>
          <w:color w:val="000000"/>
        </w:rPr>
        <w:t xml:space="preserve"> by Will.</w:t>
      </w:r>
    </w:p>
    <w:p w14:paraId="2E60B2D1" w14:textId="77777777" w:rsidR="001548CB" w:rsidRDefault="001548CB" w:rsidP="001548CB">
      <w:pPr>
        <w:autoSpaceDE w:val="0"/>
        <w:autoSpaceDN w:val="0"/>
        <w:adjustRightInd w:val="0"/>
        <w:ind w:left="720"/>
        <w:rPr>
          <w:rFonts w:ascii="Calibri" w:hAnsi="Calibri" w:cs="Helv"/>
          <w:bCs/>
          <w:color w:val="000000"/>
        </w:rPr>
      </w:pPr>
      <w:r w:rsidRPr="001548CB">
        <w:rPr>
          <w:rFonts w:ascii="Calibri" w:hAnsi="Calibri" w:cs="Helv"/>
          <w:bCs/>
          <w:color w:val="000000"/>
        </w:rPr>
        <w:t>Appointive assets covered by an exercised general power to</w:t>
      </w:r>
      <w:r>
        <w:rPr>
          <w:rFonts w:ascii="Calibri" w:hAnsi="Calibri" w:cs="Helv"/>
          <w:bCs/>
          <w:color w:val="000000"/>
        </w:rPr>
        <w:t xml:space="preserve"> </w:t>
      </w:r>
      <w:r w:rsidRPr="001548CB">
        <w:rPr>
          <w:rFonts w:ascii="Calibri" w:hAnsi="Calibri" w:cs="Helv"/>
          <w:bCs/>
          <w:color w:val="000000"/>
        </w:rPr>
        <w:t>appoint by will, created by a person other than the donee, can be subjected to the payment of claims against the donee's estate.</w:t>
      </w:r>
      <w:r w:rsidR="00F60826">
        <w:rPr>
          <w:rStyle w:val="FootnoteReference"/>
          <w:rFonts w:ascii="Calibri" w:hAnsi="Calibri" w:cs="Helv"/>
          <w:bCs/>
          <w:color w:val="000000"/>
        </w:rPr>
        <w:footnoteReference w:id="105"/>
      </w:r>
    </w:p>
    <w:p w14:paraId="1EFCCAC8" w14:textId="77777777" w:rsidR="00601967" w:rsidRDefault="00601967" w:rsidP="001548CB">
      <w:pPr>
        <w:autoSpaceDE w:val="0"/>
        <w:autoSpaceDN w:val="0"/>
        <w:adjustRightInd w:val="0"/>
        <w:ind w:left="720"/>
        <w:rPr>
          <w:rFonts w:ascii="Calibri" w:hAnsi="Calibri" w:cs="Helv"/>
          <w:bCs/>
          <w:color w:val="000000"/>
        </w:rPr>
      </w:pPr>
    </w:p>
    <w:p w14:paraId="62FC17DF" w14:textId="77777777" w:rsidR="00AF4DFF" w:rsidRPr="00601967" w:rsidRDefault="00AF4DFF" w:rsidP="00AF4DFF">
      <w:pPr>
        <w:autoSpaceDE w:val="0"/>
        <w:autoSpaceDN w:val="0"/>
        <w:adjustRightInd w:val="0"/>
        <w:ind w:left="720"/>
        <w:rPr>
          <w:rFonts w:ascii="Calibri" w:hAnsi="Calibri" w:cs="Helv"/>
          <w:b/>
          <w:bCs/>
          <w:i/>
          <w:color w:val="000000"/>
        </w:rPr>
      </w:pPr>
      <w:r w:rsidRPr="00601967">
        <w:rPr>
          <w:rFonts w:ascii="Calibri" w:hAnsi="Calibri" w:cs="Helv"/>
          <w:b/>
          <w:bCs/>
          <w:i/>
          <w:color w:val="000000"/>
        </w:rPr>
        <w:t>§ 502. CREDITOR CLAIM: GENERAL POWER NOT CREATED BY POWERHOLDER.</w:t>
      </w:r>
    </w:p>
    <w:p w14:paraId="7C2CAF35" w14:textId="77777777" w:rsidR="00AF4DFF" w:rsidRDefault="00AF4DFF" w:rsidP="00AF4DFF">
      <w:pPr>
        <w:autoSpaceDE w:val="0"/>
        <w:autoSpaceDN w:val="0"/>
        <w:adjustRightInd w:val="0"/>
        <w:ind w:left="720"/>
        <w:rPr>
          <w:rFonts w:ascii="Calibri" w:hAnsi="Calibri" w:cs="Helv"/>
          <w:bCs/>
          <w:color w:val="000000"/>
        </w:rPr>
      </w:pPr>
      <w:r w:rsidRPr="00AF4DFF">
        <w:rPr>
          <w:rFonts w:ascii="Calibri" w:hAnsi="Calibri" w:cs="Helv"/>
          <w:bCs/>
          <w:color w:val="000000"/>
        </w:rPr>
        <w:t xml:space="preserve">(a) Except as otherwise provided in subsection (b), appointive property subject to a general power of appointment created by a person other than the powerholder is subject to a claim of a creditor of: </w:t>
      </w:r>
      <w:r>
        <w:rPr>
          <w:rFonts w:ascii="Calibri" w:hAnsi="Calibri" w:cs="Helv"/>
          <w:bCs/>
          <w:color w:val="000000"/>
        </w:rPr>
        <w:t>****</w:t>
      </w:r>
      <w:r w:rsidRPr="00AF4DFF">
        <w:rPr>
          <w:rFonts w:ascii="Calibri" w:hAnsi="Calibri" w:cs="Helv"/>
          <w:bCs/>
          <w:color w:val="000000"/>
        </w:rPr>
        <w:t>(2) the powerholder’s estate, to the extent the estate is insufficient, subject to the right of a decedent to direct the source from which liabilities are paid.</w:t>
      </w:r>
      <w:r>
        <w:rPr>
          <w:rFonts w:ascii="Calibri" w:hAnsi="Calibri" w:cs="Helv"/>
          <w:bCs/>
          <w:color w:val="000000"/>
        </w:rPr>
        <w:t xml:space="preserve"> [subsection (b) refers to HEMS standards, i.e., nongeneral powers]</w:t>
      </w:r>
      <w:r w:rsidR="00F60826">
        <w:rPr>
          <w:rStyle w:val="FootnoteReference"/>
          <w:rFonts w:ascii="Calibri" w:hAnsi="Calibri" w:cs="Helv"/>
          <w:bCs/>
          <w:color w:val="000000"/>
        </w:rPr>
        <w:footnoteReference w:id="106"/>
      </w:r>
    </w:p>
    <w:p w14:paraId="1AEACCB4" w14:textId="77777777" w:rsidR="001548CB" w:rsidRPr="001548CB" w:rsidRDefault="001548CB" w:rsidP="001548CB">
      <w:pPr>
        <w:autoSpaceDE w:val="0"/>
        <w:autoSpaceDN w:val="0"/>
        <w:adjustRightInd w:val="0"/>
        <w:ind w:left="720"/>
        <w:rPr>
          <w:rFonts w:ascii="Calibri" w:hAnsi="Calibri" w:cs="Helv"/>
          <w:bCs/>
          <w:color w:val="000000"/>
        </w:rPr>
      </w:pPr>
    </w:p>
    <w:p w14:paraId="3CBBC44C" w14:textId="77777777" w:rsidR="00E2145B" w:rsidRDefault="00521CA5" w:rsidP="00B74FF8">
      <w:pPr>
        <w:autoSpaceDE w:val="0"/>
        <w:autoSpaceDN w:val="0"/>
        <w:adjustRightInd w:val="0"/>
        <w:spacing w:line="360" w:lineRule="auto"/>
        <w:ind w:firstLine="720"/>
        <w:rPr>
          <w:rFonts w:ascii="Calibri" w:hAnsi="Calibri" w:cs="Helv"/>
          <w:bCs/>
          <w:color w:val="000000"/>
        </w:rPr>
      </w:pPr>
      <w:r w:rsidRPr="00521CA5">
        <w:rPr>
          <w:rFonts w:ascii="Calibri" w:hAnsi="Calibri" w:cs="Helv"/>
          <w:bCs/>
          <w:color w:val="000000"/>
        </w:rPr>
        <w:lastRenderedPageBreak/>
        <w:t xml:space="preserve">Surprisingly, the Uniform Probate Code also </w:t>
      </w:r>
      <w:r>
        <w:rPr>
          <w:rFonts w:ascii="Calibri" w:hAnsi="Calibri" w:cs="Helv"/>
          <w:bCs/>
          <w:color w:val="000000"/>
        </w:rPr>
        <w:t xml:space="preserve">seems </w:t>
      </w:r>
      <w:r w:rsidRPr="00521CA5">
        <w:rPr>
          <w:rFonts w:ascii="Calibri" w:hAnsi="Calibri" w:cs="Helv"/>
          <w:bCs/>
          <w:color w:val="000000"/>
        </w:rPr>
        <w:t>protective of testamentary GPOAs as against non-spousal creditors.</w:t>
      </w:r>
      <w:r>
        <w:rPr>
          <w:rStyle w:val="FootnoteReference"/>
          <w:rFonts w:ascii="Calibri" w:hAnsi="Calibri" w:cs="Helv"/>
          <w:bCs/>
          <w:color w:val="000000"/>
        </w:rPr>
        <w:footnoteReference w:id="107"/>
      </w:r>
      <w:r w:rsidRPr="00521CA5">
        <w:rPr>
          <w:rFonts w:ascii="Calibri" w:hAnsi="Calibri" w:cs="Helv"/>
          <w:bCs/>
          <w:color w:val="000000"/>
        </w:rPr>
        <w:t xml:space="preserve">   </w:t>
      </w:r>
      <w:r w:rsidR="00B74FF8" w:rsidRPr="00B74FF8">
        <w:rPr>
          <w:rFonts w:ascii="Calibri" w:hAnsi="Calibri" w:cs="Helv"/>
          <w:bCs/>
          <w:color w:val="000000"/>
        </w:rPr>
        <w:t>If your state law is unfavorable</w:t>
      </w:r>
      <w:r w:rsidR="00E2145B">
        <w:rPr>
          <w:rFonts w:ascii="Calibri" w:hAnsi="Calibri" w:cs="Helv"/>
          <w:bCs/>
          <w:color w:val="000000"/>
        </w:rPr>
        <w:t xml:space="preserve"> to debtor/decedents holding testamentary GPOAs</w:t>
      </w:r>
      <w:r w:rsidR="00B74FF8" w:rsidRPr="00B74FF8">
        <w:rPr>
          <w:rFonts w:ascii="Calibri" w:hAnsi="Calibri" w:cs="Helv"/>
          <w:bCs/>
          <w:color w:val="000000"/>
        </w:rPr>
        <w:t>, like C</w:t>
      </w:r>
      <w:r w:rsidR="001548CB">
        <w:rPr>
          <w:rFonts w:ascii="Calibri" w:hAnsi="Calibri" w:cs="Helv"/>
          <w:bCs/>
          <w:color w:val="000000"/>
        </w:rPr>
        <w:t>alifornia</w:t>
      </w:r>
      <w:r w:rsidR="00B74FF8" w:rsidRPr="00B74FF8">
        <w:rPr>
          <w:rFonts w:ascii="Calibri" w:hAnsi="Calibri" w:cs="Helv"/>
          <w:bCs/>
          <w:color w:val="000000"/>
        </w:rPr>
        <w:t xml:space="preserve">, </w:t>
      </w:r>
      <w:r w:rsidR="000B6877">
        <w:rPr>
          <w:rFonts w:ascii="Calibri" w:hAnsi="Calibri" w:cs="Helv"/>
          <w:bCs/>
          <w:color w:val="000000"/>
        </w:rPr>
        <w:t>some may find it</w:t>
      </w:r>
      <w:r w:rsidR="00B74FF8" w:rsidRPr="00B74FF8">
        <w:rPr>
          <w:rFonts w:ascii="Calibri" w:hAnsi="Calibri" w:cs="Helv"/>
          <w:bCs/>
          <w:color w:val="000000"/>
        </w:rPr>
        <w:t xml:space="preserve"> preferable to use the Delaware Tax Trap</w:t>
      </w:r>
      <w:r w:rsidR="000B6877">
        <w:rPr>
          <w:rFonts w:ascii="Calibri" w:hAnsi="Calibri" w:cs="Helv"/>
          <w:bCs/>
          <w:color w:val="000000"/>
        </w:rPr>
        <w:t xml:space="preserve"> (DTT)</w:t>
      </w:r>
      <w:r w:rsidR="00B74FF8" w:rsidRPr="00B74FF8">
        <w:rPr>
          <w:rFonts w:ascii="Calibri" w:hAnsi="Calibri" w:cs="Helv"/>
          <w:bCs/>
          <w:color w:val="000000"/>
        </w:rPr>
        <w:t xml:space="preserve"> technique</w:t>
      </w:r>
      <w:r w:rsidR="00B74FF8">
        <w:rPr>
          <w:rFonts w:ascii="Calibri" w:hAnsi="Calibri" w:cs="Helv"/>
          <w:bCs/>
          <w:color w:val="000000"/>
        </w:rPr>
        <w:t xml:space="preserve"> if there is a fear that a power holder’s estate may be exposed to </w:t>
      </w:r>
      <w:r w:rsidR="000B6877">
        <w:rPr>
          <w:rFonts w:ascii="Calibri" w:hAnsi="Calibri" w:cs="Helv"/>
          <w:bCs/>
          <w:color w:val="000000"/>
        </w:rPr>
        <w:t>significant lawsuits or insolvency.  The DTT</w:t>
      </w:r>
      <w:r w:rsidR="00B74FF8">
        <w:rPr>
          <w:rFonts w:ascii="Calibri" w:hAnsi="Calibri" w:cs="Helv"/>
          <w:bCs/>
          <w:color w:val="000000"/>
        </w:rPr>
        <w:t xml:space="preserve"> technique</w:t>
      </w:r>
      <w:r w:rsidR="00B74FF8" w:rsidRPr="00B74FF8">
        <w:rPr>
          <w:rFonts w:ascii="Calibri" w:hAnsi="Calibri" w:cs="Helv"/>
          <w:bCs/>
          <w:color w:val="000000"/>
        </w:rPr>
        <w:t xml:space="preserve"> uses </w:t>
      </w:r>
      <w:r w:rsidR="00B74FF8" w:rsidRPr="00B74FF8">
        <w:rPr>
          <w:rFonts w:ascii="Calibri" w:hAnsi="Calibri" w:cs="Helv"/>
          <w:bCs/>
          <w:i/>
          <w:color w:val="000000"/>
        </w:rPr>
        <w:t>limited</w:t>
      </w:r>
      <w:r w:rsidR="00B74FF8" w:rsidRPr="00B74FF8">
        <w:rPr>
          <w:rFonts w:ascii="Calibri" w:hAnsi="Calibri" w:cs="Helv"/>
          <w:bCs/>
          <w:color w:val="000000"/>
        </w:rPr>
        <w:t xml:space="preserve"> powers of appointment only. </w:t>
      </w:r>
      <w:r w:rsidR="001548CB">
        <w:rPr>
          <w:rFonts w:ascii="Calibri" w:hAnsi="Calibri" w:cs="Helv"/>
          <w:bCs/>
          <w:color w:val="000000"/>
        </w:rPr>
        <w:t xml:space="preserve"> </w:t>
      </w:r>
      <w:r w:rsidR="00D15CCB">
        <w:rPr>
          <w:rFonts w:ascii="Calibri" w:hAnsi="Calibri" w:cs="Helv"/>
          <w:bCs/>
          <w:color w:val="000000"/>
        </w:rPr>
        <w:t>Alternatively</w:t>
      </w:r>
      <w:r w:rsidR="00851EA4">
        <w:rPr>
          <w:rFonts w:ascii="Calibri" w:hAnsi="Calibri" w:cs="Helv"/>
          <w:bCs/>
          <w:color w:val="000000"/>
        </w:rPr>
        <w:t xml:space="preserve">, </w:t>
      </w:r>
      <w:r w:rsidR="000B6877">
        <w:rPr>
          <w:rFonts w:ascii="Calibri" w:hAnsi="Calibri" w:cs="Helv"/>
          <w:bCs/>
          <w:color w:val="000000"/>
        </w:rPr>
        <w:t xml:space="preserve">one can simply </w:t>
      </w:r>
      <w:r w:rsidR="00851EA4" w:rsidRPr="00521CA5">
        <w:rPr>
          <w:rFonts w:ascii="Calibri" w:hAnsi="Calibri" w:cs="Helv"/>
          <w:bCs/>
          <w:i/>
          <w:color w:val="000000"/>
        </w:rPr>
        <w:t xml:space="preserve">limit the </w:t>
      </w:r>
      <w:r w:rsidR="002837F6" w:rsidRPr="00521CA5">
        <w:rPr>
          <w:rFonts w:ascii="Calibri" w:hAnsi="Calibri" w:cs="Helv"/>
          <w:bCs/>
          <w:i/>
          <w:color w:val="000000"/>
        </w:rPr>
        <w:t>testamentary GPOA</w:t>
      </w:r>
      <w:r w:rsidR="00851EA4" w:rsidRPr="00521CA5">
        <w:rPr>
          <w:rFonts w:ascii="Calibri" w:hAnsi="Calibri" w:cs="Helv"/>
          <w:bCs/>
          <w:i/>
          <w:color w:val="000000"/>
        </w:rPr>
        <w:t xml:space="preserve"> </w:t>
      </w:r>
      <w:r w:rsidR="00D420C1" w:rsidRPr="00521CA5">
        <w:rPr>
          <w:rFonts w:ascii="Calibri" w:hAnsi="Calibri" w:cs="Helv"/>
          <w:bCs/>
          <w:i/>
          <w:color w:val="000000"/>
        </w:rPr>
        <w:t>should</w:t>
      </w:r>
      <w:r w:rsidR="00851EA4" w:rsidRPr="00521CA5">
        <w:rPr>
          <w:rFonts w:ascii="Calibri" w:hAnsi="Calibri" w:cs="Helv"/>
          <w:bCs/>
          <w:i/>
          <w:color w:val="000000"/>
        </w:rPr>
        <w:t xml:space="preserve"> the powerholder’s estate</w:t>
      </w:r>
      <w:r w:rsidR="00D420C1" w:rsidRPr="00521CA5">
        <w:rPr>
          <w:rFonts w:ascii="Calibri" w:hAnsi="Calibri" w:cs="Helv"/>
          <w:bCs/>
          <w:i/>
          <w:color w:val="000000"/>
        </w:rPr>
        <w:t xml:space="preserve"> be</w:t>
      </w:r>
      <w:r w:rsidR="00851EA4" w:rsidRPr="00521CA5">
        <w:rPr>
          <w:rFonts w:ascii="Calibri" w:hAnsi="Calibri" w:cs="Helv"/>
          <w:bCs/>
          <w:i/>
          <w:color w:val="000000"/>
        </w:rPr>
        <w:t xml:space="preserve"> </w:t>
      </w:r>
      <w:r w:rsidR="00D420C1" w:rsidRPr="00521CA5">
        <w:rPr>
          <w:rFonts w:ascii="Calibri" w:hAnsi="Calibri" w:cs="Helv"/>
          <w:bCs/>
          <w:i/>
          <w:color w:val="000000"/>
        </w:rPr>
        <w:t>in</w:t>
      </w:r>
      <w:r w:rsidR="00851EA4" w:rsidRPr="00521CA5">
        <w:rPr>
          <w:rFonts w:ascii="Calibri" w:hAnsi="Calibri" w:cs="Helv"/>
          <w:bCs/>
          <w:i/>
          <w:color w:val="000000"/>
        </w:rPr>
        <w:t>solven</w:t>
      </w:r>
      <w:r w:rsidR="00D420C1" w:rsidRPr="00521CA5">
        <w:rPr>
          <w:rFonts w:ascii="Calibri" w:hAnsi="Calibri" w:cs="Helv"/>
          <w:bCs/>
          <w:i/>
          <w:color w:val="000000"/>
        </w:rPr>
        <w:t>t</w:t>
      </w:r>
      <w:r w:rsidR="00851EA4">
        <w:rPr>
          <w:rFonts w:ascii="Calibri" w:hAnsi="Calibri" w:cs="Helv"/>
          <w:bCs/>
          <w:color w:val="000000"/>
        </w:rPr>
        <w:t>.</w:t>
      </w:r>
      <w:r w:rsidR="00851EA4">
        <w:rPr>
          <w:rStyle w:val="FootnoteReference"/>
          <w:rFonts w:ascii="Calibri" w:hAnsi="Calibri" w:cs="Helv"/>
          <w:bCs/>
          <w:color w:val="000000"/>
        </w:rPr>
        <w:footnoteReference w:id="108"/>
      </w:r>
      <w:r w:rsidR="00851EA4">
        <w:rPr>
          <w:rFonts w:ascii="Calibri" w:hAnsi="Calibri" w:cs="Helv"/>
          <w:bCs/>
          <w:color w:val="000000"/>
        </w:rPr>
        <w:t xml:space="preserve">  </w:t>
      </w:r>
    </w:p>
    <w:p w14:paraId="68907B91" w14:textId="77777777" w:rsidR="00AC16DE" w:rsidRDefault="001548CB" w:rsidP="00B74FF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In </w:t>
      </w:r>
      <w:r w:rsidR="00042A30">
        <w:rPr>
          <w:rFonts w:ascii="Calibri" w:hAnsi="Calibri" w:cs="Helv"/>
          <w:bCs/>
          <w:color w:val="000000"/>
        </w:rPr>
        <w:t xml:space="preserve">many </w:t>
      </w:r>
      <w:r w:rsidR="00E2145B">
        <w:rPr>
          <w:rFonts w:ascii="Calibri" w:hAnsi="Calibri" w:cs="Helv"/>
          <w:bCs/>
          <w:color w:val="000000"/>
        </w:rPr>
        <w:t>other</w:t>
      </w:r>
      <w:r>
        <w:rPr>
          <w:rFonts w:ascii="Calibri" w:hAnsi="Calibri" w:cs="Helv"/>
          <w:bCs/>
          <w:color w:val="000000"/>
        </w:rPr>
        <w:t xml:space="preserve"> states, </w:t>
      </w:r>
      <w:r w:rsidR="007260DF">
        <w:rPr>
          <w:rFonts w:ascii="Calibri" w:hAnsi="Calibri" w:cs="Helv"/>
          <w:bCs/>
          <w:color w:val="000000"/>
        </w:rPr>
        <w:t xml:space="preserve">a specific statute, like the Rhode Island </w:t>
      </w:r>
      <w:r w:rsidR="00AB3B88">
        <w:rPr>
          <w:rFonts w:ascii="Calibri" w:hAnsi="Calibri" w:cs="Helv"/>
          <w:bCs/>
          <w:color w:val="000000"/>
        </w:rPr>
        <w:t xml:space="preserve">or Alaska </w:t>
      </w:r>
      <w:r w:rsidR="00D420C1">
        <w:rPr>
          <w:rFonts w:ascii="Calibri" w:hAnsi="Calibri" w:cs="Helv"/>
          <w:bCs/>
          <w:color w:val="000000"/>
        </w:rPr>
        <w:t>statute</w:t>
      </w:r>
      <w:r w:rsidR="00AB3B88">
        <w:rPr>
          <w:rFonts w:ascii="Calibri" w:hAnsi="Calibri" w:cs="Helv"/>
          <w:bCs/>
          <w:color w:val="000000"/>
        </w:rPr>
        <w:t>s</w:t>
      </w:r>
      <w:r w:rsidR="007260DF">
        <w:rPr>
          <w:rFonts w:ascii="Calibri" w:hAnsi="Calibri" w:cs="Helv"/>
          <w:bCs/>
          <w:color w:val="000000"/>
        </w:rPr>
        <w:t xml:space="preserve"> cited above, may give comfort.  </w:t>
      </w:r>
    </w:p>
    <w:p w14:paraId="09E14C6F" w14:textId="77777777" w:rsidR="00AC16DE" w:rsidRDefault="00AC16DE" w:rsidP="00B74FF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Most states probably</w:t>
      </w:r>
      <w:r w:rsidR="007260DF">
        <w:rPr>
          <w:rFonts w:ascii="Calibri" w:hAnsi="Calibri" w:cs="Helv"/>
          <w:bCs/>
          <w:color w:val="000000"/>
        </w:rPr>
        <w:t xml:space="preserve"> </w:t>
      </w:r>
      <w:r w:rsidR="00D420C1">
        <w:rPr>
          <w:rFonts w:ascii="Calibri" w:hAnsi="Calibri" w:cs="Helv"/>
          <w:bCs/>
          <w:color w:val="000000"/>
        </w:rPr>
        <w:t>cu</w:t>
      </w:r>
      <w:r w:rsidR="007260DF">
        <w:rPr>
          <w:rFonts w:ascii="Calibri" w:hAnsi="Calibri" w:cs="Helv"/>
          <w:bCs/>
          <w:color w:val="000000"/>
        </w:rPr>
        <w:t xml:space="preserve">rrently follow </w:t>
      </w:r>
      <w:r w:rsidR="002837F6">
        <w:rPr>
          <w:rFonts w:ascii="Calibri" w:hAnsi="Calibri" w:cs="Helv"/>
          <w:bCs/>
          <w:color w:val="000000"/>
        </w:rPr>
        <w:t xml:space="preserve">the common law elucidated by §13.2 of </w:t>
      </w:r>
      <w:r w:rsidR="007260DF">
        <w:rPr>
          <w:rFonts w:ascii="Calibri" w:hAnsi="Calibri" w:cs="Helv"/>
          <w:bCs/>
          <w:color w:val="000000"/>
        </w:rPr>
        <w:t xml:space="preserve">the </w:t>
      </w:r>
      <w:r w:rsidR="00E331D3">
        <w:rPr>
          <w:rFonts w:ascii="Calibri" w:hAnsi="Calibri" w:cs="Helv"/>
          <w:bCs/>
          <w:color w:val="000000"/>
        </w:rPr>
        <w:t>2</w:t>
      </w:r>
      <w:r w:rsidR="00E331D3" w:rsidRPr="00E331D3">
        <w:rPr>
          <w:rFonts w:ascii="Calibri" w:hAnsi="Calibri" w:cs="Helv"/>
          <w:bCs/>
          <w:color w:val="000000"/>
          <w:vertAlign w:val="superscript"/>
        </w:rPr>
        <w:t>nd</w:t>
      </w:r>
      <w:r w:rsidR="00E331D3">
        <w:rPr>
          <w:rFonts w:ascii="Calibri" w:hAnsi="Calibri" w:cs="Helv"/>
          <w:bCs/>
          <w:color w:val="000000"/>
        </w:rPr>
        <w:t xml:space="preserve"> </w:t>
      </w:r>
      <w:r w:rsidR="007260DF">
        <w:rPr>
          <w:rFonts w:ascii="Calibri" w:hAnsi="Calibri" w:cs="Helv"/>
          <w:bCs/>
          <w:color w:val="000000"/>
        </w:rPr>
        <w:t xml:space="preserve">Restatement </w:t>
      </w:r>
      <w:r w:rsidR="00D420C1">
        <w:rPr>
          <w:rFonts w:ascii="Calibri" w:hAnsi="Calibri" w:cs="Helv"/>
          <w:bCs/>
          <w:color w:val="000000"/>
        </w:rPr>
        <w:t xml:space="preserve">cited </w:t>
      </w:r>
      <w:r w:rsidR="007260DF">
        <w:rPr>
          <w:rFonts w:ascii="Calibri" w:hAnsi="Calibri" w:cs="Helv"/>
          <w:bCs/>
          <w:color w:val="000000"/>
        </w:rPr>
        <w:t>above</w:t>
      </w:r>
      <w:r>
        <w:rPr>
          <w:rFonts w:ascii="Calibri" w:hAnsi="Calibri" w:cs="Helv"/>
          <w:bCs/>
          <w:color w:val="000000"/>
        </w:rPr>
        <w:t>, which gives protection to insolvent power holder estates where the power remains unexercised.</w:t>
      </w:r>
      <w:r>
        <w:rPr>
          <w:rStyle w:val="FootnoteReference"/>
          <w:rFonts w:ascii="Calibri" w:hAnsi="Calibri" w:cs="Helv"/>
          <w:bCs/>
          <w:color w:val="000000"/>
        </w:rPr>
        <w:footnoteReference w:id="109"/>
      </w:r>
      <w:r>
        <w:rPr>
          <w:rFonts w:ascii="Calibri" w:hAnsi="Calibri" w:cs="Helv"/>
          <w:bCs/>
          <w:color w:val="000000"/>
        </w:rPr>
        <w:t xml:space="preserve">  But three concerns may still arise even for these states:</w:t>
      </w:r>
    </w:p>
    <w:p w14:paraId="1CC23C81" w14:textId="77777777" w:rsidR="00086450" w:rsidRDefault="00AC16DE" w:rsidP="00B74FF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1)</w:t>
      </w:r>
      <w:r w:rsidR="007260DF">
        <w:rPr>
          <w:rFonts w:ascii="Calibri" w:hAnsi="Calibri" w:cs="Helv"/>
          <w:bCs/>
          <w:color w:val="000000"/>
        </w:rPr>
        <w:t xml:space="preserve"> </w:t>
      </w:r>
      <w:r w:rsidR="00042A30">
        <w:rPr>
          <w:rFonts w:ascii="Calibri" w:hAnsi="Calibri" w:cs="Helv"/>
          <w:bCs/>
          <w:color w:val="000000"/>
        </w:rPr>
        <w:t>The</w:t>
      </w:r>
      <w:r>
        <w:rPr>
          <w:rFonts w:ascii="Calibri" w:hAnsi="Calibri" w:cs="Helv"/>
          <w:bCs/>
          <w:color w:val="000000"/>
        </w:rPr>
        <w:t xml:space="preserve"> state</w:t>
      </w:r>
      <w:r w:rsidR="00042A30">
        <w:rPr>
          <w:rFonts w:ascii="Calibri" w:hAnsi="Calibri" w:cs="Helv"/>
          <w:bCs/>
          <w:color w:val="000000"/>
        </w:rPr>
        <w:t xml:space="preserve"> may</w:t>
      </w:r>
      <w:r>
        <w:rPr>
          <w:rFonts w:ascii="Calibri" w:hAnsi="Calibri" w:cs="Helv"/>
          <w:bCs/>
          <w:color w:val="000000"/>
        </w:rPr>
        <w:t xml:space="preserve"> </w:t>
      </w:r>
      <w:r w:rsidR="002837F6">
        <w:rPr>
          <w:rFonts w:ascii="Calibri" w:hAnsi="Calibri" w:cs="Helv"/>
          <w:bCs/>
          <w:color w:val="000000"/>
        </w:rPr>
        <w:t xml:space="preserve">subsequently </w:t>
      </w:r>
      <w:r w:rsidR="007260DF">
        <w:rPr>
          <w:rFonts w:ascii="Calibri" w:hAnsi="Calibri" w:cs="Helv"/>
          <w:bCs/>
          <w:color w:val="000000"/>
        </w:rPr>
        <w:t>pass the Uniform Power of Appointment Act</w:t>
      </w:r>
      <w:r w:rsidR="00086450">
        <w:rPr>
          <w:rFonts w:ascii="Calibri" w:hAnsi="Calibri" w:cs="Helv"/>
          <w:bCs/>
          <w:color w:val="000000"/>
        </w:rPr>
        <w:t xml:space="preserve"> (UPAA)</w:t>
      </w:r>
      <w:r w:rsidR="00042A30">
        <w:rPr>
          <w:rFonts w:ascii="Calibri" w:hAnsi="Calibri" w:cs="Helv"/>
          <w:bCs/>
          <w:color w:val="000000"/>
        </w:rPr>
        <w:t>.</w:t>
      </w:r>
      <w:r w:rsidR="007260DF">
        <w:rPr>
          <w:rFonts w:ascii="Calibri" w:hAnsi="Calibri" w:cs="Helv"/>
          <w:bCs/>
          <w:color w:val="000000"/>
        </w:rPr>
        <w:t xml:space="preserve"> </w:t>
      </w:r>
      <w:r>
        <w:rPr>
          <w:rFonts w:ascii="Calibri" w:hAnsi="Calibri" w:cs="Helv"/>
          <w:bCs/>
          <w:color w:val="000000"/>
        </w:rPr>
        <w:t xml:space="preserve">  </w:t>
      </w:r>
      <w:r w:rsidR="007260DF">
        <w:rPr>
          <w:rFonts w:ascii="Calibri" w:hAnsi="Calibri" w:cs="Helv"/>
          <w:bCs/>
          <w:color w:val="000000"/>
        </w:rPr>
        <w:t xml:space="preserve">If your state is </w:t>
      </w:r>
      <w:r w:rsidR="002F107E">
        <w:rPr>
          <w:rFonts w:ascii="Calibri" w:hAnsi="Calibri" w:cs="Helv"/>
          <w:bCs/>
          <w:color w:val="000000"/>
        </w:rPr>
        <w:t>debating</w:t>
      </w:r>
      <w:r w:rsidR="007260DF">
        <w:rPr>
          <w:rFonts w:ascii="Calibri" w:hAnsi="Calibri" w:cs="Helv"/>
          <w:bCs/>
          <w:color w:val="000000"/>
        </w:rPr>
        <w:t xml:space="preserve"> the </w:t>
      </w:r>
      <w:r w:rsidR="00086450">
        <w:rPr>
          <w:rFonts w:ascii="Calibri" w:hAnsi="Calibri" w:cs="Helv"/>
          <w:bCs/>
          <w:color w:val="000000"/>
        </w:rPr>
        <w:t>UPAA</w:t>
      </w:r>
      <w:r w:rsidR="007260DF">
        <w:rPr>
          <w:rFonts w:ascii="Calibri" w:hAnsi="Calibri" w:cs="Helv"/>
          <w:bCs/>
          <w:color w:val="000000"/>
        </w:rPr>
        <w:t xml:space="preserve">, it may be an opportunity to amend §502 prior to passage, as many states did with </w:t>
      </w:r>
      <w:r w:rsidR="002F107E">
        <w:rPr>
          <w:rFonts w:ascii="Calibri" w:hAnsi="Calibri" w:cs="Helv"/>
          <w:bCs/>
          <w:color w:val="000000"/>
        </w:rPr>
        <w:t>various provisions of the</w:t>
      </w:r>
      <w:r w:rsidR="007260DF">
        <w:rPr>
          <w:rFonts w:ascii="Calibri" w:hAnsi="Calibri" w:cs="Helv"/>
          <w:bCs/>
          <w:color w:val="000000"/>
        </w:rPr>
        <w:t xml:space="preserve"> Uniform Trust Code.  </w:t>
      </w:r>
      <w:r w:rsidR="00086450">
        <w:rPr>
          <w:rFonts w:ascii="Calibri" w:hAnsi="Calibri" w:cs="Helv"/>
          <w:bCs/>
          <w:color w:val="000000"/>
        </w:rPr>
        <w:t xml:space="preserve">Colorado, </w:t>
      </w:r>
      <w:r w:rsidR="00042A30">
        <w:rPr>
          <w:rFonts w:ascii="Calibri" w:hAnsi="Calibri" w:cs="Helv"/>
          <w:bCs/>
          <w:color w:val="000000"/>
        </w:rPr>
        <w:t>e.g.,</w:t>
      </w:r>
      <w:r w:rsidR="00086450">
        <w:rPr>
          <w:rFonts w:ascii="Calibri" w:hAnsi="Calibri" w:cs="Helv"/>
          <w:bCs/>
          <w:color w:val="000000"/>
        </w:rPr>
        <w:t xml:space="preserve"> </w:t>
      </w:r>
      <w:r w:rsidR="00086450" w:rsidRPr="00E331D3">
        <w:rPr>
          <w:rFonts w:ascii="Calibri" w:hAnsi="Calibri" w:cs="Helv"/>
          <w:bCs/>
          <w:i/>
          <w:color w:val="000000"/>
        </w:rPr>
        <w:t>omitted the entire Article concerning creditor rights</w:t>
      </w:r>
      <w:r w:rsidR="00086450">
        <w:rPr>
          <w:rFonts w:ascii="Calibri" w:hAnsi="Calibri" w:cs="Helv"/>
          <w:bCs/>
          <w:color w:val="000000"/>
        </w:rPr>
        <w:t>.</w:t>
      </w:r>
      <w:r w:rsidR="00086450">
        <w:rPr>
          <w:rStyle w:val="FootnoteReference"/>
          <w:rFonts w:ascii="Calibri" w:hAnsi="Calibri" w:cs="Helv"/>
          <w:bCs/>
          <w:color w:val="000000"/>
        </w:rPr>
        <w:footnoteReference w:id="110"/>
      </w:r>
      <w:r w:rsidR="00086450">
        <w:rPr>
          <w:rFonts w:ascii="Calibri" w:hAnsi="Calibri" w:cs="Helv"/>
          <w:bCs/>
          <w:color w:val="000000"/>
        </w:rPr>
        <w:t xml:space="preserve">  </w:t>
      </w:r>
      <w:r w:rsidR="00042A30">
        <w:rPr>
          <w:rFonts w:ascii="Calibri" w:hAnsi="Calibri" w:cs="Helv"/>
          <w:bCs/>
          <w:color w:val="000000"/>
        </w:rPr>
        <w:t>Utah amended its version of §502.</w:t>
      </w:r>
      <w:r w:rsidR="00CE0CDA">
        <w:rPr>
          <w:rStyle w:val="FootnoteReference"/>
          <w:rFonts w:ascii="Calibri" w:hAnsi="Calibri" w:cs="Helv"/>
          <w:bCs/>
          <w:color w:val="000000"/>
        </w:rPr>
        <w:footnoteReference w:id="111"/>
      </w:r>
    </w:p>
    <w:p w14:paraId="7FBD8012" w14:textId="77777777" w:rsidR="00AC16DE" w:rsidRDefault="007260DF" w:rsidP="00B74FF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lastRenderedPageBreak/>
        <w:t xml:space="preserve">From a practical </w:t>
      </w:r>
      <w:r w:rsidR="002F107E">
        <w:rPr>
          <w:rFonts w:ascii="Calibri" w:hAnsi="Calibri" w:cs="Helv"/>
          <w:bCs/>
          <w:color w:val="000000"/>
        </w:rPr>
        <w:t xml:space="preserve">and </w:t>
      </w:r>
      <w:r>
        <w:rPr>
          <w:rFonts w:ascii="Calibri" w:hAnsi="Calibri" w:cs="Helv"/>
          <w:bCs/>
          <w:color w:val="000000"/>
        </w:rPr>
        <w:t xml:space="preserve">public policy standpoint, a testamentary general power is quite different from outright ownership, especially if there are various limitations and constraints on the power, such as non-adverse party consent requirements, as discussed herein. </w:t>
      </w:r>
      <w:r w:rsidR="00B74FF8" w:rsidRPr="00B74FF8">
        <w:rPr>
          <w:rFonts w:ascii="Calibri" w:hAnsi="Calibri" w:cs="Helv"/>
          <w:bCs/>
          <w:color w:val="000000"/>
        </w:rPr>
        <w:t xml:space="preserve"> </w:t>
      </w:r>
    </w:p>
    <w:p w14:paraId="23E73298" w14:textId="77777777" w:rsidR="00AC16DE" w:rsidRDefault="000909EB" w:rsidP="000909EB">
      <w:pPr>
        <w:pStyle w:val="ListParagraph"/>
        <w:numPr>
          <w:ilvl w:val="0"/>
          <w:numId w:val="30"/>
        </w:numPr>
        <w:tabs>
          <w:tab w:val="clear" w:pos="1755"/>
          <w:tab w:val="num" w:pos="0"/>
        </w:tabs>
        <w:autoSpaceDE w:val="0"/>
        <w:autoSpaceDN w:val="0"/>
        <w:adjustRightInd w:val="0"/>
        <w:spacing w:line="360" w:lineRule="auto"/>
        <w:ind w:left="0" w:firstLine="720"/>
        <w:rPr>
          <w:rFonts w:ascii="Calibri" w:hAnsi="Calibri" w:cs="Helv"/>
          <w:bCs/>
          <w:color w:val="000000"/>
        </w:rPr>
      </w:pPr>
      <w:r>
        <w:rPr>
          <w:rFonts w:ascii="Calibri" w:hAnsi="Calibri" w:cs="Helv"/>
          <w:bCs/>
          <w:color w:val="000000"/>
        </w:rPr>
        <w:t>Which state law applies and w</w:t>
      </w:r>
      <w:r w:rsidR="00AC16DE">
        <w:rPr>
          <w:rFonts w:ascii="Calibri" w:hAnsi="Calibri" w:cs="Helv"/>
          <w:bCs/>
          <w:color w:val="000000"/>
        </w:rPr>
        <w:t xml:space="preserve">hat if the </w:t>
      </w:r>
      <w:r>
        <w:rPr>
          <w:rFonts w:ascii="Calibri" w:hAnsi="Calibri" w:cs="Helv"/>
          <w:bCs/>
          <w:color w:val="000000"/>
        </w:rPr>
        <w:t xml:space="preserve">donor and donee of the </w:t>
      </w:r>
      <w:r w:rsidR="00AC16DE">
        <w:rPr>
          <w:rFonts w:ascii="Calibri" w:hAnsi="Calibri" w:cs="Helv"/>
          <w:bCs/>
          <w:color w:val="000000"/>
        </w:rPr>
        <w:t>power</w:t>
      </w:r>
      <w:r>
        <w:rPr>
          <w:rFonts w:ascii="Calibri" w:hAnsi="Calibri" w:cs="Helv"/>
          <w:bCs/>
          <w:color w:val="000000"/>
        </w:rPr>
        <w:t xml:space="preserve"> are </w:t>
      </w:r>
      <w:r w:rsidR="004F4BFD">
        <w:rPr>
          <w:rFonts w:ascii="Calibri" w:hAnsi="Calibri" w:cs="Helv"/>
          <w:bCs/>
          <w:color w:val="000000"/>
        </w:rPr>
        <w:t xml:space="preserve">in </w:t>
      </w:r>
      <w:r>
        <w:rPr>
          <w:rFonts w:ascii="Calibri" w:hAnsi="Calibri" w:cs="Helv"/>
          <w:bCs/>
          <w:color w:val="000000"/>
        </w:rPr>
        <w:t>different</w:t>
      </w:r>
      <w:r w:rsidR="004F4BFD">
        <w:rPr>
          <w:rFonts w:ascii="Calibri" w:hAnsi="Calibri" w:cs="Helv"/>
          <w:bCs/>
          <w:color w:val="000000"/>
        </w:rPr>
        <w:t xml:space="preserve"> states?  What if</w:t>
      </w:r>
      <w:r>
        <w:rPr>
          <w:rFonts w:ascii="Calibri" w:hAnsi="Calibri" w:cs="Helv"/>
          <w:bCs/>
          <w:color w:val="000000"/>
        </w:rPr>
        <w:t xml:space="preserve"> the donee power</w:t>
      </w:r>
      <w:r w:rsidR="00AC16DE">
        <w:rPr>
          <w:rFonts w:ascii="Calibri" w:hAnsi="Calibri" w:cs="Helv"/>
          <w:bCs/>
          <w:color w:val="000000"/>
        </w:rPr>
        <w:t xml:space="preserve"> holder changes state of residency?  For instance, from Rhode Island to California.  Which state</w:t>
      </w:r>
      <w:r>
        <w:rPr>
          <w:rFonts w:ascii="Calibri" w:hAnsi="Calibri" w:cs="Helv"/>
          <w:bCs/>
          <w:color w:val="000000"/>
        </w:rPr>
        <w:t>’s</w:t>
      </w:r>
      <w:r w:rsidR="00AC16DE">
        <w:rPr>
          <w:rFonts w:ascii="Calibri" w:hAnsi="Calibri" w:cs="Helv"/>
          <w:bCs/>
          <w:color w:val="000000"/>
        </w:rPr>
        <w:t xml:space="preserve"> </w:t>
      </w:r>
      <w:r>
        <w:rPr>
          <w:rFonts w:ascii="Calibri" w:hAnsi="Calibri" w:cs="Helv"/>
          <w:bCs/>
          <w:color w:val="000000"/>
        </w:rPr>
        <w:t xml:space="preserve">debtor/creditor </w:t>
      </w:r>
      <w:r w:rsidR="00AC16DE">
        <w:rPr>
          <w:rFonts w:ascii="Calibri" w:hAnsi="Calibri" w:cs="Helv"/>
          <w:bCs/>
          <w:color w:val="000000"/>
        </w:rPr>
        <w:t>law applies to the power of appointment, the donor or the donee of the power?</w:t>
      </w:r>
      <w:r w:rsidR="00B15C39">
        <w:rPr>
          <w:rFonts w:ascii="Calibri" w:hAnsi="Calibri" w:cs="Helv"/>
          <w:bCs/>
          <w:color w:val="000000"/>
        </w:rPr>
        <w:t xml:space="preserve">  The new UPAA attempts to change the common law in this regard.  At common law, the applicable law of the donor applied, but under the UPAA, the applicable law of the state of the donee </w:t>
      </w:r>
      <w:r w:rsidR="004F4BFD">
        <w:rPr>
          <w:rFonts w:ascii="Calibri" w:hAnsi="Calibri" w:cs="Helv"/>
          <w:bCs/>
          <w:color w:val="000000"/>
        </w:rPr>
        <w:t xml:space="preserve">power holder </w:t>
      </w:r>
      <w:r w:rsidR="00B15C39">
        <w:rPr>
          <w:rFonts w:ascii="Calibri" w:hAnsi="Calibri" w:cs="Helv"/>
          <w:bCs/>
          <w:color w:val="000000"/>
        </w:rPr>
        <w:t>will apply</w:t>
      </w:r>
      <w:r>
        <w:rPr>
          <w:rFonts w:ascii="Calibri" w:hAnsi="Calibri" w:cs="Helv"/>
          <w:bCs/>
          <w:color w:val="000000"/>
        </w:rPr>
        <w:t>, but the UPAA may not necessarily apply to both states</w:t>
      </w:r>
      <w:r w:rsidR="00B15C39">
        <w:rPr>
          <w:rFonts w:ascii="Calibri" w:hAnsi="Calibri" w:cs="Helv"/>
          <w:bCs/>
          <w:color w:val="000000"/>
        </w:rPr>
        <w:t>.  Can this be changed?  Can we import or declare a particular state law to apply and would it hold up as against creditors?</w:t>
      </w:r>
      <w:r>
        <w:rPr>
          <w:rFonts w:ascii="Calibri" w:hAnsi="Calibri" w:cs="Helv"/>
          <w:bCs/>
          <w:color w:val="000000"/>
        </w:rPr>
        <w:t xml:space="preserve">  No one wants a messy conflict of law or federal dispute if it can be avoided.</w:t>
      </w:r>
      <w:r w:rsidR="004F4BFD">
        <w:rPr>
          <w:rFonts w:ascii="Calibri" w:hAnsi="Calibri" w:cs="Helv"/>
          <w:bCs/>
          <w:color w:val="000000"/>
        </w:rPr>
        <w:t xml:space="preserve">  If California creditors come after a trust merely because a powerholder resided there, can they even get jurisdiction over a trustee in another state?  Perhaps not - where are the minimum contacts?</w:t>
      </w:r>
    </w:p>
    <w:p w14:paraId="778CB507" w14:textId="77777777" w:rsidR="00B15C39" w:rsidRDefault="00B15C39" w:rsidP="000909EB">
      <w:pPr>
        <w:pStyle w:val="ListParagraph"/>
        <w:numPr>
          <w:ilvl w:val="0"/>
          <w:numId w:val="30"/>
        </w:numPr>
        <w:tabs>
          <w:tab w:val="clear" w:pos="1755"/>
          <w:tab w:val="num" w:pos="0"/>
        </w:tabs>
        <w:autoSpaceDE w:val="0"/>
        <w:autoSpaceDN w:val="0"/>
        <w:adjustRightInd w:val="0"/>
        <w:spacing w:line="360" w:lineRule="auto"/>
        <w:ind w:left="0" w:firstLine="720"/>
        <w:rPr>
          <w:rFonts w:ascii="Calibri" w:hAnsi="Calibri" w:cs="Helv"/>
          <w:bCs/>
          <w:color w:val="000000"/>
        </w:rPr>
      </w:pPr>
      <w:r>
        <w:rPr>
          <w:rFonts w:ascii="Calibri" w:hAnsi="Calibri" w:cs="Helv"/>
          <w:bCs/>
          <w:color w:val="000000"/>
        </w:rPr>
        <w:t xml:space="preserve">What if the power holder actually </w:t>
      </w:r>
      <w:r w:rsidRPr="000909EB">
        <w:rPr>
          <w:rFonts w:ascii="Calibri" w:hAnsi="Calibri" w:cs="Helv"/>
          <w:bCs/>
          <w:i/>
          <w:color w:val="000000"/>
        </w:rPr>
        <w:t>exercises</w:t>
      </w:r>
      <w:r>
        <w:rPr>
          <w:rFonts w:ascii="Calibri" w:hAnsi="Calibri" w:cs="Helv"/>
          <w:bCs/>
          <w:color w:val="000000"/>
        </w:rPr>
        <w:t xml:space="preserve"> the power?  Even if it is exercised in favor of non-creditor appointees, such as children or charities, this may trigger the application of the common law </w:t>
      </w:r>
      <w:r w:rsidR="00CE0CDA">
        <w:rPr>
          <w:rFonts w:ascii="Calibri" w:hAnsi="Calibri" w:cs="Helv"/>
          <w:bCs/>
          <w:color w:val="000000"/>
        </w:rPr>
        <w:t>rule in Restatement Second §</w:t>
      </w:r>
      <w:r w:rsidR="000909EB">
        <w:rPr>
          <w:rFonts w:ascii="Calibri" w:hAnsi="Calibri" w:cs="Helv"/>
          <w:bCs/>
          <w:color w:val="000000"/>
        </w:rPr>
        <w:t xml:space="preserve">13.4 discussed above.  There are various instances where a power holder will not just want a power to lapse, but exercise it - either for dispositive reasons, asset protection reasons or even </w:t>
      </w:r>
      <w:r w:rsidR="00804868">
        <w:rPr>
          <w:rFonts w:ascii="Calibri" w:hAnsi="Calibri" w:cs="Helv"/>
          <w:bCs/>
          <w:color w:val="000000"/>
        </w:rPr>
        <w:t xml:space="preserve">to change </w:t>
      </w:r>
      <w:r w:rsidR="000909EB">
        <w:rPr>
          <w:rFonts w:ascii="Calibri" w:hAnsi="Calibri" w:cs="Helv"/>
          <w:bCs/>
          <w:color w:val="000000"/>
        </w:rPr>
        <w:t xml:space="preserve">grantor trust </w:t>
      </w:r>
      <w:r w:rsidR="00804868">
        <w:rPr>
          <w:rFonts w:ascii="Calibri" w:hAnsi="Calibri" w:cs="Helv"/>
          <w:bCs/>
          <w:color w:val="000000"/>
        </w:rPr>
        <w:t>status</w:t>
      </w:r>
      <w:r w:rsidR="000909EB">
        <w:rPr>
          <w:rFonts w:ascii="Calibri" w:hAnsi="Calibri" w:cs="Helv"/>
          <w:bCs/>
          <w:color w:val="000000"/>
        </w:rPr>
        <w:t>.</w:t>
      </w:r>
      <w:r w:rsidR="000909EB">
        <w:rPr>
          <w:rStyle w:val="FootnoteReference"/>
          <w:rFonts w:ascii="Calibri" w:hAnsi="Calibri" w:cs="Helv"/>
          <w:bCs/>
          <w:color w:val="000000"/>
        </w:rPr>
        <w:footnoteReference w:id="112"/>
      </w:r>
    </w:p>
    <w:p w14:paraId="4B9D72CC" w14:textId="77777777" w:rsidR="00B15C39" w:rsidRDefault="00B15C39" w:rsidP="00B15C39">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S</w:t>
      </w:r>
      <w:r w:rsidR="00E2145B" w:rsidRPr="00B15C39">
        <w:rPr>
          <w:rFonts w:ascii="Calibri" w:hAnsi="Calibri" w:cs="Helv"/>
          <w:bCs/>
          <w:color w:val="000000"/>
        </w:rPr>
        <w:t xml:space="preserve">ince future </w:t>
      </w:r>
      <w:r>
        <w:rPr>
          <w:rFonts w:ascii="Calibri" w:hAnsi="Calibri" w:cs="Helv"/>
          <w:bCs/>
          <w:color w:val="000000"/>
        </w:rPr>
        <w:t>law is</w:t>
      </w:r>
      <w:r w:rsidR="00E2145B" w:rsidRPr="00B15C39">
        <w:rPr>
          <w:rFonts w:ascii="Calibri" w:hAnsi="Calibri" w:cs="Helv"/>
          <w:bCs/>
          <w:color w:val="000000"/>
        </w:rPr>
        <w:t xml:space="preserve"> </w:t>
      </w:r>
      <w:r w:rsidR="00C9548B">
        <w:rPr>
          <w:rFonts w:ascii="Calibri" w:hAnsi="Calibri" w:cs="Helv"/>
          <w:bCs/>
          <w:color w:val="000000"/>
        </w:rPr>
        <w:t xml:space="preserve">always </w:t>
      </w:r>
      <w:r w:rsidR="00E2145B" w:rsidRPr="00B15C39">
        <w:rPr>
          <w:rFonts w:ascii="Calibri" w:hAnsi="Calibri" w:cs="Helv"/>
          <w:bCs/>
          <w:color w:val="000000"/>
        </w:rPr>
        <w:t>uncertain, as well as the residency of the powerholder</w:t>
      </w:r>
      <w:r>
        <w:rPr>
          <w:rFonts w:ascii="Calibri" w:hAnsi="Calibri" w:cs="Helv"/>
          <w:bCs/>
          <w:color w:val="000000"/>
        </w:rPr>
        <w:t>, and whether the powerholder might exercise, it may be prudent to take severa</w:t>
      </w:r>
      <w:r w:rsidR="000F0416">
        <w:rPr>
          <w:rFonts w:ascii="Calibri" w:hAnsi="Calibri" w:cs="Helv"/>
          <w:bCs/>
          <w:color w:val="000000"/>
        </w:rPr>
        <w:t>l steps to mitigate against these</w:t>
      </w:r>
      <w:r>
        <w:rPr>
          <w:rFonts w:ascii="Calibri" w:hAnsi="Calibri" w:cs="Helv"/>
          <w:bCs/>
          <w:color w:val="000000"/>
        </w:rPr>
        <w:t xml:space="preserve"> risk</w:t>
      </w:r>
      <w:r w:rsidR="000F0416">
        <w:rPr>
          <w:rFonts w:ascii="Calibri" w:hAnsi="Calibri" w:cs="Helv"/>
          <w:bCs/>
          <w:color w:val="000000"/>
        </w:rPr>
        <w:t>s</w:t>
      </w:r>
      <w:r w:rsidR="009F6C28">
        <w:rPr>
          <w:rFonts w:ascii="Calibri" w:hAnsi="Calibri" w:cs="Helv"/>
          <w:bCs/>
          <w:color w:val="000000"/>
        </w:rPr>
        <w:t xml:space="preserve"> when drafting testamentary GPOAs</w:t>
      </w:r>
      <w:r>
        <w:rPr>
          <w:rFonts w:ascii="Calibri" w:hAnsi="Calibri" w:cs="Helv"/>
          <w:bCs/>
          <w:color w:val="000000"/>
        </w:rPr>
        <w:t>:</w:t>
      </w:r>
    </w:p>
    <w:p w14:paraId="7249CF5A" w14:textId="77777777" w:rsidR="00C9548B" w:rsidRDefault="00C9548B" w:rsidP="00180FD1">
      <w:pPr>
        <w:pStyle w:val="ListParagraph"/>
        <w:numPr>
          <w:ilvl w:val="0"/>
          <w:numId w:val="25"/>
        </w:numPr>
        <w:autoSpaceDE w:val="0"/>
        <w:autoSpaceDN w:val="0"/>
        <w:adjustRightInd w:val="0"/>
        <w:spacing w:line="360" w:lineRule="auto"/>
        <w:rPr>
          <w:rFonts w:ascii="Calibri" w:hAnsi="Calibri" w:cs="Helv"/>
          <w:bCs/>
          <w:color w:val="000000"/>
        </w:rPr>
      </w:pPr>
      <w:r>
        <w:rPr>
          <w:rFonts w:ascii="Calibri" w:hAnsi="Calibri" w:cs="Helv"/>
          <w:bCs/>
          <w:color w:val="000000"/>
        </w:rPr>
        <w:t>Allow a trustee or trust protector to amend according to changes in circumstance</w:t>
      </w:r>
      <w:r w:rsidR="00B45969">
        <w:rPr>
          <w:rFonts w:ascii="Calibri" w:hAnsi="Calibri" w:cs="Helv"/>
          <w:bCs/>
          <w:color w:val="000000"/>
        </w:rPr>
        <w:t xml:space="preserve"> (as discussed elsewhere herein, see sample clauses outlining reasons)</w:t>
      </w:r>
      <w:r>
        <w:rPr>
          <w:rFonts w:ascii="Calibri" w:hAnsi="Calibri" w:cs="Helv"/>
          <w:bCs/>
          <w:color w:val="000000"/>
        </w:rPr>
        <w:t>.</w:t>
      </w:r>
    </w:p>
    <w:p w14:paraId="14A4A855" w14:textId="066A7982" w:rsidR="00B15C39" w:rsidRDefault="009F6C28" w:rsidP="00180FD1">
      <w:pPr>
        <w:pStyle w:val="ListParagraph"/>
        <w:numPr>
          <w:ilvl w:val="0"/>
          <w:numId w:val="25"/>
        </w:numPr>
        <w:autoSpaceDE w:val="0"/>
        <w:autoSpaceDN w:val="0"/>
        <w:adjustRightInd w:val="0"/>
        <w:spacing w:line="360" w:lineRule="auto"/>
        <w:rPr>
          <w:rFonts w:ascii="Calibri" w:hAnsi="Calibri" w:cs="Helv"/>
          <w:bCs/>
          <w:color w:val="000000"/>
        </w:rPr>
      </w:pPr>
      <w:r>
        <w:rPr>
          <w:rFonts w:ascii="Calibri" w:hAnsi="Calibri" w:cs="Helv"/>
          <w:bCs/>
          <w:color w:val="000000"/>
        </w:rPr>
        <w:t>L</w:t>
      </w:r>
      <w:r w:rsidR="00E2145B" w:rsidRPr="00B15C39">
        <w:rPr>
          <w:rFonts w:ascii="Calibri" w:hAnsi="Calibri" w:cs="Helv"/>
          <w:bCs/>
          <w:color w:val="000000"/>
        </w:rPr>
        <w:t xml:space="preserve">imit the scope of the power </w:t>
      </w:r>
      <w:r>
        <w:rPr>
          <w:rFonts w:ascii="Calibri" w:hAnsi="Calibri" w:cs="Helv"/>
          <w:bCs/>
          <w:color w:val="000000"/>
        </w:rPr>
        <w:t>by creating</w:t>
      </w:r>
      <w:r w:rsidR="00B15C39">
        <w:rPr>
          <w:rFonts w:ascii="Calibri" w:hAnsi="Calibri" w:cs="Helv"/>
          <w:bCs/>
          <w:color w:val="000000"/>
        </w:rPr>
        <w:t xml:space="preserve"> a prerequisite, cap or threshold </w:t>
      </w:r>
      <w:r w:rsidR="000F0416">
        <w:rPr>
          <w:rFonts w:ascii="Calibri" w:hAnsi="Calibri" w:cs="Helv"/>
          <w:bCs/>
          <w:color w:val="000000"/>
        </w:rPr>
        <w:t>preventing GPOAs for substantially insolvent estates</w:t>
      </w:r>
      <w:r w:rsidR="00E2145B" w:rsidRPr="00B15C39">
        <w:rPr>
          <w:rFonts w:ascii="Calibri" w:hAnsi="Calibri" w:cs="Helv"/>
          <w:bCs/>
          <w:color w:val="000000"/>
        </w:rPr>
        <w:t>.</w:t>
      </w:r>
      <w:r w:rsidR="0064692A" w:rsidRPr="0064692A">
        <w:t xml:space="preserve"> </w:t>
      </w:r>
      <w:r w:rsidR="00B15C39">
        <w:t xml:space="preserve"> </w:t>
      </w:r>
      <w:r>
        <w:rPr>
          <w:rFonts w:ascii="Calibri" w:hAnsi="Calibri" w:cs="Helv"/>
          <w:bCs/>
          <w:color w:val="000000"/>
        </w:rPr>
        <w:t>By “substantially insolvent”</w:t>
      </w:r>
      <w:r w:rsidR="0064692A" w:rsidRPr="00B15C39">
        <w:rPr>
          <w:rFonts w:ascii="Calibri" w:hAnsi="Calibri" w:cs="Helv"/>
          <w:bCs/>
          <w:color w:val="000000"/>
        </w:rPr>
        <w:t xml:space="preserve">, if the power holder’s estate is insolvent </w:t>
      </w:r>
      <w:r>
        <w:rPr>
          <w:rFonts w:ascii="Calibri" w:hAnsi="Calibri" w:cs="Helv"/>
          <w:bCs/>
          <w:color w:val="000000"/>
        </w:rPr>
        <w:t xml:space="preserve">by </w:t>
      </w:r>
      <w:r w:rsidR="0064692A" w:rsidRPr="00B15C39">
        <w:rPr>
          <w:rFonts w:ascii="Calibri" w:hAnsi="Calibri" w:cs="Helv"/>
          <w:bCs/>
          <w:color w:val="000000"/>
        </w:rPr>
        <w:t xml:space="preserve">$10, such that a creditor could seize </w:t>
      </w:r>
      <w:r w:rsidR="00C9548B">
        <w:rPr>
          <w:rFonts w:ascii="Calibri" w:hAnsi="Calibri" w:cs="Helv"/>
          <w:bCs/>
          <w:color w:val="000000"/>
        </w:rPr>
        <w:lastRenderedPageBreak/>
        <w:t xml:space="preserve">only </w:t>
      </w:r>
      <w:r w:rsidR="0064692A" w:rsidRPr="00B15C39">
        <w:rPr>
          <w:rFonts w:ascii="Calibri" w:hAnsi="Calibri" w:cs="Helv"/>
          <w:bCs/>
          <w:color w:val="000000"/>
        </w:rPr>
        <w:t xml:space="preserve">$10 of assets subject to the power holder’s GPOA, would </w:t>
      </w:r>
      <w:r w:rsidR="000F0416">
        <w:rPr>
          <w:rFonts w:ascii="Calibri" w:hAnsi="Calibri" w:cs="Helv"/>
          <w:bCs/>
          <w:color w:val="000000"/>
        </w:rPr>
        <w:t>you</w:t>
      </w:r>
      <w:r w:rsidR="0064692A" w:rsidRPr="00B15C39">
        <w:rPr>
          <w:rFonts w:ascii="Calibri" w:hAnsi="Calibri" w:cs="Helv"/>
          <w:bCs/>
          <w:color w:val="000000"/>
        </w:rPr>
        <w:t xml:space="preserve"> want to void the GPOA entirely, forgoing up to $5.34 million of basis to thwart a $10 </w:t>
      </w:r>
      <w:r w:rsidR="006E13C7" w:rsidRPr="00B15C39">
        <w:rPr>
          <w:rFonts w:ascii="Calibri" w:hAnsi="Calibri" w:cs="Helv"/>
          <w:bCs/>
          <w:color w:val="000000"/>
        </w:rPr>
        <w:t>debt</w:t>
      </w:r>
      <w:r w:rsidR="0064692A" w:rsidRPr="00B15C39">
        <w:rPr>
          <w:rFonts w:ascii="Calibri" w:hAnsi="Calibri" w:cs="Helv"/>
          <w:bCs/>
          <w:color w:val="000000"/>
        </w:rPr>
        <w:t xml:space="preserve">?  </w:t>
      </w:r>
      <w:r w:rsidR="000F0416">
        <w:rPr>
          <w:rFonts w:ascii="Calibri" w:hAnsi="Calibri" w:cs="Helv"/>
          <w:bCs/>
          <w:color w:val="000000"/>
        </w:rPr>
        <w:t>I suggest preventing a GPOA only where the cost outweighs the benefit.</w:t>
      </w:r>
      <w:r w:rsidR="00E331D3">
        <w:rPr>
          <w:rStyle w:val="FootnoteReference"/>
          <w:rFonts w:ascii="Calibri" w:hAnsi="Calibri" w:cs="Helv"/>
          <w:bCs/>
          <w:color w:val="000000"/>
        </w:rPr>
        <w:footnoteReference w:id="113"/>
      </w:r>
      <w:r w:rsidR="00C9548B">
        <w:rPr>
          <w:rFonts w:ascii="Calibri" w:hAnsi="Calibri" w:cs="Helv"/>
          <w:bCs/>
          <w:color w:val="000000"/>
        </w:rPr>
        <w:t xml:space="preserve">  </w:t>
      </w:r>
      <w:r w:rsidR="00DA6F4C">
        <w:rPr>
          <w:rFonts w:ascii="Calibri" w:hAnsi="Calibri" w:cs="Helv"/>
          <w:bCs/>
          <w:color w:val="000000"/>
        </w:rPr>
        <w:t>The</w:t>
      </w:r>
      <w:r w:rsidR="00C9548B">
        <w:rPr>
          <w:rFonts w:ascii="Calibri" w:hAnsi="Calibri" w:cs="Helv"/>
          <w:bCs/>
          <w:color w:val="000000"/>
        </w:rPr>
        <w:t xml:space="preserve"> clause might only be activated</w:t>
      </w:r>
      <w:r w:rsidR="00C9548B" w:rsidRPr="00C9548B">
        <w:rPr>
          <w:rFonts w:ascii="Calibri" w:hAnsi="Calibri" w:cs="Helv"/>
          <w:bCs/>
          <w:color w:val="000000"/>
        </w:rPr>
        <w:t xml:space="preserve"> if UPAA §502, Ca. Prob. Code §682(b) or equivalent is applicable</w:t>
      </w:r>
      <w:r w:rsidR="00DA6F4C">
        <w:rPr>
          <w:rFonts w:ascii="Calibri" w:hAnsi="Calibri" w:cs="Helv"/>
          <w:bCs/>
          <w:color w:val="000000"/>
        </w:rPr>
        <w:t>.</w:t>
      </w:r>
      <w:r w:rsidR="002E175A">
        <w:rPr>
          <w:rFonts w:ascii="Calibri" w:hAnsi="Calibri" w:cs="Helv"/>
          <w:bCs/>
          <w:color w:val="000000"/>
        </w:rPr>
        <w:t xml:space="preserve"> </w:t>
      </w:r>
      <w:r w:rsidR="00CD5AEF">
        <w:rPr>
          <w:rFonts w:ascii="Calibri" w:hAnsi="Calibri" w:cs="Helv"/>
          <w:bCs/>
          <w:color w:val="000000"/>
        </w:rPr>
        <w:t>Solvency is a valid condition precedent to vesting interests.</w:t>
      </w:r>
      <w:r w:rsidR="00286BCA">
        <w:rPr>
          <w:rStyle w:val="FootnoteReference"/>
          <w:rFonts w:ascii="Calibri" w:hAnsi="Calibri" w:cs="Helv"/>
          <w:bCs/>
          <w:color w:val="000000"/>
        </w:rPr>
        <w:footnoteReference w:id="114"/>
      </w:r>
    </w:p>
    <w:p w14:paraId="59D76F3E" w14:textId="77777777" w:rsidR="00B15C39" w:rsidRDefault="00B15C39" w:rsidP="00180FD1">
      <w:pPr>
        <w:pStyle w:val="ListParagraph"/>
        <w:numPr>
          <w:ilvl w:val="0"/>
          <w:numId w:val="25"/>
        </w:numPr>
        <w:autoSpaceDE w:val="0"/>
        <w:autoSpaceDN w:val="0"/>
        <w:adjustRightInd w:val="0"/>
        <w:spacing w:line="360" w:lineRule="auto"/>
        <w:rPr>
          <w:rFonts w:ascii="Calibri" w:hAnsi="Calibri" w:cs="Helv"/>
          <w:bCs/>
          <w:color w:val="000000"/>
        </w:rPr>
      </w:pPr>
      <w:r>
        <w:rPr>
          <w:rFonts w:ascii="Calibri" w:hAnsi="Calibri" w:cs="Helv"/>
          <w:bCs/>
          <w:color w:val="000000"/>
        </w:rPr>
        <w:t xml:space="preserve">Draft limited and general powers separately, so that the </w:t>
      </w:r>
      <w:r w:rsidR="00DA6F4C">
        <w:rPr>
          <w:rFonts w:ascii="Calibri" w:hAnsi="Calibri" w:cs="Helv"/>
          <w:bCs/>
          <w:color w:val="000000"/>
        </w:rPr>
        <w:t>GPOA</w:t>
      </w:r>
      <w:r w:rsidR="00C9548B">
        <w:rPr>
          <w:rFonts w:ascii="Calibri" w:hAnsi="Calibri" w:cs="Helv"/>
          <w:bCs/>
          <w:color w:val="000000"/>
        </w:rPr>
        <w:t xml:space="preserve"> does not</w:t>
      </w:r>
      <w:r>
        <w:rPr>
          <w:rFonts w:ascii="Calibri" w:hAnsi="Calibri" w:cs="Helv"/>
          <w:bCs/>
          <w:color w:val="000000"/>
        </w:rPr>
        <w:t xml:space="preserve"> allow appointment to anyone but creditors.</w:t>
      </w:r>
      <w:r w:rsidR="000F0416">
        <w:rPr>
          <w:rFonts w:ascii="Calibri" w:hAnsi="Calibri" w:cs="Helv"/>
          <w:bCs/>
          <w:color w:val="000000"/>
        </w:rPr>
        <w:t xml:space="preserve">  </w:t>
      </w:r>
      <w:r w:rsidR="00C9548B">
        <w:rPr>
          <w:rFonts w:ascii="Calibri" w:hAnsi="Calibri" w:cs="Helv"/>
          <w:bCs/>
          <w:color w:val="000000"/>
        </w:rPr>
        <w:t>Would exercising</w:t>
      </w:r>
      <w:r w:rsidR="000F0416">
        <w:rPr>
          <w:rFonts w:ascii="Calibri" w:hAnsi="Calibri" w:cs="Helv"/>
          <w:bCs/>
          <w:color w:val="000000"/>
        </w:rPr>
        <w:t xml:space="preserve"> a limited power to appoint to children/trust</w:t>
      </w:r>
      <w:r w:rsidR="00C9548B">
        <w:rPr>
          <w:rFonts w:ascii="Calibri" w:hAnsi="Calibri" w:cs="Helv"/>
          <w:bCs/>
          <w:color w:val="000000"/>
        </w:rPr>
        <w:t xml:space="preserve"> be deemed an exercise of a </w:t>
      </w:r>
      <w:r w:rsidR="00DA6F4C">
        <w:rPr>
          <w:rFonts w:ascii="Calibri" w:hAnsi="Calibri" w:cs="Helv"/>
          <w:bCs/>
          <w:color w:val="000000"/>
        </w:rPr>
        <w:t>GPOA</w:t>
      </w:r>
      <w:r w:rsidR="00C9548B">
        <w:rPr>
          <w:rFonts w:ascii="Calibri" w:hAnsi="Calibri" w:cs="Helv"/>
          <w:bCs/>
          <w:color w:val="000000"/>
        </w:rPr>
        <w:t xml:space="preserve"> under state law where a concurrent </w:t>
      </w:r>
      <w:r w:rsidR="00B45969">
        <w:rPr>
          <w:rFonts w:ascii="Calibri" w:hAnsi="Calibri" w:cs="Helv"/>
          <w:bCs/>
          <w:color w:val="000000"/>
        </w:rPr>
        <w:t>GPOA</w:t>
      </w:r>
      <w:r w:rsidR="00C9548B">
        <w:rPr>
          <w:rFonts w:ascii="Calibri" w:hAnsi="Calibri" w:cs="Helv"/>
          <w:bCs/>
          <w:color w:val="000000"/>
        </w:rPr>
        <w:t xml:space="preserve"> exists?  </w:t>
      </w:r>
      <w:r w:rsidR="00B45969">
        <w:rPr>
          <w:rFonts w:ascii="Calibri" w:hAnsi="Calibri" w:cs="Helv"/>
          <w:bCs/>
          <w:color w:val="000000"/>
        </w:rPr>
        <w:t xml:space="preserve">I am uncertain as to the answer – the exercise of an LPOA when a GPOA </w:t>
      </w:r>
      <w:r w:rsidR="00CC3051">
        <w:rPr>
          <w:rFonts w:ascii="Calibri" w:hAnsi="Calibri" w:cs="Helv"/>
          <w:bCs/>
          <w:color w:val="000000"/>
        </w:rPr>
        <w:t>also</w:t>
      </w:r>
      <w:r w:rsidR="00B45969">
        <w:rPr>
          <w:rFonts w:ascii="Calibri" w:hAnsi="Calibri" w:cs="Helv"/>
          <w:bCs/>
          <w:color w:val="000000"/>
        </w:rPr>
        <w:t xml:space="preserve"> exists may be deemed to be an exercise of the GPOA even if they are in separate paragraphs</w:t>
      </w:r>
      <w:r w:rsidR="00C9548B">
        <w:rPr>
          <w:rFonts w:ascii="Calibri" w:hAnsi="Calibri" w:cs="Helv"/>
          <w:bCs/>
          <w:color w:val="000000"/>
        </w:rPr>
        <w:t>, but it</w:t>
      </w:r>
      <w:r w:rsidR="00B45969">
        <w:rPr>
          <w:rFonts w:ascii="Calibri" w:hAnsi="Calibri" w:cs="Helv"/>
          <w:bCs/>
          <w:color w:val="000000"/>
        </w:rPr>
        <w:t xml:space="preserve"> </w:t>
      </w:r>
      <w:r w:rsidR="00C9548B">
        <w:rPr>
          <w:rFonts w:ascii="Calibri" w:hAnsi="Calibri" w:cs="Helv"/>
          <w:bCs/>
          <w:color w:val="000000"/>
        </w:rPr>
        <w:t>can’t hurt to separate</w:t>
      </w:r>
      <w:r w:rsidR="00B45969">
        <w:rPr>
          <w:rFonts w:ascii="Calibri" w:hAnsi="Calibri" w:cs="Helv"/>
          <w:bCs/>
          <w:color w:val="000000"/>
        </w:rPr>
        <w:t xml:space="preserve"> into two powers.</w:t>
      </w:r>
    </w:p>
    <w:p w14:paraId="38D38A65" w14:textId="77777777" w:rsidR="00B15C39" w:rsidRDefault="00B15C39" w:rsidP="00180FD1">
      <w:pPr>
        <w:pStyle w:val="ListParagraph"/>
        <w:numPr>
          <w:ilvl w:val="0"/>
          <w:numId w:val="25"/>
        </w:numPr>
        <w:autoSpaceDE w:val="0"/>
        <w:autoSpaceDN w:val="0"/>
        <w:adjustRightInd w:val="0"/>
        <w:spacing w:line="360" w:lineRule="auto"/>
        <w:rPr>
          <w:rFonts w:ascii="Calibri" w:hAnsi="Calibri" w:cs="Helv"/>
          <w:bCs/>
          <w:color w:val="000000"/>
        </w:rPr>
      </w:pPr>
      <w:r>
        <w:rPr>
          <w:rFonts w:ascii="Calibri" w:hAnsi="Calibri" w:cs="Helv"/>
          <w:bCs/>
          <w:color w:val="000000"/>
        </w:rPr>
        <w:t>Require consent of a non-adverse party</w:t>
      </w:r>
      <w:r w:rsidR="000F0416">
        <w:rPr>
          <w:rFonts w:ascii="Calibri" w:hAnsi="Calibri" w:cs="Helv"/>
          <w:bCs/>
          <w:color w:val="000000"/>
        </w:rPr>
        <w:t xml:space="preserve"> or parties</w:t>
      </w:r>
      <w:r>
        <w:rPr>
          <w:rFonts w:ascii="Calibri" w:hAnsi="Calibri" w:cs="Helv"/>
          <w:bCs/>
          <w:color w:val="000000"/>
        </w:rPr>
        <w:t xml:space="preserve"> to enable exercise of a GPOA</w:t>
      </w:r>
      <w:r w:rsidR="00E35FBB">
        <w:rPr>
          <w:rFonts w:ascii="Calibri" w:hAnsi="Calibri" w:cs="Helv"/>
          <w:bCs/>
          <w:color w:val="000000"/>
        </w:rPr>
        <w:t>, being careful to have successor “consenters” in the event that person dies or is incapacitated, else state law may deem consent to be unnecessary, or possibly worse</w:t>
      </w:r>
      <w:r w:rsidR="0063135B">
        <w:rPr>
          <w:rFonts w:ascii="Calibri" w:hAnsi="Calibri" w:cs="Helv"/>
          <w:bCs/>
          <w:color w:val="000000"/>
        </w:rPr>
        <w:t xml:space="preserve"> (depending on trust terms)</w:t>
      </w:r>
      <w:r w:rsidR="00E35FBB">
        <w:rPr>
          <w:rFonts w:ascii="Calibri" w:hAnsi="Calibri" w:cs="Helv"/>
          <w:bCs/>
          <w:color w:val="000000"/>
        </w:rPr>
        <w:t>, that there is no general power at all</w:t>
      </w:r>
      <w:r>
        <w:rPr>
          <w:rFonts w:ascii="Calibri" w:hAnsi="Calibri" w:cs="Helv"/>
          <w:bCs/>
          <w:color w:val="000000"/>
        </w:rPr>
        <w:t>.</w:t>
      </w:r>
      <w:r w:rsidR="00E35FBB">
        <w:rPr>
          <w:rStyle w:val="FootnoteReference"/>
          <w:rFonts w:ascii="Calibri" w:hAnsi="Calibri" w:cs="Helv"/>
          <w:bCs/>
          <w:color w:val="000000"/>
        </w:rPr>
        <w:footnoteReference w:id="115"/>
      </w:r>
    </w:p>
    <w:p w14:paraId="5C3CFE1F" w14:textId="77777777" w:rsidR="00557AA9" w:rsidRPr="00303B05" w:rsidRDefault="00557AA9" w:rsidP="00557AA9">
      <w:pPr>
        <w:autoSpaceDE w:val="0"/>
        <w:autoSpaceDN w:val="0"/>
        <w:adjustRightInd w:val="0"/>
        <w:spacing w:line="360" w:lineRule="auto"/>
        <w:rPr>
          <w:rFonts w:ascii="Calibri" w:hAnsi="Calibri" w:cs="Helv"/>
          <w:bCs/>
          <w:color w:val="000000"/>
          <w:sz w:val="16"/>
          <w:szCs w:val="16"/>
        </w:rPr>
      </w:pPr>
    </w:p>
    <w:p w14:paraId="2AEDCBEC" w14:textId="77777777" w:rsidR="0020272C" w:rsidRPr="00557AA9" w:rsidRDefault="0020272C" w:rsidP="00557AA9">
      <w:pPr>
        <w:autoSpaceDE w:val="0"/>
        <w:autoSpaceDN w:val="0"/>
        <w:adjustRightInd w:val="0"/>
        <w:spacing w:line="360" w:lineRule="auto"/>
        <w:ind w:firstLine="720"/>
        <w:rPr>
          <w:rFonts w:ascii="Calibri" w:hAnsi="Calibri" w:cs="Helv"/>
          <w:bCs/>
          <w:color w:val="000000"/>
        </w:rPr>
      </w:pPr>
      <w:r w:rsidRPr="00557AA9">
        <w:rPr>
          <w:rFonts w:ascii="Calibri" w:hAnsi="Calibri" w:cs="Helv"/>
          <w:bCs/>
          <w:color w:val="000000"/>
        </w:rPr>
        <w:t xml:space="preserve">If </w:t>
      </w:r>
      <w:r w:rsidR="00DB1934">
        <w:rPr>
          <w:rFonts w:ascii="Calibri" w:hAnsi="Calibri" w:cs="Helv"/>
          <w:bCs/>
          <w:color w:val="000000"/>
        </w:rPr>
        <w:t>the general testamentary power has</w:t>
      </w:r>
      <w:r w:rsidR="00557AA9">
        <w:rPr>
          <w:rFonts w:ascii="Calibri" w:hAnsi="Calibri" w:cs="Helv"/>
          <w:bCs/>
          <w:color w:val="000000"/>
        </w:rPr>
        <w:t xml:space="preserve"> already been drafted and </w:t>
      </w:r>
      <w:r w:rsidR="00DB1934">
        <w:rPr>
          <w:rFonts w:ascii="Calibri" w:hAnsi="Calibri" w:cs="Helv"/>
          <w:bCs/>
          <w:color w:val="000000"/>
        </w:rPr>
        <w:t>the</w:t>
      </w:r>
      <w:r w:rsidRPr="00557AA9">
        <w:rPr>
          <w:rFonts w:ascii="Calibri" w:hAnsi="Calibri" w:cs="Helv"/>
          <w:bCs/>
          <w:color w:val="000000"/>
        </w:rPr>
        <w:t xml:space="preserve"> powerholder </w:t>
      </w:r>
      <w:r w:rsidR="00DB1934">
        <w:rPr>
          <w:rFonts w:ascii="Calibri" w:hAnsi="Calibri" w:cs="Helv"/>
          <w:bCs/>
          <w:color w:val="000000"/>
        </w:rPr>
        <w:t>anticipates having an insolvent</w:t>
      </w:r>
      <w:r w:rsidRPr="00557AA9">
        <w:rPr>
          <w:rFonts w:ascii="Calibri" w:hAnsi="Calibri" w:cs="Helv"/>
          <w:bCs/>
          <w:color w:val="000000"/>
        </w:rPr>
        <w:t xml:space="preserve"> estate </w:t>
      </w:r>
      <w:r w:rsidR="00DB1934">
        <w:rPr>
          <w:rFonts w:ascii="Calibri" w:hAnsi="Calibri" w:cs="Helv"/>
          <w:bCs/>
          <w:color w:val="000000"/>
        </w:rPr>
        <w:t>at death due to substantial</w:t>
      </w:r>
      <w:r w:rsidRPr="00557AA9">
        <w:rPr>
          <w:rFonts w:ascii="Calibri" w:hAnsi="Calibri" w:cs="Helv"/>
          <w:bCs/>
          <w:color w:val="000000"/>
        </w:rPr>
        <w:t xml:space="preserve"> creditors at the gate, and is worried about appointive assets being accessed by creditors at his or her death, because they live in </w:t>
      </w:r>
      <w:r w:rsidR="00DB1934">
        <w:rPr>
          <w:rFonts w:ascii="Calibri" w:hAnsi="Calibri" w:cs="Helv"/>
          <w:bCs/>
          <w:color w:val="000000"/>
        </w:rPr>
        <w:t xml:space="preserve">a state like </w:t>
      </w:r>
      <w:r w:rsidRPr="00557AA9">
        <w:rPr>
          <w:rFonts w:ascii="Calibri" w:hAnsi="Calibri" w:cs="Helv"/>
          <w:bCs/>
          <w:color w:val="000000"/>
        </w:rPr>
        <w:t>California or plan to exercise the</w:t>
      </w:r>
      <w:r w:rsidR="00DB1934">
        <w:rPr>
          <w:rFonts w:ascii="Calibri" w:hAnsi="Calibri" w:cs="Helv"/>
          <w:bCs/>
          <w:color w:val="000000"/>
        </w:rPr>
        <w:t xml:space="preserve"> power</w:t>
      </w:r>
      <w:r w:rsidRPr="00557AA9">
        <w:rPr>
          <w:rFonts w:ascii="Calibri" w:hAnsi="Calibri" w:cs="Helv"/>
          <w:bCs/>
          <w:color w:val="000000"/>
        </w:rPr>
        <w:t xml:space="preserve"> and live in a state that would subject </w:t>
      </w:r>
      <w:r w:rsidR="00DB1934">
        <w:rPr>
          <w:rFonts w:ascii="Calibri" w:hAnsi="Calibri" w:cs="Helv"/>
          <w:bCs/>
          <w:color w:val="000000"/>
        </w:rPr>
        <w:t>appointed</w:t>
      </w:r>
      <w:r w:rsidRPr="00557AA9">
        <w:rPr>
          <w:rFonts w:ascii="Calibri" w:hAnsi="Calibri" w:cs="Helv"/>
          <w:bCs/>
          <w:color w:val="000000"/>
        </w:rPr>
        <w:t xml:space="preserve"> assets to creditors, they may be able to either release the power before death, elect not to exercise the power</w:t>
      </w:r>
      <w:r w:rsidR="00557AA9" w:rsidRPr="00557AA9">
        <w:rPr>
          <w:rFonts w:ascii="Calibri" w:hAnsi="Calibri" w:cs="Helv"/>
          <w:bCs/>
          <w:color w:val="000000"/>
        </w:rPr>
        <w:t xml:space="preserve"> (if that is how the state would attack it)</w:t>
      </w:r>
      <w:r w:rsidRPr="00557AA9">
        <w:rPr>
          <w:rFonts w:ascii="Calibri" w:hAnsi="Calibri" w:cs="Helv"/>
          <w:bCs/>
          <w:color w:val="000000"/>
        </w:rPr>
        <w:t xml:space="preserve">, </w:t>
      </w:r>
      <w:r w:rsidR="00557AA9">
        <w:rPr>
          <w:rFonts w:ascii="Calibri" w:hAnsi="Calibri" w:cs="Helv"/>
          <w:bCs/>
          <w:color w:val="000000"/>
        </w:rPr>
        <w:t xml:space="preserve">amend the power pursuant to the document and/or state law, </w:t>
      </w:r>
      <w:r w:rsidR="00557AA9" w:rsidRPr="00557AA9">
        <w:rPr>
          <w:rFonts w:ascii="Calibri" w:hAnsi="Calibri" w:cs="Helv"/>
          <w:bCs/>
          <w:color w:val="000000"/>
        </w:rPr>
        <w:t xml:space="preserve">or </w:t>
      </w:r>
      <w:r w:rsidR="00557AA9" w:rsidRPr="00557AA9">
        <w:rPr>
          <w:rFonts w:ascii="Calibri" w:hAnsi="Calibri" w:cs="Helv"/>
          <w:bCs/>
          <w:i/>
          <w:color w:val="000000"/>
        </w:rPr>
        <w:t>simply file bankruptcy prior to death, if the debt is dischargeable</w:t>
      </w:r>
      <w:r w:rsidR="00557AA9" w:rsidRPr="00557AA9">
        <w:rPr>
          <w:rFonts w:ascii="Calibri" w:hAnsi="Calibri" w:cs="Helv"/>
          <w:bCs/>
          <w:color w:val="000000"/>
        </w:rPr>
        <w:t xml:space="preserve">.  </w:t>
      </w:r>
      <w:r w:rsidR="00557AA9" w:rsidRPr="00253FC2">
        <w:rPr>
          <w:rFonts w:ascii="Calibri" w:hAnsi="Calibri" w:cs="Helv"/>
          <w:bCs/>
          <w:i/>
          <w:color w:val="000000"/>
        </w:rPr>
        <w:t>Testamentary</w:t>
      </w:r>
      <w:r w:rsidR="00557AA9" w:rsidRPr="00557AA9">
        <w:rPr>
          <w:rFonts w:ascii="Calibri" w:hAnsi="Calibri" w:cs="Helv"/>
          <w:bCs/>
          <w:color w:val="000000"/>
        </w:rPr>
        <w:t xml:space="preserve"> general powers are excluded from a power holder’</w:t>
      </w:r>
      <w:r w:rsidR="00557AA9">
        <w:rPr>
          <w:rFonts w:ascii="Calibri" w:hAnsi="Calibri" w:cs="Helv"/>
          <w:bCs/>
          <w:color w:val="000000"/>
        </w:rPr>
        <w:t>s bankruptcy estate</w:t>
      </w:r>
      <w:r w:rsidR="00557AA9" w:rsidRPr="00557AA9">
        <w:rPr>
          <w:rFonts w:ascii="Calibri" w:hAnsi="Calibri" w:cs="Helv"/>
          <w:bCs/>
          <w:color w:val="000000"/>
        </w:rPr>
        <w:t>.</w:t>
      </w:r>
      <w:r w:rsidR="00557AA9">
        <w:rPr>
          <w:rStyle w:val="FootnoteReference"/>
          <w:rFonts w:ascii="Calibri" w:hAnsi="Calibri" w:cs="Helv"/>
          <w:bCs/>
          <w:color w:val="000000"/>
        </w:rPr>
        <w:footnoteReference w:id="116"/>
      </w:r>
      <w:r w:rsidRPr="00557AA9">
        <w:rPr>
          <w:rFonts w:ascii="Calibri" w:hAnsi="Calibri" w:cs="Helv"/>
          <w:bCs/>
          <w:color w:val="000000"/>
        </w:rPr>
        <w:t xml:space="preserve"> </w:t>
      </w:r>
    </w:p>
    <w:p w14:paraId="58762456" w14:textId="77777777" w:rsidR="0064692A" w:rsidRPr="0064692A" w:rsidRDefault="0064692A" w:rsidP="008873FA">
      <w:pPr>
        <w:autoSpaceDE w:val="0"/>
        <w:autoSpaceDN w:val="0"/>
        <w:adjustRightInd w:val="0"/>
        <w:spacing w:line="360" w:lineRule="auto"/>
        <w:ind w:firstLine="720"/>
        <w:rPr>
          <w:rFonts w:ascii="Calibri" w:hAnsi="Calibri" w:cs="Helv"/>
          <w:b/>
          <w:bCs/>
          <w:color w:val="000000"/>
        </w:rPr>
      </w:pPr>
      <w:r>
        <w:rPr>
          <w:rFonts w:ascii="Calibri" w:hAnsi="Calibri" w:cs="Helv"/>
          <w:b/>
          <w:bCs/>
          <w:color w:val="000000"/>
        </w:rPr>
        <w:lastRenderedPageBreak/>
        <w:t>Spousal Elective Share Rights</w:t>
      </w:r>
    </w:p>
    <w:p w14:paraId="475CE78F" w14:textId="77777777" w:rsidR="00A3055D" w:rsidRDefault="006E69DA" w:rsidP="008873FA">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Some may fear </w:t>
      </w:r>
      <w:r w:rsidR="009F6C4F">
        <w:rPr>
          <w:rFonts w:ascii="Calibri" w:hAnsi="Calibri" w:cs="Helv"/>
          <w:bCs/>
          <w:color w:val="000000"/>
        </w:rPr>
        <w:t>that third party-</w:t>
      </w:r>
      <w:r w:rsidR="00B74FF8">
        <w:rPr>
          <w:rFonts w:ascii="Calibri" w:hAnsi="Calibri" w:cs="Helv"/>
          <w:bCs/>
          <w:color w:val="000000"/>
        </w:rPr>
        <w:t xml:space="preserve">created </w:t>
      </w:r>
      <w:r w:rsidR="008C4847">
        <w:rPr>
          <w:rFonts w:ascii="Calibri" w:hAnsi="Calibri" w:cs="Helv"/>
          <w:bCs/>
          <w:color w:val="000000"/>
        </w:rPr>
        <w:t xml:space="preserve">formula </w:t>
      </w:r>
      <w:r w:rsidR="008873FA">
        <w:rPr>
          <w:rFonts w:ascii="Calibri" w:hAnsi="Calibri" w:cs="Helv"/>
          <w:bCs/>
          <w:color w:val="000000"/>
        </w:rPr>
        <w:t xml:space="preserve">testamentary </w:t>
      </w:r>
      <w:r w:rsidR="00B74FF8">
        <w:rPr>
          <w:rFonts w:ascii="Calibri" w:hAnsi="Calibri" w:cs="Helv"/>
          <w:bCs/>
          <w:color w:val="000000"/>
        </w:rPr>
        <w:t xml:space="preserve">GPOAs </w:t>
      </w:r>
      <w:r w:rsidR="008C4847">
        <w:rPr>
          <w:rFonts w:ascii="Calibri" w:hAnsi="Calibri" w:cs="Helv"/>
          <w:bCs/>
          <w:color w:val="000000"/>
        </w:rPr>
        <w:t>risk invoking</w:t>
      </w:r>
      <w:r w:rsidR="00B74FF8">
        <w:rPr>
          <w:rFonts w:ascii="Calibri" w:hAnsi="Calibri" w:cs="Helv"/>
          <w:bCs/>
          <w:color w:val="000000"/>
        </w:rPr>
        <w:t xml:space="preserve"> spousal statutory share rights</w:t>
      </w:r>
      <w:r w:rsidR="006F608A">
        <w:rPr>
          <w:rFonts w:ascii="Calibri" w:hAnsi="Calibri" w:cs="Helv"/>
          <w:bCs/>
          <w:color w:val="000000"/>
        </w:rPr>
        <w:t xml:space="preserve"> should the surviving spouse remarry (or, in the event another beneficiary has a similar </w:t>
      </w:r>
      <w:r w:rsidR="00CF5222">
        <w:rPr>
          <w:rFonts w:ascii="Calibri" w:hAnsi="Calibri" w:cs="Helv"/>
          <w:bCs/>
          <w:color w:val="000000"/>
        </w:rPr>
        <w:t xml:space="preserve">testamentary </w:t>
      </w:r>
      <w:r w:rsidR="006F608A">
        <w:rPr>
          <w:rFonts w:ascii="Calibri" w:hAnsi="Calibri" w:cs="Helv"/>
          <w:bCs/>
          <w:color w:val="000000"/>
        </w:rPr>
        <w:t>GPOA</w:t>
      </w:r>
      <w:r>
        <w:rPr>
          <w:rFonts w:ascii="Calibri" w:hAnsi="Calibri" w:cs="Helv"/>
          <w:bCs/>
          <w:color w:val="000000"/>
        </w:rPr>
        <w:t xml:space="preserve"> and is married</w:t>
      </w:r>
      <w:r w:rsidR="006F608A">
        <w:rPr>
          <w:rFonts w:ascii="Calibri" w:hAnsi="Calibri" w:cs="Helv"/>
          <w:bCs/>
          <w:color w:val="000000"/>
        </w:rPr>
        <w:t>)</w:t>
      </w:r>
      <w:r w:rsidR="00B74FF8">
        <w:rPr>
          <w:rFonts w:ascii="Calibri" w:hAnsi="Calibri" w:cs="Helv"/>
          <w:bCs/>
          <w:color w:val="000000"/>
        </w:rPr>
        <w:t xml:space="preserve">. This </w:t>
      </w:r>
      <w:r>
        <w:rPr>
          <w:rFonts w:ascii="Calibri" w:hAnsi="Calibri" w:cs="Helv"/>
          <w:bCs/>
          <w:color w:val="000000"/>
        </w:rPr>
        <w:t>is not the</w:t>
      </w:r>
      <w:r w:rsidR="00B74FF8">
        <w:rPr>
          <w:rFonts w:ascii="Calibri" w:hAnsi="Calibri" w:cs="Helv"/>
          <w:bCs/>
          <w:color w:val="000000"/>
        </w:rPr>
        <w:t xml:space="preserve"> case</w:t>
      </w:r>
      <w:r>
        <w:rPr>
          <w:rFonts w:ascii="Calibri" w:hAnsi="Calibri" w:cs="Helv"/>
          <w:bCs/>
          <w:color w:val="000000"/>
        </w:rPr>
        <w:t xml:space="preserve"> for the vast </w:t>
      </w:r>
      <w:r w:rsidR="00CC3051">
        <w:rPr>
          <w:rFonts w:ascii="Calibri" w:hAnsi="Calibri" w:cs="Helv"/>
          <w:bCs/>
          <w:color w:val="000000"/>
        </w:rPr>
        <w:t>super</w:t>
      </w:r>
      <w:r>
        <w:rPr>
          <w:rFonts w:ascii="Calibri" w:hAnsi="Calibri" w:cs="Helv"/>
          <w:bCs/>
          <w:color w:val="000000"/>
        </w:rPr>
        <w:t>majority of states</w:t>
      </w:r>
      <w:r w:rsidR="00B74FF8">
        <w:rPr>
          <w:rFonts w:ascii="Calibri" w:hAnsi="Calibri" w:cs="Helv"/>
          <w:bCs/>
          <w:color w:val="000000"/>
        </w:rPr>
        <w:t>.</w:t>
      </w:r>
      <w:r w:rsidR="002266A6">
        <w:rPr>
          <w:rStyle w:val="FootnoteReference"/>
          <w:rFonts w:ascii="Calibri" w:hAnsi="Calibri" w:cs="Helv"/>
          <w:bCs/>
          <w:color w:val="000000"/>
        </w:rPr>
        <w:footnoteReference w:id="117"/>
      </w:r>
      <w:r w:rsidR="00B74FF8">
        <w:rPr>
          <w:rFonts w:ascii="Calibri" w:hAnsi="Calibri" w:cs="Helv"/>
          <w:bCs/>
          <w:color w:val="000000"/>
        </w:rPr>
        <w:t xml:space="preserve">  </w:t>
      </w:r>
    </w:p>
    <w:p w14:paraId="06404E91" w14:textId="77777777" w:rsidR="0064692A" w:rsidRDefault="00042A30" w:rsidP="008873FA">
      <w:pPr>
        <w:autoSpaceDE w:val="0"/>
        <w:autoSpaceDN w:val="0"/>
        <w:adjustRightInd w:val="0"/>
        <w:spacing w:line="360" w:lineRule="auto"/>
        <w:ind w:firstLine="720"/>
        <w:rPr>
          <w:rFonts w:asciiTheme="minorHAnsi" w:hAnsiTheme="minorHAnsi"/>
        </w:rPr>
      </w:pPr>
      <w:r>
        <w:rPr>
          <w:rFonts w:ascii="Calibri" w:hAnsi="Calibri" w:cs="Helv"/>
          <w:bCs/>
          <w:color w:val="000000"/>
        </w:rPr>
        <w:t>While it’s probably not an issue unless you live in Delaware</w:t>
      </w:r>
      <w:r w:rsidR="00521CA5">
        <w:rPr>
          <w:rFonts w:ascii="Calibri" w:hAnsi="Calibri" w:cs="Helv"/>
          <w:bCs/>
          <w:color w:val="000000"/>
        </w:rPr>
        <w:t xml:space="preserve">, </w:t>
      </w:r>
      <w:r w:rsidR="009F6C28">
        <w:rPr>
          <w:rFonts w:ascii="Calibri" w:hAnsi="Calibri" w:cs="Helv"/>
          <w:bCs/>
          <w:color w:val="000000"/>
        </w:rPr>
        <w:t>you might</w:t>
      </w:r>
      <w:r w:rsidR="00521CA5">
        <w:rPr>
          <w:rFonts w:ascii="Calibri" w:hAnsi="Calibri" w:cs="Helv"/>
          <w:bCs/>
          <w:color w:val="000000"/>
        </w:rPr>
        <w:t xml:space="preserve"> circumscribe the formula GPOA to prevent application </w:t>
      </w:r>
      <w:r w:rsidR="00A3055D">
        <w:rPr>
          <w:rFonts w:ascii="Calibri" w:hAnsi="Calibri" w:cs="Helv"/>
          <w:bCs/>
          <w:color w:val="000000"/>
        </w:rPr>
        <w:t xml:space="preserve">if the powerholder were to move to </w:t>
      </w:r>
      <w:r>
        <w:rPr>
          <w:rFonts w:ascii="Calibri" w:hAnsi="Calibri" w:cs="Helv"/>
          <w:bCs/>
          <w:color w:val="000000"/>
        </w:rPr>
        <w:t xml:space="preserve">Delaware of </w:t>
      </w:r>
      <w:r w:rsidR="00A3055D">
        <w:rPr>
          <w:rFonts w:ascii="Calibri" w:hAnsi="Calibri" w:cs="Helv"/>
          <w:bCs/>
          <w:color w:val="000000"/>
        </w:rPr>
        <w:t>a state that later enacts a new statute that include</w:t>
      </w:r>
      <w:r>
        <w:rPr>
          <w:rFonts w:ascii="Calibri" w:hAnsi="Calibri" w:cs="Helv"/>
          <w:bCs/>
          <w:color w:val="000000"/>
        </w:rPr>
        <w:t>s</w:t>
      </w:r>
      <w:r w:rsidR="00A3055D">
        <w:rPr>
          <w:rFonts w:ascii="Calibri" w:hAnsi="Calibri" w:cs="Helv"/>
          <w:bCs/>
          <w:color w:val="000000"/>
        </w:rPr>
        <w:t xml:space="preserve"> third-par</w:t>
      </w:r>
      <w:r w:rsidR="00E331D3">
        <w:rPr>
          <w:rFonts w:ascii="Calibri" w:hAnsi="Calibri" w:cs="Helv"/>
          <w:bCs/>
          <w:color w:val="000000"/>
        </w:rPr>
        <w:t>ty created testamentary GPOAs</w:t>
      </w:r>
      <w:r w:rsidR="00A3055D">
        <w:rPr>
          <w:rFonts w:ascii="Calibri" w:hAnsi="Calibri" w:cs="Helv"/>
          <w:bCs/>
          <w:color w:val="000000"/>
        </w:rPr>
        <w:t>.</w:t>
      </w:r>
      <w:r w:rsidR="0064692A">
        <w:rPr>
          <w:rFonts w:ascii="Calibri" w:hAnsi="Calibri" w:cs="Helv"/>
          <w:bCs/>
          <w:color w:val="000000"/>
        </w:rPr>
        <w:t xml:space="preserve">  </w:t>
      </w:r>
      <w:r w:rsidR="00140A0F">
        <w:rPr>
          <w:rFonts w:ascii="Calibri" w:hAnsi="Calibri" w:cs="Helv"/>
          <w:bCs/>
          <w:color w:val="000000"/>
        </w:rPr>
        <w:t>Some might simply</w:t>
      </w:r>
      <w:r w:rsidR="006F608A">
        <w:rPr>
          <w:rFonts w:ascii="Calibri" w:hAnsi="Calibri" w:cs="Helv"/>
          <w:bCs/>
          <w:color w:val="000000"/>
        </w:rPr>
        <w:t xml:space="preserve"> ignore this in drafting the formula GPOA as curre</w:t>
      </w:r>
      <w:r w:rsidR="009F6C28">
        <w:rPr>
          <w:rFonts w:ascii="Calibri" w:hAnsi="Calibri" w:cs="Helv"/>
          <w:bCs/>
          <w:color w:val="000000"/>
        </w:rPr>
        <w:t xml:space="preserve">ntly a “non-issue”, but note the settlor’s </w:t>
      </w:r>
      <w:r w:rsidR="006F608A">
        <w:rPr>
          <w:rFonts w:ascii="Calibri" w:hAnsi="Calibri" w:cs="Helv"/>
          <w:bCs/>
          <w:color w:val="000000"/>
        </w:rPr>
        <w:t>concern about future legislation</w:t>
      </w:r>
      <w:r w:rsidR="009F6C28">
        <w:rPr>
          <w:rFonts w:ascii="Calibri" w:hAnsi="Calibri" w:cs="Helv"/>
          <w:bCs/>
          <w:color w:val="000000"/>
        </w:rPr>
        <w:t xml:space="preserve"> expanding the spousal elective share</w:t>
      </w:r>
      <w:r w:rsidR="006F608A">
        <w:rPr>
          <w:rFonts w:ascii="Calibri" w:hAnsi="Calibri" w:cs="Helv"/>
          <w:bCs/>
          <w:color w:val="000000"/>
        </w:rPr>
        <w:t xml:space="preserve"> </w:t>
      </w:r>
      <w:r w:rsidR="00140A0F">
        <w:rPr>
          <w:rFonts w:ascii="Calibri" w:hAnsi="Calibri" w:cs="Helv"/>
          <w:bCs/>
          <w:color w:val="000000"/>
        </w:rPr>
        <w:t>in</w:t>
      </w:r>
      <w:r w:rsidR="006F608A">
        <w:rPr>
          <w:rFonts w:ascii="Calibri" w:hAnsi="Calibri" w:cs="Helv"/>
          <w:bCs/>
          <w:color w:val="000000"/>
        </w:rPr>
        <w:t xml:space="preserve"> </w:t>
      </w:r>
      <w:r w:rsidR="00527689">
        <w:rPr>
          <w:rFonts w:ascii="Calibri" w:hAnsi="Calibri" w:cs="Helv"/>
          <w:bCs/>
          <w:color w:val="000000"/>
        </w:rPr>
        <w:t>any statement of material purpose or</w:t>
      </w:r>
      <w:r w:rsidR="006F608A">
        <w:rPr>
          <w:rFonts w:ascii="Calibri" w:hAnsi="Calibri" w:cs="Helv"/>
          <w:bCs/>
          <w:color w:val="000000"/>
        </w:rPr>
        <w:t xml:space="preserve"> trust protector</w:t>
      </w:r>
      <w:r w:rsidR="009F6C28">
        <w:rPr>
          <w:rFonts w:ascii="Calibri" w:hAnsi="Calibri" w:cs="Helv"/>
          <w:bCs/>
          <w:color w:val="000000"/>
        </w:rPr>
        <w:t xml:space="preserve"> or </w:t>
      </w:r>
      <w:r w:rsidR="006F608A">
        <w:rPr>
          <w:rFonts w:ascii="Calibri" w:hAnsi="Calibri" w:cs="Helv"/>
          <w:bCs/>
          <w:color w:val="000000"/>
        </w:rPr>
        <w:t xml:space="preserve">amendment </w:t>
      </w:r>
      <w:r w:rsidR="00527689">
        <w:rPr>
          <w:rFonts w:ascii="Calibri" w:hAnsi="Calibri" w:cs="Helv"/>
          <w:bCs/>
          <w:color w:val="000000"/>
        </w:rPr>
        <w:t xml:space="preserve">clause </w:t>
      </w:r>
      <w:r w:rsidR="006F608A">
        <w:rPr>
          <w:rFonts w:ascii="Calibri" w:hAnsi="Calibri" w:cs="Helv"/>
          <w:bCs/>
          <w:color w:val="000000"/>
        </w:rPr>
        <w:t xml:space="preserve">that outlines </w:t>
      </w:r>
      <w:r w:rsidR="00527689">
        <w:rPr>
          <w:rFonts w:ascii="Calibri" w:hAnsi="Calibri" w:cs="Helv"/>
          <w:bCs/>
          <w:color w:val="000000"/>
        </w:rPr>
        <w:t xml:space="preserve">the scope of </w:t>
      </w:r>
      <w:r w:rsidR="00E331D3">
        <w:rPr>
          <w:rFonts w:ascii="Calibri" w:hAnsi="Calibri" w:cs="Helv"/>
          <w:bCs/>
          <w:color w:val="000000"/>
        </w:rPr>
        <w:t xml:space="preserve">potential </w:t>
      </w:r>
      <w:r w:rsidR="006F608A">
        <w:rPr>
          <w:rFonts w:ascii="Calibri" w:hAnsi="Calibri" w:cs="Helv"/>
          <w:bCs/>
          <w:color w:val="000000"/>
        </w:rPr>
        <w:t>future amendments</w:t>
      </w:r>
      <w:r w:rsidR="00140A0F">
        <w:rPr>
          <w:rFonts w:ascii="Calibri" w:hAnsi="Calibri" w:cs="Helv"/>
          <w:bCs/>
          <w:color w:val="000000"/>
        </w:rPr>
        <w:t>, such as the example in the appendix</w:t>
      </w:r>
      <w:r w:rsidR="006F608A">
        <w:rPr>
          <w:rFonts w:ascii="Calibri" w:hAnsi="Calibri" w:cs="Helv"/>
          <w:bCs/>
          <w:color w:val="000000"/>
        </w:rPr>
        <w:t>.</w:t>
      </w:r>
    </w:p>
    <w:p w14:paraId="6C12B5D6" w14:textId="77777777" w:rsidR="00B45969" w:rsidRPr="00B45969" w:rsidRDefault="00B45969" w:rsidP="008873FA">
      <w:pPr>
        <w:autoSpaceDE w:val="0"/>
        <w:autoSpaceDN w:val="0"/>
        <w:adjustRightInd w:val="0"/>
        <w:spacing w:line="360" w:lineRule="auto"/>
        <w:ind w:firstLine="720"/>
        <w:rPr>
          <w:rFonts w:asciiTheme="minorHAnsi" w:hAnsiTheme="minorHAnsi"/>
          <w:b/>
        </w:rPr>
      </w:pPr>
      <w:r w:rsidRPr="00B45969">
        <w:rPr>
          <w:rFonts w:asciiTheme="minorHAnsi" w:hAnsiTheme="minorHAnsi"/>
          <w:b/>
        </w:rPr>
        <w:t xml:space="preserve">Effect of </w:t>
      </w:r>
      <w:r w:rsidR="00140A0F">
        <w:rPr>
          <w:rFonts w:asciiTheme="minorHAnsi" w:hAnsiTheme="minorHAnsi"/>
          <w:b/>
        </w:rPr>
        <w:t>F</w:t>
      </w:r>
      <w:r w:rsidRPr="00B45969">
        <w:rPr>
          <w:rFonts w:asciiTheme="minorHAnsi" w:hAnsiTheme="minorHAnsi"/>
          <w:b/>
        </w:rPr>
        <w:t xml:space="preserve">ormula </w:t>
      </w:r>
      <w:r w:rsidR="00140A0F">
        <w:rPr>
          <w:rFonts w:asciiTheme="minorHAnsi" w:hAnsiTheme="minorHAnsi"/>
          <w:b/>
        </w:rPr>
        <w:t xml:space="preserve">Testamentary </w:t>
      </w:r>
      <w:r w:rsidRPr="00B45969">
        <w:rPr>
          <w:rFonts w:asciiTheme="minorHAnsi" w:hAnsiTheme="minorHAnsi"/>
          <w:b/>
        </w:rPr>
        <w:t>GPOAs on Prenuptial and Postnuptial Agreements</w:t>
      </w:r>
    </w:p>
    <w:p w14:paraId="24D6D68B" w14:textId="77777777" w:rsidR="00851EA4" w:rsidRPr="00FB7FA3" w:rsidRDefault="00521CA5" w:rsidP="008873FA">
      <w:pPr>
        <w:autoSpaceDE w:val="0"/>
        <w:autoSpaceDN w:val="0"/>
        <w:adjustRightInd w:val="0"/>
        <w:spacing w:line="360" w:lineRule="auto"/>
        <w:ind w:firstLine="720"/>
        <w:rPr>
          <w:rFonts w:ascii="Calibri" w:hAnsi="Calibri"/>
          <w:b/>
        </w:rPr>
      </w:pPr>
      <w:r>
        <w:rPr>
          <w:rFonts w:asciiTheme="minorHAnsi" w:hAnsiTheme="minorHAnsi"/>
        </w:rPr>
        <w:lastRenderedPageBreak/>
        <w:t>W</w:t>
      </w:r>
      <w:r w:rsidR="00851EA4">
        <w:rPr>
          <w:rFonts w:asciiTheme="minorHAnsi" w:hAnsiTheme="minorHAnsi"/>
        </w:rPr>
        <w:t>hile you m</w:t>
      </w:r>
      <w:r w:rsidR="00D420C1">
        <w:rPr>
          <w:rFonts w:asciiTheme="minorHAnsi" w:hAnsiTheme="minorHAnsi"/>
        </w:rPr>
        <w:t>ay</w:t>
      </w:r>
      <w:r w:rsidR="00851EA4">
        <w:rPr>
          <w:rFonts w:asciiTheme="minorHAnsi" w:hAnsiTheme="minorHAnsi"/>
        </w:rPr>
        <w:t xml:space="preserve"> be able to avoid third party creditor </w:t>
      </w:r>
      <w:r w:rsidR="00527689">
        <w:rPr>
          <w:rFonts w:asciiTheme="minorHAnsi" w:hAnsiTheme="minorHAnsi"/>
        </w:rPr>
        <w:t xml:space="preserve">issues </w:t>
      </w:r>
      <w:r>
        <w:rPr>
          <w:rFonts w:asciiTheme="minorHAnsi" w:hAnsiTheme="minorHAnsi"/>
        </w:rPr>
        <w:t>either by residing outside of CA</w:t>
      </w:r>
      <w:r w:rsidR="00E331D3">
        <w:rPr>
          <w:rFonts w:asciiTheme="minorHAnsi" w:hAnsiTheme="minorHAnsi"/>
        </w:rPr>
        <w:t>, not exercising the GPOA</w:t>
      </w:r>
      <w:r>
        <w:rPr>
          <w:rFonts w:asciiTheme="minorHAnsi" w:hAnsiTheme="minorHAnsi"/>
        </w:rPr>
        <w:t>, or through drafting</w:t>
      </w:r>
      <w:r w:rsidR="00851EA4">
        <w:rPr>
          <w:rFonts w:asciiTheme="minorHAnsi" w:hAnsiTheme="minorHAnsi"/>
        </w:rPr>
        <w:t xml:space="preserve">, </w:t>
      </w:r>
      <w:r w:rsidR="00527689">
        <w:rPr>
          <w:rFonts w:asciiTheme="minorHAnsi" w:hAnsiTheme="minorHAnsi"/>
        </w:rPr>
        <w:t xml:space="preserve">and spousal elective share statutes </w:t>
      </w:r>
      <w:r w:rsidR="00B45969">
        <w:rPr>
          <w:rFonts w:asciiTheme="minorHAnsi" w:hAnsiTheme="minorHAnsi"/>
        </w:rPr>
        <w:t xml:space="preserve">are </w:t>
      </w:r>
      <w:r w:rsidR="00140A0F">
        <w:rPr>
          <w:rFonts w:asciiTheme="minorHAnsi" w:hAnsiTheme="minorHAnsi"/>
        </w:rPr>
        <w:t>unlikely</w:t>
      </w:r>
      <w:r w:rsidR="00527689">
        <w:rPr>
          <w:rFonts w:asciiTheme="minorHAnsi" w:hAnsiTheme="minorHAnsi"/>
        </w:rPr>
        <w:t xml:space="preserve"> </w:t>
      </w:r>
      <w:r w:rsidR="009F6C28">
        <w:rPr>
          <w:rFonts w:asciiTheme="minorHAnsi" w:hAnsiTheme="minorHAnsi"/>
        </w:rPr>
        <w:t>the</w:t>
      </w:r>
      <w:r w:rsidR="00527689">
        <w:rPr>
          <w:rFonts w:asciiTheme="minorHAnsi" w:hAnsiTheme="minorHAnsi"/>
        </w:rPr>
        <w:t xml:space="preserve"> issue</w:t>
      </w:r>
      <w:r w:rsidR="009F6C28">
        <w:rPr>
          <w:rFonts w:asciiTheme="minorHAnsi" w:hAnsiTheme="minorHAnsi"/>
        </w:rPr>
        <w:t xml:space="preserve"> some think it is</w:t>
      </w:r>
      <w:r w:rsidR="00527689">
        <w:rPr>
          <w:rFonts w:asciiTheme="minorHAnsi" w:hAnsiTheme="minorHAnsi"/>
        </w:rPr>
        <w:t xml:space="preserve">, </w:t>
      </w:r>
      <w:r w:rsidR="00851EA4">
        <w:rPr>
          <w:rFonts w:asciiTheme="minorHAnsi" w:hAnsiTheme="minorHAnsi"/>
        </w:rPr>
        <w:t xml:space="preserve">you </w:t>
      </w:r>
      <w:r w:rsidR="00E80E69">
        <w:rPr>
          <w:rFonts w:asciiTheme="minorHAnsi" w:hAnsiTheme="minorHAnsi"/>
        </w:rPr>
        <w:t>should</w:t>
      </w:r>
      <w:r w:rsidR="00851EA4">
        <w:rPr>
          <w:rFonts w:asciiTheme="minorHAnsi" w:hAnsiTheme="minorHAnsi"/>
        </w:rPr>
        <w:t xml:space="preserve"> </w:t>
      </w:r>
      <w:r w:rsidR="00A3055D">
        <w:rPr>
          <w:rFonts w:asciiTheme="minorHAnsi" w:hAnsiTheme="minorHAnsi"/>
        </w:rPr>
        <w:t>still</w:t>
      </w:r>
      <w:r>
        <w:rPr>
          <w:rFonts w:asciiTheme="minorHAnsi" w:hAnsiTheme="minorHAnsi"/>
        </w:rPr>
        <w:t xml:space="preserve"> </w:t>
      </w:r>
      <w:r w:rsidR="00851EA4">
        <w:rPr>
          <w:rFonts w:asciiTheme="minorHAnsi" w:hAnsiTheme="minorHAnsi"/>
        </w:rPr>
        <w:t xml:space="preserve">examine any pre/post nuptial agreements or contracts to make a will that might affect property rights/division based on a contracting party’s </w:t>
      </w:r>
      <w:r w:rsidR="00A3055D">
        <w:rPr>
          <w:rFonts w:asciiTheme="minorHAnsi" w:hAnsiTheme="minorHAnsi"/>
        </w:rPr>
        <w:t>“</w:t>
      </w:r>
      <w:r w:rsidR="00851EA4" w:rsidRPr="00851EA4">
        <w:rPr>
          <w:rFonts w:asciiTheme="minorHAnsi" w:hAnsiTheme="minorHAnsi"/>
          <w:i/>
        </w:rPr>
        <w:t>taxable estate</w:t>
      </w:r>
      <w:r w:rsidR="00A3055D">
        <w:rPr>
          <w:rFonts w:asciiTheme="minorHAnsi" w:hAnsiTheme="minorHAnsi"/>
          <w:i/>
        </w:rPr>
        <w:t xml:space="preserve">”, </w:t>
      </w:r>
      <w:r w:rsidR="00A3055D" w:rsidRPr="00527689">
        <w:rPr>
          <w:rFonts w:asciiTheme="minorHAnsi" w:hAnsiTheme="minorHAnsi"/>
        </w:rPr>
        <w:t xml:space="preserve">which could </w:t>
      </w:r>
      <w:r w:rsidR="00527689">
        <w:rPr>
          <w:rFonts w:asciiTheme="minorHAnsi" w:hAnsiTheme="minorHAnsi"/>
        </w:rPr>
        <w:t xml:space="preserve">conceivably </w:t>
      </w:r>
      <w:r w:rsidR="00A3055D" w:rsidRPr="00527689">
        <w:rPr>
          <w:rFonts w:asciiTheme="minorHAnsi" w:hAnsiTheme="minorHAnsi"/>
        </w:rPr>
        <w:t>be overly broadly defined so as to include such assets</w:t>
      </w:r>
      <w:r w:rsidR="00851EA4">
        <w:rPr>
          <w:rFonts w:asciiTheme="minorHAnsi" w:hAnsiTheme="minorHAnsi"/>
        </w:rPr>
        <w:t>.</w:t>
      </w:r>
      <w:r w:rsidR="00D420C1">
        <w:rPr>
          <w:rFonts w:asciiTheme="minorHAnsi" w:hAnsiTheme="minorHAnsi"/>
        </w:rPr>
        <w:t xml:space="preserve">  </w:t>
      </w:r>
      <w:r w:rsidR="00140A0F">
        <w:rPr>
          <w:rFonts w:asciiTheme="minorHAnsi" w:hAnsiTheme="minorHAnsi"/>
        </w:rPr>
        <w:t xml:space="preserve">A pre or post nuptial agreement might easily have a much broader definition of estate than a state spousal elective share statute.  </w:t>
      </w:r>
      <w:r w:rsidR="00B45969">
        <w:rPr>
          <w:rFonts w:asciiTheme="minorHAnsi" w:hAnsiTheme="minorHAnsi"/>
        </w:rPr>
        <w:t xml:space="preserve">For example, what if a </w:t>
      </w:r>
      <w:r w:rsidR="00140A0F">
        <w:rPr>
          <w:rFonts w:asciiTheme="minorHAnsi" w:hAnsiTheme="minorHAnsi"/>
        </w:rPr>
        <w:t>pre/post nuptial agreement provides that a spouse</w:t>
      </w:r>
      <w:r w:rsidR="00B45969">
        <w:rPr>
          <w:rFonts w:asciiTheme="minorHAnsi" w:hAnsiTheme="minorHAnsi"/>
        </w:rPr>
        <w:t xml:space="preserve"> is to receive 1/3 of </w:t>
      </w:r>
      <w:r w:rsidR="00140A0F">
        <w:rPr>
          <w:rFonts w:asciiTheme="minorHAnsi" w:hAnsiTheme="minorHAnsi"/>
        </w:rPr>
        <w:t>the other spouse’s</w:t>
      </w:r>
      <w:r w:rsidR="00B45969">
        <w:rPr>
          <w:rFonts w:asciiTheme="minorHAnsi" w:hAnsiTheme="minorHAnsi"/>
        </w:rPr>
        <w:t xml:space="preserve"> taxable estate</w:t>
      </w:r>
      <w:r w:rsidR="00140A0F">
        <w:rPr>
          <w:rFonts w:asciiTheme="minorHAnsi" w:hAnsiTheme="minorHAnsi"/>
        </w:rPr>
        <w:t xml:space="preserve"> and their parent (or child or some other settlor as contemplated in Part V) has granted that spouse a formula testamentary general power of appointment</w:t>
      </w:r>
      <w:r w:rsidR="00B45969">
        <w:rPr>
          <w:rFonts w:asciiTheme="minorHAnsi" w:hAnsiTheme="minorHAnsi"/>
        </w:rPr>
        <w:t xml:space="preserve">?  </w:t>
      </w:r>
      <w:r w:rsidR="00D420C1">
        <w:rPr>
          <w:rFonts w:asciiTheme="minorHAnsi" w:hAnsiTheme="minorHAnsi"/>
        </w:rPr>
        <w:t xml:space="preserve">A well-drafted contract would probably exclude such assets, but </w:t>
      </w:r>
      <w:r w:rsidR="00E80E69">
        <w:rPr>
          <w:rFonts w:asciiTheme="minorHAnsi" w:hAnsiTheme="minorHAnsi"/>
        </w:rPr>
        <w:t xml:space="preserve">it merits </w:t>
      </w:r>
      <w:r w:rsidR="00140A0F">
        <w:rPr>
          <w:rFonts w:asciiTheme="minorHAnsi" w:hAnsiTheme="minorHAnsi"/>
        </w:rPr>
        <w:t xml:space="preserve">careful </w:t>
      </w:r>
      <w:r w:rsidR="00E80E69">
        <w:rPr>
          <w:rFonts w:asciiTheme="minorHAnsi" w:hAnsiTheme="minorHAnsi"/>
        </w:rPr>
        <w:t>examination</w:t>
      </w:r>
      <w:r w:rsidR="00A3055D">
        <w:rPr>
          <w:rFonts w:asciiTheme="minorHAnsi" w:hAnsiTheme="minorHAnsi"/>
        </w:rPr>
        <w:t xml:space="preserve"> nonetheless</w:t>
      </w:r>
      <w:r w:rsidR="00E80E69">
        <w:rPr>
          <w:rFonts w:asciiTheme="minorHAnsi" w:hAnsiTheme="minorHAnsi"/>
        </w:rPr>
        <w:t>.</w:t>
      </w:r>
    </w:p>
    <w:p w14:paraId="60F15974" w14:textId="77777777" w:rsidR="00491FB5" w:rsidRPr="00523798" w:rsidRDefault="00491FB5" w:rsidP="00180FD1">
      <w:pPr>
        <w:pStyle w:val="ListParagraph"/>
        <w:numPr>
          <w:ilvl w:val="0"/>
          <w:numId w:val="19"/>
        </w:numPr>
        <w:autoSpaceDE w:val="0"/>
        <w:autoSpaceDN w:val="0"/>
        <w:adjustRightInd w:val="0"/>
        <w:spacing w:line="360" w:lineRule="auto"/>
        <w:ind w:left="720" w:hanging="720"/>
        <w:jc w:val="both"/>
        <w:rPr>
          <w:rFonts w:ascii="Calibri" w:hAnsi="Calibri"/>
          <w:b/>
        </w:rPr>
      </w:pPr>
      <w:r w:rsidRPr="00523798">
        <w:rPr>
          <w:rFonts w:ascii="Calibri" w:hAnsi="Calibri"/>
          <w:b/>
        </w:rPr>
        <w:t>Using the Delaware Tax Trap Instead of a GPOA to Optimize Basis</w:t>
      </w:r>
    </w:p>
    <w:p w14:paraId="26019182" w14:textId="77777777" w:rsidR="00B55D50" w:rsidRDefault="00042A30" w:rsidP="00C3580A">
      <w:pPr>
        <w:autoSpaceDE w:val="0"/>
        <w:autoSpaceDN w:val="0"/>
        <w:adjustRightInd w:val="0"/>
        <w:spacing w:line="360" w:lineRule="auto"/>
        <w:ind w:firstLine="720"/>
        <w:rPr>
          <w:rFonts w:ascii="Calibri" w:hAnsi="Calibri"/>
        </w:rPr>
      </w:pPr>
      <w:r>
        <w:rPr>
          <w:rFonts w:ascii="Calibri" w:hAnsi="Calibri"/>
        </w:rPr>
        <w:t>T</w:t>
      </w:r>
      <w:r w:rsidR="00491FB5">
        <w:rPr>
          <w:rFonts w:ascii="Calibri" w:hAnsi="Calibri"/>
        </w:rPr>
        <w:t xml:space="preserve">here is a technique to accomplish the same result </w:t>
      </w:r>
      <w:r>
        <w:rPr>
          <w:rFonts w:ascii="Calibri" w:hAnsi="Calibri"/>
        </w:rPr>
        <w:t xml:space="preserve">as a formula general testamentary power of appointment using </w:t>
      </w:r>
      <w:r w:rsidR="00491FB5">
        <w:rPr>
          <w:rFonts w:ascii="Calibri" w:hAnsi="Calibri"/>
        </w:rPr>
        <w:t xml:space="preserve">a </w:t>
      </w:r>
      <w:r w:rsidR="00491FB5" w:rsidRPr="00C3580A">
        <w:rPr>
          <w:rFonts w:ascii="Calibri" w:hAnsi="Calibri"/>
          <w:i/>
        </w:rPr>
        <w:t>limited</w:t>
      </w:r>
      <w:r w:rsidR="00491FB5">
        <w:rPr>
          <w:rFonts w:ascii="Calibri" w:hAnsi="Calibri"/>
        </w:rPr>
        <w:t xml:space="preserve"> </w:t>
      </w:r>
      <w:r>
        <w:rPr>
          <w:rFonts w:ascii="Calibri" w:hAnsi="Calibri"/>
        </w:rPr>
        <w:t xml:space="preserve">testamentary </w:t>
      </w:r>
      <w:r w:rsidR="00491FB5">
        <w:rPr>
          <w:rFonts w:ascii="Calibri" w:hAnsi="Calibri"/>
        </w:rPr>
        <w:t>power of appointment</w:t>
      </w:r>
      <w:r>
        <w:rPr>
          <w:rFonts w:ascii="Calibri" w:hAnsi="Calibri"/>
        </w:rPr>
        <w:t xml:space="preserve"> that is treated as a general power of appointment for federal tax purposes</w:t>
      </w:r>
      <w:r w:rsidR="00491FB5">
        <w:rPr>
          <w:rFonts w:ascii="Calibri" w:hAnsi="Calibri"/>
        </w:rPr>
        <w:t>.   This involves IRC §2041(a)(3), colloquially known as the Delaware Tax Trap (“DTT”)</w:t>
      </w:r>
      <w:r w:rsidR="00B55D50">
        <w:rPr>
          <w:rFonts w:ascii="Calibri" w:hAnsi="Calibri"/>
        </w:rPr>
        <w:t>:</w:t>
      </w:r>
      <w:r w:rsidR="00491FB5">
        <w:rPr>
          <w:rStyle w:val="FootnoteReference"/>
          <w:rFonts w:ascii="Calibri" w:hAnsi="Calibri"/>
        </w:rPr>
        <w:footnoteReference w:id="118"/>
      </w:r>
      <w:r w:rsidR="00491FB5">
        <w:rPr>
          <w:rFonts w:ascii="Calibri" w:hAnsi="Calibri"/>
        </w:rPr>
        <w:t xml:space="preserve">  </w:t>
      </w:r>
    </w:p>
    <w:p w14:paraId="6B4A962E" w14:textId="77777777" w:rsidR="00B55D50" w:rsidRDefault="00B55D50" w:rsidP="00B55D50">
      <w:pPr>
        <w:autoSpaceDE w:val="0"/>
        <w:autoSpaceDN w:val="0"/>
        <w:adjustRightInd w:val="0"/>
        <w:ind w:left="720"/>
        <w:rPr>
          <w:rFonts w:ascii="Calibri" w:hAnsi="Calibri" w:cs="Calibri"/>
          <w:color w:val="000000"/>
        </w:rPr>
      </w:pPr>
      <w:r>
        <w:rPr>
          <w:rFonts w:ascii="Calibri" w:hAnsi="Calibri" w:cs="Calibri"/>
          <w:color w:val="000000"/>
        </w:rPr>
        <w:t>“(3) Creation of another power in certain cases</w:t>
      </w:r>
    </w:p>
    <w:p w14:paraId="277059EC" w14:textId="77777777" w:rsidR="00B55D50" w:rsidRDefault="00B55D50" w:rsidP="00B55D50">
      <w:pPr>
        <w:autoSpaceDE w:val="0"/>
        <w:autoSpaceDN w:val="0"/>
        <w:adjustRightInd w:val="0"/>
        <w:ind w:left="720"/>
        <w:rPr>
          <w:rFonts w:ascii="Calibri" w:hAnsi="Calibri" w:cs="Calibri"/>
          <w:color w:val="000000"/>
        </w:rPr>
      </w:pPr>
      <w:r>
        <w:rPr>
          <w:rFonts w:ascii="Calibri" w:hAnsi="Calibri" w:cs="Calibri"/>
          <w:color w:val="000000"/>
        </w:rPr>
        <w:t>To the extent of any property with respect to which the decedent—</w:t>
      </w:r>
    </w:p>
    <w:p w14:paraId="1C368C47" w14:textId="77777777" w:rsidR="00B55D50" w:rsidRDefault="00B55D50" w:rsidP="00B55D50">
      <w:pPr>
        <w:autoSpaceDE w:val="0"/>
        <w:autoSpaceDN w:val="0"/>
        <w:adjustRightInd w:val="0"/>
        <w:ind w:left="720"/>
        <w:rPr>
          <w:rFonts w:ascii="Calibri" w:hAnsi="Calibri" w:cs="Calibri"/>
          <w:color w:val="000000"/>
        </w:rPr>
      </w:pPr>
      <w:r>
        <w:rPr>
          <w:rFonts w:ascii="Calibri" w:hAnsi="Calibri" w:cs="Calibri"/>
          <w:color w:val="000000"/>
        </w:rPr>
        <w:t>(A) by will, or</w:t>
      </w:r>
    </w:p>
    <w:p w14:paraId="73B03597" w14:textId="77777777" w:rsidR="00B55D50" w:rsidRDefault="00B55D50" w:rsidP="00B55D50">
      <w:pPr>
        <w:autoSpaceDE w:val="0"/>
        <w:autoSpaceDN w:val="0"/>
        <w:adjustRightInd w:val="0"/>
        <w:ind w:left="720"/>
        <w:rPr>
          <w:rFonts w:ascii="Calibri" w:hAnsi="Calibri" w:cs="Calibri"/>
          <w:color w:val="000000"/>
        </w:rPr>
      </w:pPr>
      <w:r>
        <w:rPr>
          <w:rFonts w:ascii="Calibri" w:hAnsi="Calibri" w:cs="Calibri"/>
          <w:color w:val="000000"/>
        </w:rPr>
        <w:t>(B) by a disposition which is of such nature that if it were a transfer of property</w:t>
      </w:r>
    </w:p>
    <w:p w14:paraId="4A04CBBB" w14:textId="77777777" w:rsidR="00B55D50" w:rsidRDefault="00B55D50" w:rsidP="00B55D50">
      <w:pPr>
        <w:autoSpaceDE w:val="0"/>
        <w:autoSpaceDN w:val="0"/>
        <w:adjustRightInd w:val="0"/>
        <w:ind w:left="720"/>
        <w:rPr>
          <w:rFonts w:ascii="Calibri" w:hAnsi="Calibri" w:cs="Calibri"/>
          <w:color w:val="000000"/>
        </w:rPr>
      </w:pPr>
      <w:r>
        <w:rPr>
          <w:rFonts w:ascii="Calibri" w:hAnsi="Calibri" w:cs="Calibri"/>
          <w:color w:val="000000"/>
        </w:rPr>
        <w:t xml:space="preserve">owned by the decedent such property would be includible in the decedent’s gross estate under section </w:t>
      </w:r>
      <w:r>
        <w:rPr>
          <w:rFonts w:ascii="Calibri" w:hAnsi="Calibri" w:cs="Calibri"/>
          <w:color w:val="0000FF"/>
        </w:rPr>
        <w:t>2035</w:t>
      </w:r>
      <w:r>
        <w:rPr>
          <w:rFonts w:ascii="Calibri" w:hAnsi="Calibri" w:cs="Calibri"/>
          <w:color w:val="000000"/>
        </w:rPr>
        <w:t xml:space="preserve">, </w:t>
      </w:r>
      <w:r>
        <w:rPr>
          <w:rFonts w:ascii="Calibri" w:hAnsi="Calibri" w:cs="Calibri"/>
          <w:color w:val="0000FF"/>
        </w:rPr>
        <w:t>2036</w:t>
      </w:r>
      <w:r>
        <w:rPr>
          <w:rFonts w:ascii="Calibri" w:hAnsi="Calibri" w:cs="Calibri"/>
          <w:color w:val="000000"/>
        </w:rPr>
        <w:t xml:space="preserve">, or </w:t>
      </w:r>
      <w:r>
        <w:rPr>
          <w:rFonts w:ascii="Calibri" w:hAnsi="Calibri" w:cs="Calibri"/>
          <w:color w:val="0000FF"/>
        </w:rPr>
        <w:t>2037</w:t>
      </w:r>
      <w:r>
        <w:rPr>
          <w:rFonts w:ascii="Calibri" w:hAnsi="Calibri" w:cs="Calibri"/>
          <w:color w:val="000000"/>
        </w:rPr>
        <w:t>,</w:t>
      </w:r>
    </w:p>
    <w:p w14:paraId="350891BC" w14:textId="77777777" w:rsidR="00B55D50" w:rsidRPr="00B55D50" w:rsidRDefault="00B55D50" w:rsidP="00B55D50">
      <w:pPr>
        <w:autoSpaceDE w:val="0"/>
        <w:autoSpaceDN w:val="0"/>
        <w:adjustRightInd w:val="0"/>
        <w:ind w:left="720"/>
        <w:rPr>
          <w:rFonts w:ascii="Calibri" w:hAnsi="Calibri" w:cs="Calibri"/>
          <w:b/>
          <w:color w:val="000000"/>
        </w:rPr>
      </w:pPr>
      <w:r>
        <w:rPr>
          <w:rFonts w:ascii="Calibri" w:hAnsi="Calibri" w:cs="Calibri"/>
          <w:color w:val="000000"/>
        </w:rPr>
        <w:t xml:space="preserve">exercises a power of appointment created after October 21, 1942, </w:t>
      </w:r>
      <w:r w:rsidRPr="00B55D50">
        <w:rPr>
          <w:rFonts w:ascii="Calibri" w:hAnsi="Calibri" w:cs="Calibri"/>
          <w:b/>
          <w:color w:val="000000"/>
        </w:rPr>
        <w:t>by creating</w:t>
      </w:r>
    </w:p>
    <w:p w14:paraId="24CBBA1B" w14:textId="77777777" w:rsidR="00B55D50" w:rsidRDefault="00B55D50" w:rsidP="00B55D50">
      <w:pPr>
        <w:autoSpaceDE w:val="0"/>
        <w:autoSpaceDN w:val="0"/>
        <w:adjustRightInd w:val="0"/>
        <w:ind w:left="720"/>
      </w:pPr>
      <w:r w:rsidRPr="00B55D50">
        <w:rPr>
          <w:rFonts w:ascii="Calibri" w:hAnsi="Calibri" w:cs="Calibri"/>
          <w:b/>
          <w:color w:val="000000"/>
        </w:rPr>
        <w:t>another power of appointment which under the applicable local law can be validly exercised so as to postpone the vesting of any estate or interest in such property, or suspend the absolute ownership or power of alienation of such property, for a period ascertainable without regard to the date of the creation of the first power</w:t>
      </w:r>
      <w:r>
        <w:rPr>
          <w:rFonts w:ascii="Calibri" w:hAnsi="Calibri" w:cs="Calibri"/>
          <w:color w:val="000000"/>
        </w:rPr>
        <w:t>.”</w:t>
      </w:r>
    </w:p>
    <w:p w14:paraId="36AF6B5C" w14:textId="77777777" w:rsidR="00B55D50" w:rsidRDefault="00B55D50" w:rsidP="00C3580A">
      <w:pPr>
        <w:autoSpaceDE w:val="0"/>
        <w:autoSpaceDN w:val="0"/>
        <w:adjustRightInd w:val="0"/>
        <w:spacing w:line="360" w:lineRule="auto"/>
        <w:ind w:firstLine="720"/>
        <w:rPr>
          <w:rFonts w:ascii="Calibri" w:hAnsi="Calibri"/>
        </w:rPr>
      </w:pPr>
    </w:p>
    <w:p w14:paraId="4CFF51BB" w14:textId="77777777" w:rsidR="00CD0EB2" w:rsidRDefault="00491FB5" w:rsidP="00C3580A">
      <w:pPr>
        <w:autoSpaceDE w:val="0"/>
        <w:autoSpaceDN w:val="0"/>
        <w:adjustRightInd w:val="0"/>
        <w:spacing w:line="360" w:lineRule="auto"/>
        <w:ind w:firstLine="720"/>
        <w:rPr>
          <w:rFonts w:ascii="Calibri" w:hAnsi="Calibri"/>
        </w:rPr>
      </w:pPr>
      <w:r>
        <w:rPr>
          <w:rFonts w:ascii="Calibri" w:hAnsi="Calibri"/>
        </w:rPr>
        <w:t xml:space="preserve">The application of this </w:t>
      </w:r>
      <w:r w:rsidR="008D75C0">
        <w:rPr>
          <w:rFonts w:ascii="Calibri" w:hAnsi="Calibri"/>
        </w:rPr>
        <w:t xml:space="preserve">federal estate/gift tax </w:t>
      </w:r>
      <w:r>
        <w:rPr>
          <w:rFonts w:ascii="Calibri" w:hAnsi="Calibri"/>
        </w:rPr>
        <w:t xml:space="preserve">rule, in conjunction with </w:t>
      </w:r>
      <w:r w:rsidR="00B55D50">
        <w:rPr>
          <w:rFonts w:ascii="Calibri" w:hAnsi="Calibri"/>
        </w:rPr>
        <w:t>various states’</w:t>
      </w:r>
      <w:r>
        <w:rPr>
          <w:rFonts w:ascii="Calibri" w:hAnsi="Calibri"/>
        </w:rPr>
        <w:t xml:space="preserve"> rule</w:t>
      </w:r>
      <w:r w:rsidR="00B55D50">
        <w:rPr>
          <w:rFonts w:ascii="Calibri" w:hAnsi="Calibri"/>
        </w:rPr>
        <w:t>s</w:t>
      </w:r>
      <w:r>
        <w:rPr>
          <w:rFonts w:ascii="Calibri" w:hAnsi="Calibri"/>
        </w:rPr>
        <w:t xml:space="preserve"> against perpetuities, is complex. </w:t>
      </w:r>
      <w:r w:rsidR="00CD0EB2">
        <w:rPr>
          <w:rFonts w:ascii="Calibri" w:hAnsi="Calibri"/>
        </w:rPr>
        <w:t xml:space="preserve"> The following is an example of a state rule against perpetuities, which may cause flashbacks in some readers to first year property law course:</w:t>
      </w:r>
    </w:p>
    <w:p w14:paraId="58EEF424" w14:textId="26C8FDFA" w:rsidR="00D715BF" w:rsidRDefault="001F0873" w:rsidP="001F0873">
      <w:pPr>
        <w:autoSpaceDE w:val="0"/>
        <w:autoSpaceDN w:val="0"/>
        <w:adjustRightInd w:val="0"/>
        <w:spacing w:line="360" w:lineRule="auto"/>
        <w:ind w:left="720"/>
        <w:rPr>
          <w:rFonts w:ascii="Calibri" w:hAnsi="Calibri"/>
        </w:rPr>
      </w:pPr>
      <w:r>
        <w:rPr>
          <w:rFonts w:ascii="Calibri" w:hAnsi="Calibri"/>
        </w:rPr>
        <w:lastRenderedPageBreak/>
        <w:t>“</w:t>
      </w:r>
      <w:r w:rsidR="00CD0EB2">
        <w:rPr>
          <w:rFonts w:ascii="Calibri" w:hAnsi="Calibri"/>
        </w:rPr>
        <w:t xml:space="preserve">An interest is not </w:t>
      </w:r>
      <w:r w:rsidR="00F24A09">
        <w:rPr>
          <w:rFonts w:ascii="Calibri" w:hAnsi="Calibri"/>
        </w:rPr>
        <w:t xml:space="preserve">good unless it must vest, if at all, no later than twenty-one years after some life in being at the time of the creation of </w:t>
      </w:r>
      <w:r>
        <w:rPr>
          <w:rFonts w:ascii="Calibri" w:hAnsi="Calibri"/>
        </w:rPr>
        <w:t>the interests, plus a period of gestation.”</w:t>
      </w:r>
      <w:r>
        <w:rPr>
          <w:rStyle w:val="FootnoteReference"/>
          <w:rFonts w:ascii="Calibri" w:hAnsi="Calibri"/>
        </w:rPr>
        <w:footnoteReference w:id="119"/>
      </w:r>
      <w:r w:rsidR="00D715BF">
        <w:rPr>
          <w:rFonts w:ascii="Calibri" w:hAnsi="Calibri"/>
        </w:rPr>
        <w:t xml:space="preserve"> </w:t>
      </w:r>
      <w:r w:rsidR="00491FB5">
        <w:rPr>
          <w:rFonts w:ascii="Calibri" w:hAnsi="Calibri"/>
        </w:rPr>
        <w:t xml:space="preserve"> </w:t>
      </w:r>
    </w:p>
    <w:p w14:paraId="02B68231" w14:textId="0191FEF7" w:rsidR="00491FB5" w:rsidRDefault="00B55D50" w:rsidP="00C3580A">
      <w:pPr>
        <w:autoSpaceDE w:val="0"/>
        <w:autoSpaceDN w:val="0"/>
        <w:adjustRightInd w:val="0"/>
        <w:spacing w:line="360" w:lineRule="auto"/>
        <w:ind w:firstLine="720"/>
        <w:rPr>
          <w:rFonts w:ascii="Calibri" w:hAnsi="Calibri"/>
        </w:rPr>
      </w:pPr>
      <w:r>
        <w:rPr>
          <w:rFonts w:ascii="Calibri" w:hAnsi="Calibri"/>
        </w:rPr>
        <w:t xml:space="preserve">While many states have enacted “savings clauses” into their statutes </w:t>
      </w:r>
      <w:r w:rsidR="006E3150">
        <w:rPr>
          <w:rFonts w:ascii="Calibri" w:hAnsi="Calibri"/>
        </w:rPr>
        <w:t xml:space="preserve">(or passed a Uniform Act) </w:t>
      </w:r>
      <w:r>
        <w:rPr>
          <w:rFonts w:ascii="Calibri" w:hAnsi="Calibri"/>
        </w:rPr>
        <w:t xml:space="preserve">that has closed off the ability of an LPOA to trigger this in most instances, there is one method usually left out of these savings statutes, and that appears to be available in most states.  </w:t>
      </w:r>
      <w:r w:rsidR="00491FB5">
        <w:rPr>
          <w:rFonts w:ascii="Calibri" w:hAnsi="Calibri"/>
        </w:rPr>
        <w:t xml:space="preserve">I will refer the reader to more learned articles on the subject, </w:t>
      </w:r>
      <w:r>
        <w:rPr>
          <w:rFonts w:ascii="Calibri" w:hAnsi="Calibri"/>
        </w:rPr>
        <w:t xml:space="preserve">and concentrate on the </w:t>
      </w:r>
      <w:r w:rsidR="00DB798B">
        <w:rPr>
          <w:rFonts w:ascii="Calibri" w:hAnsi="Calibri"/>
        </w:rPr>
        <w:t xml:space="preserve">easiest </w:t>
      </w:r>
      <w:r>
        <w:rPr>
          <w:rFonts w:ascii="Calibri" w:hAnsi="Calibri"/>
        </w:rPr>
        <w:t>method of triggering §2041(a)(3)</w:t>
      </w:r>
      <w:r w:rsidRPr="00B55D50">
        <w:rPr>
          <w:rFonts w:ascii="Calibri" w:hAnsi="Calibri"/>
        </w:rPr>
        <w:t xml:space="preserve"> </w:t>
      </w:r>
      <w:r w:rsidR="00947AA0">
        <w:rPr>
          <w:rFonts w:ascii="Calibri" w:hAnsi="Calibri"/>
        </w:rPr>
        <w:t xml:space="preserve">which is </w:t>
      </w:r>
      <w:r>
        <w:rPr>
          <w:rFonts w:ascii="Calibri" w:hAnsi="Calibri"/>
        </w:rPr>
        <w:t xml:space="preserve">the most likely to be available in </w:t>
      </w:r>
      <w:r w:rsidR="00947AA0">
        <w:rPr>
          <w:rFonts w:ascii="Calibri" w:hAnsi="Calibri"/>
        </w:rPr>
        <w:t xml:space="preserve">the vast </w:t>
      </w:r>
      <w:r w:rsidR="00564887">
        <w:rPr>
          <w:rFonts w:ascii="Calibri" w:hAnsi="Calibri"/>
        </w:rPr>
        <w:t>super-</w:t>
      </w:r>
      <w:r w:rsidR="00947AA0">
        <w:rPr>
          <w:rFonts w:ascii="Calibri" w:hAnsi="Calibri"/>
        </w:rPr>
        <w:t>majority of</w:t>
      </w:r>
      <w:r>
        <w:rPr>
          <w:rFonts w:ascii="Calibri" w:hAnsi="Calibri"/>
        </w:rPr>
        <w:t xml:space="preserve"> states</w:t>
      </w:r>
      <w:r w:rsidR="00564887">
        <w:rPr>
          <w:rFonts w:ascii="Calibri" w:hAnsi="Calibri"/>
        </w:rPr>
        <w:t xml:space="preserve"> under common law or the uniform act</w:t>
      </w:r>
      <w:r w:rsidR="00491FB5">
        <w:rPr>
          <w:rFonts w:ascii="Calibri" w:hAnsi="Calibri"/>
        </w:rPr>
        <w:t>.</w:t>
      </w:r>
      <w:r w:rsidR="00491FB5">
        <w:rPr>
          <w:rStyle w:val="FootnoteReference"/>
          <w:rFonts w:ascii="Calibri" w:hAnsi="Calibri"/>
        </w:rPr>
        <w:footnoteReference w:id="120"/>
      </w:r>
      <w:r w:rsidR="00491FB5">
        <w:rPr>
          <w:rFonts w:ascii="Calibri" w:hAnsi="Calibri"/>
        </w:rPr>
        <w:t xml:space="preserve"> </w:t>
      </w:r>
    </w:p>
    <w:p w14:paraId="4602E097" w14:textId="77777777" w:rsidR="00491FB5" w:rsidRDefault="00491FB5" w:rsidP="00C3580A">
      <w:pPr>
        <w:autoSpaceDE w:val="0"/>
        <w:autoSpaceDN w:val="0"/>
        <w:adjustRightInd w:val="0"/>
        <w:spacing w:line="360" w:lineRule="auto"/>
        <w:ind w:firstLine="720"/>
        <w:rPr>
          <w:rFonts w:ascii="Calibri" w:hAnsi="Calibri"/>
        </w:rPr>
      </w:pPr>
      <w:r>
        <w:rPr>
          <w:rFonts w:ascii="Calibri" w:hAnsi="Calibri"/>
        </w:rPr>
        <w:t xml:space="preserve">Generally, if Jane in our example had a </w:t>
      </w:r>
      <w:r w:rsidRPr="00150B53">
        <w:rPr>
          <w:rFonts w:ascii="Calibri" w:hAnsi="Calibri"/>
          <w:i/>
        </w:rPr>
        <w:t>limited</w:t>
      </w:r>
      <w:r>
        <w:rPr>
          <w:rFonts w:ascii="Calibri" w:hAnsi="Calibri"/>
        </w:rPr>
        <w:t xml:space="preserve"> power of appointment which permitted appointment in further trust, and Jane appointed those assets to a separate trust which gives a beneficiary a </w:t>
      </w:r>
      <w:r w:rsidRPr="00F417F6">
        <w:rPr>
          <w:rFonts w:ascii="Calibri" w:hAnsi="Calibri"/>
          <w:i/>
        </w:rPr>
        <w:t>presently exercisable</w:t>
      </w:r>
      <w:r>
        <w:rPr>
          <w:rFonts w:ascii="Calibri" w:hAnsi="Calibri"/>
        </w:rPr>
        <w:t xml:space="preserve"> general power of appointment</w:t>
      </w:r>
      <w:r w:rsidR="00150B53">
        <w:rPr>
          <w:rFonts w:ascii="Calibri" w:hAnsi="Calibri"/>
        </w:rPr>
        <w:t xml:space="preserve"> (</w:t>
      </w:r>
      <w:r w:rsidR="00A01224">
        <w:rPr>
          <w:rFonts w:ascii="Calibri" w:hAnsi="Calibri"/>
        </w:rPr>
        <w:t>often</w:t>
      </w:r>
      <w:r w:rsidR="00150B53">
        <w:rPr>
          <w:rFonts w:ascii="Calibri" w:hAnsi="Calibri"/>
        </w:rPr>
        <w:t xml:space="preserve"> referred to as a “PEG power”)</w:t>
      </w:r>
      <w:r>
        <w:rPr>
          <w:rFonts w:ascii="Calibri" w:hAnsi="Calibri"/>
        </w:rPr>
        <w:t>, this would trigger §2041(a)(3), cause estate inclusion, and therefore an increased basis under IRC §1014, just as a standard GPOA would.</w:t>
      </w:r>
      <w:r>
        <w:rPr>
          <w:rStyle w:val="FootnoteReference"/>
          <w:rFonts w:ascii="Calibri" w:hAnsi="Calibri"/>
        </w:rPr>
        <w:footnoteReference w:id="121"/>
      </w:r>
      <w:r w:rsidR="00E22412">
        <w:rPr>
          <w:rFonts w:ascii="Calibri" w:hAnsi="Calibri"/>
        </w:rPr>
        <w:t xml:space="preserve">  </w:t>
      </w:r>
    </w:p>
    <w:p w14:paraId="73A19CC2" w14:textId="45AC6F5D" w:rsidR="005E3758" w:rsidRDefault="005E3758" w:rsidP="00C3580A">
      <w:pPr>
        <w:autoSpaceDE w:val="0"/>
        <w:autoSpaceDN w:val="0"/>
        <w:adjustRightInd w:val="0"/>
        <w:spacing w:line="360" w:lineRule="auto"/>
        <w:ind w:firstLine="720"/>
        <w:rPr>
          <w:rFonts w:ascii="Calibri" w:hAnsi="Calibri"/>
        </w:rPr>
      </w:pPr>
      <w:r>
        <w:rPr>
          <w:rFonts w:ascii="Calibri" w:hAnsi="Calibri"/>
        </w:rPr>
        <w:lastRenderedPageBreak/>
        <w:t xml:space="preserve">The reason that appointing to a trust that grants an intervivos general power </w:t>
      </w:r>
      <w:r w:rsidR="00932FB0">
        <w:rPr>
          <w:rFonts w:ascii="Calibri" w:hAnsi="Calibri"/>
        </w:rPr>
        <w:t xml:space="preserve">of appointment is different than appointing to other trusts (including ones with limited powers of appointment) is that </w:t>
      </w:r>
      <w:r w:rsidR="001F77E0">
        <w:rPr>
          <w:rFonts w:ascii="Calibri" w:hAnsi="Calibri"/>
        </w:rPr>
        <w:t xml:space="preserve">for purposes of the </w:t>
      </w:r>
      <w:r w:rsidR="00261061">
        <w:rPr>
          <w:rFonts w:ascii="Calibri" w:hAnsi="Calibri"/>
        </w:rPr>
        <w:t xml:space="preserve">rule against perpetuities, a general powerholder’s </w:t>
      </w:r>
      <w:r w:rsidR="00F31464">
        <w:rPr>
          <w:rFonts w:ascii="Calibri" w:hAnsi="Calibri"/>
        </w:rPr>
        <w:t xml:space="preserve">exercise </w:t>
      </w:r>
      <w:r w:rsidR="002127D9">
        <w:rPr>
          <w:rFonts w:ascii="Calibri" w:hAnsi="Calibri"/>
        </w:rPr>
        <w:t>would start</w:t>
      </w:r>
      <w:r w:rsidR="00F31464">
        <w:rPr>
          <w:rFonts w:ascii="Calibri" w:hAnsi="Calibri"/>
        </w:rPr>
        <w:t xml:space="preserve"> a new perpetuities period – it is measured from the date of exercise, rather than from the original creation of the power</w:t>
      </w:r>
      <w:r w:rsidR="00C6439E">
        <w:rPr>
          <w:rFonts w:ascii="Calibri" w:hAnsi="Calibri"/>
        </w:rPr>
        <w:t>.</w:t>
      </w:r>
      <w:r w:rsidR="00C6439E">
        <w:rPr>
          <w:rStyle w:val="FootnoteReference"/>
          <w:rFonts w:ascii="Calibri" w:hAnsi="Calibri"/>
        </w:rPr>
        <w:footnoteReference w:id="122"/>
      </w:r>
      <w:r w:rsidR="001C69E9">
        <w:rPr>
          <w:rFonts w:ascii="Calibri" w:hAnsi="Calibri"/>
        </w:rPr>
        <w:t xml:space="preserve">  This in turn triggers </w:t>
      </w:r>
      <w:r w:rsidR="00E90ED8">
        <w:rPr>
          <w:rFonts w:ascii="Calibri" w:hAnsi="Calibri"/>
        </w:rPr>
        <w:t xml:space="preserve">IRC </w:t>
      </w:r>
      <w:r w:rsidR="00E90ED8">
        <w:rPr>
          <w:rFonts w:ascii="Arial" w:hAnsi="Arial" w:cs="Arial"/>
        </w:rPr>
        <w:t>§</w:t>
      </w:r>
      <w:r w:rsidR="00E90ED8">
        <w:rPr>
          <w:rFonts w:ascii="Calibri" w:hAnsi="Calibri"/>
        </w:rPr>
        <w:t>2041(a)(3).</w:t>
      </w:r>
    </w:p>
    <w:p w14:paraId="746F3D52" w14:textId="2DBFD414" w:rsidR="00565CB6" w:rsidRDefault="00491FB5" w:rsidP="00C3580A">
      <w:pPr>
        <w:autoSpaceDE w:val="0"/>
        <w:autoSpaceDN w:val="0"/>
        <w:adjustRightInd w:val="0"/>
        <w:spacing w:line="360" w:lineRule="auto"/>
        <w:ind w:firstLine="720"/>
        <w:rPr>
          <w:rFonts w:ascii="Calibri" w:hAnsi="Calibri"/>
        </w:rPr>
      </w:pPr>
      <w:r>
        <w:rPr>
          <w:rFonts w:ascii="Calibri" w:hAnsi="Calibri"/>
        </w:rPr>
        <w:t xml:space="preserve">Thus, Jane’s Will (or trust or other document, if permitted by John’s trust) would appoint any appreciated assets to such a “Delaware Tax Trapping” trust </w:t>
      </w:r>
      <w:r w:rsidR="006B093B">
        <w:rPr>
          <w:rFonts w:ascii="Calibri" w:hAnsi="Calibri"/>
        </w:rPr>
        <w:t>(“DTT Trust”) d</w:t>
      </w:r>
      <w:r>
        <w:rPr>
          <w:rFonts w:ascii="Calibri" w:hAnsi="Calibri"/>
        </w:rPr>
        <w:t xml:space="preserve">iscussed </w:t>
      </w:r>
      <w:r w:rsidR="006B093B">
        <w:rPr>
          <w:rFonts w:ascii="Calibri" w:hAnsi="Calibri"/>
        </w:rPr>
        <w:t>above</w:t>
      </w:r>
      <w:r w:rsidR="009B12E2">
        <w:rPr>
          <w:rFonts w:ascii="Calibri" w:hAnsi="Calibri"/>
        </w:rPr>
        <w:t>, and other assets outright or to another ordinary trust</w:t>
      </w:r>
      <w:r w:rsidR="00565CB6">
        <w:rPr>
          <w:rFonts w:ascii="Calibri" w:hAnsi="Calibri"/>
        </w:rPr>
        <w:t>.  Treasury Regulati</w:t>
      </w:r>
      <w:r w:rsidR="00D52D92">
        <w:rPr>
          <w:rFonts w:ascii="Calibri" w:hAnsi="Calibri"/>
        </w:rPr>
        <w:t xml:space="preserve">ons outline examples of </w:t>
      </w:r>
      <w:r w:rsidR="00565CB6">
        <w:rPr>
          <w:rFonts w:ascii="Calibri" w:hAnsi="Calibri"/>
        </w:rPr>
        <w:t xml:space="preserve">targeted use of the </w:t>
      </w:r>
      <w:r w:rsidR="009B12E2">
        <w:rPr>
          <w:rFonts w:ascii="Calibri" w:hAnsi="Calibri"/>
        </w:rPr>
        <w:t>Delaware Tax Trap</w:t>
      </w:r>
      <w:r w:rsidR="00565CB6">
        <w:rPr>
          <w:rFonts w:ascii="Calibri" w:hAnsi="Calibri"/>
        </w:rPr>
        <w:t xml:space="preserve"> </w:t>
      </w:r>
      <w:r w:rsidR="00304DCB">
        <w:rPr>
          <w:rFonts w:ascii="Calibri" w:hAnsi="Calibri"/>
        </w:rPr>
        <w:t xml:space="preserve">(“DTT”) </w:t>
      </w:r>
      <w:r w:rsidR="00565CB6">
        <w:rPr>
          <w:rFonts w:ascii="Calibri" w:hAnsi="Calibri"/>
        </w:rPr>
        <w:t xml:space="preserve">as this </w:t>
      </w:r>
      <w:r w:rsidR="00D52D92">
        <w:rPr>
          <w:rFonts w:ascii="Calibri" w:hAnsi="Calibri"/>
        </w:rPr>
        <w:t>paper</w:t>
      </w:r>
      <w:r w:rsidR="00565CB6">
        <w:rPr>
          <w:rFonts w:ascii="Calibri" w:hAnsi="Calibri"/>
        </w:rPr>
        <w:t xml:space="preserve"> recommends:</w:t>
      </w:r>
    </w:p>
    <w:p w14:paraId="6A907AA2" w14:textId="77777777" w:rsidR="00565CB6" w:rsidRPr="009B12E2" w:rsidRDefault="00565CB6" w:rsidP="009B12E2">
      <w:pPr>
        <w:autoSpaceDE w:val="0"/>
        <w:autoSpaceDN w:val="0"/>
        <w:adjustRightInd w:val="0"/>
        <w:ind w:left="720"/>
        <w:rPr>
          <w:rFonts w:ascii="Calibri" w:hAnsi="Calibri"/>
        </w:rPr>
      </w:pPr>
      <w:r w:rsidRPr="009B12E2">
        <w:rPr>
          <w:rFonts w:ascii="Calibri" w:hAnsi="Calibri"/>
          <w:color w:val="333333"/>
        </w:rPr>
        <w:t xml:space="preserve">“Thus, if </w:t>
      </w:r>
      <w:r w:rsidRPr="009B12E2">
        <w:rPr>
          <w:rFonts w:ascii="Calibri" w:hAnsi="Calibri"/>
          <w:lang w:val="en"/>
        </w:rPr>
        <w:t xml:space="preserve">a </w:t>
      </w:r>
      <w:r w:rsidR="009B12E2" w:rsidRPr="009B12E2">
        <w:rPr>
          <w:rFonts w:ascii="Calibri" w:hAnsi="Calibri"/>
          <w:lang w:val="en"/>
        </w:rPr>
        <w:t>decedent</w:t>
      </w:r>
      <w:r w:rsidRPr="009B12E2">
        <w:rPr>
          <w:rFonts w:ascii="Calibri" w:hAnsi="Calibri"/>
          <w:lang w:val="en"/>
        </w:rPr>
        <w:t xml:space="preserve"> has a power to appoint </w:t>
      </w:r>
      <w:r w:rsidR="009B12E2" w:rsidRPr="009B12E2">
        <w:rPr>
          <w:rFonts w:ascii="Calibri" w:hAnsi="Calibri"/>
          <w:lang w:val="en"/>
        </w:rPr>
        <w:t>by will $</w:t>
      </w:r>
      <w:r w:rsidRPr="009B12E2">
        <w:rPr>
          <w:rFonts w:ascii="Calibri" w:hAnsi="Calibri"/>
          <w:lang w:val="en"/>
        </w:rPr>
        <w:t xml:space="preserve">100,000 </w:t>
      </w:r>
      <w:r w:rsidR="009B12E2" w:rsidRPr="009B12E2">
        <w:rPr>
          <w:rFonts w:ascii="Calibri" w:hAnsi="Calibri"/>
          <w:lang w:val="en"/>
        </w:rPr>
        <w:t>to</w:t>
      </w:r>
      <w:r w:rsidRPr="009B12E2">
        <w:rPr>
          <w:rFonts w:ascii="Calibri" w:hAnsi="Calibri"/>
          <w:lang w:val="en"/>
        </w:rPr>
        <w:t xml:space="preserve"> a group </w:t>
      </w:r>
      <w:r w:rsidR="009B12E2" w:rsidRPr="009B12E2">
        <w:rPr>
          <w:rFonts w:ascii="Calibri" w:hAnsi="Calibri"/>
          <w:lang w:val="en"/>
        </w:rPr>
        <w:t xml:space="preserve">of persons </w:t>
      </w:r>
      <w:r w:rsidRPr="009B12E2">
        <w:rPr>
          <w:rFonts w:ascii="Calibri" w:hAnsi="Calibri"/>
          <w:lang w:val="en"/>
        </w:rPr>
        <w:t xml:space="preserve">consisting of his children </w:t>
      </w:r>
      <w:r w:rsidR="009B12E2" w:rsidRPr="009B12E2">
        <w:rPr>
          <w:rFonts w:ascii="Calibri" w:hAnsi="Calibri"/>
          <w:lang w:val="en"/>
        </w:rPr>
        <w:t xml:space="preserve">and </w:t>
      </w:r>
      <w:r w:rsidRPr="009B12E2">
        <w:rPr>
          <w:rFonts w:ascii="Calibri" w:hAnsi="Calibri"/>
          <w:lang w:val="en"/>
        </w:rPr>
        <w:t xml:space="preserve">grandchildren and exercises the power by making an outright appointment of $75,000 and by giving one appointee a power to appoint $25,000, no more than $25,000 will be </w:t>
      </w:r>
      <w:r w:rsidR="009B12E2" w:rsidRPr="009B12E2">
        <w:rPr>
          <w:rFonts w:ascii="Calibri" w:hAnsi="Calibri"/>
          <w:lang w:val="en"/>
        </w:rPr>
        <w:t>includable in the decedent's gross estate</w:t>
      </w:r>
      <w:r w:rsidRPr="009B12E2">
        <w:rPr>
          <w:rFonts w:ascii="Calibri" w:hAnsi="Calibri"/>
          <w:lang w:val="en"/>
        </w:rPr>
        <w:t xml:space="preserve"> under section </w:t>
      </w:r>
      <w:r w:rsidR="009B12E2" w:rsidRPr="009B12E2">
        <w:rPr>
          <w:rFonts w:ascii="Calibri" w:hAnsi="Calibri"/>
          <w:lang w:val="en"/>
        </w:rPr>
        <w:t>2041(a)(3</w:t>
      </w:r>
      <w:r w:rsidRPr="009B12E2">
        <w:rPr>
          <w:rFonts w:ascii="Calibri" w:hAnsi="Calibri"/>
          <w:lang w:val="en"/>
        </w:rPr>
        <w:t>).”</w:t>
      </w:r>
      <w:r w:rsidRPr="009B12E2">
        <w:rPr>
          <w:rStyle w:val="FootnoteReference"/>
          <w:rFonts w:ascii="Calibri" w:hAnsi="Calibri"/>
          <w:color w:val="333333"/>
        </w:rPr>
        <w:footnoteReference w:id="123"/>
      </w:r>
    </w:p>
    <w:p w14:paraId="57B76D05" w14:textId="77777777" w:rsidR="009B12E2" w:rsidRDefault="009B12E2" w:rsidP="00430658">
      <w:pPr>
        <w:autoSpaceDE w:val="0"/>
        <w:autoSpaceDN w:val="0"/>
        <w:adjustRightInd w:val="0"/>
        <w:spacing w:line="360" w:lineRule="auto"/>
        <w:ind w:firstLine="720"/>
        <w:rPr>
          <w:rFonts w:ascii="Calibri" w:hAnsi="Calibri"/>
        </w:rPr>
      </w:pPr>
    </w:p>
    <w:p w14:paraId="32DE4923" w14:textId="6EB985AB" w:rsidR="00430658" w:rsidRDefault="00AA1D6A" w:rsidP="00D52D92">
      <w:pPr>
        <w:autoSpaceDE w:val="0"/>
        <w:autoSpaceDN w:val="0"/>
        <w:adjustRightInd w:val="0"/>
        <w:spacing w:line="360" w:lineRule="auto"/>
        <w:ind w:firstLine="720"/>
        <w:rPr>
          <w:rFonts w:ascii="Calibri" w:hAnsi="Calibri"/>
        </w:rPr>
      </w:pPr>
      <w:r>
        <w:rPr>
          <w:rFonts w:ascii="Calibri" w:hAnsi="Calibri"/>
        </w:rPr>
        <w:t>Similarly,</w:t>
      </w:r>
      <w:r w:rsidR="00D52D92">
        <w:rPr>
          <w:rFonts w:ascii="Calibri" w:hAnsi="Calibri"/>
        </w:rPr>
        <w:t xml:space="preserve"> $25,000 of low basis stock could be appointed to </w:t>
      </w:r>
      <w:r w:rsidR="00DC4DF0">
        <w:rPr>
          <w:rFonts w:ascii="Calibri" w:hAnsi="Calibri"/>
        </w:rPr>
        <w:t xml:space="preserve">the </w:t>
      </w:r>
      <w:r w:rsidR="00D52D92">
        <w:rPr>
          <w:rFonts w:ascii="Calibri" w:hAnsi="Calibri"/>
        </w:rPr>
        <w:t>DTT trust, and $75,000 of high basis stock could be appointed outright</w:t>
      </w:r>
      <w:r w:rsidR="00DC4DF0">
        <w:rPr>
          <w:rFonts w:ascii="Calibri" w:hAnsi="Calibri"/>
        </w:rPr>
        <w:t xml:space="preserve"> or </w:t>
      </w:r>
      <w:r w:rsidR="006F27CB">
        <w:rPr>
          <w:rFonts w:ascii="Calibri" w:hAnsi="Calibri"/>
        </w:rPr>
        <w:t xml:space="preserve">to </w:t>
      </w:r>
      <w:r w:rsidR="00464C98">
        <w:rPr>
          <w:rFonts w:ascii="Calibri" w:hAnsi="Calibri"/>
        </w:rPr>
        <w:t>an</w:t>
      </w:r>
      <w:r w:rsidR="00DC4DF0">
        <w:rPr>
          <w:rFonts w:ascii="Calibri" w:hAnsi="Calibri"/>
        </w:rPr>
        <w:t xml:space="preserve"> ordinary trust</w:t>
      </w:r>
      <w:r w:rsidR="00D52D92">
        <w:rPr>
          <w:rFonts w:ascii="Calibri" w:hAnsi="Calibri"/>
        </w:rPr>
        <w:t xml:space="preserve">.  </w:t>
      </w:r>
      <w:r w:rsidR="00491FB5">
        <w:rPr>
          <w:rFonts w:ascii="Calibri" w:hAnsi="Calibri"/>
        </w:rPr>
        <w:t xml:space="preserve">In drafting mode, </w:t>
      </w:r>
      <w:r w:rsidR="00565CB6">
        <w:rPr>
          <w:rFonts w:ascii="Calibri" w:hAnsi="Calibri"/>
        </w:rPr>
        <w:t>using the DTT</w:t>
      </w:r>
      <w:r w:rsidR="00491FB5">
        <w:rPr>
          <w:rFonts w:ascii="Calibri" w:hAnsi="Calibri"/>
        </w:rPr>
        <w:t xml:space="preserve"> is probably </w:t>
      </w:r>
      <w:r w:rsidR="00491FB5" w:rsidRPr="00D52D92">
        <w:rPr>
          <w:rFonts w:ascii="Calibri" w:hAnsi="Calibri"/>
          <w:i/>
        </w:rPr>
        <w:t>not</w:t>
      </w:r>
      <w:r w:rsidR="00491FB5">
        <w:rPr>
          <w:rFonts w:ascii="Calibri" w:hAnsi="Calibri"/>
        </w:rPr>
        <w:t xml:space="preserve"> a new Will/Trust invoking the LPOA and a new appointive trust with </w:t>
      </w:r>
      <w:r w:rsidR="00491FB5">
        <w:rPr>
          <w:rFonts w:ascii="Calibri" w:hAnsi="Calibri"/>
        </w:rPr>
        <w:lastRenderedPageBreak/>
        <w:t>terms that one would ordinarily avoid.  Giving a beneficiary a presently exercisable GPOA impairs asset protection much more than a testamentary power and destroys any chance of spraying income or making tax-free gifts</w:t>
      </w:r>
      <w:r w:rsidR="006A1EC9">
        <w:rPr>
          <w:rFonts w:ascii="Calibri" w:hAnsi="Calibri"/>
        </w:rPr>
        <w:t>. Further, it does not</w:t>
      </w:r>
      <w:r w:rsidR="00491FB5">
        <w:rPr>
          <w:rFonts w:ascii="Calibri" w:hAnsi="Calibri"/>
        </w:rPr>
        <w:t xml:space="preserve"> allow </w:t>
      </w:r>
      <w:r w:rsidR="006A1EC9">
        <w:rPr>
          <w:rFonts w:ascii="Calibri" w:hAnsi="Calibri"/>
        </w:rPr>
        <w:t xml:space="preserve">for </w:t>
      </w:r>
      <w:r w:rsidR="00491FB5">
        <w:rPr>
          <w:rFonts w:ascii="Calibri" w:hAnsi="Calibri"/>
        </w:rPr>
        <w:t>avoidance of state or federal estate taxation or avoidance of a step down in basis at the child’s death.</w:t>
      </w:r>
      <w:r w:rsidR="00491FB5">
        <w:rPr>
          <w:rStyle w:val="FootnoteReference"/>
          <w:rFonts w:ascii="Calibri" w:hAnsi="Calibri"/>
        </w:rPr>
        <w:footnoteReference w:id="124"/>
      </w:r>
      <w:r w:rsidR="00491FB5">
        <w:rPr>
          <w:rFonts w:ascii="Calibri" w:hAnsi="Calibri"/>
        </w:rPr>
        <w:t xml:space="preserve">  </w:t>
      </w:r>
    </w:p>
    <w:p w14:paraId="1F8C71FB" w14:textId="77777777" w:rsidR="00533882" w:rsidRDefault="00491FB5" w:rsidP="00C736C0">
      <w:pPr>
        <w:autoSpaceDE w:val="0"/>
        <w:autoSpaceDN w:val="0"/>
        <w:adjustRightInd w:val="0"/>
        <w:spacing w:line="360" w:lineRule="auto"/>
        <w:ind w:firstLine="720"/>
        <w:rPr>
          <w:rFonts w:ascii="Calibri" w:hAnsi="Calibri"/>
        </w:rPr>
      </w:pPr>
      <w:r>
        <w:rPr>
          <w:rFonts w:ascii="Calibri" w:hAnsi="Calibri"/>
        </w:rPr>
        <w:t>With all of the above negatives, using the DTT to harvest the basis</w:t>
      </w:r>
      <w:r w:rsidR="00D52D92">
        <w:rPr>
          <w:rFonts w:ascii="Calibri" w:hAnsi="Calibri"/>
        </w:rPr>
        <w:t>-increasing</w:t>
      </w:r>
      <w:r>
        <w:rPr>
          <w:rFonts w:ascii="Calibri" w:hAnsi="Calibri"/>
        </w:rPr>
        <w:t xml:space="preserve"> coupon probably has more realistic application in the context of preexisting irrevocable trusts that already contain an LPOA, as discussed in Part V</w:t>
      </w:r>
      <w:r w:rsidR="004366E0">
        <w:rPr>
          <w:rFonts w:ascii="Calibri" w:hAnsi="Calibri"/>
        </w:rPr>
        <w:t>II</w:t>
      </w:r>
      <w:r>
        <w:rPr>
          <w:rFonts w:ascii="Calibri" w:hAnsi="Calibri"/>
        </w:rPr>
        <w:t>, and should probably not be used in planning mode to accomplish optimal basis adjustments, especially since many practitioners and clients rely on disclaimer funding, which kills the LPOA necessary for a DTT (</w:t>
      </w:r>
      <w:r w:rsidR="00430658">
        <w:rPr>
          <w:rFonts w:ascii="Calibri" w:hAnsi="Calibri"/>
        </w:rPr>
        <w:t>unless limited as discussed in Part IV</w:t>
      </w:r>
      <w:r>
        <w:rPr>
          <w:rFonts w:ascii="Calibri" w:hAnsi="Calibri"/>
        </w:rPr>
        <w:t>).  However, if the trust for children pays outright anyway, and no disclaimer funding is anticipated</w:t>
      </w:r>
      <w:r w:rsidR="00430658">
        <w:rPr>
          <w:rFonts w:ascii="Calibri" w:hAnsi="Calibri"/>
        </w:rPr>
        <w:t xml:space="preserve">, this route may be the easiest, and most flexible, </w:t>
      </w:r>
      <w:r>
        <w:rPr>
          <w:rFonts w:ascii="Calibri" w:hAnsi="Calibri"/>
        </w:rPr>
        <w:t xml:space="preserve">to take.  </w:t>
      </w:r>
    </w:p>
    <w:p w14:paraId="4857AD91" w14:textId="37FF4564" w:rsidR="00F612EB" w:rsidRDefault="00F612EB" w:rsidP="00C736C0">
      <w:pPr>
        <w:autoSpaceDE w:val="0"/>
        <w:autoSpaceDN w:val="0"/>
        <w:adjustRightInd w:val="0"/>
        <w:spacing w:line="360" w:lineRule="auto"/>
        <w:ind w:firstLine="720"/>
        <w:rPr>
          <w:rFonts w:ascii="Calibri" w:hAnsi="Calibri"/>
        </w:rPr>
      </w:pPr>
      <w:r>
        <w:rPr>
          <w:rFonts w:ascii="Calibri" w:hAnsi="Calibri"/>
        </w:rPr>
        <w:t xml:space="preserve">Just because </w:t>
      </w:r>
      <w:r w:rsidR="00262A2F">
        <w:rPr>
          <w:rFonts w:ascii="Calibri" w:hAnsi="Calibri"/>
        </w:rPr>
        <w:t>the Rule Against Perpetuities</w:t>
      </w:r>
      <w:r>
        <w:rPr>
          <w:rFonts w:ascii="Calibri" w:hAnsi="Calibri"/>
        </w:rPr>
        <w:t xml:space="preserve"> is complex to understand, does not mean that an attorney </w:t>
      </w:r>
      <w:r w:rsidR="00156E55">
        <w:rPr>
          <w:rFonts w:ascii="Calibri" w:hAnsi="Calibri"/>
        </w:rPr>
        <w:t xml:space="preserve">or other advisor </w:t>
      </w:r>
      <w:r>
        <w:rPr>
          <w:rFonts w:ascii="Calibri" w:hAnsi="Calibri"/>
        </w:rPr>
        <w:t>cannot be held liable in malpractice for failure to recognize a beneficial opportunity to trigger t</w:t>
      </w:r>
      <w:r w:rsidR="002832C3">
        <w:rPr>
          <w:rFonts w:ascii="Calibri" w:hAnsi="Calibri"/>
        </w:rPr>
        <w:t xml:space="preserve">he Delaware Tax Trap for additional income tax savings, or </w:t>
      </w:r>
      <w:r w:rsidR="00262A2F">
        <w:rPr>
          <w:rFonts w:ascii="Calibri" w:hAnsi="Calibri"/>
        </w:rPr>
        <w:t>for</w:t>
      </w:r>
      <w:r w:rsidR="002832C3">
        <w:rPr>
          <w:rFonts w:ascii="Calibri" w:hAnsi="Calibri"/>
        </w:rPr>
        <w:t xml:space="preserve"> accidentally causing additional estate/GST tax.</w:t>
      </w:r>
      <w:r w:rsidR="00467E92">
        <w:rPr>
          <w:rFonts w:ascii="Calibri" w:hAnsi="Calibri"/>
        </w:rPr>
        <w:t xml:space="preserve">  However, at least one state supreme court has</w:t>
      </w:r>
      <w:r w:rsidR="002E2E2A">
        <w:rPr>
          <w:rFonts w:ascii="Calibri" w:hAnsi="Calibri"/>
        </w:rPr>
        <w:t xml:space="preserve"> found that the Rule Against Perpetuities is so complex and perplexing that it is beyond </w:t>
      </w:r>
      <w:r w:rsidR="002369C1">
        <w:rPr>
          <w:rFonts w:ascii="Calibri" w:hAnsi="Calibri"/>
        </w:rPr>
        <w:t>the skills of an ordinary attorney!</w:t>
      </w:r>
      <w:r w:rsidR="002832C3">
        <w:rPr>
          <w:rStyle w:val="FootnoteReference"/>
          <w:rFonts w:ascii="Calibri" w:hAnsi="Calibri"/>
        </w:rPr>
        <w:footnoteReference w:id="125"/>
      </w:r>
    </w:p>
    <w:p w14:paraId="69FD75B6" w14:textId="77777777" w:rsidR="00527D79" w:rsidRPr="00523798" w:rsidRDefault="00527D79" w:rsidP="00180FD1">
      <w:pPr>
        <w:pStyle w:val="ListParagraph"/>
        <w:numPr>
          <w:ilvl w:val="0"/>
          <w:numId w:val="19"/>
        </w:numPr>
        <w:autoSpaceDE w:val="0"/>
        <w:autoSpaceDN w:val="0"/>
        <w:adjustRightInd w:val="0"/>
        <w:spacing w:line="360" w:lineRule="auto"/>
        <w:ind w:left="720" w:hanging="720"/>
        <w:rPr>
          <w:rFonts w:ascii="Calibri" w:hAnsi="Calibri"/>
          <w:b/>
        </w:rPr>
      </w:pPr>
      <w:r w:rsidRPr="00523798">
        <w:rPr>
          <w:rFonts w:ascii="Calibri" w:hAnsi="Calibri"/>
          <w:b/>
        </w:rPr>
        <w:t xml:space="preserve">Drafting Alternatives to Curb the “PEG Power” yet still trigger </w:t>
      </w:r>
      <w:r w:rsidR="009B217A">
        <w:rPr>
          <w:rFonts w:ascii="Calibri" w:hAnsi="Calibri"/>
          <w:b/>
        </w:rPr>
        <w:t>§</w:t>
      </w:r>
      <w:r w:rsidRPr="00523798">
        <w:rPr>
          <w:rFonts w:ascii="Calibri" w:hAnsi="Calibri"/>
          <w:b/>
        </w:rPr>
        <w:t>2041(a)(3)</w:t>
      </w:r>
    </w:p>
    <w:p w14:paraId="3B99A48E" w14:textId="2FD01247" w:rsidR="004C7009" w:rsidRDefault="00491FB5" w:rsidP="00C736C0">
      <w:pPr>
        <w:autoSpaceDE w:val="0"/>
        <w:autoSpaceDN w:val="0"/>
        <w:adjustRightInd w:val="0"/>
        <w:spacing w:line="360" w:lineRule="auto"/>
        <w:ind w:firstLine="720"/>
        <w:rPr>
          <w:rFonts w:ascii="Calibri" w:hAnsi="Calibri"/>
        </w:rPr>
      </w:pPr>
      <w:r>
        <w:rPr>
          <w:rFonts w:ascii="Calibri" w:hAnsi="Calibri"/>
        </w:rPr>
        <w:t xml:space="preserve">Practitioners </w:t>
      </w:r>
      <w:r w:rsidR="001A26C7">
        <w:rPr>
          <w:rFonts w:ascii="Calibri" w:hAnsi="Calibri"/>
        </w:rPr>
        <w:t>might even</w:t>
      </w:r>
      <w:r>
        <w:rPr>
          <w:rFonts w:ascii="Calibri" w:hAnsi="Calibri"/>
        </w:rPr>
        <w:t xml:space="preserve"> craft a </w:t>
      </w:r>
      <w:r w:rsidR="002129AE">
        <w:rPr>
          <w:rFonts w:ascii="Calibri" w:hAnsi="Calibri"/>
        </w:rPr>
        <w:t xml:space="preserve">lapsing </w:t>
      </w:r>
      <w:r>
        <w:rPr>
          <w:rFonts w:ascii="Calibri" w:hAnsi="Calibri"/>
        </w:rPr>
        <w:t>“</w:t>
      </w:r>
      <w:r w:rsidRPr="00541CD6">
        <w:rPr>
          <w:rFonts w:ascii="Calibri" w:hAnsi="Calibri"/>
          <w:i/>
        </w:rPr>
        <w:t>Crummey</w:t>
      </w:r>
      <w:r>
        <w:rPr>
          <w:rFonts w:ascii="Calibri" w:hAnsi="Calibri"/>
        </w:rPr>
        <w:t>” power into the appointive trust so that</w:t>
      </w:r>
      <w:r w:rsidR="001A26C7">
        <w:rPr>
          <w:rFonts w:ascii="Calibri" w:hAnsi="Calibri"/>
        </w:rPr>
        <w:t xml:space="preserve"> </w:t>
      </w:r>
      <w:r w:rsidR="00CE0CDA">
        <w:rPr>
          <w:rFonts w:ascii="Calibri" w:hAnsi="Calibri"/>
        </w:rPr>
        <w:t>the power lapses.  Depending on the state, it may still be protected</w:t>
      </w:r>
      <w:r w:rsidR="008005D9">
        <w:rPr>
          <w:rFonts w:ascii="Calibri" w:hAnsi="Calibri"/>
        </w:rPr>
        <w:t xml:space="preserve">, either in full or to the </w:t>
      </w:r>
      <w:r w:rsidR="008005D9">
        <w:rPr>
          <w:rFonts w:ascii="Calibri" w:hAnsi="Calibri"/>
        </w:rPr>
        <w:lastRenderedPageBreak/>
        <w:t>extent the lapse does not exceed 5% of the trust</w:t>
      </w:r>
      <w:r w:rsidR="00CE0CDA">
        <w:rPr>
          <w:rFonts w:ascii="Calibri" w:hAnsi="Calibri"/>
        </w:rPr>
        <w:t>.</w:t>
      </w:r>
      <w:r w:rsidR="00CE0CDA">
        <w:rPr>
          <w:rStyle w:val="FootnoteReference"/>
          <w:rFonts w:ascii="Calibri" w:hAnsi="Calibri"/>
        </w:rPr>
        <w:footnoteReference w:id="126"/>
      </w:r>
      <w:r w:rsidR="00CE0CDA">
        <w:rPr>
          <w:rFonts w:ascii="Calibri" w:hAnsi="Calibri"/>
        </w:rPr>
        <w:t xml:space="preserve">  If state law applicable to the beneficiary</w:t>
      </w:r>
      <w:r w:rsidR="00684372">
        <w:rPr>
          <w:rFonts w:ascii="Calibri" w:hAnsi="Calibri"/>
        </w:rPr>
        <w:t xml:space="preserve"> and </w:t>
      </w:r>
      <w:r w:rsidR="00CE0CDA">
        <w:rPr>
          <w:rFonts w:ascii="Calibri" w:hAnsi="Calibri"/>
        </w:rPr>
        <w:t>trust is not protective, upon lapse/expiration of the power</w:t>
      </w:r>
      <w:r w:rsidR="001A26C7">
        <w:rPr>
          <w:rFonts w:ascii="Calibri" w:hAnsi="Calibri"/>
        </w:rPr>
        <w:t>,</w:t>
      </w:r>
      <w:r w:rsidR="00CE0CDA">
        <w:rPr>
          <w:rFonts w:ascii="Calibri" w:hAnsi="Calibri"/>
        </w:rPr>
        <w:t xml:space="preserve"> the</w:t>
      </w:r>
      <w:r w:rsidR="001A26C7">
        <w:rPr>
          <w:rFonts w:ascii="Calibri" w:hAnsi="Calibri"/>
        </w:rPr>
        <w:t xml:space="preserve"> assets </w:t>
      </w:r>
      <w:r w:rsidR="00CE0CDA">
        <w:rPr>
          <w:rFonts w:ascii="Calibri" w:hAnsi="Calibri"/>
        </w:rPr>
        <w:t xml:space="preserve">might </w:t>
      </w:r>
      <w:r w:rsidR="001A26C7">
        <w:rPr>
          <w:rFonts w:ascii="Calibri" w:hAnsi="Calibri"/>
        </w:rPr>
        <w:t>flow</w:t>
      </w:r>
      <w:r>
        <w:rPr>
          <w:rFonts w:ascii="Calibri" w:hAnsi="Calibri"/>
        </w:rPr>
        <w:t xml:space="preserve"> into a self-settled, incomplete gift domestic asset protection trust </w:t>
      </w:r>
      <w:r w:rsidR="00270471">
        <w:rPr>
          <w:rFonts w:ascii="Calibri" w:hAnsi="Calibri"/>
        </w:rPr>
        <w:t xml:space="preserve">(DAPT) </w:t>
      </w:r>
      <w:r>
        <w:rPr>
          <w:rFonts w:ascii="Calibri" w:hAnsi="Calibri"/>
        </w:rPr>
        <w:t xml:space="preserve">with situs in Ohio, Delaware or </w:t>
      </w:r>
      <w:r w:rsidR="00863653">
        <w:rPr>
          <w:rFonts w:ascii="Calibri" w:hAnsi="Calibri"/>
        </w:rPr>
        <w:t xml:space="preserve">one of the </w:t>
      </w:r>
      <w:r w:rsidR="00101EDD">
        <w:rPr>
          <w:rFonts w:ascii="Calibri" w:hAnsi="Calibri"/>
        </w:rPr>
        <w:t>other more than a dozen</w:t>
      </w:r>
      <w:r>
        <w:rPr>
          <w:rFonts w:ascii="Calibri" w:hAnsi="Calibri"/>
        </w:rPr>
        <w:t xml:space="preserve"> state</w:t>
      </w:r>
      <w:r w:rsidR="00863653">
        <w:rPr>
          <w:rFonts w:ascii="Calibri" w:hAnsi="Calibri"/>
        </w:rPr>
        <w:t>s</w:t>
      </w:r>
      <w:r w:rsidR="00101EDD">
        <w:rPr>
          <w:rFonts w:ascii="Calibri" w:hAnsi="Calibri"/>
        </w:rPr>
        <w:t xml:space="preserve"> which now permit this</w:t>
      </w:r>
      <w:r w:rsidR="00533882">
        <w:rPr>
          <w:rFonts w:ascii="Calibri" w:hAnsi="Calibri"/>
        </w:rPr>
        <w:t xml:space="preserve">.  </w:t>
      </w:r>
      <w:r w:rsidR="004C7009">
        <w:rPr>
          <w:rFonts w:ascii="Calibri" w:hAnsi="Calibri"/>
        </w:rPr>
        <w:t>Alternatively, a</w:t>
      </w:r>
      <w:r w:rsidR="002129AE">
        <w:rPr>
          <w:rFonts w:ascii="Calibri" w:hAnsi="Calibri"/>
        </w:rPr>
        <w:t xml:space="preserve">s with </w:t>
      </w:r>
      <w:r w:rsidR="002129AE" w:rsidRPr="007B0C66">
        <w:rPr>
          <w:rFonts w:ascii="Calibri" w:hAnsi="Calibri"/>
          <w:i/>
        </w:rPr>
        <w:t>Crummey</w:t>
      </w:r>
      <w:r w:rsidR="002129AE">
        <w:rPr>
          <w:rFonts w:ascii="Calibri" w:hAnsi="Calibri"/>
        </w:rPr>
        <w:t xml:space="preserve"> powers, a portion may “hang</w:t>
      </w:r>
      <w:r w:rsidR="00CE0CDA">
        <w:rPr>
          <w:rFonts w:ascii="Calibri" w:hAnsi="Calibri"/>
        </w:rPr>
        <w:t>,</w:t>
      </w:r>
      <w:r w:rsidR="002129AE">
        <w:rPr>
          <w:rFonts w:ascii="Calibri" w:hAnsi="Calibri"/>
        </w:rPr>
        <w:t>” to avoid any completed gift by the lapse</w:t>
      </w:r>
      <w:r w:rsidR="004C7009">
        <w:rPr>
          <w:rFonts w:ascii="Calibri" w:hAnsi="Calibri"/>
        </w:rPr>
        <w:t xml:space="preserve">, yet may still be protected in UTC states provided that the hanging power can only be exercised with the consent of a </w:t>
      </w:r>
      <w:r w:rsidR="00101EDD">
        <w:rPr>
          <w:rFonts w:ascii="Calibri" w:hAnsi="Calibri"/>
        </w:rPr>
        <w:t xml:space="preserve">non-adverse </w:t>
      </w:r>
      <w:r w:rsidR="004C7009">
        <w:rPr>
          <w:rFonts w:ascii="Calibri" w:hAnsi="Calibri"/>
        </w:rPr>
        <w:t>trustee</w:t>
      </w:r>
      <w:r w:rsidR="002129AE">
        <w:rPr>
          <w:rFonts w:ascii="Calibri" w:hAnsi="Calibri"/>
        </w:rPr>
        <w:t>.</w:t>
      </w:r>
      <w:r w:rsidR="004C7009">
        <w:rPr>
          <w:rStyle w:val="FootnoteReference"/>
          <w:rFonts w:ascii="Calibri" w:hAnsi="Calibri"/>
        </w:rPr>
        <w:footnoteReference w:id="127"/>
      </w:r>
      <w:r w:rsidR="002129AE">
        <w:rPr>
          <w:rFonts w:ascii="Calibri" w:hAnsi="Calibri"/>
        </w:rPr>
        <w:t xml:space="preserve">  </w:t>
      </w:r>
    </w:p>
    <w:p w14:paraId="4A2AD21E" w14:textId="71AB39DD" w:rsidR="00533882" w:rsidRDefault="00541CD6" w:rsidP="00C736C0">
      <w:pPr>
        <w:autoSpaceDE w:val="0"/>
        <w:autoSpaceDN w:val="0"/>
        <w:adjustRightInd w:val="0"/>
        <w:spacing w:line="360" w:lineRule="auto"/>
        <w:ind w:firstLine="720"/>
        <w:rPr>
          <w:rFonts w:ascii="Calibri" w:hAnsi="Calibri"/>
        </w:rPr>
      </w:pPr>
      <w:r>
        <w:rPr>
          <w:rFonts w:ascii="Calibri" w:hAnsi="Calibri"/>
        </w:rPr>
        <w:t>In the event a lapsing PEG power is granted to a spouse, this would not disqualify the trust for the marital estate tax deduction</w:t>
      </w:r>
      <w:r w:rsidR="006C61F5">
        <w:rPr>
          <w:rFonts w:ascii="Calibri" w:hAnsi="Calibri"/>
        </w:rPr>
        <w:t xml:space="preserve">, </w:t>
      </w:r>
      <w:r w:rsidR="00786059">
        <w:rPr>
          <w:rFonts w:ascii="Calibri" w:hAnsi="Calibri"/>
        </w:rPr>
        <w:t>but only if</w:t>
      </w:r>
      <w:r w:rsidR="006C61F5">
        <w:rPr>
          <w:rFonts w:ascii="Calibri" w:hAnsi="Calibri"/>
        </w:rPr>
        <w:t xml:space="preserve"> the </w:t>
      </w:r>
      <w:r w:rsidR="00101EDD">
        <w:rPr>
          <w:rFonts w:ascii="Calibri" w:hAnsi="Calibri"/>
        </w:rPr>
        <w:t xml:space="preserve">trust </w:t>
      </w:r>
      <w:r w:rsidR="006C61F5">
        <w:rPr>
          <w:rFonts w:ascii="Calibri" w:hAnsi="Calibri"/>
        </w:rPr>
        <w:t>otherwise qualifies</w:t>
      </w:r>
      <w:r w:rsidR="00101EDD">
        <w:rPr>
          <w:rFonts w:ascii="Calibri" w:hAnsi="Calibri"/>
        </w:rPr>
        <w:t xml:space="preserve"> in the event the power lapses</w:t>
      </w:r>
      <w:r w:rsidR="00786059">
        <w:rPr>
          <w:rFonts w:ascii="Calibri" w:hAnsi="Calibri"/>
        </w:rPr>
        <w:t xml:space="preserve"> (such as retention of a testamentary power or QTIP)</w:t>
      </w:r>
      <w:r>
        <w:rPr>
          <w:rFonts w:ascii="Calibri" w:hAnsi="Calibri"/>
        </w:rPr>
        <w:t>.</w:t>
      </w:r>
      <w:r>
        <w:rPr>
          <w:rStyle w:val="FootnoteReference"/>
          <w:rFonts w:ascii="Calibri" w:hAnsi="Calibri"/>
        </w:rPr>
        <w:footnoteReference w:id="128"/>
      </w:r>
      <w:r>
        <w:rPr>
          <w:rFonts w:ascii="Calibri" w:hAnsi="Calibri"/>
        </w:rPr>
        <w:t xml:space="preserve">  </w:t>
      </w:r>
      <w:r w:rsidR="005D5965">
        <w:rPr>
          <w:rFonts w:ascii="Calibri" w:hAnsi="Calibri"/>
        </w:rPr>
        <w:t xml:space="preserve">It may also be possible to </w:t>
      </w:r>
      <w:r w:rsidR="00B7514A">
        <w:rPr>
          <w:rFonts w:ascii="Calibri" w:hAnsi="Calibri"/>
        </w:rPr>
        <w:t xml:space="preserve">use the 5% lapse protection to </w:t>
      </w:r>
      <w:r w:rsidR="00FC39C6">
        <w:rPr>
          <w:rFonts w:ascii="Calibri" w:hAnsi="Calibri"/>
        </w:rPr>
        <w:t xml:space="preserve">gradually reduce </w:t>
      </w:r>
      <w:r w:rsidR="00B7514A">
        <w:rPr>
          <w:rFonts w:ascii="Calibri" w:hAnsi="Calibri"/>
        </w:rPr>
        <w:t xml:space="preserve">the </w:t>
      </w:r>
      <w:r w:rsidR="006B6C10">
        <w:rPr>
          <w:rFonts w:ascii="Calibri" w:hAnsi="Calibri"/>
        </w:rPr>
        <w:t>amount of the trust included in t</w:t>
      </w:r>
      <w:r w:rsidR="00856137">
        <w:rPr>
          <w:rFonts w:ascii="Calibri" w:hAnsi="Calibri"/>
        </w:rPr>
        <w:t xml:space="preserve">he </w:t>
      </w:r>
      <w:r w:rsidR="006E3150">
        <w:rPr>
          <w:rFonts w:ascii="Calibri" w:hAnsi="Calibri"/>
        </w:rPr>
        <w:t xml:space="preserve">PEG powerholder’s </w:t>
      </w:r>
      <w:r w:rsidR="006B6C10">
        <w:rPr>
          <w:rFonts w:ascii="Calibri" w:hAnsi="Calibri"/>
        </w:rPr>
        <w:t>estate</w:t>
      </w:r>
      <w:r w:rsidR="00304DCB">
        <w:rPr>
          <w:rFonts w:ascii="Calibri" w:hAnsi="Calibri"/>
        </w:rPr>
        <w:t xml:space="preserve"> over time</w:t>
      </w:r>
      <w:r w:rsidR="00533882">
        <w:rPr>
          <w:rFonts w:ascii="Calibri" w:hAnsi="Calibri"/>
        </w:rPr>
        <w:t>.</w:t>
      </w:r>
      <w:r w:rsidR="00B7514A">
        <w:rPr>
          <w:rStyle w:val="FootnoteReference"/>
          <w:rFonts w:ascii="Calibri" w:hAnsi="Calibri"/>
        </w:rPr>
        <w:footnoteReference w:id="129"/>
      </w:r>
    </w:p>
    <w:p w14:paraId="3FC7D796" w14:textId="77777777" w:rsidR="004366E0" w:rsidRPr="004366E0" w:rsidRDefault="004366E0" w:rsidP="004366E0">
      <w:pPr>
        <w:pStyle w:val="FootnoteText"/>
        <w:spacing w:line="360" w:lineRule="auto"/>
        <w:ind w:firstLine="720"/>
        <w:rPr>
          <w:rFonts w:ascii="Calibri" w:hAnsi="Calibri"/>
          <w:sz w:val="24"/>
          <w:szCs w:val="24"/>
        </w:rPr>
      </w:pPr>
      <w:r w:rsidRPr="004366E0">
        <w:rPr>
          <w:rFonts w:ascii="Calibri" w:hAnsi="Calibri"/>
          <w:sz w:val="24"/>
          <w:szCs w:val="24"/>
        </w:rPr>
        <w:t>Another counter-intuitive technique a powerholder may use to trigger the DTT, but still protect from an improvident or spendthrift beneficiary would be to only grant the beneficiary</w:t>
      </w:r>
      <w:r>
        <w:rPr>
          <w:rFonts w:ascii="Calibri" w:hAnsi="Calibri"/>
          <w:sz w:val="24"/>
          <w:szCs w:val="24"/>
        </w:rPr>
        <w:t xml:space="preserve"> </w:t>
      </w:r>
      <w:r w:rsidRPr="004366E0">
        <w:rPr>
          <w:rFonts w:ascii="Calibri" w:hAnsi="Calibri"/>
          <w:sz w:val="24"/>
          <w:szCs w:val="24"/>
        </w:rPr>
        <w:t xml:space="preserve">a lifetime income interest </w:t>
      </w:r>
      <w:r w:rsidR="00B7514A">
        <w:rPr>
          <w:rFonts w:ascii="Calibri" w:hAnsi="Calibri"/>
          <w:sz w:val="24"/>
          <w:szCs w:val="24"/>
        </w:rPr>
        <w:t xml:space="preserve">coupled </w:t>
      </w:r>
      <w:r w:rsidRPr="004366E0">
        <w:rPr>
          <w:rFonts w:ascii="Calibri" w:hAnsi="Calibri"/>
          <w:sz w:val="24"/>
          <w:szCs w:val="24"/>
        </w:rPr>
        <w:t xml:space="preserve">with a “presently exercisable” GPOA over </w:t>
      </w:r>
      <w:r w:rsidRPr="003C46A5">
        <w:rPr>
          <w:rFonts w:ascii="Calibri" w:hAnsi="Calibri"/>
          <w:b/>
          <w:i/>
          <w:sz w:val="24"/>
          <w:szCs w:val="24"/>
        </w:rPr>
        <w:t xml:space="preserve">only </w:t>
      </w:r>
      <w:r w:rsidRPr="003C46A5">
        <w:rPr>
          <w:rFonts w:ascii="Calibri" w:hAnsi="Calibri"/>
          <w:b/>
          <w:i/>
          <w:sz w:val="24"/>
          <w:szCs w:val="24"/>
        </w:rPr>
        <w:lastRenderedPageBreak/>
        <w:t>the</w:t>
      </w:r>
      <w:r w:rsidRPr="004366E0">
        <w:rPr>
          <w:rFonts w:ascii="Calibri" w:hAnsi="Calibri"/>
          <w:i/>
          <w:sz w:val="24"/>
          <w:szCs w:val="24"/>
        </w:rPr>
        <w:t xml:space="preserve"> </w:t>
      </w:r>
      <w:r w:rsidRPr="003C46A5">
        <w:rPr>
          <w:rFonts w:ascii="Calibri" w:hAnsi="Calibri"/>
          <w:b/>
          <w:i/>
          <w:sz w:val="24"/>
          <w:szCs w:val="24"/>
        </w:rPr>
        <w:t>remainder interest</w:t>
      </w:r>
      <w:r w:rsidR="003C46A5">
        <w:rPr>
          <w:rFonts w:ascii="Calibri" w:hAnsi="Calibri"/>
          <w:b/>
          <w:i/>
          <w:sz w:val="24"/>
          <w:szCs w:val="24"/>
        </w:rPr>
        <w:t>.</w:t>
      </w:r>
      <w:r w:rsidRPr="004366E0">
        <w:rPr>
          <w:rFonts w:ascii="Calibri" w:hAnsi="Calibri"/>
          <w:i/>
          <w:sz w:val="24"/>
          <w:szCs w:val="24"/>
        </w:rPr>
        <w:t xml:space="preserve"> </w:t>
      </w:r>
      <w:r w:rsidR="003C46A5">
        <w:rPr>
          <w:rFonts w:ascii="Calibri" w:hAnsi="Calibri"/>
          <w:sz w:val="24"/>
          <w:szCs w:val="24"/>
        </w:rPr>
        <w:t>T</w:t>
      </w:r>
      <w:r w:rsidRPr="004366E0">
        <w:rPr>
          <w:rFonts w:ascii="Calibri" w:hAnsi="Calibri"/>
          <w:sz w:val="24"/>
          <w:szCs w:val="24"/>
        </w:rPr>
        <w:t>his is still deemed a “presently exercisable” GPOA.</w:t>
      </w:r>
      <w:r>
        <w:rPr>
          <w:rStyle w:val="FootnoteReference"/>
          <w:rFonts w:ascii="Calibri" w:hAnsi="Calibri"/>
          <w:sz w:val="24"/>
          <w:szCs w:val="24"/>
        </w:rPr>
        <w:footnoteReference w:id="130"/>
      </w:r>
      <w:r>
        <w:rPr>
          <w:rFonts w:ascii="Calibri" w:hAnsi="Calibri"/>
          <w:sz w:val="24"/>
          <w:szCs w:val="24"/>
        </w:rPr>
        <w:t xml:space="preserve"> In an earlier version of this article, I had initially opined</w:t>
      </w:r>
      <w:r w:rsidRPr="004366E0">
        <w:rPr>
          <w:rFonts w:ascii="Calibri" w:hAnsi="Calibri"/>
          <w:sz w:val="24"/>
          <w:szCs w:val="24"/>
        </w:rPr>
        <w:t xml:space="preserve"> </w:t>
      </w:r>
      <w:r>
        <w:rPr>
          <w:rFonts w:ascii="Calibri" w:hAnsi="Calibri"/>
          <w:sz w:val="24"/>
          <w:szCs w:val="24"/>
        </w:rPr>
        <w:t>that this technique</w:t>
      </w:r>
      <w:r w:rsidRPr="004366E0">
        <w:rPr>
          <w:rFonts w:ascii="Calibri" w:hAnsi="Calibri"/>
          <w:sz w:val="24"/>
          <w:szCs w:val="24"/>
        </w:rPr>
        <w:t xml:space="preserve"> would probably cause only partial inclusion based on actuarial value of the remainder.</w:t>
      </w:r>
      <w:r w:rsidR="003C46A5">
        <w:rPr>
          <w:rFonts w:ascii="Calibri" w:hAnsi="Calibri"/>
          <w:sz w:val="24"/>
          <w:szCs w:val="24"/>
        </w:rPr>
        <w:t xml:space="preserve">  </w:t>
      </w:r>
      <w:r w:rsidR="002C7DE2" w:rsidRPr="00B7514A">
        <w:rPr>
          <w:rFonts w:ascii="Calibri" w:hAnsi="Calibri"/>
          <w:i/>
          <w:sz w:val="24"/>
          <w:szCs w:val="24"/>
        </w:rPr>
        <w:t xml:space="preserve">I was </w:t>
      </w:r>
      <w:r w:rsidR="003C46A5" w:rsidRPr="00B7514A">
        <w:rPr>
          <w:rFonts w:ascii="Calibri" w:hAnsi="Calibri"/>
          <w:i/>
          <w:sz w:val="24"/>
          <w:szCs w:val="24"/>
        </w:rPr>
        <w:t>wrong</w:t>
      </w:r>
      <w:r w:rsidR="00C70E13">
        <w:rPr>
          <w:rFonts w:ascii="Calibri" w:hAnsi="Calibri"/>
          <w:sz w:val="24"/>
          <w:szCs w:val="24"/>
        </w:rPr>
        <w:t xml:space="preserve">, and </w:t>
      </w:r>
      <w:r w:rsidR="00A33FF4">
        <w:rPr>
          <w:rFonts w:ascii="Calibri" w:hAnsi="Calibri"/>
          <w:sz w:val="24"/>
          <w:szCs w:val="24"/>
        </w:rPr>
        <w:t xml:space="preserve">it is clear that </w:t>
      </w:r>
      <w:r w:rsidR="00C70E13">
        <w:rPr>
          <w:rFonts w:ascii="Calibri" w:hAnsi="Calibri"/>
          <w:sz w:val="24"/>
          <w:szCs w:val="24"/>
        </w:rPr>
        <w:t>a step up in basis over 100% of the appointed assets is available</w:t>
      </w:r>
      <w:r w:rsidR="003C46A5">
        <w:rPr>
          <w:rFonts w:ascii="Calibri" w:hAnsi="Calibri"/>
          <w:sz w:val="24"/>
          <w:szCs w:val="24"/>
        </w:rPr>
        <w:t>:</w:t>
      </w:r>
      <w:r w:rsidRPr="004366E0">
        <w:rPr>
          <w:rFonts w:ascii="Calibri" w:hAnsi="Calibri"/>
          <w:sz w:val="24"/>
          <w:szCs w:val="24"/>
        </w:rPr>
        <w:t xml:space="preserve"> </w:t>
      </w:r>
    </w:p>
    <w:p w14:paraId="3B0FCCCD" w14:textId="77777777" w:rsidR="004366E0" w:rsidRPr="00C70E13" w:rsidRDefault="00C70E13" w:rsidP="003C46A5">
      <w:pPr>
        <w:autoSpaceDE w:val="0"/>
        <w:autoSpaceDN w:val="0"/>
        <w:adjustRightInd w:val="0"/>
        <w:ind w:left="720"/>
        <w:rPr>
          <w:rFonts w:ascii="Calibri" w:hAnsi="Calibri"/>
          <w:sz w:val="20"/>
          <w:szCs w:val="20"/>
        </w:rPr>
      </w:pPr>
      <w:r>
        <w:rPr>
          <w:rFonts w:ascii="Verdana" w:hAnsi="Verdana"/>
          <w:color w:val="333333"/>
          <w:sz w:val="20"/>
          <w:szCs w:val="20"/>
        </w:rPr>
        <w:t>“</w:t>
      </w:r>
      <w:r w:rsidRPr="00C70E13">
        <w:rPr>
          <w:rFonts w:ascii="Verdana" w:hAnsi="Verdana"/>
          <w:color w:val="333333"/>
          <w:sz w:val="20"/>
          <w:szCs w:val="20"/>
        </w:rPr>
        <w:t xml:space="preserve">(2) For purposes of the application of section 2041(a)(3), the value of the property subject to the second power of appointment is considered to be its value unreduced by any precedent or subsequent interest which is not subject to the second power. Thus, if a decedent has a power to appoint by will $ 100,000 to a group of persons consisting of his children and grandchildren and exercises the power by making an outright appointment of $ 75,000 and by giving one appointee a power to appoint $ 25,000, no more than $ 25,000 will be includable in the decedent's gross estate under section 2041(a)(3). </w:t>
      </w:r>
      <w:r w:rsidRPr="00C70E13">
        <w:rPr>
          <w:rFonts w:ascii="Verdana" w:hAnsi="Verdana"/>
          <w:b/>
          <w:color w:val="333333"/>
          <w:sz w:val="20"/>
          <w:szCs w:val="20"/>
        </w:rPr>
        <w:t>If, however, the decedent appoints the income from the entire fund to a beneficiary for life with power in the beneficiary to appoint the remainder by will, the entire $ 100,000 will be includable in the decedent's gross estate under section 2041(a)(3)</w:t>
      </w:r>
      <w:r w:rsidRPr="00C70E13">
        <w:rPr>
          <w:rFonts w:ascii="Verdana" w:hAnsi="Verdana"/>
          <w:color w:val="333333"/>
          <w:sz w:val="20"/>
          <w:szCs w:val="20"/>
        </w:rPr>
        <w:t xml:space="preserve"> if the exercise of the second power can validly postpone the vesting of any estate or interest in the property or can suspend the absolute ownership or power of alienation of the property for a period ascertainable without regard to the date of the creation of the first power</w:t>
      </w:r>
      <w:r w:rsidR="003C46A5" w:rsidRPr="00C70E13">
        <w:rPr>
          <w:rFonts w:ascii="Verdana" w:hAnsi="Verdana"/>
          <w:color w:val="333333"/>
          <w:sz w:val="20"/>
          <w:szCs w:val="20"/>
        </w:rPr>
        <w:t>.</w:t>
      </w:r>
      <w:r>
        <w:rPr>
          <w:rFonts w:ascii="Verdana" w:hAnsi="Verdana"/>
          <w:color w:val="333333"/>
          <w:sz w:val="20"/>
          <w:szCs w:val="20"/>
        </w:rPr>
        <w:t>”</w:t>
      </w:r>
      <w:r w:rsidR="003C46A5" w:rsidRPr="00C70E13">
        <w:rPr>
          <w:rStyle w:val="FootnoteReference"/>
          <w:rFonts w:ascii="Verdana" w:hAnsi="Verdana"/>
          <w:color w:val="333333"/>
          <w:sz w:val="20"/>
          <w:szCs w:val="20"/>
        </w:rPr>
        <w:footnoteReference w:id="131"/>
      </w:r>
    </w:p>
    <w:p w14:paraId="308A6E7E" w14:textId="77777777" w:rsidR="002C7DE2" w:rsidRDefault="002C7DE2" w:rsidP="00C736C0">
      <w:pPr>
        <w:autoSpaceDE w:val="0"/>
        <w:autoSpaceDN w:val="0"/>
        <w:adjustRightInd w:val="0"/>
        <w:spacing w:line="360" w:lineRule="auto"/>
        <w:ind w:firstLine="720"/>
        <w:rPr>
          <w:rFonts w:ascii="Calibri" w:hAnsi="Calibri"/>
        </w:rPr>
      </w:pPr>
    </w:p>
    <w:p w14:paraId="49BD9EE1" w14:textId="77777777" w:rsidR="008C7184" w:rsidRDefault="00177EF8" w:rsidP="00C736C0">
      <w:pPr>
        <w:autoSpaceDE w:val="0"/>
        <w:autoSpaceDN w:val="0"/>
        <w:adjustRightInd w:val="0"/>
        <w:spacing w:line="360" w:lineRule="auto"/>
        <w:ind w:firstLine="720"/>
        <w:rPr>
          <w:rFonts w:ascii="Calibri" w:hAnsi="Calibri"/>
        </w:rPr>
      </w:pPr>
      <w:r>
        <w:rPr>
          <w:rFonts w:ascii="Calibri" w:hAnsi="Calibri"/>
        </w:rPr>
        <w:t>Remember that you cannot use a non-adverse party consent if the goal is also to qualify the DTT/estate triggering for the marital deduction</w:t>
      </w:r>
      <w:r w:rsidR="00863653">
        <w:rPr>
          <w:rFonts w:ascii="Calibri" w:hAnsi="Calibri"/>
        </w:rPr>
        <w:t>.  Such an appointment</w:t>
      </w:r>
      <w:r>
        <w:rPr>
          <w:rFonts w:ascii="Calibri" w:hAnsi="Calibri"/>
        </w:rPr>
        <w:t xml:space="preserve"> would be rare, however, since LPOAs </w:t>
      </w:r>
      <w:r w:rsidR="00EF1B9C">
        <w:rPr>
          <w:rFonts w:ascii="Calibri" w:hAnsi="Calibri"/>
        </w:rPr>
        <w:t>usually</w:t>
      </w:r>
      <w:r>
        <w:rPr>
          <w:rFonts w:ascii="Calibri" w:hAnsi="Calibri"/>
        </w:rPr>
        <w:t xml:space="preserve"> </w:t>
      </w:r>
      <w:r w:rsidRPr="002C7DE2">
        <w:rPr>
          <w:rFonts w:ascii="Calibri" w:hAnsi="Calibri"/>
          <w:i/>
        </w:rPr>
        <w:t>exclude</w:t>
      </w:r>
      <w:r>
        <w:rPr>
          <w:rFonts w:ascii="Calibri" w:hAnsi="Calibri"/>
        </w:rPr>
        <w:t xml:space="preserve"> </w:t>
      </w:r>
      <w:r w:rsidR="002C7DE2">
        <w:rPr>
          <w:rFonts w:ascii="Calibri" w:hAnsi="Calibri"/>
        </w:rPr>
        <w:t xml:space="preserve">subsequent </w:t>
      </w:r>
      <w:r>
        <w:rPr>
          <w:rFonts w:ascii="Calibri" w:hAnsi="Calibri"/>
        </w:rPr>
        <w:t>spouses</w:t>
      </w:r>
      <w:r w:rsidR="00EF1B9C">
        <w:rPr>
          <w:rFonts w:ascii="Calibri" w:hAnsi="Calibri"/>
        </w:rPr>
        <w:t xml:space="preserve"> as potential appointees</w:t>
      </w:r>
      <w:r>
        <w:rPr>
          <w:rFonts w:ascii="Calibri" w:hAnsi="Calibri"/>
        </w:rPr>
        <w:t xml:space="preserve">, but </w:t>
      </w:r>
      <w:r w:rsidR="002C7DE2">
        <w:rPr>
          <w:rFonts w:ascii="Calibri" w:hAnsi="Calibri"/>
        </w:rPr>
        <w:t xml:space="preserve">it is </w:t>
      </w:r>
      <w:r w:rsidR="00863653">
        <w:rPr>
          <w:rFonts w:ascii="Calibri" w:hAnsi="Calibri"/>
        </w:rPr>
        <w:t xml:space="preserve">certainly </w:t>
      </w:r>
      <w:r>
        <w:rPr>
          <w:rFonts w:ascii="Calibri" w:hAnsi="Calibri"/>
        </w:rPr>
        <w:t>possible</w:t>
      </w:r>
      <w:r w:rsidR="00863653">
        <w:rPr>
          <w:rFonts w:ascii="Calibri" w:hAnsi="Calibri"/>
        </w:rPr>
        <w:t>, especially in a trust for children where a parent may want some limited flexibility not to impoverish their son or daughter in law.</w:t>
      </w:r>
      <w:r>
        <w:rPr>
          <w:rFonts w:ascii="Calibri" w:hAnsi="Calibri"/>
        </w:rPr>
        <w:t xml:space="preserve"> </w:t>
      </w:r>
      <w:r w:rsidR="00863653">
        <w:rPr>
          <w:rFonts w:ascii="Calibri" w:hAnsi="Calibri"/>
        </w:rPr>
        <w:t>I</w:t>
      </w:r>
      <w:r>
        <w:rPr>
          <w:rFonts w:ascii="Calibri" w:hAnsi="Calibri"/>
        </w:rPr>
        <w:t xml:space="preserve">n </w:t>
      </w:r>
      <w:r w:rsidR="00863653">
        <w:rPr>
          <w:rFonts w:ascii="Calibri" w:hAnsi="Calibri"/>
        </w:rPr>
        <w:t>such</w:t>
      </w:r>
      <w:r>
        <w:rPr>
          <w:rFonts w:ascii="Calibri" w:hAnsi="Calibri"/>
        </w:rPr>
        <w:t xml:space="preserve"> case the powerholder could appoint to a Delaware Tax Trapping GPOA marital trust for the surviving spouse getting a full step up without causing estate tax</w:t>
      </w:r>
      <w:r w:rsidR="00863653">
        <w:rPr>
          <w:rFonts w:ascii="Calibri" w:hAnsi="Calibri"/>
        </w:rPr>
        <w:t xml:space="preserve"> or even using a dime of applicable exclusion amount</w:t>
      </w:r>
      <w:r>
        <w:rPr>
          <w:rFonts w:ascii="Calibri" w:hAnsi="Calibri"/>
        </w:rPr>
        <w:t>.</w:t>
      </w:r>
      <w:r w:rsidR="00304DCB">
        <w:rPr>
          <w:rFonts w:ascii="Calibri" w:hAnsi="Calibri"/>
        </w:rPr>
        <w:t xml:space="preserve">  </w:t>
      </w:r>
    </w:p>
    <w:p w14:paraId="0A85060B" w14:textId="77777777" w:rsidR="00EF4688" w:rsidRDefault="008C7184" w:rsidP="00C736C0">
      <w:pPr>
        <w:autoSpaceDE w:val="0"/>
        <w:autoSpaceDN w:val="0"/>
        <w:adjustRightInd w:val="0"/>
        <w:spacing w:line="360" w:lineRule="auto"/>
        <w:ind w:firstLine="720"/>
        <w:rPr>
          <w:rFonts w:ascii="Calibri" w:hAnsi="Calibri"/>
        </w:rPr>
      </w:pPr>
      <w:r>
        <w:rPr>
          <w:rFonts w:ascii="Calibri" w:hAnsi="Calibri"/>
        </w:rPr>
        <w:t>What if the PEG power required</w:t>
      </w:r>
      <w:r w:rsidR="004B1F54">
        <w:rPr>
          <w:rFonts w:ascii="Calibri" w:hAnsi="Calibri"/>
        </w:rPr>
        <w:t xml:space="preserve"> n</w:t>
      </w:r>
      <w:r w:rsidR="00304DCB">
        <w:rPr>
          <w:rFonts w:ascii="Calibri" w:hAnsi="Calibri"/>
        </w:rPr>
        <w:t>on-adverse party consent</w:t>
      </w:r>
      <w:r>
        <w:rPr>
          <w:rFonts w:ascii="Calibri" w:hAnsi="Calibri"/>
        </w:rPr>
        <w:t>?  W</w:t>
      </w:r>
      <w:r w:rsidR="004B1F54">
        <w:rPr>
          <w:rFonts w:ascii="Calibri" w:hAnsi="Calibri"/>
        </w:rPr>
        <w:t xml:space="preserve">ould </w:t>
      </w:r>
      <w:r>
        <w:rPr>
          <w:rFonts w:ascii="Calibri" w:hAnsi="Calibri"/>
        </w:rPr>
        <w:t xml:space="preserve">this </w:t>
      </w:r>
      <w:r w:rsidR="004B1F54">
        <w:rPr>
          <w:rFonts w:ascii="Calibri" w:hAnsi="Calibri"/>
        </w:rPr>
        <w:t xml:space="preserve">preclude </w:t>
      </w:r>
      <w:r w:rsidR="00776A12">
        <w:rPr>
          <w:rFonts w:ascii="Calibri" w:hAnsi="Calibri"/>
        </w:rPr>
        <w:t>such a restricted and protective</w:t>
      </w:r>
      <w:r w:rsidR="00304DCB">
        <w:rPr>
          <w:rFonts w:ascii="Calibri" w:hAnsi="Calibri"/>
        </w:rPr>
        <w:t xml:space="preserve"> </w:t>
      </w:r>
      <w:r w:rsidR="004B1F54">
        <w:rPr>
          <w:rFonts w:ascii="Calibri" w:hAnsi="Calibri"/>
        </w:rPr>
        <w:t xml:space="preserve">PEG power from being </w:t>
      </w:r>
      <w:r w:rsidR="00304DCB">
        <w:rPr>
          <w:rFonts w:ascii="Calibri" w:hAnsi="Calibri"/>
        </w:rPr>
        <w:t>“presently exercisable”</w:t>
      </w:r>
      <w:r w:rsidR="004B1F54">
        <w:rPr>
          <w:rFonts w:ascii="Calibri" w:hAnsi="Calibri"/>
        </w:rPr>
        <w:t xml:space="preserve"> and</w:t>
      </w:r>
      <w:r w:rsidR="00304DCB">
        <w:rPr>
          <w:rFonts w:ascii="Calibri" w:hAnsi="Calibri"/>
        </w:rPr>
        <w:t xml:space="preserve"> triggering the DTT</w:t>
      </w:r>
      <w:r>
        <w:rPr>
          <w:rFonts w:ascii="Calibri" w:hAnsi="Calibri"/>
        </w:rPr>
        <w:t xml:space="preserve">? </w:t>
      </w:r>
      <w:r w:rsidR="00776A12">
        <w:rPr>
          <w:rFonts w:ascii="Calibri" w:hAnsi="Calibri"/>
        </w:rPr>
        <w:t xml:space="preserve"> </w:t>
      </w:r>
      <w:r w:rsidR="00776A12" w:rsidRPr="00EF4688">
        <w:rPr>
          <w:rFonts w:ascii="Calibri" w:hAnsi="Calibri"/>
          <w:i/>
        </w:rPr>
        <w:t>Probably not</w:t>
      </w:r>
      <w:r w:rsidR="00776A12">
        <w:rPr>
          <w:rFonts w:ascii="Calibri" w:hAnsi="Calibri"/>
        </w:rPr>
        <w:t xml:space="preserve"> – all that §2041(a)(3) requires is that the power </w:t>
      </w:r>
      <w:r w:rsidR="00776A12" w:rsidRPr="00776A12">
        <w:rPr>
          <w:rFonts w:ascii="Calibri" w:hAnsi="Calibri"/>
          <w:i/>
        </w:rPr>
        <w:t>“can be”</w:t>
      </w:r>
      <w:r w:rsidR="00776A12">
        <w:rPr>
          <w:rFonts w:ascii="Calibri" w:hAnsi="Calibri"/>
        </w:rPr>
        <w:t xml:space="preserve"> exercised to start a new rule against perpetuities period</w:t>
      </w:r>
      <w:r w:rsidR="004D4724">
        <w:rPr>
          <w:rFonts w:ascii="Calibri" w:hAnsi="Calibri"/>
        </w:rPr>
        <w:t>.  T</w:t>
      </w:r>
      <w:r w:rsidR="00776A12">
        <w:rPr>
          <w:rFonts w:ascii="Calibri" w:hAnsi="Calibri"/>
        </w:rPr>
        <w:t xml:space="preserve">here is no mention, as elsewhere in the code, of such power needing to be unfettered.  </w:t>
      </w:r>
      <w:r>
        <w:rPr>
          <w:rFonts w:ascii="Calibri" w:hAnsi="Calibri"/>
        </w:rPr>
        <w:t xml:space="preserve"> </w:t>
      </w:r>
      <w:r w:rsidR="00EF4688">
        <w:rPr>
          <w:rFonts w:ascii="Calibri" w:hAnsi="Calibri"/>
        </w:rPr>
        <w:t xml:space="preserve">The important question is whether such a PEG power would </w:t>
      </w:r>
      <w:r w:rsidR="00EF4688">
        <w:rPr>
          <w:rFonts w:ascii="Calibri" w:hAnsi="Calibri"/>
        </w:rPr>
        <w:lastRenderedPageBreak/>
        <w:t xml:space="preserve">be treated the same way for purposes of the state law around </w:t>
      </w:r>
      <w:r w:rsidR="00303D0A">
        <w:rPr>
          <w:rFonts w:ascii="Calibri" w:hAnsi="Calibri"/>
        </w:rPr>
        <w:t>its</w:t>
      </w:r>
      <w:r w:rsidR="00EF4688">
        <w:rPr>
          <w:rFonts w:ascii="Calibri" w:hAnsi="Calibri"/>
        </w:rPr>
        <w:t xml:space="preserve"> Rule Against Perpetuities.  In most cases, it probably would.  Let’s examine Ohio’s statute, which was meant to be a codification of common law on this point, and explain why:</w:t>
      </w:r>
      <w:r w:rsidR="00EF4688">
        <w:rPr>
          <w:rStyle w:val="FootnoteReference"/>
          <w:rFonts w:ascii="Calibri" w:hAnsi="Calibri"/>
        </w:rPr>
        <w:footnoteReference w:id="132"/>
      </w:r>
      <w:r w:rsidR="00EF4688">
        <w:rPr>
          <w:rFonts w:ascii="Calibri" w:hAnsi="Calibri"/>
        </w:rPr>
        <w:t xml:space="preserve"> </w:t>
      </w:r>
    </w:p>
    <w:p w14:paraId="018508FB" w14:textId="77777777" w:rsidR="00EF4688" w:rsidRPr="00EF4688" w:rsidRDefault="00EF4688" w:rsidP="00EF4688">
      <w:pPr>
        <w:autoSpaceDE w:val="0"/>
        <w:autoSpaceDN w:val="0"/>
        <w:adjustRightInd w:val="0"/>
        <w:ind w:left="720" w:firstLine="720"/>
        <w:rPr>
          <w:rFonts w:ascii="Calibri" w:hAnsi="Calibri"/>
        </w:rPr>
      </w:pPr>
      <w:r w:rsidRPr="00EF4688">
        <w:rPr>
          <w:rFonts w:ascii="Calibri" w:hAnsi="Calibri"/>
        </w:rPr>
        <w:t>(D) For purposes of this section and subject to sections 1746.14, 1747.09, and 2131.09 of the Revised Code, the following apply:</w:t>
      </w:r>
    </w:p>
    <w:p w14:paraId="67B6289F" w14:textId="77777777" w:rsidR="00EF4688" w:rsidRPr="00EF4688" w:rsidRDefault="00EF4688" w:rsidP="00EF4688">
      <w:pPr>
        <w:autoSpaceDE w:val="0"/>
        <w:autoSpaceDN w:val="0"/>
        <w:adjustRightInd w:val="0"/>
        <w:ind w:left="720" w:firstLine="720"/>
        <w:rPr>
          <w:rFonts w:ascii="Calibri" w:hAnsi="Calibri"/>
        </w:rPr>
      </w:pPr>
      <w:r w:rsidRPr="00EF4688">
        <w:rPr>
          <w:rFonts w:ascii="Calibri" w:hAnsi="Calibri"/>
        </w:rPr>
        <w:t>(1) The time of the creation of an interest in real or personal property resulting from the exercise of a general power of appointment exercisable in a nonfiduciary capacity by deed, whether or not also exercisable by will, shall be the time at which that power of appointment is exercised.</w:t>
      </w:r>
    </w:p>
    <w:p w14:paraId="524158BE" w14:textId="77777777" w:rsidR="00EF4688" w:rsidRDefault="00EF4688" w:rsidP="00EF4688">
      <w:pPr>
        <w:autoSpaceDE w:val="0"/>
        <w:autoSpaceDN w:val="0"/>
        <w:adjustRightInd w:val="0"/>
        <w:ind w:left="720" w:firstLine="720"/>
        <w:rPr>
          <w:rFonts w:ascii="Calibri" w:hAnsi="Calibri"/>
        </w:rPr>
      </w:pPr>
      <w:r w:rsidRPr="00EF4688">
        <w:rPr>
          <w:rFonts w:ascii="Calibri" w:hAnsi="Calibri"/>
        </w:rPr>
        <w:t>(2) The time of the creation of an interest in real or personal property resulting from the termination, without exercise, of a general power of appointment exercisable in a nonfiduciary capacity by deed, whether or not also exercisable by will, shall be the time at which that power of appointment terminates by reason of the death of the power holder, by release of the power, or otherwise.</w:t>
      </w:r>
    </w:p>
    <w:p w14:paraId="2FF6556E" w14:textId="77777777" w:rsidR="00A258A6" w:rsidRDefault="00A258A6" w:rsidP="00A258A6">
      <w:pPr>
        <w:autoSpaceDE w:val="0"/>
        <w:autoSpaceDN w:val="0"/>
        <w:adjustRightInd w:val="0"/>
        <w:spacing w:line="360" w:lineRule="auto"/>
        <w:ind w:firstLine="720"/>
        <w:rPr>
          <w:rFonts w:ascii="Calibri" w:hAnsi="Calibri"/>
        </w:rPr>
      </w:pPr>
    </w:p>
    <w:p w14:paraId="18381FBA" w14:textId="77777777" w:rsidR="00A258A6" w:rsidRPr="00A258A6" w:rsidRDefault="00A258A6" w:rsidP="00A258A6">
      <w:pPr>
        <w:autoSpaceDE w:val="0"/>
        <w:autoSpaceDN w:val="0"/>
        <w:adjustRightInd w:val="0"/>
        <w:spacing w:line="360" w:lineRule="auto"/>
        <w:ind w:firstLine="720"/>
        <w:rPr>
          <w:rFonts w:ascii="Calibri" w:hAnsi="Calibri"/>
        </w:rPr>
      </w:pPr>
      <w:r>
        <w:rPr>
          <w:rFonts w:ascii="Calibri" w:hAnsi="Calibri"/>
        </w:rPr>
        <w:t xml:space="preserve">General power of appointment is later defined </w:t>
      </w:r>
      <w:r w:rsidR="00303D0A">
        <w:rPr>
          <w:rFonts w:ascii="Calibri" w:hAnsi="Calibri"/>
        </w:rPr>
        <w:t xml:space="preserve">under Ohio law </w:t>
      </w:r>
      <w:r>
        <w:rPr>
          <w:rFonts w:ascii="Calibri" w:hAnsi="Calibri"/>
        </w:rPr>
        <w:t>as:</w:t>
      </w:r>
    </w:p>
    <w:p w14:paraId="3C25CFFA" w14:textId="77777777" w:rsidR="00A258A6" w:rsidRPr="00A258A6" w:rsidRDefault="00A258A6" w:rsidP="00A258A6">
      <w:pPr>
        <w:autoSpaceDE w:val="0"/>
        <w:autoSpaceDN w:val="0"/>
        <w:adjustRightInd w:val="0"/>
        <w:ind w:left="720" w:firstLine="720"/>
        <w:rPr>
          <w:rFonts w:ascii="Calibri" w:hAnsi="Calibri"/>
        </w:rPr>
      </w:pPr>
      <w:r w:rsidRPr="00A258A6">
        <w:rPr>
          <w:rFonts w:ascii="Calibri" w:hAnsi="Calibri"/>
        </w:rPr>
        <w:t>(1) "General power of appointment" means a power that is exercisable in favor of the individual possessing the power, the individual's estate, the individual's creditors, or the creditors of the individual's estate other than either of the following:</w:t>
      </w:r>
    </w:p>
    <w:p w14:paraId="11A88682" w14:textId="77777777" w:rsidR="00A258A6" w:rsidRPr="00A258A6" w:rsidRDefault="00A258A6" w:rsidP="00A258A6">
      <w:pPr>
        <w:autoSpaceDE w:val="0"/>
        <w:autoSpaceDN w:val="0"/>
        <w:adjustRightInd w:val="0"/>
        <w:ind w:left="720" w:firstLine="720"/>
        <w:rPr>
          <w:rFonts w:ascii="Calibri" w:hAnsi="Calibri"/>
        </w:rPr>
      </w:pPr>
      <w:r w:rsidRPr="00A258A6">
        <w:rPr>
          <w:rFonts w:ascii="Calibri" w:hAnsi="Calibri"/>
        </w:rPr>
        <w:t>(a) A power that is limited by an ascertainable standard as defined in section 5801.01 of the Revised Code;</w:t>
      </w:r>
    </w:p>
    <w:p w14:paraId="093CF728" w14:textId="77777777" w:rsidR="00EF4688" w:rsidRDefault="00A258A6" w:rsidP="00A258A6">
      <w:pPr>
        <w:autoSpaceDE w:val="0"/>
        <w:autoSpaceDN w:val="0"/>
        <w:adjustRightInd w:val="0"/>
        <w:ind w:left="720" w:firstLine="720"/>
        <w:rPr>
          <w:rFonts w:ascii="Calibri" w:hAnsi="Calibri"/>
        </w:rPr>
      </w:pPr>
      <w:r w:rsidRPr="00A258A6">
        <w:rPr>
          <w:rFonts w:ascii="Calibri" w:hAnsi="Calibri"/>
        </w:rPr>
        <w:t>(b) A power of withdrawal held by an individual, but only to the extent that it does not exceed the amount specified in section 2041(b)(2) or 2514(e) of the "Internal Revenue Code of 1986," 100 Stat. 2085, 26 U.S.C. 1 et seq., as amended.</w:t>
      </w:r>
      <w:r>
        <w:rPr>
          <w:rStyle w:val="FootnoteReference"/>
          <w:rFonts w:ascii="Calibri" w:hAnsi="Calibri"/>
        </w:rPr>
        <w:footnoteReference w:id="133"/>
      </w:r>
    </w:p>
    <w:p w14:paraId="42F2BD9B" w14:textId="77777777" w:rsidR="00A258A6" w:rsidRDefault="00A258A6" w:rsidP="00A258A6">
      <w:pPr>
        <w:autoSpaceDE w:val="0"/>
        <w:autoSpaceDN w:val="0"/>
        <w:adjustRightInd w:val="0"/>
        <w:ind w:firstLine="720"/>
        <w:rPr>
          <w:rFonts w:ascii="Calibri" w:hAnsi="Calibri"/>
        </w:rPr>
      </w:pPr>
    </w:p>
    <w:p w14:paraId="7560C2B1" w14:textId="77777777" w:rsidR="00177EF8" w:rsidRDefault="00EF4688" w:rsidP="00EF4688">
      <w:pPr>
        <w:autoSpaceDE w:val="0"/>
        <w:autoSpaceDN w:val="0"/>
        <w:adjustRightInd w:val="0"/>
        <w:spacing w:line="360" w:lineRule="auto"/>
        <w:ind w:firstLine="720"/>
        <w:rPr>
          <w:rFonts w:ascii="Calibri" w:hAnsi="Calibri"/>
        </w:rPr>
      </w:pPr>
      <w:r>
        <w:rPr>
          <w:rFonts w:ascii="Calibri" w:hAnsi="Calibri"/>
        </w:rPr>
        <w:t xml:space="preserve">Thus, because a power of appointment only exercisable with consent of a non-adverse party is still “general” under state law, and because state law considers the interests created by the exercise or lapse/release of such a power to </w:t>
      </w:r>
      <w:r w:rsidR="005C1A03">
        <w:rPr>
          <w:rFonts w:ascii="Calibri" w:hAnsi="Calibri"/>
        </w:rPr>
        <w:t xml:space="preserve">create a new property interest and </w:t>
      </w:r>
      <w:r>
        <w:rPr>
          <w:rFonts w:ascii="Calibri" w:hAnsi="Calibri"/>
        </w:rPr>
        <w:t xml:space="preserve">start a new rule against perpetuities, requiring consent of a non-adverse party to exercise the PEG power should have no effect for </w:t>
      </w:r>
      <w:r w:rsidR="00A258A6">
        <w:rPr>
          <w:rFonts w:ascii="Calibri" w:hAnsi="Calibri"/>
        </w:rPr>
        <w:t xml:space="preserve">triggering the Delaware tax trap under </w:t>
      </w:r>
      <w:r>
        <w:rPr>
          <w:rFonts w:ascii="Calibri" w:hAnsi="Calibri"/>
        </w:rPr>
        <w:t xml:space="preserve">§2041(a)(3).  </w:t>
      </w:r>
      <w:r w:rsidR="00A258A6">
        <w:rPr>
          <w:rFonts w:ascii="Calibri" w:hAnsi="Calibri"/>
        </w:rPr>
        <w:t xml:space="preserve">In fact, under Ohio’s definition above, even </w:t>
      </w:r>
      <w:r w:rsidR="00DE4E75">
        <w:rPr>
          <w:rFonts w:ascii="Calibri" w:hAnsi="Calibri"/>
        </w:rPr>
        <w:t xml:space="preserve">required </w:t>
      </w:r>
      <w:r w:rsidR="00A258A6">
        <w:rPr>
          <w:rFonts w:ascii="Calibri" w:hAnsi="Calibri"/>
        </w:rPr>
        <w:t xml:space="preserve">consent of </w:t>
      </w:r>
      <w:r w:rsidR="00DE4E75" w:rsidRPr="00D17385">
        <w:rPr>
          <w:rFonts w:ascii="Calibri" w:hAnsi="Calibri"/>
          <w:b/>
          <w:i/>
        </w:rPr>
        <w:t>adverse</w:t>
      </w:r>
      <w:r w:rsidR="00DE4E75">
        <w:rPr>
          <w:rFonts w:ascii="Calibri" w:hAnsi="Calibri"/>
        </w:rPr>
        <w:t xml:space="preserve"> parties</w:t>
      </w:r>
      <w:r w:rsidR="00A258A6">
        <w:rPr>
          <w:rFonts w:ascii="Calibri" w:hAnsi="Calibri"/>
        </w:rPr>
        <w:t xml:space="preserve"> would have the same </w:t>
      </w:r>
      <w:r w:rsidR="00A258A6">
        <w:rPr>
          <w:rFonts w:ascii="Calibri" w:hAnsi="Calibri"/>
        </w:rPr>
        <w:lastRenderedPageBreak/>
        <w:t>result</w:t>
      </w:r>
      <w:r w:rsidR="00DE4E75">
        <w:rPr>
          <w:rFonts w:ascii="Calibri" w:hAnsi="Calibri"/>
        </w:rPr>
        <w:t xml:space="preserve">!  Whether your state considers a </w:t>
      </w:r>
      <w:r w:rsidR="00303D0A">
        <w:rPr>
          <w:rFonts w:ascii="Calibri" w:hAnsi="Calibri"/>
        </w:rPr>
        <w:t>PEG</w:t>
      </w:r>
      <w:r w:rsidR="00DE4E75">
        <w:rPr>
          <w:rFonts w:ascii="Calibri" w:hAnsi="Calibri"/>
        </w:rPr>
        <w:t xml:space="preserve"> power to appoint only with consent of </w:t>
      </w:r>
      <w:r w:rsidR="00DE4E75" w:rsidRPr="00303D0A">
        <w:rPr>
          <w:rFonts w:ascii="Calibri" w:hAnsi="Calibri"/>
          <w:i/>
        </w:rPr>
        <w:t>adverse</w:t>
      </w:r>
      <w:r w:rsidR="005C1A03">
        <w:rPr>
          <w:rFonts w:ascii="Calibri" w:hAnsi="Calibri"/>
        </w:rPr>
        <w:t xml:space="preserve"> parties to be </w:t>
      </w:r>
      <w:r w:rsidR="00DE4E75" w:rsidRPr="005C1A03">
        <w:rPr>
          <w:rFonts w:ascii="Calibri" w:hAnsi="Calibri"/>
          <w:i/>
        </w:rPr>
        <w:t>general</w:t>
      </w:r>
      <w:r w:rsidR="00DE4E75">
        <w:rPr>
          <w:rFonts w:ascii="Calibri" w:hAnsi="Calibri"/>
        </w:rPr>
        <w:t xml:space="preserve"> is dependent on whether </w:t>
      </w:r>
      <w:r w:rsidR="005C1A03">
        <w:rPr>
          <w:rFonts w:ascii="Calibri" w:hAnsi="Calibri"/>
        </w:rPr>
        <w:t>it</w:t>
      </w:r>
      <w:r w:rsidR="00DE4E75">
        <w:rPr>
          <w:rFonts w:ascii="Calibri" w:hAnsi="Calibri"/>
        </w:rPr>
        <w:t xml:space="preserve"> follows the </w:t>
      </w:r>
      <w:r w:rsidR="00303D0A">
        <w:rPr>
          <w:rFonts w:ascii="Calibri" w:hAnsi="Calibri"/>
        </w:rPr>
        <w:t>2nd</w:t>
      </w:r>
      <w:r w:rsidR="00DE4E75">
        <w:rPr>
          <w:rFonts w:ascii="Calibri" w:hAnsi="Calibri"/>
        </w:rPr>
        <w:t xml:space="preserve"> or </w:t>
      </w:r>
      <w:r w:rsidR="00303D0A">
        <w:rPr>
          <w:rFonts w:ascii="Calibri" w:hAnsi="Calibri"/>
        </w:rPr>
        <w:t>the 3</w:t>
      </w:r>
      <w:r w:rsidR="00DE4E75">
        <w:rPr>
          <w:rFonts w:ascii="Calibri" w:hAnsi="Calibri"/>
        </w:rPr>
        <w:t>d Restatement.</w:t>
      </w:r>
      <w:r w:rsidR="00DE4E75">
        <w:rPr>
          <w:rStyle w:val="FootnoteReference"/>
          <w:rFonts w:ascii="Calibri" w:hAnsi="Calibri"/>
        </w:rPr>
        <w:footnoteReference w:id="134"/>
      </w:r>
      <w:r w:rsidR="00A258A6">
        <w:rPr>
          <w:rFonts w:ascii="Calibri" w:hAnsi="Calibri"/>
        </w:rPr>
        <w:t xml:space="preserve"> </w:t>
      </w:r>
    </w:p>
    <w:p w14:paraId="2B9531FE" w14:textId="77777777" w:rsidR="00352860" w:rsidRDefault="00352860" w:rsidP="00C736C0">
      <w:pPr>
        <w:autoSpaceDE w:val="0"/>
        <w:autoSpaceDN w:val="0"/>
        <w:adjustRightInd w:val="0"/>
        <w:spacing w:line="360" w:lineRule="auto"/>
        <w:ind w:firstLine="720"/>
        <w:rPr>
          <w:rFonts w:ascii="Calibri" w:hAnsi="Calibri"/>
        </w:rPr>
      </w:pPr>
      <w:r>
        <w:rPr>
          <w:rFonts w:ascii="Calibri" w:hAnsi="Calibri"/>
        </w:rPr>
        <w:t xml:space="preserve">Thus, we have a counterintuitive situation where a PEG power that is not a general power of appointment under IRC </w:t>
      </w:r>
      <w:r w:rsidR="00B117B6">
        <w:rPr>
          <w:rFonts w:ascii="Calibri" w:hAnsi="Calibri" w:cs="Calibri"/>
        </w:rPr>
        <w:t>§</w:t>
      </w:r>
      <w:r>
        <w:rPr>
          <w:rFonts w:ascii="Calibri" w:hAnsi="Calibri"/>
        </w:rPr>
        <w:t xml:space="preserve">2514 is still a general power for triggering the DTT.  </w:t>
      </w:r>
      <w:r w:rsidR="00B117B6">
        <w:rPr>
          <w:rFonts w:ascii="Calibri" w:hAnsi="Calibri"/>
        </w:rPr>
        <w:t>It depends on the state, but in most states</w:t>
      </w:r>
      <w:r>
        <w:rPr>
          <w:rFonts w:ascii="Calibri" w:hAnsi="Calibri"/>
        </w:rPr>
        <w:t xml:space="preserve">, such a circumscribed power </w:t>
      </w:r>
      <w:r w:rsidR="00B117B6">
        <w:rPr>
          <w:rFonts w:ascii="Calibri" w:hAnsi="Calibri"/>
        </w:rPr>
        <w:t xml:space="preserve">is </w:t>
      </w:r>
      <w:r w:rsidR="00B117B6" w:rsidRPr="00B117B6">
        <w:rPr>
          <w:rFonts w:ascii="Calibri" w:hAnsi="Calibri"/>
          <w:b/>
          <w:i/>
        </w:rPr>
        <w:t>not</w:t>
      </w:r>
      <w:r w:rsidR="00B117B6">
        <w:rPr>
          <w:rFonts w:ascii="Calibri" w:hAnsi="Calibri"/>
        </w:rPr>
        <w:t xml:space="preserve"> attachable</w:t>
      </w:r>
      <w:r>
        <w:rPr>
          <w:rFonts w:ascii="Calibri" w:hAnsi="Calibri"/>
        </w:rPr>
        <w:t xml:space="preserve"> by creditors as a standard withdrawal power</w:t>
      </w:r>
      <w:r w:rsidR="00B117B6">
        <w:rPr>
          <w:rFonts w:ascii="Calibri" w:hAnsi="Calibri"/>
        </w:rPr>
        <w:t xml:space="preserve"> would be</w:t>
      </w:r>
      <w:r>
        <w:rPr>
          <w:rFonts w:ascii="Calibri" w:hAnsi="Calibri"/>
        </w:rPr>
        <w:t>.</w:t>
      </w:r>
      <w:r w:rsidR="00B117B6">
        <w:rPr>
          <w:rStyle w:val="FootnoteReference"/>
          <w:rFonts w:ascii="Calibri" w:hAnsi="Calibri"/>
        </w:rPr>
        <w:footnoteReference w:id="135"/>
      </w:r>
      <w:r>
        <w:rPr>
          <w:rFonts w:ascii="Calibri" w:hAnsi="Calibri"/>
        </w:rPr>
        <w:t xml:space="preserve">  </w:t>
      </w:r>
    </w:p>
    <w:p w14:paraId="7571DE2A" w14:textId="77777777" w:rsidR="00352860" w:rsidRDefault="000956ED" w:rsidP="00C736C0">
      <w:pPr>
        <w:autoSpaceDE w:val="0"/>
        <w:autoSpaceDN w:val="0"/>
        <w:adjustRightInd w:val="0"/>
        <w:spacing w:line="360" w:lineRule="auto"/>
        <w:ind w:firstLine="720"/>
        <w:rPr>
          <w:rFonts w:ascii="Calibri" w:hAnsi="Calibri"/>
        </w:rPr>
      </w:pPr>
      <w:r>
        <w:rPr>
          <w:rFonts w:ascii="Calibri" w:hAnsi="Calibri"/>
        </w:rPr>
        <w:t>An additional benefit of using a consenting party for the PEG power is that it enables the subsequent trust to avoid grantor trust status as to the PEG power holder under §678(a)(discussed in Part V and</w:t>
      </w:r>
      <w:r w:rsidR="005776B1">
        <w:rPr>
          <w:rFonts w:ascii="Calibri" w:hAnsi="Calibri"/>
        </w:rPr>
        <w:t xml:space="preserve"> Part</w:t>
      </w:r>
      <w:r>
        <w:rPr>
          <w:rFonts w:ascii="Calibri" w:hAnsi="Calibri"/>
        </w:rPr>
        <w:t xml:space="preserve"> VII</w:t>
      </w:r>
      <w:r w:rsidR="005776B1">
        <w:rPr>
          <w:rFonts w:ascii="Calibri" w:hAnsi="Calibri"/>
        </w:rPr>
        <w:t>I</w:t>
      </w:r>
      <w:r>
        <w:rPr>
          <w:rFonts w:ascii="Calibri" w:hAnsi="Calibri"/>
        </w:rPr>
        <w:t xml:space="preserve">), which may enable more tax shifting and avoidance of state income tax (depending on trust residency statutes and source income).  </w:t>
      </w:r>
    </w:p>
    <w:p w14:paraId="2C64E6BF" w14:textId="5B414B21" w:rsidR="002E586E" w:rsidRDefault="000956ED" w:rsidP="00C736C0">
      <w:pPr>
        <w:autoSpaceDE w:val="0"/>
        <w:autoSpaceDN w:val="0"/>
        <w:adjustRightInd w:val="0"/>
        <w:spacing w:line="360" w:lineRule="auto"/>
        <w:ind w:firstLine="720"/>
        <w:rPr>
          <w:rFonts w:ascii="Calibri" w:hAnsi="Calibri"/>
        </w:rPr>
      </w:pPr>
      <w:r>
        <w:rPr>
          <w:rFonts w:ascii="Calibri" w:hAnsi="Calibri"/>
        </w:rPr>
        <w:t>Nonetheless, a</w:t>
      </w:r>
      <w:r w:rsidR="00533882">
        <w:rPr>
          <w:rFonts w:ascii="Calibri" w:hAnsi="Calibri"/>
        </w:rPr>
        <w:t xml:space="preserve"> formula GPOA would </w:t>
      </w:r>
      <w:r>
        <w:rPr>
          <w:rFonts w:ascii="Calibri" w:hAnsi="Calibri"/>
        </w:rPr>
        <w:t xml:space="preserve">still </w:t>
      </w:r>
      <w:r w:rsidR="00533882">
        <w:rPr>
          <w:rFonts w:ascii="Calibri" w:hAnsi="Calibri"/>
        </w:rPr>
        <w:t xml:space="preserve">be more advantageous than using the </w:t>
      </w:r>
      <w:r w:rsidR="00B7514A">
        <w:rPr>
          <w:rFonts w:ascii="Calibri" w:hAnsi="Calibri"/>
        </w:rPr>
        <w:t>PEG/</w:t>
      </w:r>
      <w:r w:rsidR="00533882">
        <w:rPr>
          <w:rFonts w:ascii="Calibri" w:hAnsi="Calibri"/>
        </w:rPr>
        <w:t xml:space="preserve">DTT </w:t>
      </w:r>
      <w:r>
        <w:rPr>
          <w:rFonts w:ascii="Calibri" w:hAnsi="Calibri"/>
        </w:rPr>
        <w:t xml:space="preserve">in the long run, </w:t>
      </w:r>
      <w:r w:rsidR="00533882">
        <w:rPr>
          <w:rFonts w:ascii="Calibri" w:hAnsi="Calibri"/>
        </w:rPr>
        <w:t xml:space="preserve">because of </w:t>
      </w:r>
      <w:r w:rsidR="00B7514A">
        <w:rPr>
          <w:rFonts w:ascii="Calibri" w:hAnsi="Calibri"/>
        </w:rPr>
        <w:t>better estate/gift/</w:t>
      </w:r>
      <w:r w:rsidR="00984D63">
        <w:rPr>
          <w:rFonts w:ascii="Calibri" w:hAnsi="Calibri"/>
        </w:rPr>
        <w:t>GST</w:t>
      </w:r>
      <w:r w:rsidR="00B7514A">
        <w:rPr>
          <w:rFonts w:ascii="Calibri" w:hAnsi="Calibri"/>
        </w:rPr>
        <w:t xml:space="preserve"> sheltering</w:t>
      </w:r>
      <w:r w:rsidR="005D5965">
        <w:rPr>
          <w:rFonts w:ascii="Calibri" w:hAnsi="Calibri"/>
        </w:rPr>
        <w:t xml:space="preserve">, and </w:t>
      </w:r>
      <w:r w:rsidR="00303D0A">
        <w:rPr>
          <w:rFonts w:ascii="Calibri" w:hAnsi="Calibri"/>
        </w:rPr>
        <w:t xml:space="preserve">possibly </w:t>
      </w:r>
      <w:r w:rsidR="00533882">
        <w:rPr>
          <w:rFonts w:ascii="Calibri" w:hAnsi="Calibri"/>
        </w:rPr>
        <w:t>superior</w:t>
      </w:r>
      <w:r w:rsidR="005D5965">
        <w:rPr>
          <w:rFonts w:ascii="Calibri" w:hAnsi="Calibri"/>
        </w:rPr>
        <w:t xml:space="preserve"> third party settled trust</w:t>
      </w:r>
      <w:r w:rsidR="00533882">
        <w:rPr>
          <w:rFonts w:ascii="Calibri" w:hAnsi="Calibri"/>
        </w:rPr>
        <w:t xml:space="preserve"> protection</w:t>
      </w:r>
      <w:r w:rsidR="004D4724">
        <w:rPr>
          <w:rFonts w:ascii="Calibri" w:hAnsi="Calibri"/>
        </w:rPr>
        <w:t>.  However</w:t>
      </w:r>
      <w:r w:rsidR="00533882">
        <w:rPr>
          <w:rFonts w:ascii="Calibri" w:hAnsi="Calibri"/>
        </w:rPr>
        <w:t>,</w:t>
      </w:r>
      <w:r w:rsidR="004D4724">
        <w:rPr>
          <w:rFonts w:ascii="Calibri" w:hAnsi="Calibri"/>
        </w:rPr>
        <w:t xml:space="preserve"> </w:t>
      </w:r>
      <w:r w:rsidR="00533882">
        <w:rPr>
          <w:rFonts w:ascii="Calibri" w:hAnsi="Calibri"/>
        </w:rPr>
        <w:t xml:space="preserve">using the </w:t>
      </w:r>
      <w:r w:rsidR="00B7514A">
        <w:rPr>
          <w:rFonts w:ascii="Calibri" w:hAnsi="Calibri"/>
        </w:rPr>
        <w:t>PEG/</w:t>
      </w:r>
      <w:r w:rsidR="00177EF8">
        <w:rPr>
          <w:rFonts w:ascii="Calibri" w:hAnsi="Calibri"/>
        </w:rPr>
        <w:t>DTT</w:t>
      </w:r>
      <w:r w:rsidR="00533882">
        <w:rPr>
          <w:rFonts w:ascii="Calibri" w:hAnsi="Calibri"/>
        </w:rPr>
        <w:t xml:space="preserve"> </w:t>
      </w:r>
      <w:r w:rsidR="00303D0A">
        <w:rPr>
          <w:rFonts w:ascii="Calibri" w:hAnsi="Calibri"/>
        </w:rPr>
        <w:t xml:space="preserve">mitigation </w:t>
      </w:r>
      <w:r w:rsidR="00533882">
        <w:rPr>
          <w:rFonts w:ascii="Calibri" w:hAnsi="Calibri"/>
        </w:rPr>
        <w:t xml:space="preserve">techniques </w:t>
      </w:r>
      <w:r w:rsidR="004D4724">
        <w:rPr>
          <w:rFonts w:ascii="Calibri" w:hAnsi="Calibri"/>
        </w:rPr>
        <w:t xml:space="preserve">above </w:t>
      </w:r>
      <w:r w:rsidR="00533882">
        <w:rPr>
          <w:rFonts w:ascii="Calibri" w:hAnsi="Calibri"/>
        </w:rPr>
        <w:t>can offer substantial protec</w:t>
      </w:r>
      <w:r>
        <w:rPr>
          <w:rFonts w:ascii="Calibri" w:hAnsi="Calibri"/>
        </w:rPr>
        <w:t>tions and advantages</w:t>
      </w:r>
      <w:r w:rsidR="005D5965">
        <w:rPr>
          <w:rFonts w:ascii="Calibri" w:hAnsi="Calibri"/>
        </w:rPr>
        <w:t>.</w:t>
      </w:r>
      <w:r w:rsidR="00B7514A">
        <w:rPr>
          <w:rFonts w:ascii="Calibri" w:hAnsi="Calibri"/>
        </w:rPr>
        <w:t xml:space="preserve">  Ideally, states will amend their Rule Against </w:t>
      </w:r>
      <w:r w:rsidR="00B7514A">
        <w:rPr>
          <w:rFonts w:ascii="Calibri" w:hAnsi="Calibri"/>
        </w:rPr>
        <w:lastRenderedPageBreak/>
        <w:t xml:space="preserve">Perpetuities statutes to permit </w:t>
      </w:r>
      <w:r w:rsidR="00422683">
        <w:rPr>
          <w:rFonts w:ascii="Calibri" w:hAnsi="Calibri"/>
        </w:rPr>
        <w:t xml:space="preserve">opting </w:t>
      </w:r>
      <w:r w:rsidR="00772C0D">
        <w:rPr>
          <w:rFonts w:ascii="Calibri" w:hAnsi="Calibri"/>
        </w:rPr>
        <w:t>into</w:t>
      </w:r>
      <w:r w:rsidR="00422683">
        <w:rPr>
          <w:rFonts w:ascii="Calibri" w:hAnsi="Calibri"/>
        </w:rPr>
        <w:t xml:space="preserve"> a regime that would allow </w:t>
      </w:r>
      <w:r w:rsidR="00B7514A">
        <w:rPr>
          <w:rFonts w:ascii="Calibri" w:hAnsi="Calibri"/>
        </w:rPr>
        <w:t xml:space="preserve">LPOAs creating </w:t>
      </w:r>
      <w:r w:rsidR="00A73286">
        <w:rPr>
          <w:rFonts w:ascii="Calibri" w:hAnsi="Calibri"/>
        </w:rPr>
        <w:t xml:space="preserve">further </w:t>
      </w:r>
      <w:r w:rsidR="00B7514A">
        <w:rPr>
          <w:rFonts w:ascii="Calibri" w:hAnsi="Calibri"/>
        </w:rPr>
        <w:t>LPOAs to trigger the DTT, obviating the need to use PEG powers</w:t>
      </w:r>
      <w:r w:rsidR="004D4724">
        <w:rPr>
          <w:rFonts w:ascii="Calibri" w:hAnsi="Calibri"/>
        </w:rPr>
        <w:t xml:space="preserve"> in the appointive trust</w:t>
      </w:r>
      <w:r w:rsidR="00B7514A">
        <w:rPr>
          <w:rFonts w:ascii="Calibri" w:hAnsi="Calibri"/>
        </w:rPr>
        <w:t>.</w:t>
      </w:r>
      <w:r w:rsidR="007D13EC">
        <w:rPr>
          <w:rStyle w:val="FootnoteReference"/>
          <w:rFonts w:ascii="Calibri" w:hAnsi="Calibri"/>
        </w:rPr>
        <w:footnoteReference w:id="136"/>
      </w:r>
    </w:p>
    <w:p w14:paraId="130F1A29" w14:textId="77777777" w:rsidR="00697A6B" w:rsidRDefault="00697A6B" w:rsidP="00C736C0">
      <w:pPr>
        <w:autoSpaceDE w:val="0"/>
        <w:autoSpaceDN w:val="0"/>
        <w:adjustRightInd w:val="0"/>
        <w:spacing w:line="360" w:lineRule="auto"/>
        <w:ind w:firstLine="720"/>
        <w:rPr>
          <w:rFonts w:ascii="Calibri" w:hAnsi="Calibri"/>
        </w:rPr>
      </w:pPr>
    </w:p>
    <w:p w14:paraId="456B55E9" w14:textId="77777777" w:rsidR="00F7697E" w:rsidRPr="00697A6B" w:rsidRDefault="00F7697E" w:rsidP="00697A6B">
      <w:pPr>
        <w:pStyle w:val="ListParagraph"/>
        <w:numPr>
          <w:ilvl w:val="0"/>
          <w:numId w:val="19"/>
        </w:numPr>
        <w:spacing w:line="360" w:lineRule="auto"/>
        <w:ind w:left="720" w:hanging="720"/>
        <w:rPr>
          <w:rFonts w:ascii="Calibri" w:hAnsi="Calibri"/>
          <w:b/>
          <w:color w:val="000000"/>
        </w:rPr>
      </w:pPr>
      <w:r w:rsidRPr="00697A6B">
        <w:rPr>
          <w:rFonts w:ascii="Calibri" w:hAnsi="Calibri"/>
          <w:b/>
          <w:color w:val="000000"/>
        </w:rPr>
        <w:t>Amending or Crafting Delaware Tax Trap Savings Clauses</w:t>
      </w:r>
    </w:p>
    <w:p w14:paraId="41CB9C45" w14:textId="77777777" w:rsidR="00F7697E" w:rsidRPr="00F20870" w:rsidRDefault="00F7697E" w:rsidP="00F7697E">
      <w:pPr>
        <w:pStyle w:val="ListParagraph"/>
        <w:spacing w:line="360" w:lineRule="auto"/>
        <w:ind w:left="0" w:firstLine="720"/>
        <w:rPr>
          <w:rFonts w:ascii="Calibri" w:hAnsi="Calibri"/>
          <w:color w:val="000000"/>
        </w:rPr>
      </w:pPr>
      <w:r w:rsidRPr="00F20870">
        <w:rPr>
          <w:rFonts w:ascii="Calibri" w:hAnsi="Calibri"/>
          <w:color w:val="000000"/>
        </w:rPr>
        <w:t xml:space="preserve">Practitioners may legitimately fear that the Delaware tax trap might be triggered accidentally, over assets that would get a step down in basis, or worse, over so many assets that additional estate tax is caused.  The latter, of course, has been the </w:t>
      </w:r>
      <w:r w:rsidR="004D4724">
        <w:rPr>
          <w:rFonts w:ascii="Calibri" w:hAnsi="Calibri"/>
          <w:color w:val="000000"/>
        </w:rPr>
        <w:t xml:space="preserve">main </w:t>
      </w:r>
      <w:r w:rsidRPr="00F20870">
        <w:rPr>
          <w:rFonts w:ascii="Calibri" w:hAnsi="Calibri"/>
          <w:color w:val="000000"/>
        </w:rPr>
        <w:t xml:space="preserve">concern historically.  This is why most states have closed the loophole </w:t>
      </w:r>
      <w:r w:rsidR="004D4724">
        <w:rPr>
          <w:rFonts w:ascii="Calibri" w:hAnsi="Calibri"/>
          <w:color w:val="000000"/>
        </w:rPr>
        <w:t xml:space="preserve">and foreclosed the possibility of the DTT applying, </w:t>
      </w:r>
      <w:r w:rsidRPr="00F20870">
        <w:rPr>
          <w:rFonts w:ascii="Calibri" w:hAnsi="Calibri"/>
          <w:color w:val="000000"/>
        </w:rPr>
        <w:t xml:space="preserve">except in the case of </w:t>
      </w:r>
      <w:r w:rsidR="004D4724">
        <w:rPr>
          <w:rFonts w:ascii="Calibri" w:hAnsi="Calibri"/>
          <w:color w:val="000000"/>
        </w:rPr>
        <w:t xml:space="preserve">appointing to a trust with </w:t>
      </w:r>
      <w:r w:rsidRPr="00F20870">
        <w:rPr>
          <w:rFonts w:ascii="Calibri" w:hAnsi="Calibri"/>
          <w:color w:val="000000"/>
        </w:rPr>
        <w:t>a PEG power.  Some trust documents attempt to close the DTT altogether</w:t>
      </w:r>
      <w:r w:rsidR="00F20870">
        <w:rPr>
          <w:rFonts w:ascii="Calibri" w:hAnsi="Calibri"/>
          <w:color w:val="000000"/>
        </w:rPr>
        <w:t>, including what the states would otherwise allow</w:t>
      </w:r>
      <w:r w:rsidRPr="00F20870">
        <w:rPr>
          <w:rFonts w:ascii="Calibri" w:hAnsi="Calibri"/>
          <w:color w:val="000000"/>
        </w:rPr>
        <w:t xml:space="preserve">, </w:t>
      </w:r>
      <w:r w:rsidR="00C53A13">
        <w:rPr>
          <w:rFonts w:ascii="Calibri" w:hAnsi="Calibri"/>
          <w:color w:val="000000"/>
        </w:rPr>
        <w:t>so</w:t>
      </w:r>
      <w:r w:rsidRPr="00F20870">
        <w:rPr>
          <w:rFonts w:ascii="Calibri" w:hAnsi="Calibri"/>
          <w:color w:val="000000"/>
        </w:rPr>
        <w:t xml:space="preserve"> that any attempted appointment </w:t>
      </w:r>
      <w:r w:rsidR="00F20870">
        <w:rPr>
          <w:rFonts w:ascii="Calibri" w:hAnsi="Calibri"/>
          <w:color w:val="000000"/>
        </w:rPr>
        <w:t xml:space="preserve">triggering the DTT </w:t>
      </w:r>
      <w:r w:rsidRPr="00F20870">
        <w:rPr>
          <w:rFonts w:ascii="Calibri" w:hAnsi="Calibri"/>
          <w:color w:val="000000"/>
        </w:rPr>
        <w:t>would be null and void (a</w:t>
      </w:r>
      <w:r w:rsidR="00B117B6">
        <w:rPr>
          <w:rFonts w:ascii="Calibri" w:hAnsi="Calibri"/>
          <w:color w:val="000000"/>
        </w:rPr>
        <w:t>.</w:t>
      </w:r>
      <w:r w:rsidRPr="00F20870">
        <w:rPr>
          <w:rFonts w:ascii="Calibri" w:hAnsi="Calibri"/>
          <w:color w:val="000000"/>
        </w:rPr>
        <w:t>k</w:t>
      </w:r>
      <w:r w:rsidR="00B117B6">
        <w:rPr>
          <w:rFonts w:ascii="Calibri" w:hAnsi="Calibri"/>
          <w:color w:val="000000"/>
        </w:rPr>
        <w:t>.</w:t>
      </w:r>
      <w:r w:rsidRPr="00F20870">
        <w:rPr>
          <w:rFonts w:ascii="Calibri" w:hAnsi="Calibri"/>
          <w:color w:val="000000"/>
        </w:rPr>
        <w:t>a</w:t>
      </w:r>
      <w:r w:rsidR="00B117B6">
        <w:rPr>
          <w:rFonts w:ascii="Calibri" w:hAnsi="Calibri"/>
          <w:color w:val="000000"/>
        </w:rPr>
        <w:t>.</w:t>
      </w:r>
      <w:r w:rsidRPr="00F20870">
        <w:rPr>
          <w:rFonts w:ascii="Calibri" w:hAnsi="Calibri"/>
          <w:color w:val="000000"/>
        </w:rPr>
        <w:t xml:space="preserve"> “a fraud upon the power</w:t>
      </w:r>
      <w:r w:rsidR="00F20870">
        <w:rPr>
          <w:rFonts w:ascii="Calibri" w:hAnsi="Calibri"/>
          <w:color w:val="000000"/>
        </w:rPr>
        <w:t>”</w:t>
      </w:r>
      <w:r w:rsidRPr="00F20870">
        <w:rPr>
          <w:rFonts w:ascii="Calibri" w:hAnsi="Calibri"/>
          <w:color w:val="000000"/>
        </w:rPr>
        <w:t xml:space="preserve">).  </w:t>
      </w:r>
      <w:r w:rsidR="006663EF">
        <w:rPr>
          <w:rFonts w:ascii="Calibri" w:hAnsi="Calibri"/>
          <w:color w:val="000000"/>
        </w:rPr>
        <w:t>Here is one</w:t>
      </w:r>
      <w:r w:rsidRPr="00F20870">
        <w:rPr>
          <w:rFonts w:ascii="Calibri" w:hAnsi="Calibri"/>
          <w:color w:val="000000"/>
        </w:rPr>
        <w:t xml:space="preserve"> example:</w:t>
      </w:r>
    </w:p>
    <w:p w14:paraId="3B36C7A0" w14:textId="77777777" w:rsidR="00F7697E" w:rsidRPr="00F20870" w:rsidRDefault="00F7697E" w:rsidP="00F7697E">
      <w:pPr>
        <w:pStyle w:val="ListParagraph"/>
        <w:rPr>
          <w:rFonts w:ascii="Calibri" w:hAnsi="Calibri"/>
          <w:color w:val="000000"/>
        </w:rPr>
      </w:pPr>
      <w:r w:rsidRPr="00F20870">
        <w:rPr>
          <w:rFonts w:ascii="Calibri" w:hAnsi="Calibri"/>
          <w:color w:val="000000"/>
        </w:rPr>
        <w:t>"My beneficiary may not exercise this testamentary limited power of appointment to create another power of appointment that, under the applicable local law, can be validly exercised in order to postpone the vesting of any estate or interest in this property for a period ascertainable without regard to the date of th</w:t>
      </w:r>
      <w:r w:rsidR="00C53A13">
        <w:rPr>
          <w:rFonts w:ascii="Calibri" w:hAnsi="Calibri"/>
          <w:color w:val="000000"/>
        </w:rPr>
        <w:t>e creation of the first power.</w:t>
      </w:r>
      <w:r w:rsidRPr="00F20870">
        <w:rPr>
          <w:rFonts w:ascii="Calibri" w:hAnsi="Calibri"/>
          <w:color w:val="000000"/>
        </w:rPr>
        <w:t>”</w:t>
      </w:r>
    </w:p>
    <w:p w14:paraId="3F9526AF" w14:textId="77777777" w:rsidR="00F7697E" w:rsidRPr="00F20870" w:rsidRDefault="00F7697E" w:rsidP="00F7697E">
      <w:pPr>
        <w:pStyle w:val="ListParagraph"/>
        <w:rPr>
          <w:rFonts w:ascii="Calibri" w:hAnsi="Calibri"/>
          <w:color w:val="000000"/>
        </w:rPr>
      </w:pPr>
    </w:p>
    <w:p w14:paraId="57F9CE15" w14:textId="77777777" w:rsidR="00BF407B" w:rsidRDefault="00F20870" w:rsidP="003C56CE">
      <w:pPr>
        <w:pStyle w:val="ListParagraph"/>
        <w:spacing w:line="360" w:lineRule="auto"/>
        <w:ind w:left="0" w:firstLine="720"/>
        <w:rPr>
          <w:rFonts w:ascii="Calibri" w:hAnsi="Calibri"/>
          <w:color w:val="000000"/>
        </w:rPr>
      </w:pPr>
      <w:r>
        <w:rPr>
          <w:rFonts w:ascii="Calibri" w:hAnsi="Calibri"/>
          <w:color w:val="000000"/>
        </w:rPr>
        <w:t>This prevents using an LPOA to appoint to a trust with a PEG power</w:t>
      </w:r>
      <w:r w:rsidR="00C53A13">
        <w:rPr>
          <w:rFonts w:ascii="Calibri" w:hAnsi="Calibri"/>
          <w:color w:val="000000"/>
        </w:rPr>
        <w:t xml:space="preserve">.  </w:t>
      </w:r>
      <w:r w:rsidR="00F7697E" w:rsidRPr="00F20870">
        <w:rPr>
          <w:rFonts w:ascii="Calibri" w:hAnsi="Calibri"/>
          <w:color w:val="000000"/>
        </w:rPr>
        <w:t xml:space="preserve">However, </w:t>
      </w:r>
      <w:r w:rsidR="006663EF">
        <w:rPr>
          <w:rFonts w:ascii="Calibri" w:hAnsi="Calibri"/>
          <w:color w:val="000000"/>
        </w:rPr>
        <w:t>we should not completely</w:t>
      </w:r>
      <w:r w:rsidR="003C56CE" w:rsidRPr="00F20870">
        <w:rPr>
          <w:rFonts w:ascii="Calibri" w:hAnsi="Calibri"/>
          <w:color w:val="000000"/>
        </w:rPr>
        <w:t xml:space="preserve"> foreclose the use of the DTT in our trusts.  It’s like using a sledgehammer to swat a fly.  We should merely prevent the </w:t>
      </w:r>
      <w:r w:rsidR="003C56CE" w:rsidRPr="00BF407B">
        <w:rPr>
          <w:rFonts w:ascii="Calibri" w:hAnsi="Calibri"/>
          <w:i/>
          <w:color w:val="000000"/>
        </w:rPr>
        <w:t>inadvertent exercise</w:t>
      </w:r>
      <w:r w:rsidR="003C56CE" w:rsidRPr="00F20870">
        <w:rPr>
          <w:rFonts w:ascii="Calibri" w:hAnsi="Calibri"/>
          <w:color w:val="000000"/>
        </w:rPr>
        <w:t xml:space="preserve"> that triggers </w:t>
      </w:r>
      <w:r w:rsidR="00BF407B">
        <w:rPr>
          <w:rFonts w:ascii="Calibri" w:hAnsi="Calibri"/>
          <w:color w:val="000000"/>
        </w:rPr>
        <w:t xml:space="preserve">estate tax (or </w:t>
      </w:r>
      <w:r w:rsidR="003C56CE" w:rsidRPr="00F20870">
        <w:rPr>
          <w:rFonts w:ascii="Calibri" w:hAnsi="Calibri"/>
          <w:color w:val="000000"/>
        </w:rPr>
        <w:t>more estate tax than is saved in income tax</w:t>
      </w:r>
      <w:r w:rsidR="00BF407B">
        <w:rPr>
          <w:rFonts w:ascii="Calibri" w:hAnsi="Calibri"/>
          <w:color w:val="000000"/>
        </w:rPr>
        <w:t>)</w:t>
      </w:r>
      <w:r w:rsidR="003C56CE" w:rsidRPr="00F20870">
        <w:rPr>
          <w:rFonts w:ascii="Calibri" w:hAnsi="Calibri"/>
          <w:color w:val="000000"/>
        </w:rPr>
        <w:t xml:space="preserve">.  Therefore, we could modify the above </w:t>
      </w:r>
      <w:r w:rsidR="00303D0A">
        <w:rPr>
          <w:rFonts w:ascii="Calibri" w:hAnsi="Calibri"/>
          <w:color w:val="000000"/>
        </w:rPr>
        <w:t xml:space="preserve">savings clause </w:t>
      </w:r>
      <w:r w:rsidR="003C56CE" w:rsidRPr="00F20870">
        <w:rPr>
          <w:rFonts w:ascii="Calibri" w:hAnsi="Calibri"/>
          <w:color w:val="000000"/>
        </w:rPr>
        <w:t>with</w:t>
      </w:r>
      <w:r w:rsidR="00BF407B">
        <w:rPr>
          <w:rFonts w:ascii="Calibri" w:hAnsi="Calibri"/>
          <w:color w:val="000000"/>
        </w:rPr>
        <w:t xml:space="preserve"> something like:</w:t>
      </w:r>
    </w:p>
    <w:p w14:paraId="2563D28C" w14:textId="77777777" w:rsidR="00BF407B" w:rsidRDefault="003C56CE" w:rsidP="009B217A">
      <w:pPr>
        <w:pStyle w:val="ListParagraph"/>
        <w:rPr>
          <w:rFonts w:ascii="Calibri" w:hAnsi="Calibri"/>
          <w:color w:val="000000"/>
        </w:rPr>
      </w:pPr>
      <w:r w:rsidRPr="00F20870">
        <w:rPr>
          <w:rFonts w:ascii="Calibri" w:hAnsi="Calibri"/>
          <w:color w:val="000000"/>
        </w:rPr>
        <w:t>“</w:t>
      </w:r>
      <w:r w:rsidRPr="00297CA5">
        <w:rPr>
          <w:rFonts w:ascii="Calibri" w:hAnsi="Calibri"/>
          <w:i/>
          <w:color w:val="000000"/>
        </w:rPr>
        <w:t>Unless my beneficiary specifically indicates an intention to override this paragraph</w:t>
      </w:r>
      <w:r w:rsidRPr="00F20870">
        <w:rPr>
          <w:rFonts w:ascii="Calibri" w:hAnsi="Calibri"/>
          <w:color w:val="000000"/>
        </w:rPr>
        <w:t xml:space="preserve"> or for </w:t>
      </w:r>
      <w:r w:rsidR="007B0C66">
        <w:rPr>
          <w:rFonts w:ascii="Calibri" w:hAnsi="Calibri"/>
          <w:color w:val="000000"/>
        </w:rPr>
        <w:t>IRC §</w:t>
      </w:r>
      <w:r w:rsidRPr="00F20870">
        <w:rPr>
          <w:rFonts w:ascii="Calibri" w:hAnsi="Calibri"/>
          <w:color w:val="000000"/>
        </w:rPr>
        <w:t>2041(a)(3) to apply to his or her exercise of the testamentary power of a</w:t>
      </w:r>
      <w:r w:rsidR="00BF407B">
        <w:rPr>
          <w:rFonts w:ascii="Calibri" w:hAnsi="Calibri"/>
          <w:color w:val="000000"/>
        </w:rPr>
        <w:t>ppointment granted herein, ….”</w:t>
      </w:r>
      <w:r w:rsidRPr="00F20870">
        <w:rPr>
          <w:rFonts w:ascii="Calibri" w:hAnsi="Calibri"/>
          <w:color w:val="000000"/>
        </w:rPr>
        <w:t xml:space="preserve"> </w:t>
      </w:r>
    </w:p>
    <w:p w14:paraId="01911350" w14:textId="77777777" w:rsidR="007B0C66" w:rsidRDefault="007B0C66" w:rsidP="009B217A">
      <w:pPr>
        <w:pStyle w:val="ListParagraph"/>
        <w:rPr>
          <w:rFonts w:ascii="Calibri" w:hAnsi="Calibri"/>
          <w:color w:val="000000"/>
        </w:rPr>
      </w:pPr>
    </w:p>
    <w:p w14:paraId="359E9E5C" w14:textId="77777777" w:rsidR="003C56CE" w:rsidRPr="00F20870" w:rsidRDefault="003C56CE" w:rsidP="003C56CE">
      <w:pPr>
        <w:pStyle w:val="ListParagraph"/>
        <w:spacing w:line="360" w:lineRule="auto"/>
        <w:ind w:left="0" w:firstLine="720"/>
        <w:rPr>
          <w:rFonts w:ascii="Calibri" w:hAnsi="Calibri"/>
          <w:color w:val="000000"/>
        </w:rPr>
      </w:pPr>
      <w:r w:rsidRPr="00F20870">
        <w:rPr>
          <w:rFonts w:ascii="Calibri" w:hAnsi="Calibri"/>
          <w:color w:val="000000"/>
        </w:rPr>
        <w:lastRenderedPageBreak/>
        <w:t>This requires an affirmative opting in by the power holder.</w:t>
      </w:r>
      <w:r w:rsidR="00F20870" w:rsidRPr="00F20870">
        <w:rPr>
          <w:rFonts w:ascii="Calibri" w:hAnsi="Calibri"/>
          <w:color w:val="000000"/>
        </w:rPr>
        <w:t xml:space="preserve">  Of course, you could also add a cap to this power, and a limitation on appoin</w:t>
      </w:r>
      <w:r w:rsidR="001251E3">
        <w:rPr>
          <w:rFonts w:ascii="Calibri" w:hAnsi="Calibri"/>
          <w:color w:val="000000"/>
        </w:rPr>
        <w:t>tive assets subject to it</w:t>
      </w:r>
      <w:r w:rsidR="00F20870" w:rsidRPr="00F20870">
        <w:rPr>
          <w:rFonts w:ascii="Calibri" w:hAnsi="Calibri"/>
          <w:color w:val="000000"/>
        </w:rPr>
        <w:t xml:space="preserve">, but </w:t>
      </w:r>
      <w:r w:rsidR="00C53A13">
        <w:rPr>
          <w:rFonts w:ascii="Calibri" w:hAnsi="Calibri"/>
          <w:color w:val="000000"/>
        </w:rPr>
        <w:t>a basic</w:t>
      </w:r>
      <w:r w:rsidR="00F20870" w:rsidRPr="00F20870">
        <w:rPr>
          <w:rFonts w:ascii="Calibri" w:hAnsi="Calibri"/>
          <w:color w:val="000000"/>
        </w:rPr>
        <w:t xml:space="preserve"> </w:t>
      </w:r>
      <w:r w:rsidR="00C53A13">
        <w:rPr>
          <w:rFonts w:ascii="Calibri" w:hAnsi="Calibri"/>
          <w:color w:val="000000"/>
        </w:rPr>
        <w:t xml:space="preserve">specific </w:t>
      </w:r>
      <w:r w:rsidR="00F20870" w:rsidRPr="00F20870">
        <w:rPr>
          <w:rFonts w:ascii="Calibri" w:hAnsi="Calibri"/>
          <w:color w:val="000000"/>
        </w:rPr>
        <w:t>opt-in should be adequate protection</w:t>
      </w:r>
      <w:r w:rsidR="00C53A13">
        <w:rPr>
          <w:rFonts w:ascii="Calibri" w:hAnsi="Calibri"/>
          <w:color w:val="000000"/>
        </w:rPr>
        <w:t>.  Limitations</w:t>
      </w:r>
      <w:r w:rsidR="00F20870" w:rsidRPr="00F20870">
        <w:rPr>
          <w:rFonts w:ascii="Calibri" w:hAnsi="Calibri"/>
          <w:color w:val="000000"/>
        </w:rPr>
        <w:t xml:space="preserve"> </w:t>
      </w:r>
      <w:r w:rsidR="00C53A13">
        <w:rPr>
          <w:rFonts w:ascii="Calibri" w:hAnsi="Calibri"/>
          <w:color w:val="000000"/>
        </w:rPr>
        <w:t xml:space="preserve">beyond this </w:t>
      </w:r>
      <w:r w:rsidR="00F20870" w:rsidRPr="00F20870">
        <w:rPr>
          <w:rFonts w:ascii="Calibri" w:hAnsi="Calibri"/>
          <w:color w:val="000000"/>
        </w:rPr>
        <w:t xml:space="preserve">may be detrimental – as discussed above, there may be cases where triggering a small state estate tax is worth it to get a larger </w:t>
      </w:r>
      <w:r w:rsidR="00BF407B">
        <w:rPr>
          <w:rFonts w:ascii="Calibri" w:hAnsi="Calibri"/>
          <w:color w:val="000000"/>
        </w:rPr>
        <w:t xml:space="preserve">overall </w:t>
      </w:r>
      <w:r w:rsidR="00F20870" w:rsidRPr="00F20870">
        <w:rPr>
          <w:rFonts w:ascii="Calibri" w:hAnsi="Calibri"/>
          <w:color w:val="000000"/>
        </w:rPr>
        <w:t>income tax benefit, or, Congress may one day lower the estate tax rate</w:t>
      </w:r>
      <w:r w:rsidR="001251E3">
        <w:rPr>
          <w:rFonts w:ascii="Calibri" w:hAnsi="Calibri"/>
          <w:color w:val="000000"/>
        </w:rPr>
        <w:t xml:space="preserve"> or even </w:t>
      </w:r>
      <w:r w:rsidR="00297CA5">
        <w:rPr>
          <w:rFonts w:ascii="Calibri" w:hAnsi="Calibri"/>
          <w:color w:val="000000"/>
        </w:rPr>
        <w:t>repeal the estate tax</w:t>
      </w:r>
      <w:r w:rsidR="00F20870" w:rsidRPr="00F20870">
        <w:rPr>
          <w:rFonts w:ascii="Calibri" w:hAnsi="Calibri"/>
          <w:color w:val="000000"/>
        </w:rPr>
        <w:t>.</w:t>
      </w:r>
    </w:p>
    <w:p w14:paraId="212DEF0A" w14:textId="77777777" w:rsidR="00697A6B" w:rsidRPr="00697A6B" w:rsidRDefault="003C56CE" w:rsidP="00697A6B">
      <w:pPr>
        <w:pStyle w:val="ListParagraph"/>
        <w:rPr>
          <w:rFonts w:ascii="Calibri" w:hAnsi="Calibri"/>
          <w:color w:val="000000"/>
          <w:sz w:val="22"/>
          <w:szCs w:val="22"/>
        </w:rPr>
      </w:pPr>
      <w:r>
        <w:rPr>
          <w:rFonts w:ascii="Calibri" w:hAnsi="Calibri"/>
          <w:color w:val="000000"/>
          <w:sz w:val="22"/>
          <w:szCs w:val="22"/>
        </w:rPr>
        <w:t xml:space="preserve"> </w:t>
      </w:r>
    </w:p>
    <w:p w14:paraId="7A3819BD" w14:textId="77777777" w:rsidR="00A625AB" w:rsidRPr="00523798" w:rsidRDefault="000C2E84" w:rsidP="00180FD1">
      <w:pPr>
        <w:pStyle w:val="ListParagraph"/>
        <w:numPr>
          <w:ilvl w:val="0"/>
          <w:numId w:val="19"/>
        </w:numPr>
        <w:spacing w:line="360" w:lineRule="auto"/>
        <w:ind w:left="720" w:hanging="720"/>
        <w:rPr>
          <w:rFonts w:ascii="Calibri" w:hAnsi="Calibri"/>
          <w:b/>
          <w:color w:val="000000"/>
        </w:rPr>
      </w:pPr>
      <w:r w:rsidRPr="00523798">
        <w:rPr>
          <w:rFonts w:ascii="Calibri" w:hAnsi="Calibri"/>
          <w:b/>
          <w:color w:val="000000"/>
        </w:rPr>
        <w:t xml:space="preserve">Addressing the </w:t>
      </w:r>
      <w:r w:rsidRPr="00523798">
        <w:rPr>
          <w:rFonts w:ascii="Calibri" w:hAnsi="Calibri"/>
          <w:b/>
          <w:i/>
          <w:color w:val="000000"/>
        </w:rPr>
        <w:t>Kurz</w:t>
      </w:r>
      <w:r w:rsidRPr="00523798">
        <w:rPr>
          <w:rFonts w:ascii="Calibri" w:hAnsi="Calibri"/>
          <w:b/>
          <w:color w:val="000000"/>
        </w:rPr>
        <w:t xml:space="preserve"> case</w:t>
      </w:r>
      <w:r w:rsidR="00523798" w:rsidRPr="00523798">
        <w:rPr>
          <w:rFonts w:ascii="Calibri" w:hAnsi="Calibri"/>
          <w:b/>
          <w:color w:val="000000"/>
        </w:rPr>
        <w:t xml:space="preserve"> and other P</w:t>
      </w:r>
      <w:r w:rsidR="00A6430A" w:rsidRPr="00523798">
        <w:rPr>
          <w:rFonts w:ascii="Calibri" w:hAnsi="Calibri"/>
          <w:b/>
          <w:color w:val="000000"/>
        </w:rPr>
        <w:t xml:space="preserve">otential </w:t>
      </w:r>
      <w:r w:rsidR="00523798" w:rsidRPr="00523798">
        <w:rPr>
          <w:rFonts w:ascii="Calibri" w:hAnsi="Calibri"/>
          <w:b/>
          <w:color w:val="000000"/>
        </w:rPr>
        <w:t>A</w:t>
      </w:r>
      <w:r w:rsidR="00A6430A" w:rsidRPr="00523798">
        <w:rPr>
          <w:rFonts w:ascii="Calibri" w:hAnsi="Calibri"/>
          <w:b/>
          <w:color w:val="000000"/>
        </w:rPr>
        <w:t>ttack</w:t>
      </w:r>
      <w:r w:rsidR="00422683" w:rsidRPr="00523798">
        <w:rPr>
          <w:rFonts w:ascii="Calibri" w:hAnsi="Calibri"/>
          <w:b/>
          <w:color w:val="000000"/>
        </w:rPr>
        <w:t>s</w:t>
      </w:r>
      <w:r w:rsidR="00523798" w:rsidRPr="00523798">
        <w:rPr>
          <w:rFonts w:ascii="Calibri" w:hAnsi="Calibri"/>
          <w:b/>
          <w:color w:val="000000"/>
        </w:rPr>
        <w:t xml:space="preserve"> on F</w:t>
      </w:r>
      <w:r w:rsidR="00A6430A" w:rsidRPr="00523798">
        <w:rPr>
          <w:rFonts w:ascii="Calibri" w:hAnsi="Calibri"/>
          <w:b/>
          <w:color w:val="000000"/>
        </w:rPr>
        <w:t>ormula GPOAs</w:t>
      </w:r>
    </w:p>
    <w:p w14:paraId="55404FF6" w14:textId="77777777" w:rsidR="003B7A2A" w:rsidRDefault="00312BFA" w:rsidP="00312BFA">
      <w:pPr>
        <w:spacing w:line="360" w:lineRule="auto"/>
        <w:ind w:firstLine="720"/>
        <w:rPr>
          <w:rFonts w:ascii="Calibri" w:hAnsi="Calibri"/>
          <w:color w:val="000000"/>
        </w:rPr>
      </w:pPr>
      <w:r>
        <w:rPr>
          <w:rFonts w:ascii="Calibri" w:hAnsi="Calibri"/>
          <w:color w:val="000000"/>
        </w:rPr>
        <w:t xml:space="preserve">Some practitioners may prefer using the Delaware Tax Trap for another reason altogether.  They may fear that the surviving spouse’s control of his/her net estate value (either through spending, or by leaving assets to charity/spouse), </w:t>
      </w:r>
      <w:r w:rsidR="00A625AB">
        <w:rPr>
          <w:rFonts w:ascii="Calibri" w:hAnsi="Calibri"/>
          <w:color w:val="000000"/>
        </w:rPr>
        <w:t>m</w:t>
      </w:r>
      <w:r w:rsidR="005E4496">
        <w:rPr>
          <w:rFonts w:ascii="Calibri" w:hAnsi="Calibri"/>
          <w:color w:val="000000"/>
        </w:rPr>
        <w:t>ay permit indirect</w:t>
      </w:r>
      <w:r w:rsidR="00A625AB">
        <w:rPr>
          <w:rFonts w:ascii="Calibri" w:hAnsi="Calibri"/>
          <w:color w:val="000000"/>
        </w:rPr>
        <w:t xml:space="preserve"> </w:t>
      </w:r>
      <w:r>
        <w:rPr>
          <w:rFonts w:ascii="Calibri" w:hAnsi="Calibri"/>
          <w:color w:val="000000"/>
        </w:rPr>
        <w:t>control of the value</w:t>
      </w:r>
      <w:r w:rsidR="005E4496">
        <w:rPr>
          <w:rFonts w:ascii="Calibri" w:hAnsi="Calibri"/>
          <w:color w:val="000000"/>
        </w:rPr>
        <w:t xml:space="preserve"> of the appointive assets</w:t>
      </w:r>
      <w:r>
        <w:rPr>
          <w:rFonts w:ascii="Calibri" w:hAnsi="Calibri"/>
          <w:color w:val="000000"/>
        </w:rPr>
        <w:t xml:space="preserve"> in the bypass trust </w:t>
      </w:r>
      <w:r w:rsidR="005E4496">
        <w:rPr>
          <w:rFonts w:ascii="Calibri" w:hAnsi="Calibri"/>
          <w:color w:val="000000"/>
        </w:rPr>
        <w:t>subject to the</w:t>
      </w:r>
      <w:r w:rsidR="00F33CED">
        <w:rPr>
          <w:rFonts w:ascii="Calibri" w:hAnsi="Calibri"/>
          <w:color w:val="000000"/>
        </w:rPr>
        <w:t xml:space="preserve"> formula GPOA provision </w:t>
      </w:r>
      <w:r>
        <w:rPr>
          <w:rFonts w:ascii="Calibri" w:hAnsi="Calibri"/>
          <w:color w:val="000000"/>
        </w:rPr>
        <w:t>and hence</w:t>
      </w:r>
      <w:r w:rsidR="00F33CED">
        <w:rPr>
          <w:rFonts w:ascii="Calibri" w:hAnsi="Calibri"/>
          <w:color w:val="000000"/>
        </w:rPr>
        <w:t xml:space="preserve"> could trigger over-inclusion.  </w:t>
      </w:r>
    </w:p>
    <w:p w14:paraId="1F486437" w14:textId="77777777" w:rsidR="003B7A2A" w:rsidRDefault="000C2E84" w:rsidP="00312BFA">
      <w:pPr>
        <w:spacing w:line="360" w:lineRule="auto"/>
        <w:ind w:firstLine="720"/>
        <w:rPr>
          <w:rFonts w:ascii="Calibri" w:hAnsi="Calibri"/>
          <w:color w:val="000000"/>
        </w:rPr>
      </w:pPr>
      <w:r>
        <w:rPr>
          <w:rFonts w:ascii="Calibri" w:hAnsi="Calibri"/>
          <w:color w:val="000000"/>
        </w:rPr>
        <w:t>Here</w:t>
      </w:r>
      <w:r w:rsidR="00F33CED">
        <w:rPr>
          <w:rFonts w:ascii="Calibri" w:hAnsi="Calibri"/>
          <w:color w:val="000000"/>
        </w:rPr>
        <w:t xml:space="preserve"> is </w:t>
      </w:r>
      <w:r w:rsidR="002C10A9">
        <w:rPr>
          <w:rFonts w:ascii="Calibri" w:hAnsi="Calibri"/>
          <w:color w:val="000000"/>
        </w:rPr>
        <w:t>an</w:t>
      </w:r>
      <w:r w:rsidR="00A625AB">
        <w:rPr>
          <w:rFonts w:ascii="Calibri" w:hAnsi="Calibri"/>
          <w:color w:val="000000"/>
        </w:rPr>
        <w:t xml:space="preserve"> example</w:t>
      </w:r>
      <w:r w:rsidR="002C10A9">
        <w:rPr>
          <w:rFonts w:ascii="Calibri" w:hAnsi="Calibri"/>
          <w:color w:val="000000"/>
        </w:rPr>
        <w:t xml:space="preserve"> of the theoretical argument</w:t>
      </w:r>
      <w:r w:rsidR="00F33CED">
        <w:rPr>
          <w:rFonts w:ascii="Calibri" w:hAnsi="Calibri"/>
          <w:color w:val="000000"/>
        </w:rPr>
        <w:t xml:space="preserve">: John leaves Jane $4 million in a trust </w:t>
      </w:r>
      <w:r w:rsidR="005C1A03">
        <w:rPr>
          <w:rFonts w:ascii="Calibri" w:hAnsi="Calibri"/>
          <w:color w:val="000000"/>
        </w:rPr>
        <w:t>granting her</w:t>
      </w:r>
      <w:r w:rsidR="00F33CED">
        <w:rPr>
          <w:rFonts w:ascii="Calibri" w:hAnsi="Calibri"/>
          <w:color w:val="000000"/>
        </w:rPr>
        <w:t xml:space="preserve"> a formula GPOA (optimal basis increase provision</w:t>
      </w:r>
      <w:r w:rsidR="005C1A03">
        <w:rPr>
          <w:rFonts w:ascii="Calibri" w:hAnsi="Calibri"/>
          <w:color w:val="000000"/>
        </w:rPr>
        <w:t>,</w:t>
      </w:r>
      <w:r w:rsidR="00F33CED">
        <w:rPr>
          <w:rFonts w:ascii="Calibri" w:hAnsi="Calibri"/>
          <w:color w:val="000000"/>
        </w:rPr>
        <w:t xml:space="preserve"> as discussed).  She has $4 million of her own assets and $6.5</w:t>
      </w:r>
      <w:r w:rsidR="000772E3">
        <w:rPr>
          <w:rFonts w:ascii="Calibri" w:hAnsi="Calibri"/>
          <w:color w:val="000000"/>
        </w:rPr>
        <w:t xml:space="preserve"> million</w:t>
      </w:r>
      <w:r w:rsidR="00F33CED">
        <w:rPr>
          <w:rFonts w:ascii="Calibri" w:hAnsi="Calibri"/>
          <w:color w:val="000000"/>
        </w:rPr>
        <w:t xml:space="preserve"> applicable exclusion amount.  At her death, John’s trust caps </w:t>
      </w:r>
      <w:r w:rsidR="00A625AB">
        <w:rPr>
          <w:rFonts w:ascii="Calibri" w:hAnsi="Calibri"/>
          <w:color w:val="000000"/>
        </w:rPr>
        <w:t xml:space="preserve">Jane’s </w:t>
      </w:r>
      <w:r w:rsidR="00F33CED">
        <w:rPr>
          <w:rFonts w:ascii="Calibri" w:hAnsi="Calibri"/>
          <w:color w:val="000000"/>
        </w:rPr>
        <w:t>GPOA at $2.5 million</w:t>
      </w:r>
      <w:r w:rsidR="00A625AB">
        <w:rPr>
          <w:rFonts w:ascii="Calibri" w:hAnsi="Calibri"/>
          <w:color w:val="000000"/>
        </w:rPr>
        <w:t>, based on her remaining applicable exclusion amount</w:t>
      </w:r>
      <w:r w:rsidR="00F33CED">
        <w:rPr>
          <w:rFonts w:ascii="Calibri" w:hAnsi="Calibri"/>
          <w:color w:val="000000"/>
        </w:rPr>
        <w:t>.  Might the IRS argue</w:t>
      </w:r>
      <w:r w:rsidR="00A625AB">
        <w:rPr>
          <w:rFonts w:ascii="Calibri" w:hAnsi="Calibri"/>
          <w:color w:val="000000"/>
        </w:rPr>
        <w:t>, however,</w:t>
      </w:r>
      <w:r w:rsidR="00F33CED">
        <w:rPr>
          <w:rFonts w:ascii="Calibri" w:hAnsi="Calibri"/>
          <w:color w:val="000000"/>
        </w:rPr>
        <w:t xml:space="preserve"> that Jane could have spent all her money, or left it to charity, thus de facto being able to control the disposition </w:t>
      </w:r>
      <w:r>
        <w:rPr>
          <w:rFonts w:ascii="Calibri" w:hAnsi="Calibri"/>
          <w:color w:val="000000"/>
        </w:rPr>
        <w:t>(</w:t>
      </w:r>
      <w:r w:rsidR="005E0EB1">
        <w:rPr>
          <w:rFonts w:ascii="Calibri" w:hAnsi="Calibri"/>
          <w:color w:val="000000"/>
        </w:rPr>
        <w:t xml:space="preserve">i.e., </w:t>
      </w:r>
      <w:r>
        <w:rPr>
          <w:rFonts w:ascii="Calibri" w:hAnsi="Calibri"/>
          <w:color w:val="000000"/>
        </w:rPr>
        <w:t xml:space="preserve">GPOA) </w:t>
      </w:r>
      <w:r w:rsidR="00F33CED">
        <w:rPr>
          <w:rFonts w:ascii="Calibri" w:hAnsi="Calibri"/>
          <w:color w:val="000000"/>
        </w:rPr>
        <w:t>of all $4 million of John’s trust</w:t>
      </w:r>
      <w:r w:rsidR="000772E3">
        <w:rPr>
          <w:rFonts w:ascii="Calibri" w:hAnsi="Calibri"/>
          <w:color w:val="000000"/>
        </w:rPr>
        <w:t xml:space="preserve"> despite the fact that Jane has no power to control or direct the excess $1.5 million</w:t>
      </w:r>
      <w:r w:rsidR="00F33CED">
        <w:rPr>
          <w:rFonts w:ascii="Calibri" w:hAnsi="Calibri"/>
          <w:color w:val="000000"/>
        </w:rPr>
        <w:t xml:space="preserve">?  </w:t>
      </w:r>
    </w:p>
    <w:p w14:paraId="37394F46" w14:textId="77777777" w:rsidR="009B217A" w:rsidRDefault="000772E3" w:rsidP="00312BFA">
      <w:pPr>
        <w:spacing w:line="360" w:lineRule="auto"/>
        <w:ind w:firstLine="720"/>
        <w:rPr>
          <w:rFonts w:ascii="Calibri" w:hAnsi="Calibri"/>
          <w:color w:val="000000"/>
        </w:rPr>
      </w:pPr>
      <w:r>
        <w:rPr>
          <w:rFonts w:ascii="Calibri" w:hAnsi="Calibri"/>
          <w:color w:val="000000"/>
        </w:rPr>
        <w:t>F</w:t>
      </w:r>
      <w:r w:rsidR="00BD4DE2">
        <w:rPr>
          <w:rFonts w:ascii="Calibri" w:hAnsi="Calibri"/>
          <w:color w:val="000000"/>
        </w:rPr>
        <w:t xml:space="preserve">ormula </w:t>
      </w:r>
      <w:r w:rsidR="006B40BF">
        <w:rPr>
          <w:rFonts w:ascii="Calibri" w:hAnsi="Calibri"/>
          <w:color w:val="000000"/>
        </w:rPr>
        <w:t>funding</w:t>
      </w:r>
      <w:r w:rsidR="008A5C64">
        <w:rPr>
          <w:rFonts w:ascii="Calibri" w:hAnsi="Calibri"/>
          <w:color w:val="000000"/>
        </w:rPr>
        <w:t>/channeling</w:t>
      </w:r>
      <w:r w:rsidR="006B40BF">
        <w:rPr>
          <w:rFonts w:ascii="Calibri" w:hAnsi="Calibri"/>
          <w:color w:val="000000"/>
        </w:rPr>
        <w:t xml:space="preserve"> clauses based on a surviving spouse’s available GST </w:t>
      </w:r>
      <w:r w:rsidR="00C643C1">
        <w:rPr>
          <w:rFonts w:ascii="Calibri" w:hAnsi="Calibri"/>
          <w:color w:val="000000"/>
        </w:rPr>
        <w:t>amount have</w:t>
      </w:r>
      <w:r w:rsidR="006B40BF">
        <w:rPr>
          <w:rFonts w:ascii="Calibri" w:hAnsi="Calibri"/>
          <w:color w:val="000000"/>
        </w:rPr>
        <w:t xml:space="preserve"> been used</w:t>
      </w:r>
      <w:r w:rsidR="00BD4DE2">
        <w:rPr>
          <w:rFonts w:ascii="Calibri" w:hAnsi="Calibri"/>
          <w:color w:val="000000"/>
        </w:rPr>
        <w:t xml:space="preserve"> for decades</w:t>
      </w:r>
      <w:r w:rsidR="006B40BF">
        <w:rPr>
          <w:rFonts w:ascii="Calibri" w:hAnsi="Calibri"/>
          <w:color w:val="000000"/>
        </w:rPr>
        <w:t xml:space="preserve"> </w:t>
      </w:r>
      <w:r w:rsidR="00A625AB">
        <w:rPr>
          <w:rFonts w:ascii="Calibri" w:hAnsi="Calibri"/>
          <w:color w:val="000000"/>
        </w:rPr>
        <w:t xml:space="preserve">in GST non-exempt trusts </w:t>
      </w:r>
      <w:r w:rsidR="006B40BF">
        <w:rPr>
          <w:rFonts w:ascii="Calibri" w:hAnsi="Calibri"/>
          <w:color w:val="000000"/>
        </w:rPr>
        <w:t>without such specious arguments</w:t>
      </w:r>
      <w:r w:rsidR="00BD4DE2">
        <w:rPr>
          <w:rFonts w:ascii="Calibri" w:hAnsi="Calibri"/>
          <w:color w:val="000000"/>
        </w:rPr>
        <w:t>.</w:t>
      </w:r>
      <w:r w:rsidR="00BD4DE2">
        <w:rPr>
          <w:rStyle w:val="FootnoteReference"/>
          <w:rFonts w:ascii="Calibri" w:hAnsi="Calibri"/>
          <w:color w:val="000000"/>
        </w:rPr>
        <w:footnoteReference w:id="137"/>
      </w:r>
      <w:r w:rsidR="00F33CED">
        <w:rPr>
          <w:rFonts w:ascii="Calibri" w:hAnsi="Calibri"/>
          <w:color w:val="000000"/>
        </w:rPr>
        <w:t xml:space="preserve"> </w:t>
      </w:r>
      <w:r w:rsidR="006B40BF">
        <w:rPr>
          <w:rFonts w:ascii="Calibri" w:hAnsi="Calibri"/>
          <w:color w:val="000000"/>
        </w:rPr>
        <w:t xml:space="preserve"> </w:t>
      </w:r>
      <w:r w:rsidR="00666380">
        <w:rPr>
          <w:rFonts w:ascii="Calibri" w:hAnsi="Calibri"/>
          <w:color w:val="000000"/>
        </w:rPr>
        <w:t xml:space="preserve">Strangely, </w:t>
      </w:r>
      <w:r w:rsidR="00094B03">
        <w:rPr>
          <w:rFonts w:ascii="Calibri" w:hAnsi="Calibri"/>
          <w:color w:val="000000"/>
        </w:rPr>
        <w:t xml:space="preserve">it seems </w:t>
      </w:r>
      <w:r w:rsidR="00666380">
        <w:rPr>
          <w:rFonts w:ascii="Calibri" w:hAnsi="Calibri"/>
          <w:color w:val="000000"/>
        </w:rPr>
        <w:t>t</w:t>
      </w:r>
      <w:r w:rsidR="00422683">
        <w:rPr>
          <w:rFonts w:ascii="Calibri" w:hAnsi="Calibri"/>
          <w:color w:val="000000"/>
        </w:rPr>
        <w:t xml:space="preserve">he same commentators that laud </w:t>
      </w:r>
      <w:r w:rsidR="00666380">
        <w:rPr>
          <w:rFonts w:ascii="Calibri" w:hAnsi="Calibri"/>
          <w:color w:val="000000"/>
        </w:rPr>
        <w:t>or</w:t>
      </w:r>
      <w:r w:rsidR="00094B03">
        <w:rPr>
          <w:rFonts w:ascii="Calibri" w:hAnsi="Calibri"/>
          <w:color w:val="000000"/>
        </w:rPr>
        <w:t xml:space="preserve"> even</w:t>
      </w:r>
      <w:r w:rsidR="00666380">
        <w:rPr>
          <w:rFonts w:ascii="Calibri" w:hAnsi="Calibri"/>
          <w:color w:val="000000"/>
        </w:rPr>
        <w:t xml:space="preserve"> use </w:t>
      </w:r>
      <w:r w:rsidR="00422683">
        <w:rPr>
          <w:rFonts w:ascii="Calibri" w:hAnsi="Calibri"/>
          <w:color w:val="000000"/>
        </w:rPr>
        <w:t xml:space="preserve">the technique for GST planning </w:t>
      </w:r>
      <w:r w:rsidR="003B7A2A">
        <w:rPr>
          <w:rFonts w:ascii="Calibri" w:hAnsi="Calibri"/>
          <w:color w:val="000000"/>
        </w:rPr>
        <w:t>for the wealthy seem</w:t>
      </w:r>
      <w:r w:rsidR="00422683">
        <w:rPr>
          <w:rFonts w:ascii="Calibri" w:hAnsi="Calibri"/>
          <w:color w:val="000000"/>
        </w:rPr>
        <w:t xml:space="preserve"> to </w:t>
      </w:r>
      <w:r w:rsidR="003B7A2A">
        <w:rPr>
          <w:rFonts w:ascii="Calibri" w:hAnsi="Calibri"/>
          <w:color w:val="000000"/>
        </w:rPr>
        <w:t xml:space="preserve">disparage the idea for </w:t>
      </w:r>
      <w:r w:rsidR="00094B03">
        <w:rPr>
          <w:rFonts w:ascii="Calibri" w:hAnsi="Calibri"/>
          <w:color w:val="000000"/>
        </w:rPr>
        <w:t xml:space="preserve">income tax planning for </w:t>
      </w:r>
      <w:r w:rsidR="003B7A2A">
        <w:rPr>
          <w:rFonts w:ascii="Calibri" w:hAnsi="Calibri"/>
          <w:color w:val="000000"/>
        </w:rPr>
        <w:t xml:space="preserve">the mere </w:t>
      </w:r>
      <w:r w:rsidR="00F17AB2" w:rsidRPr="00F17AB2">
        <w:rPr>
          <w:rFonts w:ascii="Calibri" w:hAnsi="Calibri"/>
          <w:i/>
          <w:color w:val="000000"/>
        </w:rPr>
        <w:t>upper-</w:t>
      </w:r>
      <w:r w:rsidR="003B7A2A" w:rsidRPr="00F17AB2">
        <w:rPr>
          <w:rFonts w:ascii="Calibri" w:hAnsi="Calibri"/>
          <w:i/>
          <w:color w:val="000000"/>
        </w:rPr>
        <w:t>middle class</w:t>
      </w:r>
      <w:r w:rsidR="003B7A2A">
        <w:rPr>
          <w:rFonts w:ascii="Calibri" w:hAnsi="Calibri"/>
          <w:color w:val="000000"/>
        </w:rPr>
        <w:t>.</w:t>
      </w:r>
    </w:p>
    <w:p w14:paraId="0366A66B" w14:textId="77777777" w:rsidR="00666380" w:rsidRDefault="009B217A" w:rsidP="00312BFA">
      <w:pPr>
        <w:spacing w:line="360" w:lineRule="auto"/>
        <w:ind w:firstLine="720"/>
        <w:rPr>
          <w:rFonts w:ascii="Calibri" w:hAnsi="Calibri"/>
          <w:color w:val="000000"/>
        </w:rPr>
      </w:pPr>
      <w:r>
        <w:rPr>
          <w:rFonts w:ascii="Calibri" w:hAnsi="Calibri"/>
          <w:color w:val="000000"/>
        </w:rPr>
        <w:lastRenderedPageBreak/>
        <w:t>What about trust protector provisions that allow adding/amending POAs?</w:t>
      </w:r>
      <w:r w:rsidR="003B7A2A">
        <w:rPr>
          <w:rFonts w:ascii="Calibri" w:hAnsi="Calibri"/>
          <w:color w:val="000000"/>
        </w:rPr>
        <w:t xml:space="preserve"> </w:t>
      </w:r>
      <w:r>
        <w:rPr>
          <w:rFonts w:ascii="Calibri" w:hAnsi="Calibri"/>
          <w:color w:val="000000"/>
        </w:rPr>
        <w:t xml:space="preserve"> Could this ability somehow taint the tax effectiveness of the formula GPOA?  Probably not, since POAs are deemed general or non-general </w:t>
      </w:r>
      <w:r w:rsidR="006C53A4">
        <w:rPr>
          <w:rFonts w:ascii="Calibri" w:hAnsi="Calibri"/>
          <w:color w:val="000000"/>
        </w:rPr>
        <w:t>based on their scope at the applicable time in question</w:t>
      </w:r>
      <w:r>
        <w:rPr>
          <w:rFonts w:ascii="Calibri" w:hAnsi="Calibri"/>
          <w:color w:val="000000"/>
        </w:rPr>
        <w:t>.</w:t>
      </w:r>
      <w:r>
        <w:rPr>
          <w:rStyle w:val="FootnoteReference"/>
          <w:rFonts w:ascii="Calibri" w:hAnsi="Calibri"/>
          <w:color w:val="000000"/>
        </w:rPr>
        <w:footnoteReference w:id="138"/>
      </w:r>
      <w:r>
        <w:rPr>
          <w:rFonts w:ascii="Calibri" w:hAnsi="Calibri"/>
          <w:color w:val="000000"/>
        </w:rPr>
        <w:t xml:space="preserve"> </w:t>
      </w:r>
      <w:r w:rsidR="003B7A2A">
        <w:rPr>
          <w:rFonts w:ascii="Calibri" w:hAnsi="Calibri"/>
          <w:color w:val="000000"/>
        </w:rPr>
        <w:t xml:space="preserve"> </w:t>
      </w:r>
      <w:r w:rsidR="00B9486A">
        <w:rPr>
          <w:rFonts w:ascii="Calibri" w:hAnsi="Calibri"/>
          <w:color w:val="000000"/>
        </w:rPr>
        <w:t>As previously discussed, the problem with these is more practical – they may never get used!</w:t>
      </w:r>
    </w:p>
    <w:p w14:paraId="06764B8F" w14:textId="77777777" w:rsidR="00523798" w:rsidRPr="00523798" w:rsidRDefault="00523798" w:rsidP="00180FD1">
      <w:pPr>
        <w:pStyle w:val="ListParagraph"/>
        <w:numPr>
          <w:ilvl w:val="0"/>
          <w:numId w:val="19"/>
        </w:numPr>
        <w:spacing w:line="360" w:lineRule="auto"/>
        <w:rPr>
          <w:rFonts w:ascii="Calibri" w:hAnsi="Calibri"/>
          <w:b/>
          <w:color w:val="000000"/>
        </w:rPr>
      </w:pPr>
      <w:r w:rsidRPr="00523798">
        <w:rPr>
          <w:rFonts w:ascii="Calibri" w:hAnsi="Calibri"/>
          <w:b/>
          <w:color w:val="000000"/>
        </w:rPr>
        <w:t>PLR</w:t>
      </w:r>
      <w:r w:rsidR="00F17AB2">
        <w:rPr>
          <w:rFonts w:ascii="Calibri" w:hAnsi="Calibri"/>
          <w:b/>
          <w:color w:val="000000"/>
        </w:rPr>
        <w:t>s</w:t>
      </w:r>
      <w:r w:rsidRPr="00523798">
        <w:rPr>
          <w:rFonts w:ascii="Calibri" w:hAnsi="Calibri"/>
          <w:b/>
          <w:color w:val="000000"/>
        </w:rPr>
        <w:t xml:space="preserve"> </w:t>
      </w:r>
      <w:r w:rsidR="00F17AB2" w:rsidRPr="00F17AB2">
        <w:rPr>
          <w:rFonts w:ascii="Calibri" w:hAnsi="Calibri"/>
          <w:b/>
          <w:color w:val="000000"/>
        </w:rPr>
        <w:t>9110054</w:t>
      </w:r>
      <w:r w:rsidR="006C53A4">
        <w:rPr>
          <w:rFonts w:ascii="Calibri" w:hAnsi="Calibri"/>
          <w:b/>
          <w:color w:val="000000"/>
        </w:rPr>
        <w:t>,</w:t>
      </w:r>
      <w:r w:rsidR="00F17AB2">
        <w:rPr>
          <w:rFonts w:ascii="Calibri" w:hAnsi="Calibri"/>
          <w:b/>
          <w:color w:val="000000"/>
        </w:rPr>
        <w:t xml:space="preserve"> </w:t>
      </w:r>
      <w:r w:rsidR="006C53A4">
        <w:rPr>
          <w:rFonts w:ascii="Calibri" w:hAnsi="Calibri"/>
          <w:b/>
          <w:color w:val="000000"/>
        </w:rPr>
        <w:t>9527024 –</w:t>
      </w:r>
      <w:r w:rsidRPr="00523798">
        <w:rPr>
          <w:rFonts w:ascii="Calibri" w:hAnsi="Calibri"/>
          <w:b/>
          <w:color w:val="000000"/>
        </w:rPr>
        <w:t xml:space="preserve"> </w:t>
      </w:r>
      <w:r w:rsidR="006C53A4">
        <w:rPr>
          <w:rFonts w:ascii="Calibri" w:hAnsi="Calibri"/>
          <w:b/>
          <w:color w:val="000000"/>
        </w:rPr>
        <w:t xml:space="preserve">Approval of </w:t>
      </w:r>
      <w:r w:rsidRPr="00523798">
        <w:rPr>
          <w:rFonts w:ascii="Calibri" w:hAnsi="Calibri"/>
          <w:b/>
          <w:color w:val="000000"/>
        </w:rPr>
        <w:t>Formula GPOA</w:t>
      </w:r>
      <w:r w:rsidR="006C53A4">
        <w:rPr>
          <w:rFonts w:ascii="Calibri" w:hAnsi="Calibri"/>
          <w:b/>
          <w:color w:val="000000"/>
        </w:rPr>
        <w:t>s to Optimize GST/Estate Tax</w:t>
      </w:r>
    </w:p>
    <w:p w14:paraId="033D6B12" w14:textId="77777777" w:rsidR="003B7A2A" w:rsidRDefault="00F17AB2" w:rsidP="00312BFA">
      <w:pPr>
        <w:spacing w:line="360" w:lineRule="auto"/>
        <w:ind w:firstLine="720"/>
        <w:rPr>
          <w:rFonts w:ascii="Calibri" w:hAnsi="Calibri"/>
          <w:color w:val="000000"/>
        </w:rPr>
      </w:pPr>
      <w:r>
        <w:rPr>
          <w:rFonts w:ascii="Calibri" w:hAnsi="Calibri"/>
          <w:color w:val="000000"/>
        </w:rPr>
        <w:t>T</w:t>
      </w:r>
      <w:r w:rsidR="003B7A2A">
        <w:rPr>
          <w:rFonts w:ascii="Calibri" w:hAnsi="Calibri"/>
          <w:color w:val="000000"/>
        </w:rPr>
        <w:t>he IRS has viewed very similar</w:t>
      </w:r>
      <w:r w:rsidR="00666380">
        <w:rPr>
          <w:rFonts w:ascii="Calibri" w:hAnsi="Calibri"/>
          <w:color w:val="000000"/>
        </w:rPr>
        <w:t xml:space="preserve"> </w:t>
      </w:r>
      <w:r>
        <w:rPr>
          <w:rFonts w:ascii="Calibri" w:hAnsi="Calibri"/>
          <w:color w:val="000000"/>
        </w:rPr>
        <w:t>and arguably</w:t>
      </w:r>
      <w:r w:rsidR="00666380">
        <w:rPr>
          <w:rFonts w:ascii="Calibri" w:hAnsi="Calibri"/>
          <w:color w:val="000000"/>
        </w:rPr>
        <w:t xml:space="preserve"> </w:t>
      </w:r>
      <w:r>
        <w:rPr>
          <w:rFonts w:ascii="Calibri" w:hAnsi="Calibri"/>
          <w:color w:val="000000"/>
        </w:rPr>
        <w:t>more complex formula GPOAs favorably.  Unlike some PLRs, these appear to be on steady ground based on the regulations they cite.  Although these clauses were used to</w:t>
      </w:r>
      <w:r w:rsidR="00527689">
        <w:rPr>
          <w:rFonts w:ascii="Calibri" w:hAnsi="Calibri"/>
          <w:color w:val="000000"/>
        </w:rPr>
        <w:t xml:space="preserve"> cause estate taxation in lieu of GST taxation, the concept and issues are precisely the same.  Let’s examine PLR 9527024 first:</w:t>
      </w:r>
    </w:p>
    <w:p w14:paraId="664134E7" w14:textId="77777777" w:rsidR="00666380" w:rsidRPr="00666380" w:rsidRDefault="00666380" w:rsidP="00666380">
      <w:pPr>
        <w:ind w:left="720"/>
        <w:rPr>
          <w:rFonts w:ascii="Calibri" w:hAnsi="Calibri"/>
          <w:color w:val="000000"/>
        </w:rPr>
      </w:pPr>
      <w:r>
        <w:rPr>
          <w:rFonts w:ascii="Calibri" w:hAnsi="Calibri"/>
          <w:color w:val="000000"/>
        </w:rPr>
        <w:t>“</w:t>
      </w:r>
      <w:r w:rsidRPr="00666380">
        <w:rPr>
          <w:rFonts w:ascii="Calibri" w:hAnsi="Calibri"/>
          <w:color w:val="000000"/>
        </w:rPr>
        <w:t xml:space="preserve">In addition, under Article IV-D-3 of the trust, a child who has a power of appointment exercisable by will may, by a will specifically referring to this power of appointment, appoint to his or her estate </w:t>
      </w:r>
      <w:r w:rsidRPr="00666380">
        <w:rPr>
          <w:rFonts w:ascii="Calibri" w:hAnsi="Calibri"/>
          <w:b/>
          <w:color w:val="000000"/>
        </w:rPr>
        <w:t>to the extent the aggregate of the federal estate and GST tax due as a result of the child's death can be reduced. The amount of property subject to the power will be includible in the child's gross estate under §2041. To the extent the property is includible in the child's gross estate and subject to federal estate tax, the child will become the transferor of the property for GST purposes</w:t>
      </w:r>
      <w:r w:rsidRPr="00666380">
        <w:rPr>
          <w:rFonts w:ascii="Calibri" w:hAnsi="Calibri"/>
          <w:color w:val="000000"/>
        </w:rPr>
        <w:t>.</w:t>
      </w:r>
    </w:p>
    <w:p w14:paraId="6E9777EE" w14:textId="77777777" w:rsidR="00666380" w:rsidRDefault="00666380" w:rsidP="00666380">
      <w:pPr>
        <w:ind w:left="720"/>
        <w:rPr>
          <w:rFonts w:ascii="Calibri" w:hAnsi="Calibri"/>
          <w:color w:val="000000"/>
        </w:rPr>
      </w:pPr>
      <w:r w:rsidRPr="00666380">
        <w:rPr>
          <w:rFonts w:ascii="Calibri" w:hAnsi="Calibri"/>
          <w:color w:val="000000"/>
        </w:rPr>
        <w:t xml:space="preserve">Accordingly, as a result of Article IV-D-3, no GST tax will be due at a child's death (assuming that the child does not appoint the property to a skip person) unless and until the marginal rate of federal estate tax in the child's estate equals </w:t>
      </w:r>
      <w:r>
        <w:rPr>
          <w:rFonts w:ascii="Calibri" w:hAnsi="Calibri"/>
          <w:color w:val="000000"/>
        </w:rPr>
        <w:t xml:space="preserve">the GST tax rate (the maximum </w:t>
      </w:r>
      <w:r w:rsidRPr="00666380">
        <w:rPr>
          <w:rFonts w:ascii="Calibri" w:hAnsi="Calibri"/>
          <w:color w:val="000000"/>
        </w:rPr>
        <w:t>federal estate tax rate). The trust will not be subject to federal estate tax in the child's estate except to the extent inclusion of the property results in a reduction of the aggregate taxes.</w:t>
      </w:r>
      <w:r>
        <w:rPr>
          <w:rFonts w:ascii="Calibri" w:hAnsi="Calibri"/>
          <w:color w:val="000000"/>
        </w:rPr>
        <w:t>”</w:t>
      </w:r>
      <w:r>
        <w:rPr>
          <w:rStyle w:val="FootnoteReference"/>
          <w:rFonts w:ascii="Calibri" w:hAnsi="Calibri"/>
          <w:color w:val="000000"/>
        </w:rPr>
        <w:footnoteReference w:id="139"/>
      </w:r>
    </w:p>
    <w:p w14:paraId="2405D175" w14:textId="77777777" w:rsidR="00666380" w:rsidRDefault="00666380" w:rsidP="00666380">
      <w:pPr>
        <w:ind w:firstLine="720"/>
        <w:rPr>
          <w:rFonts w:ascii="Calibri" w:hAnsi="Calibri"/>
          <w:color w:val="000000"/>
        </w:rPr>
      </w:pPr>
    </w:p>
    <w:p w14:paraId="0E413EF0" w14:textId="77777777" w:rsidR="00094B03" w:rsidRDefault="00094B03" w:rsidP="00312BFA">
      <w:pPr>
        <w:spacing w:line="360" w:lineRule="auto"/>
        <w:ind w:firstLine="720"/>
        <w:rPr>
          <w:rFonts w:ascii="Calibri" w:hAnsi="Calibri"/>
          <w:color w:val="000000"/>
        </w:rPr>
      </w:pPr>
      <w:r>
        <w:rPr>
          <w:rFonts w:ascii="Calibri" w:hAnsi="Calibri"/>
          <w:color w:val="000000"/>
        </w:rPr>
        <w:t xml:space="preserve">Like an OBIT clause, the efficacy and administration of this PLR’s GPOA depends and is blatantly relying on the power holder’s </w:t>
      </w:r>
      <w:r w:rsidRPr="00527689">
        <w:rPr>
          <w:rFonts w:ascii="Calibri" w:hAnsi="Calibri"/>
          <w:i/>
          <w:color w:val="000000"/>
        </w:rPr>
        <w:t>outside assets, estate plan and applicable exclusions</w:t>
      </w:r>
      <w:r>
        <w:rPr>
          <w:rFonts w:ascii="Calibri" w:hAnsi="Calibri"/>
          <w:color w:val="000000"/>
        </w:rPr>
        <w:t xml:space="preserve">.  </w:t>
      </w:r>
    </w:p>
    <w:p w14:paraId="781830F6" w14:textId="77777777" w:rsidR="00527689" w:rsidRDefault="00527689" w:rsidP="00312BFA">
      <w:pPr>
        <w:spacing w:line="360" w:lineRule="auto"/>
        <w:ind w:firstLine="720"/>
        <w:rPr>
          <w:rFonts w:ascii="Calibri" w:hAnsi="Calibri"/>
          <w:color w:val="000000"/>
        </w:rPr>
      </w:pPr>
      <w:r>
        <w:rPr>
          <w:rFonts w:ascii="Calibri" w:hAnsi="Calibri"/>
          <w:color w:val="000000"/>
        </w:rPr>
        <w:t xml:space="preserve">PLR </w:t>
      </w:r>
      <w:r w:rsidRPr="00527689">
        <w:rPr>
          <w:rFonts w:ascii="Calibri" w:hAnsi="Calibri"/>
          <w:color w:val="000000"/>
        </w:rPr>
        <w:t>9110054</w:t>
      </w:r>
      <w:r>
        <w:rPr>
          <w:rFonts w:ascii="Calibri" w:hAnsi="Calibri"/>
          <w:color w:val="000000"/>
        </w:rPr>
        <w:t xml:space="preserve"> </w:t>
      </w:r>
      <w:r w:rsidR="008859F9">
        <w:rPr>
          <w:rFonts w:ascii="Calibri" w:hAnsi="Calibri"/>
          <w:color w:val="000000"/>
        </w:rPr>
        <w:t>has a similar formula GPOA, but is</w:t>
      </w:r>
      <w:r>
        <w:rPr>
          <w:rFonts w:ascii="Calibri" w:hAnsi="Calibri"/>
          <w:color w:val="000000"/>
        </w:rPr>
        <w:t xml:space="preserve"> even more complex because the taxpayers were in California, which, as discussed in Section III.h. above, subjects testamentary GPOAs to the power holder’s estate’s creditors to the extent the estate is insolvent</w:t>
      </w:r>
      <w:r w:rsidR="008859F9">
        <w:rPr>
          <w:rFonts w:ascii="Calibri" w:hAnsi="Calibri"/>
          <w:color w:val="000000"/>
        </w:rPr>
        <w:t xml:space="preserve"> (hence the </w:t>
      </w:r>
      <w:r w:rsidR="008859F9">
        <w:rPr>
          <w:rFonts w:ascii="Calibri" w:hAnsi="Calibri"/>
          <w:color w:val="000000"/>
        </w:rPr>
        <w:lastRenderedPageBreak/>
        <w:t>second paragraph quoted below)</w:t>
      </w:r>
      <w:r>
        <w:rPr>
          <w:rFonts w:ascii="Calibri" w:hAnsi="Calibri"/>
          <w:color w:val="000000"/>
        </w:rPr>
        <w:t>.  The pertinent discussion of the formula GPOA sanctioned in that PLR is</w:t>
      </w:r>
      <w:r w:rsidR="008859F9">
        <w:rPr>
          <w:rFonts w:ascii="Calibri" w:hAnsi="Calibri"/>
          <w:color w:val="000000"/>
        </w:rPr>
        <w:t xml:space="preserve"> below, with bold and bracketed language added</w:t>
      </w:r>
      <w:r>
        <w:rPr>
          <w:rFonts w:ascii="Calibri" w:hAnsi="Calibri"/>
          <w:color w:val="000000"/>
        </w:rPr>
        <w:t>:</w:t>
      </w:r>
    </w:p>
    <w:p w14:paraId="531B3AE9" w14:textId="77777777" w:rsidR="00527689" w:rsidRPr="00527689" w:rsidRDefault="00527689" w:rsidP="00527689">
      <w:pPr>
        <w:ind w:left="720"/>
        <w:rPr>
          <w:rFonts w:ascii="Calibri" w:hAnsi="Calibri"/>
          <w:color w:val="000000"/>
        </w:rPr>
      </w:pPr>
      <w:r>
        <w:rPr>
          <w:rFonts w:ascii="Calibri" w:hAnsi="Calibri"/>
          <w:color w:val="000000"/>
        </w:rPr>
        <w:t>“</w:t>
      </w:r>
      <w:r w:rsidRPr="00527689">
        <w:rPr>
          <w:rFonts w:ascii="Calibri" w:hAnsi="Calibri"/>
          <w:color w:val="000000"/>
        </w:rPr>
        <w:t xml:space="preserve">Under paragraph 7.3.3, in the event that the beneficiary of a Non-GSTT trust predeceases the full distribution of the trust estate, the beneficiary will have the power to appoint ("the Power") in favor of one or more of the creditors of the beneficiary and/or the creditors of the beneficiary's estate so much of the trust estate that may be undistributed at the time of the beneficiary's death as: (1) would otherwise be distributed to a "skip person" as defined in section 2613 of the Internal Revenue Code, with respect to X; and (2) </w:t>
      </w:r>
      <w:r w:rsidRPr="008859F9">
        <w:rPr>
          <w:rFonts w:ascii="Calibri" w:hAnsi="Calibri"/>
          <w:b/>
          <w:color w:val="000000"/>
        </w:rPr>
        <w:t>does not exceed the Appointment Amount</w:t>
      </w:r>
      <w:r w:rsidRPr="00527689">
        <w:rPr>
          <w:rFonts w:ascii="Calibri" w:hAnsi="Calibri"/>
          <w:color w:val="000000"/>
        </w:rPr>
        <w:t xml:space="preserve">.        </w:t>
      </w:r>
    </w:p>
    <w:p w14:paraId="56AFEC10" w14:textId="77777777" w:rsidR="00527689" w:rsidRPr="00527689" w:rsidRDefault="00527689" w:rsidP="00527689">
      <w:pPr>
        <w:ind w:left="720"/>
        <w:rPr>
          <w:rFonts w:ascii="Calibri" w:hAnsi="Calibri"/>
          <w:color w:val="000000"/>
        </w:rPr>
      </w:pPr>
      <w:r w:rsidRPr="00527689">
        <w:rPr>
          <w:rFonts w:ascii="Calibri" w:hAnsi="Calibri"/>
          <w:color w:val="000000"/>
        </w:rPr>
        <w:t xml:space="preserve">Under paragraph 7.3.3.1 of the X Trust, the Appointment Amount is defined as the amount which is </w:t>
      </w:r>
      <w:r w:rsidRPr="008859F9">
        <w:rPr>
          <w:rFonts w:ascii="Calibri" w:hAnsi="Calibri"/>
          <w:b/>
          <w:color w:val="000000"/>
        </w:rPr>
        <w:t>the lesser of</w:t>
      </w:r>
      <w:r w:rsidRPr="00527689">
        <w:rPr>
          <w:rFonts w:ascii="Calibri" w:hAnsi="Calibri"/>
          <w:color w:val="000000"/>
        </w:rPr>
        <w:t xml:space="preserve"> (1) the portion of the trust estate which is not exempt from generation-skipping transfer tax or (2) </w:t>
      </w:r>
      <w:r w:rsidRPr="008859F9">
        <w:rPr>
          <w:rFonts w:ascii="Calibri" w:hAnsi="Calibri"/>
          <w:b/>
          <w:color w:val="000000"/>
        </w:rPr>
        <w:t>an amount which, when added to the beneficiary's taxable estate (computed as if the Power had not been granted based upon values of the beneficiary's estate), will cause one dollar ($1.00) to be subject to federal estate tax in the beneficiary's estate at the highest tax rate</w:t>
      </w:r>
      <w:r w:rsidRPr="00527689">
        <w:rPr>
          <w:rFonts w:ascii="Calibri" w:hAnsi="Calibri"/>
          <w:color w:val="000000"/>
        </w:rPr>
        <w:t xml:space="preserve"> then in effect as set forth in section 2001 of the Internal Revenue Code.</w:t>
      </w:r>
    </w:p>
    <w:p w14:paraId="35FFFF79" w14:textId="77777777" w:rsidR="00527689" w:rsidRPr="00527689" w:rsidRDefault="00527689" w:rsidP="00527689">
      <w:pPr>
        <w:ind w:left="720"/>
        <w:rPr>
          <w:rFonts w:ascii="Calibri" w:hAnsi="Calibri"/>
          <w:color w:val="000000"/>
        </w:rPr>
      </w:pPr>
      <w:r w:rsidRPr="00527689">
        <w:rPr>
          <w:rFonts w:ascii="Calibri" w:hAnsi="Calibri"/>
          <w:color w:val="000000"/>
        </w:rPr>
        <w:t xml:space="preserve">The X Trust also provides that, </w:t>
      </w:r>
      <w:r w:rsidRPr="008859F9">
        <w:rPr>
          <w:rFonts w:ascii="Calibri" w:hAnsi="Calibri"/>
          <w:b/>
          <w:color w:val="000000"/>
        </w:rPr>
        <w:t>in the event that the liabilities of the beneficiary's estate exceed the value of its assets</w:t>
      </w:r>
      <w:r w:rsidRPr="00527689">
        <w:rPr>
          <w:rFonts w:ascii="Calibri" w:hAnsi="Calibri"/>
          <w:color w:val="000000"/>
        </w:rPr>
        <w:t xml:space="preserve"> (based upon values as finally determined in the federal estate tax proceedings of the beneficiary's estate excluding the Power), </w:t>
      </w:r>
      <w:r w:rsidRPr="008859F9">
        <w:rPr>
          <w:rFonts w:ascii="Calibri" w:hAnsi="Calibri"/>
          <w:b/>
          <w:color w:val="000000"/>
        </w:rPr>
        <w:t>no Power is granted</w:t>
      </w:r>
      <w:r w:rsidRPr="00527689">
        <w:rPr>
          <w:rFonts w:ascii="Calibri" w:hAnsi="Calibri"/>
          <w:color w:val="000000"/>
        </w:rPr>
        <w:t xml:space="preserve"> </w:t>
      </w:r>
      <w:r w:rsidRPr="008859F9">
        <w:rPr>
          <w:rFonts w:ascii="Calibri" w:hAnsi="Calibri"/>
          <w:b/>
          <w:color w:val="000000"/>
        </w:rPr>
        <w:t>unless</w:t>
      </w:r>
      <w:r w:rsidRPr="00527689">
        <w:rPr>
          <w:rFonts w:ascii="Calibri" w:hAnsi="Calibri"/>
          <w:color w:val="000000"/>
        </w:rPr>
        <w:t xml:space="preserve"> the sum of (i) the federal estate taxes and state inheritance or estate taxes which would be payable by reason of the beneficiary's death computed as if the property appointable by the power had been included in the beneficiary's gross estate, (ii) the GSTT which would be payable from the trust by reason of the beneficiary's death computed as if the property appointable by the Power has been included in the beneficiary's gross estate for federal estate tax purposes, and (iii) </w:t>
      </w:r>
      <w:r w:rsidRPr="00604BB7">
        <w:rPr>
          <w:rFonts w:ascii="Calibri" w:hAnsi="Calibri"/>
          <w:b/>
          <w:color w:val="000000"/>
        </w:rPr>
        <w:t>the excess of the liabilities of the beneficiary's estate over its assets</w:t>
      </w:r>
      <w:r w:rsidRPr="00527689">
        <w:rPr>
          <w:rFonts w:ascii="Calibri" w:hAnsi="Calibri"/>
          <w:color w:val="000000"/>
        </w:rPr>
        <w:t>, excluding the Power shall be less than or equal to the GSTT which would be payable from this trust by reason of the beneficiary's death computed as if the Power had not been granted.</w:t>
      </w:r>
    </w:p>
    <w:p w14:paraId="38F8A0BF" w14:textId="77777777" w:rsidR="00527689" w:rsidRDefault="00527689" w:rsidP="00527689">
      <w:pPr>
        <w:ind w:left="720"/>
        <w:rPr>
          <w:rFonts w:ascii="Calibri" w:hAnsi="Calibri"/>
          <w:color w:val="000000"/>
        </w:rPr>
      </w:pPr>
      <w:r w:rsidRPr="00527689">
        <w:rPr>
          <w:rFonts w:ascii="Calibri" w:hAnsi="Calibri"/>
          <w:color w:val="000000"/>
        </w:rPr>
        <w:t xml:space="preserve">California Civil Code section 1390-3(b) </w:t>
      </w:r>
      <w:r w:rsidR="008859F9" w:rsidRPr="008859F9">
        <w:rPr>
          <w:rFonts w:ascii="Calibri" w:hAnsi="Calibri"/>
          <w:i/>
          <w:color w:val="000000"/>
        </w:rPr>
        <w:t xml:space="preserve">[note – this statute is the direct predecessor to California Probate Code §682, with similar import, discussed in Section III.h.] </w:t>
      </w:r>
      <w:r w:rsidRPr="00527689">
        <w:rPr>
          <w:rFonts w:ascii="Calibri" w:hAnsi="Calibri"/>
          <w:color w:val="000000"/>
        </w:rPr>
        <w:t>enables the creditors of the insolvent estate of a donee of a general power of appointment to reach the assets subjec</w:t>
      </w:r>
      <w:r w:rsidR="00604BB7">
        <w:rPr>
          <w:rFonts w:ascii="Calibri" w:hAnsi="Calibri"/>
          <w:color w:val="000000"/>
        </w:rPr>
        <w:t xml:space="preserve">t to such power. According to </w:t>
      </w:r>
      <w:r w:rsidRPr="00527689">
        <w:rPr>
          <w:rFonts w:ascii="Calibri" w:hAnsi="Calibri"/>
          <w:color w:val="000000"/>
        </w:rPr>
        <w:t xml:space="preserve">the taxpayer, the second part of the formula which calculates the extent of the X Trust over which the Power may be exercised </w:t>
      </w:r>
      <w:r w:rsidRPr="00604BB7">
        <w:rPr>
          <w:rFonts w:ascii="Calibri" w:hAnsi="Calibri"/>
          <w:b/>
          <w:color w:val="000000"/>
        </w:rPr>
        <w:t>is intended to nullify the Power</w:t>
      </w:r>
      <w:r w:rsidRPr="00527689">
        <w:rPr>
          <w:rFonts w:ascii="Calibri" w:hAnsi="Calibri"/>
          <w:color w:val="000000"/>
        </w:rPr>
        <w:t xml:space="preserve"> if the net trust estate without the Power after payment of the GSTT, will exceed the net trust estate if the Power is granted to an insolvent donee, after reduction of estate taxes and payment of creditors.</w:t>
      </w:r>
    </w:p>
    <w:p w14:paraId="353B866B" w14:textId="77777777" w:rsidR="00604BB7" w:rsidRDefault="00604BB7" w:rsidP="00527689">
      <w:pPr>
        <w:ind w:left="720"/>
        <w:rPr>
          <w:rFonts w:ascii="Calibri" w:hAnsi="Calibri"/>
          <w:color w:val="000000"/>
        </w:rPr>
      </w:pPr>
      <w:r w:rsidRPr="00604BB7">
        <w:rPr>
          <w:rFonts w:ascii="Calibri" w:hAnsi="Calibri"/>
          <w:b/>
          <w:color w:val="000000"/>
        </w:rPr>
        <w:t xml:space="preserve">Even though the power is expressed in terms of a formula, the power meets the statutory definition of a general power of appointment </w:t>
      </w:r>
      <w:r w:rsidRPr="00604BB7">
        <w:rPr>
          <w:rFonts w:ascii="Calibri" w:hAnsi="Calibri"/>
          <w:color w:val="000000"/>
        </w:rPr>
        <w:t xml:space="preserve">because it is exercisable by the beneficiary alone in favor of one or more of the creditors of the beneficiary or the creditors of the beneficiary's estate, and the power is not limited by an ascertainable standard. </w:t>
      </w:r>
      <w:r w:rsidRPr="00604BB7">
        <w:rPr>
          <w:rFonts w:ascii="Calibri" w:hAnsi="Calibri"/>
          <w:b/>
          <w:color w:val="000000"/>
        </w:rPr>
        <w:t>We conclude therefore, that the power created by X under paragraph 7.3.3 of the X Trust is a general power of appointment within the meaning of section 2041(b) of the Code</w:t>
      </w:r>
      <w:r w:rsidRPr="00604BB7">
        <w:rPr>
          <w:rFonts w:ascii="Calibri" w:hAnsi="Calibri"/>
          <w:color w:val="000000"/>
        </w:rPr>
        <w:t>.</w:t>
      </w:r>
    </w:p>
    <w:p w14:paraId="47A09834" w14:textId="77777777" w:rsidR="00604BB7" w:rsidRPr="00604BB7" w:rsidRDefault="00604BB7" w:rsidP="00604BB7">
      <w:pPr>
        <w:ind w:left="720"/>
        <w:rPr>
          <w:rFonts w:ascii="Calibri" w:hAnsi="Calibri"/>
          <w:color w:val="000000"/>
        </w:rPr>
      </w:pPr>
      <w:r w:rsidRPr="00604BB7">
        <w:rPr>
          <w:rFonts w:ascii="Calibri" w:hAnsi="Calibri"/>
          <w:color w:val="000000"/>
        </w:rPr>
        <w:lastRenderedPageBreak/>
        <w:t>Under section 20.2041-3(b) of the regulations, a power which by its terms is exercisable only upon the occurrence of an event or contingency which does not in fact take place prior to the decedent's death is not a power in existence on the date of death.</w:t>
      </w:r>
      <w:r>
        <w:rPr>
          <w:rFonts w:ascii="Calibri" w:hAnsi="Calibri"/>
          <w:color w:val="000000"/>
        </w:rPr>
        <w:t xml:space="preserve"> [</w:t>
      </w:r>
      <w:r w:rsidRPr="00604BB7">
        <w:rPr>
          <w:rFonts w:ascii="Calibri" w:hAnsi="Calibri"/>
          <w:i/>
          <w:color w:val="000000"/>
        </w:rPr>
        <w:t>note, this is the regulation interpreted by the Kurz cases discussed in Section III.n. below, and cited by some as a worry about formula GPOAs</w:t>
      </w:r>
      <w:r>
        <w:rPr>
          <w:rFonts w:ascii="Calibri" w:hAnsi="Calibri"/>
          <w:color w:val="000000"/>
        </w:rPr>
        <w:t>]</w:t>
      </w:r>
    </w:p>
    <w:p w14:paraId="76FBDADA" w14:textId="77777777" w:rsidR="00604BB7" w:rsidRPr="00604BB7" w:rsidRDefault="00604BB7" w:rsidP="00604BB7">
      <w:pPr>
        <w:ind w:left="720"/>
        <w:rPr>
          <w:rFonts w:ascii="Calibri" w:hAnsi="Calibri"/>
          <w:color w:val="000000"/>
        </w:rPr>
      </w:pPr>
      <w:r w:rsidRPr="00604BB7">
        <w:rPr>
          <w:rFonts w:ascii="Calibri" w:hAnsi="Calibri"/>
          <w:color w:val="000000"/>
        </w:rPr>
        <w:t xml:space="preserve">In the present case, </w:t>
      </w:r>
      <w:r w:rsidRPr="00604BB7">
        <w:rPr>
          <w:rFonts w:ascii="Calibri" w:hAnsi="Calibri"/>
          <w:b/>
          <w:color w:val="000000"/>
        </w:rPr>
        <w:t>the power of appointment is expressed as a formula</w:t>
      </w:r>
      <w:r>
        <w:rPr>
          <w:rFonts w:ascii="Calibri" w:hAnsi="Calibri"/>
          <w:color w:val="000000"/>
        </w:rPr>
        <w:t>:***</w:t>
      </w:r>
    </w:p>
    <w:p w14:paraId="3707E6D7" w14:textId="77777777" w:rsidR="00604BB7" w:rsidRPr="00604BB7" w:rsidRDefault="00604BB7" w:rsidP="00604BB7">
      <w:pPr>
        <w:ind w:left="720"/>
        <w:rPr>
          <w:rFonts w:ascii="Calibri" w:hAnsi="Calibri"/>
          <w:b/>
          <w:color w:val="000000"/>
        </w:rPr>
      </w:pPr>
      <w:r w:rsidRPr="00604BB7">
        <w:rPr>
          <w:rFonts w:ascii="Calibri" w:hAnsi="Calibri"/>
          <w:b/>
          <w:color w:val="000000"/>
        </w:rPr>
        <w:t xml:space="preserve">Under this formula there are contingencies that may result in the nonexistence of the Power upon the date of the beneficiary's death. If these contingencies do occur, </w:t>
      </w:r>
      <w:r w:rsidRPr="00272D4B">
        <w:rPr>
          <w:rFonts w:ascii="Calibri" w:hAnsi="Calibri"/>
          <w:color w:val="000000"/>
        </w:rPr>
        <w:t>that is, if the liabilities of a beneficiary's estate exceed the value of its assets and the taxes that would be payable if the Power had not been granted are less than if the Power had been granted,</w:t>
      </w:r>
      <w:r w:rsidRPr="00604BB7">
        <w:rPr>
          <w:rFonts w:ascii="Calibri" w:hAnsi="Calibri"/>
          <w:b/>
          <w:color w:val="000000"/>
        </w:rPr>
        <w:t xml:space="preserve"> the Power will not be granted. In such a case, the beneficiary </w:t>
      </w:r>
      <w:r w:rsidRPr="00604BB7">
        <w:rPr>
          <w:rFonts w:ascii="Calibri" w:hAnsi="Calibri"/>
          <w:b/>
          <w:i/>
          <w:color w:val="000000"/>
        </w:rPr>
        <w:t>will not possess a power of appointment</w:t>
      </w:r>
      <w:r w:rsidRPr="00604BB7">
        <w:rPr>
          <w:rFonts w:ascii="Calibri" w:hAnsi="Calibri"/>
          <w:b/>
          <w:color w:val="000000"/>
        </w:rPr>
        <w:t xml:space="preserve"> at the time of death.</w:t>
      </w:r>
    </w:p>
    <w:p w14:paraId="452F9382" w14:textId="77777777" w:rsidR="00604BB7" w:rsidRPr="00272D4B" w:rsidRDefault="00604BB7" w:rsidP="00604BB7">
      <w:pPr>
        <w:ind w:left="720"/>
        <w:rPr>
          <w:rFonts w:ascii="Calibri" w:hAnsi="Calibri"/>
          <w:color w:val="000000"/>
        </w:rPr>
      </w:pPr>
      <w:r w:rsidRPr="00272D4B">
        <w:rPr>
          <w:rFonts w:ascii="Calibri" w:hAnsi="Calibri"/>
          <w:b/>
          <w:color w:val="000000"/>
        </w:rPr>
        <w:t>Although we do not know at this time whether the beneficiary will possess a general power of appointment at the time of the beneficiary's death,</w:t>
      </w:r>
      <w:r w:rsidRPr="00604BB7">
        <w:rPr>
          <w:rFonts w:ascii="Calibri" w:hAnsi="Calibri"/>
          <w:color w:val="000000"/>
        </w:rPr>
        <w:t xml:space="preserve"> </w:t>
      </w:r>
      <w:r w:rsidRPr="00604BB7">
        <w:rPr>
          <w:rFonts w:ascii="Calibri" w:hAnsi="Calibri"/>
          <w:b/>
          <w:color w:val="000000"/>
        </w:rPr>
        <w:t xml:space="preserve">we can conclude that the amount of the X Trust property that will be includible in the estate </w:t>
      </w:r>
      <w:r w:rsidRPr="00272D4B">
        <w:rPr>
          <w:rFonts w:ascii="Calibri" w:hAnsi="Calibri"/>
          <w:color w:val="000000"/>
        </w:rPr>
        <w:t>of each donee of the Power,</w:t>
      </w:r>
      <w:r w:rsidRPr="00604BB7">
        <w:rPr>
          <w:rFonts w:ascii="Calibri" w:hAnsi="Calibri"/>
          <w:b/>
          <w:color w:val="000000"/>
        </w:rPr>
        <w:t xml:space="preserve"> by reason of the Power will be the maximum amount over which the Power may be exercised pursuant to the provisions set forth above </w:t>
      </w:r>
      <w:r w:rsidRPr="00272D4B">
        <w:rPr>
          <w:rFonts w:ascii="Calibri" w:hAnsi="Calibri"/>
          <w:color w:val="000000"/>
        </w:rPr>
        <w:t>that are provided in Paragraph 7.3.3 and 7.3.3.1 of the X Trust.</w:t>
      </w:r>
    </w:p>
    <w:p w14:paraId="4D3AAE0E" w14:textId="77777777" w:rsidR="00527689" w:rsidRDefault="00527689" w:rsidP="00312BFA">
      <w:pPr>
        <w:spacing w:line="360" w:lineRule="auto"/>
        <w:ind w:firstLine="720"/>
        <w:rPr>
          <w:rFonts w:ascii="Calibri" w:hAnsi="Calibri"/>
          <w:color w:val="000000"/>
        </w:rPr>
      </w:pPr>
    </w:p>
    <w:p w14:paraId="5F342208" w14:textId="637CABA0" w:rsidR="00272D4B" w:rsidRDefault="00272D4B" w:rsidP="00312BFA">
      <w:pPr>
        <w:spacing w:line="360" w:lineRule="auto"/>
        <w:ind w:firstLine="720"/>
        <w:rPr>
          <w:rFonts w:ascii="Calibri" w:hAnsi="Calibri"/>
          <w:color w:val="000000"/>
        </w:rPr>
      </w:pPr>
      <w:r>
        <w:rPr>
          <w:rFonts w:ascii="Calibri" w:hAnsi="Calibri"/>
          <w:color w:val="000000"/>
        </w:rPr>
        <w:t xml:space="preserve">PLR </w:t>
      </w:r>
      <w:r w:rsidRPr="00272D4B">
        <w:rPr>
          <w:rFonts w:ascii="Calibri" w:hAnsi="Calibri"/>
          <w:color w:val="000000"/>
        </w:rPr>
        <w:t>9110054</w:t>
      </w:r>
      <w:r w:rsidR="00A64BA7">
        <w:rPr>
          <w:rFonts w:ascii="Calibri" w:hAnsi="Calibri"/>
          <w:color w:val="000000"/>
        </w:rPr>
        <w:t xml:space="preserve"> is a rather clever formula GPOA</w:t>
      </w:r>
      <w:r>
        <w:rPr>
          <w:rFonts w:ascii="Calibri" w:hAnsi="Calibri"/>
          <w:color w:val="000000"/>
        </w:rPr>
        <w:t xml:space="preserve"> that both minimizes the GST and estate tax when considered together, but also </w:t>
      </w:r>
      <w:r w:rsidRPr="00673DDE">
        <w:rPr>
          <w:rFonts w:ascii="Calibri" w:hAnsi="Calibri"/>
          <w:i/>
          <w:color w:val="000000"/>
        </w:rPr>
        <w:t>does not add a GPOA if it would otherwise jeopardize the power holder’s estate to creditors</w:t>
      </w:r>
      <w:r>
        <w:rPr>
          <w:rFonts w:ascii="Calibri" w:hAnsi="Calibri"/>
          <w:color w:val="000000"/>
        </w:rPr>
        <w:t>.  Th</w:t>
      </w:r>
      <w:r w:rsidR="00A64BA7">
        <w:rPr>
          <w:rFonts w:ascii="Calibri" w:hAnsi="Calibri"/>
          <w:color w:val="000000"/>
        </w:rPr>
        <w:t>e</w:t>
      </w:r>
      <w:r>
        <w:rPr>
          <w:rFonts w:ascii="Calibri" w:hAnsi="Calibri"/>
          <w:color w:val="000000"/>
        </w:rPr>
        <w:t xml:space="preserve"> OBIT is in many ways an expansion on these formula GPOAs, but expanded to apply </w:t>
      </w:r>
      <w:r w:rsidR="00673DDE">
        <w:rPr>
          <w:rFonts w:ascii="Calibri" w:hAnsi="Calibri"/>
          <w:color w:val="000000"/>
        </w:rPr>
        <w:t>beyond GST non-</w:t>
      </w:r>
      <w:r w:rsidR="00A64BA7">
        <w:rPr>
          <w:rFonts w:ascii="Calibri" w:hAnsi="Calibri"/>
          <w:color w:val="000000"/>
        </w:rPr>
        <w:t xml:space="preserve">exempt trusts </w:t>
      </w:r>
      <w:r>
        <w:rPr>
          <w:rFonts w:ascii="Calibri" w:hAnsi="Calibri"/>
          <w:color w:val="000000"/>
        </w:rPr>
        <w:t xml:space="preserve">for superior </w:t>
      </w:r>
      <w:r w:rsidRPr="00A64BA7">
        <w:rPr>
          <w:rFonts w:ascii="Calibri" w:hAnsi="Calibri"/>
          <w:i/>
          <w:color w:val="000000"/>
        </w:rPr>
        <w:t>income</w:t>
      </w:r>
      <w:r>
        <w:rPr>
          <w:rFonts w:ascii="Calibri" w:hAnsi="Calibri"/>
          <w:color w:val="000000"/>
        </w:rPr>
        <w:t xml:space="preserve"> tax results.</w:t>
      </w:r>
      <w:r w:rsidR="00A64BA7">
        <w:rPr>
          <w:rFonts w:ascii="Calibri" w:hAnsi="Calibri"/>
          <w:color w:val="000000"/>
        </w:rPr>
        <w:t xml:space="preserve">  While the thrust of this white paper has been spouses and GST exempt trusts, the GST language in the trusts in the PLRs above might be considered in creating formula GPOAs for downstream beneficiaries, and, of course, any GPOAs over GST non-exempt trusts.</w:t>
      </w:r>
    </w:p>
    <w:p w14:paraId="708B5C84" w14:textId="2563524D" w:rsidR="00301249" w:rsidRDefault="00BE36CA" w:rsidP="00312BFA">
      <w:pPr>
        <w:spacing w:line="360" w:lineRule="auto"/>
        <w:ind w:firstLine="720"/>
        <w:rPr>
          <w:rFonts w:ascii="Calibri" w:hAnsi="Calibri"/>
          <w:color w:val="000000"/>
        </w:rPr>
      </w:pPr>
      <w:r>
        <w:rPr>
          <w:rFonts w:ascii="Calibri" w:hAnsi="Calibri"/>
          <w:color w:val="000000"/>
        </w:rPr>
        <w:t>Three</w:t>
      </w:r>
      <w:r w:rsidR="00301249">
        <w:rPr>
          <w:rFonts w:ascii="Calibri" w:hAnsi="Calibri"/>
          <w:color w:val="000000"/>
        </w:rPr>
        <w:t xml:space="preserve"> additional PLRs</w:t>
      </w:r>
      <w:r w:rsidR="00475B50">
        <w:rPr>
          <w:rFonts w:ascii="Calibri" w:hAnsi="Calibri"/>
          <w:color w:val="000000"/>
        </w:rPr>
        <w:t xml:space="preserve"> since these two implicitly approved of formula GPOAs.</w:t>
      </w:r>
      <w:r w:rsidR="008F6987">
        <w:rPr>
          <w:rStyle w:val="FootnoteReference"/>
          <w:rFonts w:ascii="Calibri" w:hAnsi="Calibri"/>
          <w:color w:val="000000"/>
        </w:rPr>
        <w:footnoteReference w:id="140"/>
      </w:r>
      <w:r w:rsidR="00475B50">
        <w:rPr>
          <w:rFonts w:ascii="Calibri" w:hAnsi="Calibri"/>
          <w:color w:val="000000"/>
        </w:rPr>
        <w:t xml:space="preserve">  In PLR</w:t>
      </w:r>
      <w:r w:rsidR="00475B50" w:rsidRPr="00475B50">
        <w:rPr>
          <w:rFonts w:ascii="Calibri" w:hAnsi="Calibri"/>
          <w:color w:val="000000"/>
        </w:rPr>
        <w:t xml:space="preserve"> 2004</w:t>
      </w:r>
      <w:r w:rsidR="007A0FB0">
        <w:rPr>
          <w:rFonts w:ascii="Calibri" w:hAnsi="Calibri"/>
          <w:color w:val="000000"/>
        </w:rPr>
        <w:t>-</w:t>
      </w:r>
      <w:r w:rsidR="00475B50" w:rsidRPr="00475B50">
        <w:rPr>
          <w:rFonts w:ascii="Calibri" w:hAnsi="Calibri"/>
          <w:color w:val="000000"/>
        </w:rPr>
        <w:t>03094</w:t>
      </w:r>
      <w:r w:rsidR="007A0FB0">
        <w:rPr>
          <w:rFonts w:ascii="Calibri" w:hAnsi="Calibri"/>
          <w:color w:val="000000"/>
        </w:rPr>
        <w:t xml:space="preserve">, the trust in question had this </w:t>
      </w:r>
      <w:r w:rsidR="0006695B">
        <w:rPr>
          <w:rFonts w:ascii="Calibri" w:hAnsi="Calibri"/>
          <w:color w:val="000000"/>
        </w:rPr>
        <w:t>formula general power of appointment</w:t>
      </w:r>
      <w:r w:rsidR="007A0FB0">
        <w:rPr>
          <w:rFonts w:ascii="Calibri" w:hAnsi="Calibri"/>
          <w:color w:val="000000"/>
        </w:rPr>
        <w:t>:</w:t>
      </w:r>
    </w:p>
    <w:p w14:paraId="19EC1308" w14:textId="01B47FC4" w:rsidR="007A0FB0" w:rsidRDefault="0006695B" w:rsidP="007A0FB0">
      <w:pPr>
        <w:ind w:left="720"/>
        <w:rPr>
          <w:rFonts w:ascii="Calibri" w:hAnsi="Calibri"/>
          <w:color w:val="000000"/>
        </w:rPr>
      </w:pPr>
      <w:r>
        <w:rPr>
          <w:rFonts w:ascii="Calibri" w:hAnsi="Calibri"/>
          <w:color w:val="000000"/>
        </w:rPr>
        <w:t>“</w:t>
      </w:r>
      <w:r w:rsidR="007A0FB0" w:rsidRPr="007A0FB0">
        <w:rPr>
          <w:rFonts w:ascii="Calibri" w:hAnsi="Calibri"/>
          <w:color w:val="000000"/>
        </w:rPr>
        <w:t xml:space="preserve">Article 4.5 provides: At my wife’s death, if I am still living, I give to my wife a testamentary general power of appointment, exercisable alone and in all events to appoint part of the assets of the Trust Estate, having a value equal to (i) the amount of my wife’s remaining applicable exclusion amount less (ii) the value of my wife’s taxable estate determined by excluding the amount of those assets subject to this power, free of trust to my deceased wife’s estate or to or for the benefit of one or more persons or </w:t>
      </w:r>
      <w:r w:rsidR="007A0FB0" w:rsidRPr="007A0FB0">
        <w:rPr>
          <w:rFonts w:ascii="Calibri" w:hAnsi="Calibri"/>
          <w:color w:val="000000"/>
        </w:rPr>
        <w:lastRenderedPageBreak/>
        <w:t>entities, in such proportions, outright, in trust, or otherwise as my wife may direct in her Will.</w:t>
      </w:r>
      <w:r>
        <w:rPr>
          <w:rFonts w:ascii="Calibri" w:hAnsi="Calibri"/>
          <w:color w:val="000000"/>
        </w:rPr>
        <w:t>”</w:t>
      </w:r>
      <w:r w:rsidR="007A0FB0" w:rsidRPr="007A0FB0">
        <w:rPr>
          <w:rFonts w:ascii="Calibri" w:hAnsi="Calibri"/>
          <w:color w:val="000000"/>
        </w:rPr>
        <w:t xml:space="preserve"> </w:t>
      </w:r>
    </w:p>
    <w:p w14:paraId="0E756977" w14:textId="7BDAFC31" w:rsidR="00A0328E" w:rsidRDefault="002A6C4C" w:rsidP="00EE470A">
      <w:pPr>
        <w:spacing w:before="120" w:line="360" w:lineRule="auto"/>
        <w:ind w:firstLine="720"/>
        <w:rPr>
          <w:rFonts w:ascii="Calibri" w:hAnsi="Calibri"/>
          <w:color w:val="000000"/>
        </w:rPr>
      </w:pPr>
      <w:r>
        <w:rPr>
          <w:rFonts w:ascii="Calibri" w:hAnsi="Calibri"/>
          <w:color w:val="000000"/>
        </w:rPr>
        <w:t xml:space="preserve">Uniquely, </w:t>
      </w:r>
      <w:r w:rsidR="00770A3B">
        <w:rPr>
          <w:rFonts w:ascii="Calibri" w:hAnsi="Calibri"/>
          <w:color w:val="000000"/>
        </w:rPr>
        <w:t xml:space="preserve">the PLR also contains the wife’s will provision that would purportedly exercise the power in favor of her estate, although this should not make any difference for the taxability of </w:t>
      </w:r>
      <w:r w:rsidR="00115287">
        <w:rPr>
          <w:rFonts w:ascii="Calibri" w:hAnsi="Calibri"/>
          <w:color w:val="000000"/>
        </w:rPr>
        <w:t>the power</w:t>
      </w:r>
      <w:r w:rsidR="00770A3B">
        <w:rPr>
          <w:rFonts w:ascii="Calibri" w:hAnsi="Calibri"/>
          <w:color w:val="000000"/>
        </w:rPr>
        <w:t xml:space="preserve">.  </w:t>
      </w:r>
      <w:r w:rsidR="00A0328E">
        <w:rPr>
          <w:rFonts w:ascii="Calibri" w:hAnsi="Calibri"/>
          <w:color w:val="000000"/>
        </w:rPr>
        <w:t xml:space="preserve">The IRS in that PLR concluded that: </w:t>
      </w:r>
    </w:p>
    <w:p w14:paraId="08245A03" w14:textId="71A88F3F" w:rsidR="00A0328E" w:rsidRDefault="00695CB1" w:rsidP="00695CB1">
      <w:pPr>
        <w:ind w:left="720"/>
        <w:rPr>
          <w:rFonts w:ascii="Calibri" w:hAnsi="Calibri"/>
          <w:color w:val="000000"/>
        </w:rPr>
      </w:pPr>
      <w:r>
        <w:rPr>
          <w:rFonts w:ascii="Calibri" w:hAnsi="Calibri"/>
          <w:color w:val="000000"/>
        </w:rPr>
        <w:t>“</w:t>
      </w:r>
      <w:r w:rsidRPr="00695CB1">
        <w:rPr>
          <w:rFonts w:ascii="Calibri" w:hAnsi="Calibri"/>
          <w:color w:val="000000"/>
        </w:rPr>
        <w:t xml:space="preserve">Under article 4.5 of Trust, if Wife predeceases Husband, at her death Wife will possess a testamentary general power to appoint to Wife’s estate or to or for the benefit of one or more persons or entities, Trust assets equal in value to Wife’s remaining applicable exclusion amount less the value of Wife’s taxable estate determined as if she did not possess this power.  Accordingly, we conclude that, if Wife predeceases Husband, </w:t>
      </w:r>
      <w:r w:rsidRPr="000C4F26">
        <w:rPr>
          <w:rFonts w:ascii="Calibri" w:hAnsi="Calibri"/>
          <w:b/>
          <w:bCs/>
          <w:color w:val="000000"/>
        </w:rPr>
        <w:t>the value of Trust assets over which Wife holds a power of appointment under article 4.5 of Trust will be included in Wife’s gross estate</w:t>
      </w:r>
      <w:r w:rsidRPr="00695CB1">
        <w:rPr>
          <w:rFonts w:ascii="Calibri" w:hAnsi="Calibri"/>
          <w:color w:val="000000"/>
        </w:rPr>
        <w:t>.</w:t>
      </w:r>
    </w:p>
    <w:p w14:paraId="1E81A1A1" w14:textId="77777777" w:rsidR="000C4F26" w:rsidRDefault="000C4F26" w:rsidP="00695CB1">
      <w:pPr>
        <w:ind w:left="720"/>
        <w:rPr>
          <w:rFonts w:ascii="Calibri" w:hAnsi="Calibri"/>
          <w:color w:val="000000"/>
        </w:rPr>
      </w:pPr>
    </w:p>
    <w:p w14:paraId="21132A37" w14:textId="2CFDFC75" w:rsidR="00074676" w:rsidRDefault="009D24BC" w:rsidP="000748B8">
      <w:pPr>
        <w:spacing w:line="360" w:lineRule="auto"/>
        <w:ind w:firstLine="720"/>
        <w:rPr>
          <w:rFonts w:ascii="Calibri" w:hAnsi="Calibri"/>
          <w:color w:val="000000"/>
        </w:rPr>
      </w:pPr>
      <w:r>
        <w:rPr>
          <w:rFonts w:ascii="Calibri" w:hAnsi="Calibri"/>
          <w:color w:val="000000"/>
        </w:rPr>
        <w:t xml:space="preserve">In PLR </w:t>
      </w:r>
      <w:r w:rsidR="00074676" w:rsidRPr="00074676">
        <w:rPr>
          <w:rFonts w:ascii="Calibri" w:hAnsi="Calibri"/>
          <w:color w:val="000000"/>
        </w:rPr>
        <w:t>2006-04028</w:t>
      </w:r>
      <w:r w:rsidR="00074676">
        <w:rPr>
          <w:rFonts w:ascii="Calibri" w:hAnsi="Calibri"/>
          <w:color w:val="000000"/>
        </w:rPr>
        <w:t xml:space="preserve">, which was similar in many ways to the above </w:t>
      </w:r>
      <w:r w:rsidR="000748B8">
        <w:rPr>
          <w:rFonts w:ascii="Calibri" w:hAnsi="Calibri"/>
          <w:color w:val="000000"/>
        </w:rPr>
        <w:t>2004 PLR, the trust contained a similar provision:</w:t>
      </w:r>
    </w:p>
    <w:p w14:paraId="02C45336" w14:textId="77777777" w:rsidR="00074676" w:rsidRDefault="00074676" w:rsidP="00695CB1">
      <w:pPr>
        <w:ind w:left="720"/>
        <w:rPr>
          <w:rFonts w:ascii="Calibri" w:hAnsi="Calibri"/>
          <w:color w:val="000000"/>
        </w:rPr>
      </w:pPr>
    </w:p>
    <w:p w14:paraId="3A572E0D" w14:textId="3C3A658A" w:rsidR="000C4F26" w:rsidRDefault="008F6888" w:rsidP="00695CB1">
      <w:pPr>
        <w:ind w:left="720"/>
        <w:rPr>
          <w:rFonts w:ascii="Calibri" w:hAnsi="Calibri"/>
          <w:color w:val="000000"/>
        </w:rPr>
      </w:pPr>
      <w:r>
        <w:rPr>
          <w:rFonts w:ascii="Calibri" w:hAnsi="Calibri"/>
          <w:color w:val="000000"/>
        </w:rPr>
        <w:t>“</w:t>
      </w:r>
      <w:r w:rsidR="00074676" w:rsidRPr="00074676">
        <w:rPr>
          <w:rFonts w:ascii="Calibri" w:hAnsi="Calibri"/>
          <w:color w:val="000000"/>
        </w:rPr>
        <w:t>In addition, Trust 1 provides that if Wife is living at the time of Husband’s death, Husband shall have a testamentary general power of appointment equal to the amount of Husband’s remaining applicable exclusion amount set forth in § 2010 of the Internal Revenue Code (“Code”) minus the value of Husband’s taxable estate (determined by excluding the amount of those assets subject to this power).</w:t>
      </w:r>
      <w:r>
        <w:rPr>
          <w:rFonts w:ascii="Calibri" w:hAnsi="Calibri"/>
          <w:color w:val="000000"/>
        </w:rPr>
        <w:t>”</w:t>
      </w:r>
      <w:r w:rsidR="00074676" w:rsidRPr="00074676">
        <w:rPr>
          <w:rFonts w:ascii="Calibri" w:hAnsi="Calibri"/>
          <w:color w:val="000000"/>
        </w:rPr>
        <w:t xml:space="preserve">   </w:t>
      </w:r>
    </w:p>
    <w:p w14:paraId="5FB56EA3" w14:textId="77777777" w:rsidR="00C8307E" w:rsidRDefault="00C8307E" w:rsidP="00695CB1">
      <w:pPr>
        <w:ind w:left="720"/>
        <w:rPr>
          <w:rFonts w:ascii="Calibri" w:hAnsi="Calibri"/>
          <w:color w:val="000000"/>
        </w:rPr>
      </w:pPr>
    </w:p>
    <w:p w14:paraId="2A348F1B" w14:textId="6268614C" w:rsidR="00C8307E" w:rsidRDefault="00C8307E" w:rsidP="00695CB1">
      <w:pPr>
        <w:ind w:left="720"/>
        <w:rPr>
          <w:rFonts w:ascii="Calibri" w:hAnsi="Calibri"/>
          <w:color w:val="000000"/>
        </w:rPr>
      </w:pPr>
      <w:r>
        <w:rPr>
          <w:rFonts w:ascii="Calibri" w:hAnsi="Calibri"/>
          <w:color w:val="000000"/>
        </w:rPr>
        <w:t>The IRS concluded that:</w:t>
      </w:r>
    </w:p>
    <w:p w14:paraId="41E1190A" w14:textId="77777777" w:rsidR="00C8307E" w:rsidRDefault="00C8307E" w:rsidP="00695CB1">
      <w:pPr>
        <w:ind w:left="720"/>
        <w:rPr>
          <w:rFonts w:ascii="Calibri" w:hAnsi="Calibri"/>
          <w:color w:val="000000"/>
        </w:rPr>
      </w:pPr>
    </w:p>
    <w:p w14:paraId="5F9B58A4" w14:textId="13D7FA99" w:rsidR="000748B8" w:rsidRDefault="00B73CD5" w:rsidP="00695CB1">
      <w:pPr>
        <w:ind w:left="720"/>
        <w:rPr>
          <w:rFonts w:ascii="Calibri" w:hAnsi="Calibri"/>
          <w:color w:val="000000"/>
        </w:rPr>
      </w:pPr>
      <w:r>
        <w:rPr>
          <w:rFonts w:ascii="Calibri" w:hAnsi="Calibri"/>
          <w:color w:val="000000"/>
        </w:rPr>
        <w:t>“</w:t>
      </w:r>
      <w:r w:rsidRPr="00B73CD5">
        <w:rPr>
          <w:rFonts w:ascii="Calibri" w:hAnsi="Calibri"/>
          <w:color w:val="000000"/>
        </w:rPr>
        <w:t>Under the terms of Trust 1, as amended, if Husband predeceases Wife, Husband will possess a testamentary general power of appointment over assets equal in value to Husband's remaining applicable exclusion amount less the value of Husband’s taxable estate determined as if he did not possess this power.  Accordingly, we conclude that, if Husband predeceases Wife, the value of Trust 1 assets over which Husband holds a testamentary general power of appointment will be included in Husband’s gross estate.</w:t>
      </w:r>
      <w:r>
        <w:rPr>
          <w:rFonts w:ascii="Calibri" w:hAnsi="Calibri"/>
          <w:color w:val="000000"/>
        </w:rPr>
        <w:t>”</w:t>
      </w:r>
    </w:p>
    <w:p w14:paraId="21388412" w14:textId="77777777" w:rsidR="00C8307E" w:rsidRDefault="00C8307E" w:rsidP="00695CB1">
      <w:pPr>
        <w:ind w:left="720"/>
        <w:rPr>
          <w:rFonts w:ascii="Calibri" w:hAnsi="Calibri"/>
          <w:color w:val="000000"/>
        </w:rPr>
      </w:pPr>
    </w:p>
    <w:p w14:paraId="6E0A69AA" w14:textId="62233480" w:rsidR="00A625AB" w:rsidRDefault="00304805" w:rsidP="00312BFA">
      <w:pPr>
        <w:spacing w:line="360" w:lineRule="auto"/>
        <w:ind w:firstLine="720"/>
        <w:rPr>
          <w:rFonts w:ascii="Calibri" w:hAnsi="Calibri"/>
          <w:color w:val="000000"/>
        </w:rPr>
      </w:pPr>
      <w:r>
        <w:rPr>
          <w:rFonts w:ascii="Calibri" w:hAnsi="Calibri"/>
          <w:color w:val="000000"/>
        </w:rPr>
        <w:t xml:space="preserve">The </w:t>
      </w:r>
      <w:r w:rsidR="001D4411">
        <w:rPr>
          <w:rFonts w:ascii="Calibri" w:hAnsi="Calibri"/>
          <w:color w:val="000000"/>
        </w:rPr>
        <w:t xml:space="preserve">most recent PLR </w:t>
      </w:r>
      <w:r>
        <w:rPr>
          <w:rFonts w:ascii="Calibri" w:hAnsi="Calibri"/>
          <w:color w:val="000000"/>
        </w:rPr>
        <w:t>did not involve a spousal cross-GPOA (aka JEST), but involved</w:t>
      </w:r>
      <w:r w:rsidR="001D4411">
        <w:rPr>
          <w:rFonts w:ascii="Calibri" w:hAnsi="Calibri"/>
          <w:color w:val="000000"/>
        </w:rPr>
        <w:t xml:space="preserve"> adding a general power to an old irrevocable trust.</w:t>
      </w:r>
      <w:r w:rsidR="005620E6">
        <w:rPr>
          <w:rStyle w:val="FootnoteReference"/>
          <w:rFonts w:ascii="Calibri" w:hAnsi="Calibri"/>
          <w:color w:val="000000"/>
        </w:rPr>
        <w:footnoteReference w:id="141"/>
      </w:r>
      <w:r w:rsidR="001D4411">
        <w:rPr>
          <w:rFonts w:ascii="Calibri" w:hAnsi="Calibri"/>
          <w:color w:val="000000"/>
        </w:rPr>
        <w:t xml:space="preserve">  </w:t>
      </w:r>
      <w:r w:rsidR="003B7A2A">
        <w:rPr>
          <w:rFonts w:ascii="Calibri" w:hAnsi="Calibri"/>
          <w:color w:val="000000"/>
        </w:rPr>
        <w:t xml:space="preserve">As cited elsewhere herein, Treasury has given examples of tax minimizing formula clauses in the QTIP and disclaimer realm, and regulations under </w:t>
      </w:r>
      <w:r w:rsidR="00D629FE">
        <w:rPr>
          <w:rFonts w:ascii="Arial" w:hAnsi="Arial" w:cs="Arial"/>
          <w:color w:val="000000"/>
        </w:rPr>
        <w:t>§</w:t>
      </w:r>
      <w:r w:rsidR="003B7A2A">
        <w:rPr>
          <w:rFonts w:ascii="Calibri" w:hAnsi="Calibri"/>
          <w:color w:val="000000"/>
        </w:rPr>
        <w:t xml:space="preserve">2041 and </w:t>
      </w:r>
      <w:r w:rsidR="00D629FE">
        <w:rPr>
          <w:rFonts w:ascii="Arial" w:hAnsi="Arial" w:cs="Arial"/>
          <w:color w:val="000000"/>
        </w:rPr>
        <w:t>§</w:t>
      </w:r>
      <w:r w:rsidR="003B7A2A">
        <w:rPr>
          <w:rFonts w:ascii="Calibri" w:hAnsi="Calibri"/>
          <w:color w:val="000000"/>
        </w:rPr>
        <w:t>2514</w:t>
      </w:r>
      <w:r w:rsidR="00094B03">
        <w:rPr>
          <w:rFonts w:ascii="Calibri" w:hAnsi="Calibri"/>
          <w:color w:val="000000"/>
        </w:rPr>
        <w:t xml:space="preserve"> </w:t>
      </w:r>
      <w:r w:rsidR="00D629FE">
        <w:rPr>
          <w:rFonts w:ascii="Calibri" w:hAnsi="Calibri"/>
          <w:color w:val="000000"/>
        </w:rPr>
        <w:t>are</w:t>
      </w:r>
      <w:r w:rsidR="00094B03">
        <w:rPr>
          <w:rFonts w:ascii="Calibri" w:hAnsi="Calibri"/>
          <w:color w:val="000000"/>
        </w:rPr>
        <w:t xml:space="preserve"> clear in the ability to cap or limit GPOAs</w:t>
      </w:r>
      <w:r w:rsidR="00523798">
        <w:rPr>
          <w:rFonts w:ascii="Calibri" w:hAnsi="Calibri"/>
          <w:color w:val="000000"/>
        </w:rPr>
        <w:t xml:space="preserve"> as to specific </w:t>
      </w:r>
      <w:r w:rsidR="00523798">
        <w:rPr>
          <w:rFonts w:ascii="Calibri" w:hAnsi="Calibri"/>
          <w:color w:val="000000"/>
        </w:rPr>
        <w:lastRenderedPageBreak/>
        <w:t>assets</w:t>
      </w:r>
      <w:r w:rsidR="003B7A2A">
        <w:rPr>
          <w:rFonts w:ascii="Calibri" w:hAnsi="Calibri"/>
          <w:color w:val="000000"/>
        </w:rPr>
        <w:t xml:space="preserve">.  </w:t>
      </w:r>
      <w:r w:rsidR="00A625AB">
        <w:rPr>
          <w:rFonts w:ascii="Calibri" w:hAnsi="Calibri"/>
          <w:color w:val="000000"/>
        </w:rPr>
        <w:t>However, t</w:t>
      </w:r>
      <w:r w:rsidR="00C643C1">
        <w:rPr>
          <w:rFonts w:ascii="Calibri" w:hAnsi="Calibri"/>
          <w:color w:val="000000"/>
        </w:rPr>
        <w:t xml:space="preserve">here is </w:t>
      </w:r>
      <w:r w:rsidR="000772E3">
        <w:rPr>
          <w:rFonts w:ascii="Calibri" w:hAnsi="Calibri"/>
          <w:color w:val="000000"/>
        </w:rPr>
        <w:t xml:space="preserve">some plausibility and a case that on the surface appears to </w:t>
      </w:r>
      <w:r w:rsidR="00F56F42">
        <w:rPr>
          <w:rFonts w:ascii="Calibri" w:hAnsi="Calibri"/>
          <w:color w:val="000000"/>
        </w:rPr>
        <w:t>cast doubt on whether there may be an issue</w:t>
      </w:r>
      <w:r w:rsidR="00BC6A75">
        <w:rPr>
          <w:rFonts w:ascii="Calibri" w:hAnsi="Calibri"/>
          <w:color w:val="000000"/>
        </w:rPr>
        <w:t xml:space="preserve"> if a powerholder may indirectly affect the scope of their power</w:t>
      </w:r>
      <w:r w:rsidR="00C643C1">
        <w:rPr>
          <w:rFonts w:ascii="Calibri" w:hAnsi="Calibri"/>
          <w:color w:val="000000"/>
        </w:rPr>
        <w:t xml:space="preserve">, </w:t>
      </w:r>
      <w:r w:rsidR="000772E3">
        <w:rPr>
          <w:rFonts w:ascii="Calibri" w:hAnsi="Calibri"/>
          <w:color w:val="000000"/>
        </w:rPr>
        <w:t xml:space="preserve">so let’s distinguish </w:t>
      </w:r>
      <w:r w:rsidR="002E7CF2">
        <w:rPr>
          <w:rFonts w:ascii="Calibri" w:hAnsi="Calibri"/>
          <w:color w:val="000000"/>
        </w:rPr>
        <w:t xml:space="preserve">the case, </w:t>
      </w:r>
      <w:r w:rsidR="000772E3">
        <w:rPr>
          <w:rFonts w:ascii="Calibri" w:hAnsi="Calibri"/>
          <w:color w:val="000000"/>
        </w:rPr>
        <w:t>discuss why the “ballooning GPOA” argument has no merit</w:t>
      </w:r>
      <w:r w:rsidR="002E7CF2">
        <w:rPr>
          <w:rFonts w:ascii="Calibri" w:hAnsi="Calibri"/>
          <w:color w:val="000000"/>
        </w:rPr>
        <w:t xml:space="preserve">, and how to </w:t>
      </w:r>
      <w:r w:rsidR="00523798">
        <w:rPr>
          <w:rFonts w:ascii="Calibri" w:hAnsi="Calibri"/>
          <w:color w:val="000000"/>
        </w:rPr>
        <w:t xml:space="preserve">easily </w:t>
      </w:r>
      <w:r w:rsidR="002E7CF2">
        <w:rPr>
          <w:rFonts w:ascii="Calibri" w:hAnsi="Calibri"/>
          <w:color w:val="000000"/>
        </w:rPr>
        <w:t>avoid it anyway.</w:t>
      </w:r>
      <w:r w:rsidR="00C643C1">
        <w:rPr>
          <w:rFonts w:ascii="Calibri" w:hAnsi="Calibri"/>
          <w:color w:val="000000"/>
        </w:rPr>
        <w:t xml:space="preserve"> </w:t>
      </w:r>
    </w:p>
    <w:p w14:paraId="20849A04" w14:textId="77777777" w:rsidR="00480F83" w:rsidRPr="00480F83" w:rsidRDefault="00480F83" w:rsidP="00180FD1">
      <w:pPr>
        <w:pStyle w:val="ListParagraph"/>
        <w:numPr>
          <w:ilvl w:val="0"/>
          <w:numId w:val="19"/>
        </w:numPr>
        <w:spacing w:line="360" w:lineRule="auto"/>
        <w:rPr>
          <w:rFonts w:ascii="Calibri" w:hAnsi="Calibri"/>
          <w:b/>
          <w:color w:val="000000"/>
        </w:rPr>
      </w:pPr>
      <w:r w:rsidRPr="00480F83">
        <w:rPr>
          <w:rFonts w:ascii="Calibri" w:hAnsi="Calibri"/>
          <w:b/>
          <w:color w:val="000000"/>
        </w:rPr>
        <w:t xml:space="preserve">Addressing the </w:t>
      </w:r>
      <w:r w:rsidRPr="00A3121A">
        <w:rPr>
          <w:rFonts w:ascii="Calibri" w:hAnsi="Calibri"/>
          <w:b/>
          <w:i/>
          <w:color w:val="000000"/>
        </w:rPr>
        <w:t>Kurz</w:t>
      </w:r>
      <w:r w:rsidRPr="00480F83">
        <w:rPr>
          <w:rFonts w:ascii="Calibri" w:hAnsi="Calibri"/>
          <w:b/>
          <w:color w:val="000000"/>
        </w:rPr>
        <w:t xml:space="preserve"> </w:t>
      </w:r>
      <w:r w:rsidR="00D3489B">
        <w:rPr>
          <w:rFonts w:ascii="Calibri" w:hAnsi="Calibri"/>
          <w:b/>
          <w:color w:val="000000"/>
        </w:rPr>
        <w:t>C</w:t>
      </w:r>
      <w:r w:rsidRPr="00480F83">
        <w:rPr>
          <w:rFonts w:ascii="Calibri" w:hAnsi="Calibri"/>
          <w:b/>
          <w:color w:val="000000"/>
        </w:rPr>
        <w:t>ase</w:t>
      </w:r>
      <w:r w:rsidR="00A3121A">
        <w:rPr>
          <w:rFonts w:ascii="Calibri" w:hAnsi="Calibri"/>
          <w:b/>
          <w:color w:val="000000"/>
        </w:rPr>
        <w:t>s</w:t>
      </w:r>
      <w:r w:rsidRPr="00480F83">
        <w:rPr>
          <w:rFonts w:ascii="Calibri" w:hAnsi="Calibri"/>
          <w:b/>
          <w:color w:val="000000"/>
        </w:rPr>
        <w:t xml:space="preserve"> Regarding </w:t>
      </w:r>
      <w:r w:rsidRPr="00480F83">
        <w:rPr>
          <w:rFonts w:ascii="Calibri" w:hAnsi="Calibri"/>
          <w:b/>
          <w:i/>
          <w:color w:val="000000"/>
        </w:rPr>
        <w:t>Contingent</w:t>
      </w:r>
      <w:r w:rsidRPr="00480F83">
        <w:rPr>
          <w:rFonts w:ascii="Calibri" w:hAnsi="Calibri"/>
          <w:b/>
          <w:color w:val="000000"/>
        </w:rPr>
        <w:t xml:space="preserve"> GPOAs</w:t>
      </w:r>
    </w:p>
    <w:p w14:paraId="1A155DA7" w14:textId="77777777" w:rsidR="000C2E84" w:rsidRDefault="00A625AB" w:rsidP="00A625AB">
      <w:pPr>
        <w:spacing w:line="360" w:lineRule="auto"/>
        <w:ind w:firstLine="720"/>
        <w:rPr>
          <w:rFonts w:ascii="Calibri" w:hAnsi="Calibri"/>
        </w:rPr>
      </w:pPr>
      <w:r w:rsidRPr="00A625AB">
        <w:rPr>
          <w:rFonts w:ascii="Calibri" w:hAnsi="Calibri"/>
          <w:color w:val="000000"/>
        </w:rPr>
        <w:t xml:space="preserve">In the </w:t>
      </w:r>
      <w:r w:rsidRPr="00A625AB">
        <w:rPr>
          <w:rFonts w:ascii="Calibri" w:hAnsi="Calibri"/>
          <w:i/>
          <w:color w:val="000000"/>
        </w:rPr>
        <w:t>Estate of Kurz</w:t>
      </w:r>
      <w:r>
        <w:rPr>
          <w:rFonts w:ascii="Calibri" w:hAnsi="Calibri"/>
          <w:color w:val="000000"/>
        </w:rPr>
        <w:t>,</w:t>
      </w:r>
      <w:r w:rsidR="00C643C1" w:rsidRPr="00A625AB">
        <w:rPr>
          <w:rFonts w:ascii="Calibri" w:hAnsi="Calibri"/>
          <w:color w:val="000000"/>
        </w:rPr>
        <w:t xml:space="preserve"> </w:t>
      </w:r>
      <w:r>
        <w:rPr>
          <w:rFonts w:ascii="Calibri" w:hAnsi="Calibri"/>
        </w:rPr>
        <w:t>husband died leaving his wife a marital trust with an</w:t>
      </w:r>
      <w:r w:rsidRPr="00A625AB">
        <w:rPr>
          <w:rFonts w:ascii="Calibri" w:hAnsi="Calibri"/>
        </w:rPr>
        <w:t xml:space="preserve"> unrestricted lifetime GPOA, and if that were exhau</w:t>
      </w:r>
      <w:r>
        <w:rPr>
          <w:rFonts w:ascii="Calibri" w:hAnsi="Calibri"/>
        </w:rPr>
        <w:t>sted, a lifetime 5% withdrawal power over the bypass trust.</w:t>
      </w:r>
      <w:r w:rsidR="002E7CF2" w:rsidRPr="002E7CF2">
        <w:rPr>
          <w:rStyle w:val="FootnoteReference"/>
          <w:rFonts w:ascii="Calibri" w:hAnsi="Calibri"/>
          <w:color w:val="000000"/>
        </w:rPr>
        <w:t xml:space="preserve"> </w:t>
      </w:r>
      <w:r w:rsidR="002E7CF2">
        <w:rPr>
          <w:rStyle w:val="FootnoteReference"/>
          <w:rFonts w:ascii="Calibri" w:hAnsi="Calibri"/>
          <w:color w:val="000000"/>
        </w:rPr>
        <w:footnoteReference w:id="142"/>
      </w:r>
      <w:r>
        <w:rPr>
          <w:rFonts w:ascii="Calibri" w:hAnsi="Calibri"/>
        </w:rPr>
        <w:t xml:space="preserve">  The estate argued that the 5% power was not in the estate because of a condition precedent not being met</w:t>
      </w:r>
      <w:r w:rsidR="000C2E84">
        <w:rPr>
          <w:rFonts w:ascii="Calibri" w:hAnsi="Calibri"/>
        </w:rPr>
        <w:t xml:space="preserve">.  Treas. Reg </w:t>
      </w:r>
      <w:r w:rsidR="005E0EB1">
        <w:rPr>
          <w:rFonts w:ascii="Calibri" w:hAnsi="Calibri"/>
        </w:rPr>
        <w:t>§</w:t>
      </w:r>
      <w:r w:rsidR="000C2E84">
        <w:rPr>
          <w:rFonts w:ascii="Calibri" w:hAnsi="Calibri"/>
        </w:rPr>
        <w:t>20.2041-3(b) provides that:</w:t>
      </w:r>
    </w:p>
    <w:p w14:paraId="365042EA" w14:textId="77777777" w:rsidR="000C2E84" w:rsidRPr="007B0C66" w:rsidRDefault="007D4C0C" w:rsidP="00DC6ACD">
      <w:pPr>
        <w:ind w:left="720"/>
        <w:rPr>
          <w:rFonts w:ascii="Calibri" w:hAnsi="Calibri"/>
          <w:szCs w:val="22"/>
        </w:rPr>
      </w:pPr>
      <w:r w:rsidRPr="007B0C66">
        <w:rPr>
          <w:rFonts w:ascii="Calibri" w:hAnsi="Calibri"/>
          <w:szCs w:val="22"/>
        </w:rPr>
        <w:t>“</w:t>
      </w:r>
      <w:r w:rsidR="00676052" w:rsidRPr="007B0C66">
        <w:rPr>
          <w:rFonts w:ascii="Calibri" w:hAnsi="Calibri"/>
          <w:szCs w:val="22"/>
        </w:rPr>
        <w:t>A</w:t>
      </w:r>
      <w:r w:rsidRPr="007B0C66">
        <w:rPr>
          <w:rFonts w:ascii="Calibri" w:hAnsi="Calibri"/>
          <w:szCs w:val="22"/>
        </w:rPr>
        <w:t xml:space="preserve"> power which by its terms is exercisable only upon the occurrence during the decedent’s lifetime of an event or contingency which did not in fact take place or occur during such time is not a power in existence on the date of the decedent’s death</w:t>
      </w:r>
      <w:r w:rsidR="005E4496" w:rsidRPr="007B0C66">
        <w:rPr>
          <w:rFonts w:ascii="Calibri" w:hAnsi="Calibri"/>
          <w:szCs w:val="22"/>
        </w:rPr>
        <w:t>.  For example, if a decedent was given a general power of appointment exercisable only after he reached a certain age, only if he survived another person, or only if he died without descendants, the power would not be in existence on the date of the decedent’s death if the condition precedent to its exercise had not occurred</w:t>
      </w:r>
      <w:r w:rsidR="000C2E84" w:rsidRPr="007B0C66">
        <w:rPr>
          <w:rFonts w:ascii="Calibri" w:hAnsi="Calibri"/>
          <w:szCs w:val="22"/>
        </w:rPr>
        <w:t>.</w:t>
      </w:r>
      <w:r w:rsidRPr="007B0C66">
        <w:rPr>
          <w:rFonts w:ascii="Calibri" w:hAnsi="Calibri"/>
          <w:szCs w:val="22"/>
        </w:rPr>
        <w:t>”</w:t>
      </w:r>
    </w:p>
    <w:p w14:paraId="4023D962" w14:textId="77777777" w:rsidR="000C2E84" w:rsidRDefault="000C2E84" w:rsidP="000C2E84">
      <w:pPr>
        <w:ind w:firstLine="720"/>
        <w:rPr>
          <w:rFonts w:ascii="Calibri" w:hAnsi="Calibri"/>
        </w:rPr>
      </w:pPr>
    </w:p>
    <w:p w14:paraId="3A575E4B" w14:textId="77777777" w:rsidR="007D4C0C" w:rsidRDefault="007D4C0C" w:rsidP="00A625AB">
      <w:pPr>
        <w:spacing w:line="360" w:lineRule="auto"/>
        <w:ind w:firstLine="720"/>
        <w:rPr>
          <w:rFonts w:ascii="Calibri" w:hAnsi="Calibri"/>
        </w:rPr>
      </w:pPr>
      <w:r>
        <w:rPr>
          <w:rFonts w:ascii="Calibri" w:hAnsi="Calibri"/>
        </w:rPr>
        <w:t xml:space="preserve">However, </w:t>
      </w:r>
      <w:r w:rsidRPr="00F17AB2">
        <w:rPr>
          <w:rFonts w:ascii="Calibri" w:hAnsi="Calibri"/>
          <w:i/>
        </w:rPr>
        <w:t xml:space="preserve">all </w:t>
      </w:r>
      <w:r w:rsidR="002C10A9" w:rsidRPr="00F17AB2">
        <w:rPr>
          <w:rFonts w:ascii="Calibri" w:hAnsi="Calibri"/>
          <w:i/>
        </w:rPr>
        <w:t>the w</w:t>
      </w:r>
      <w:r w:rsidRPr="00F17AB2">
        <w:rPr>
          <w:rFonts w:ascii="Calibri" w:hAnsi="Calibri"/>
          <w:i/>
        </w:rPr>
        <w:t>ife had to do was ask</w:t>
      </w:r>
      <w:r>
        <w:rPr>
          <w:rFonts w:ascii="Calibri" w:hAnsi="Calibri"/>
        </w:rPr>
        <w:t xml:space="preserve"> for funds for the marital trust and she was entitled to the 5%</w:t>
      </w:r>
      <w:r w:rsidR="000C2E84">
        <w:rPr>
          <w:rFonts w:ascii="Calibri" w:hAnsi="Calibri"/>
        </w:rPr>
        <w:t xml:space="preserve"> from the bypass</w:t>
      </w:r>
      <w:r w:rsidR="00233C5F">
        <w:rPr>
          <w:rFonts w:ascii="Calibri" w:hAnsi="Calibri"/>
        </w:rPr>
        <w:t xml:space="preserve"> – not so different from a revocable trust</w:t>
      </w:r>
      <w:r w:rsidR="000C2E84">
        <w:rPr>
          <w:rFonts w:ascii="Calibri" w:hAnsi="Calibri"/>
        </w:rPr>
        <w:t>.</w:t>
      </w:r>
      <w:r>
        <w:rPr>
          <w:rFonts w:ascii="Calibri" w:hAnsi="Calibri"/>
        </w:rPr>
        <w:t xml:space="preserve">  It would not surprise </w:t>
      </w:r>
      <w:r w:rsidR="00984D63">
        <w:rPr>
          <w:rFonts w:ascii="Calibri" w:hAnsi="Calibri"/>
        </w:rPr>
        <w:t>any tax practitioner</w:t>
      </w:r>
      <w:r>
        <w:rPr>
          <w:rFonts w:ascii="Calibri" w:hAnsi="Calibri"/>
        </w:rPr>
        <w:t xml:space="preserve"> that both the tax court and the appellate court concluded that the wife held </w:t>
      </w:r>
      <w:r w:rsidR="00A625AB" w:rsidRPr="00A625AB">
        <w:rPr>
          <w:rFonts w:ascii="Calibri" w:hAnsi="Calibri"/>
        </w:rPr>
        <w:t xml:space="preserve">a GPOA </w:t>
      </w:r>
      <w:r>
        <w:rPr>
          <w:rFonts w:ascii="Calibri" w:hAnsi="Calibri"/>
        </w:rPr>
        <w:t xml:space="preserve">- </w:t>
      </w:r>
      <w:r w:rsidR="00A625AB" w:rsidRPr="00A625AB">
        <w:rPr>
          <w:rFonts w:ascii="Calibri" w:hAnsi="Calibri"/>
        </w:rPr>
        <w:t>she could effectively acc</w:t>
      </w:r>
      <w:r>
        <w:rPr>
          <w:rFonts w:ascii="Calibri" w:hAnsi="Calibri"/>
        </w:rPr>
        <w:t>ess the 5% of the bypass trust</w:t>
      </w:r>
      <w:r w:rsidR="00A625AB" w:rsidRPr="00A625AB">
        <w:rPr>
          <w:rFonts w:ascii="Calibri" w:hAnsi="Calibri"/>
        </w:rPr>
        <w:t xml:space="preserve"> </w:t>
      </w:r>
      <w:r w:rsidR="002C10A9" w:rsidRPr="00282175">
        <w:rPr>
          <w:rFonts w:ascii="Calibri" w:hAnsi="Calibri"/>
          <w:i/>
        </w:rPr>
        <w:t>at any time</w:t>
      </w:r>
      <w:r w:rsidR="00282175">
        <w:rPr>
          <w:rFonts w:ascii="Calibri" w:hAnsi="Calibri"/>
          <w:i/>
        </w:rPr>
        <w:t>, for any reason, without affecting her estate,</w:t>
      </w:r>
      <w:r w:rsidR="002C10A9">
        <w:rPr>
          <w:rFonts w:ascii="Calibri" w:hAnsi="Calibri"/>
        </w:rPr>
        <w:t xml:space="preserve"> </w:t>
      </w:r>
      <w:r w:rsidR="00A625AB" w:rsidRPr="00A625AB">
        <w:rPr>
          <w:rFonts w:ascii="Calibri" w:hAnsi="Calibri"/>
          <w:i/>
        </w:rPr>
        <w:t>during her lifetime</w:t>
      </w:r>
      <w:r w:rsidR="00A625AB" w:rsidRPr="00A625AB">
        <w:rPr>
          <w:rFonts w:ascii="Calibri" w:hAnsi="Calibri"/>
        </w:rPr>
        <w:t>.</w:t>
      </w:r>
    </w:p>
    <w:p w14:paraId="44C926FB" w14:textId="77777777" w:rsidR="005E4496" w:rsidRDefault="007D4C0C" w:rsidP="005E4496">
      <w:pPr>
        <w:spacing w:line="360" w:lineRule="auto"/>
        <w:ind w:firstLine="720"/>
        <w:rPr>
          <w:rFonts w:ascii="Calibri" w:hAnsi="Calibri"/>
        </w:rPr>
      </w:pPr>
      <w:r>
        <w:rPr>
          <w:rFonts w:ascii="Calibri" w:hAnsi="Calibri"/>
        </w:rPr>
        <w:t xml:space="preserve">The tax court’s rationale was that the “contingency” was illusory and lacked any independent non-tax consequence or significance.  The appellate court preferred a test that looked through the formalities to determine how much wealth the decedent actually controlled at death.  </w:t>
      </w:r>
      <w:r w:rsidR="000C2E84">
        <w:rPr>
          <w:rFonts w:ascii="Calibri" w:hAnsi="Calibri"/>
        </w:rPr>
        <w:t>It</w:t>
      </w:r>
      <w:r w:rsidR="005E4496">
        <w:rPr>
          <w:rFonts w:ascii="Calibri" w:hAnsi="Calibri"/>
        </w:rPr>
        <w:t xml:space="preserve"> looked to the examples in </w:t>
      </w:r>
      <w:r w:rsidR="002C10A9">
        <w:rPr>
          <w:rFonts w:ascii="Calibri" w:hAnsi="Calibri"/>
        </w:rPr>
        <w:t xml:space="preserve">the </w:t>
      </w:r>
      <w:r w:rsidR="005E4496">
        <w:rPr>
          <w:rFonts w:ascii="Calibri" w:hAnsi="Calibri"/>
        </w:rPr>
        <w:t>regulation quoted above, and noted that those examples of contingencies were not easily or quickly controlled by the powerholder, “something that depends on the course of an entire life, rather than a single choice made in the administration of one’s wealth.”</w:t>
      </w:r>
    </w:p>
    <w:p w14:paraId="73E94CD0" w14:textId="77777777" w:rsidR="00FC25DD" w:rsidRDefault="007D4C0C" w:rsidP="00094B03">
      <w:pPr>
        <w:spacing w:line="360" w:lineRule="auto"/>
        <w:ind w:firstLine="720"/>
        <w:rPr>
          <w:rFonts w:ascii="Calibri" w:hAnsi="Calibri"/>
        </w:rPr>
      </w:pPr>
      <w:r>
        <w:rPr>
          <w:rFonts w:ascii="Calibri" w:hAnsi="Calibri"/>
        </w:rPr>
        <w:lastRenderedPageBreak/>
        <w:t xml:space="preserve">In contrast to </w:t>
      </w:r>
      <w:r w:rsidRPr="007D4C0C">
        <w:rPr>
          <w:rFonts w:ascii="Calibri" w:hAnsi="Calibri"/>
          <w:i/>
        </w:rPr>
        <w:t>Kurz</w:t>
      </w:r>
      <w:r>
        <w:rPr>
          <w:rFonts w:ascii="Calibri" w:hAnsi="Calibri"/>
        </w:rPr>
        <w:t xml:space="preserve">, a formula GPOA </w:t>
      </w:r>
      <w:r w:rsidR="00F17AB2">
        <w:rPr>
          <w:rFonts w:ascii="Calibri" w:hAnsi="Calibri"/>
        </w:rPr>
        <w:t>“</w:t>
      </w:r>
      <w:r>
        <w:rPr>
          <w:rFonts w:ascii="Calibri" w:hAnsi="Calibri"/>
        </w:rPr>
        <w:t>OBIT</w:t>
      </w:r>
      <w:r w:rsidR="00F17AB2">
        <w:rPr>
          <w:rFonts w:ascii="Calibri" w:hAnsi="Calibri"/>
        </w:rPr>
        <w:t>”</w:t>
      </w:r>
      <w:r>
        <w:rPr>
          <w:rFonts w:ascii="Calibri" w:hAnsi="Calibri"/>
        </w:rPr>
        <w:t xml:space="preserve"> clause</w:t>
      </w:r>
      <w:r w:rsidR="00BA77F3">
        <w:rPr>
          <w:rFonts w:ascii="Calibri" w:hAnsi="Calibri"/>
        </w:rPr>
        <w:t xml:space="preserve"> is not a </w:t>
      </w:r>
      <w:r w:rsidR="00BA77F3" w:rsidRPr="000C2E84">
        <w:rPr>
          <w:rFonts w:ascii="Calibri" w:hAnsi="Calibri"/>
          <w:i/>
        </w:rPr>
        <w:t>lifetime</w:t>
      </w:r>
      <w:r w:rsidR="00BA77F3">
        <w:rPr>
          <w:rFonts w:ascii="Calibri" w:hAnsi="Calibri"/>
        </w:rPr>
        <w:t xml:space="preserve"> GPOA</w:t>
      </w:r>
      <w:r w:rsidR="00094B03">
        <w:rPr>
          <w:rFonts w:ascii="Calibri" w:hAnsi="Calibri"/>
        </w:rPr>
        <w:t xml:space="preserve"> – it’s testamentary</w:t>
      </w:r>
      <w:r w:rsidR="00BA77F3">
        <w:rPr>
          <w:rFonts w:ascii="Calibri" w:hAnsi="Calibri"/>
        </w:rPr>
        <w:t xml:space="preserve">.  </w:t>
      </w:r>
      <w:r w:rsidR="00794825">
        <w:rPr>
          <w:rFonts w:ascii="Calibri" w:hAnsi="Calibri"/>
        </w:rPr>
        <w:t xml:space="preserve">More importantly, unlike </w:t>
      </w:r>
      <w:r w:rsidR="00794825" w:rsidRPr="00794825">
        <w:rPr>
          <w:rFonts w:ascii="Calibri" w:hAnsi="Calibri"/>
          <w:i/>
        </w:rPr>
        <w:t>Kurz</w:t>
      </w:r>
      <w:r w:rsidR="00794825">
        <w:rPr>
          <w:rFonts w:ascii="Calibri" w:hAnsi="Calibri"/>
        </w:rPr>
        <w:t xml:space="preserve">, it is not subject to a condition precedent, nor does the capping of the GPOA hinge </w:t>
      </w:r>
      <w:r w:rsidR="00794825" w:rsidRPr="003F0503">
        <w:rPr>
          <w:rFonts w:ascii="Calibri" w:hAnsi="Calibri"/>
          <w:b/>
        </w:rPr>
        <w:t>at all</w:t>
      </w:r>
      <w:r w:rsidR="00794825">
        <w:rPr>
          <w:rFonts w:ascii="Calibri" w:hAnsi="Calibri"/>
        </w:rPr>
        <w:t xml:space="preserve"> on Treas. Reg. </w:t>
      </w:r>
      <w:r w:rsidR="007903FF">
        <w:rPr>
          <w:rFonts w:ascii="Calibri" w:hAnsi="Calibri"/>
        </w:rPr>
        <w:t>§</w:t>
      </w:r>
      <w:r w:rsidR="00794825">
        <w:rPr>
          <w:rFonts w:ascii="Calibri" w:hAnsi="Calibri"/>
        </w:rPr>
        <w:t>20.2041-3(b) – it is pursuant to other treasury regulations cited herein</w:t>
      </w:r>
      <w:r w:rsidR="008F091B">
        <w:rPr>
          <w:rFonts w:ascii="Calibri" w:hAnsi="Calibri"/>
        </w:rPr>
        <w:t>.</w:t>
      </w:r>
      <w:r w:rsidR="008F091B">
        <w:rPr>
          <w:rStyle w:val="FootnoteReference"/>
          <w:rFonts w:ascii="Calibri" w:hAnsi="Calibri"/>
        </w:rPr>
        <w:footnoteReference w:id="143"/>
      </w:r>
      <w:r w:rsidR="008F091B">
        <w:rPr>
          <w:rFonts w:ascii="Calibri" w:hAnsi="Calibri"/>
        </w:rPr>
        <w:t xml:space="preserve">  </w:t>
      </w:r>
      <w:r w:rsidR="00794825">
        <w:rPr>
          <w:rFonts w:ascii="Calibri" w:hAnsi="Calibri"/>
        </w:rPr>
        <w:t>Additionally, u</w:t>
      </w:r>
      <w:r w:rsidR="00BA77F3">
        <w:rPr>
          <w:rFonts w:ascii="Calibri" w:hAnsi="Calibri"/>
        </w:rPr>
        <w:t xml:space="preserve">nlike the ability of a beneficiary to withdraw at will as in </w:t>
      </w:r>
      <w:r w:rsidR="00BA77F3" w:rsidRPr="00794825">
        <w:rPr>
          <w:rFonts w:ascii="Calibri" w:hAnsi="Calibri"/>
          <w:i/>
        </w:rPr>
        <w:t>Kurz</w:t>
      </w:r>
      <w:r w:rsidR="00BA77F3">
        <w:rPr>
          <w:rFonts w:ascii="Calibri" w:hAnsi="Calibri"/>
        </w:rPr>
        <w:t xml:space="preserve">, which the appellate court </w:t>
      </w:r>
      <w:r w:rsidR="00794825">
        <w:rPr>
          <w:rFonts w:ascii="Calibri" w:hAnsi="Calibri"/>
        </w:rPr>
        <w:t>deemed</w:t>
      </w:r>
      <w:r w:rsidR="00BA77F3">
        <w:rPr>
          <w:rFonts w:ascii="Calibri" w:hAnsi="Calibri"/>
        </w:rPr>
        <w:t xml:space="preserve"> “barely comes within the common understanding of ‘event or…contingency’”, the ability of an O</w:t>
      </w:r>
      <w:r w:rsidR="00794825">
        <w:rPr>
          <w:rFonts w:ascii="Calibri" w:hAnsi="Calibri"/>
        </w:rPr>
        <w:t xml:space="preserve">BIT formula GPOA powerholder (if it would otherwise be capped) to increase their testamentary GPOA would require </w:t>
      </w:r>
      <w:r w:rsidR="00DC6ACD">
        <w:rPr>
          <w:rFonts w:ascii="Calibri" w:hAnsi="Calibri"/>
        </w:rPr>
        <w:t xml:space="preserve">giving away or </w:t>
      </w:r>
      <w:r w:rsidR="00794825">
        <w:rPr>
          <w:rFonts w:ascii="Calibri" w:hAnsi="Calibri"/>
        </w:rPr>
        <w:t xml:space="preserve">spending </w:t>
      </w:r>
      <w:r w:rsidR="00393B7D">
        <w:rPr>
          <w:rFonts w:ascii="Calibri" w:hAnsi="Calibri"/>
        </w:rPr>
        <w:t xml:space="preserve">a significant portion of </w:t>
      </w:r>
      <w:r w:rsidR="000C2E84">
        <w:rPr>
          <w:rFonts w:ascii="Calibri" w:hAnsi="Calibri"/>
        </w:rPr>
        <w:t>their assets</w:t>
      </w:r>
      <w:r w:rsidR="008E5338">
        <w:rPr>
          <w:rFonts w:ascii="Calibri" w:hAnsi="Calibri"/>
        </w:rPr>
        <w:t xml:space="preserve"> </w:t>
      </w:r>
      <w:r w:rsidR="003F0503">
        <w:rPr>
          <w:rFonts w:ascii="Calibri" w:hAnsi="Calibri"/>
        </w:rPr>
        <w:t xml:space="preserve">(quite unlike </w:t>
      </w:r>
      <w:r w:rsidR="003F0503" w:rsidRPr="003F0503">
        <w:rPr>
          <w:rFonts w:ascii="Calibri" w:hAnsi="Calibri"/>
          <w:i/>
        </w:rPr>
        <w:t>Kurz</w:t>
      </w:r>
      <w:r w:rsidR="003F0503">
        <w:rPr>
          <w:rFonts w:ascii="Calibri" w:hAnsi="Calibri"/>
          <w:i/>
        </w:rPr>
        <w:t>)</w:t>
      </w:r>
      <w:r w:rsidR="000C2E84">
        <w:rPr>
          <w:rFonts w:ascii="Calibri" w:hAnsi="Calibri"/>
        </w:rPr>
        <w:t xml:space="preserve"> – a significant </w:t>
      </w:r>
      <w:r w:rsidR="00FC25DD">
        <w:rPr>
          <w:rFonts w:ascii="Calibri" w:hAnsi="Calibri"/>
        </w:rPr>
        <w:t>“</w:t>
      </w:r>
      <w:r w:rsidR="000C2E84">
        <w:rPr>
          <w:rFonts w:ascii="Calibri" w:hAnsi="Calibri"/>
        </w:rPr>
        <w:t>non-tax consequence</w:t>
      </w:r>
      <w:r w:rsidR="00FC25DD">
        <w:rPr>
          <w:rFonts w:ascii="Calibri" w:hAnsi="Calibri"/>
        </w:rPr>
        <w:t>”</w:t>
      </w:r>
      <w:r w:rsidR="000C2E84">
        <w:rPr>
          <w:rFonts w:ascii="Calibri" w:hAnsi="Calibri"/>
        </w:rPr>
        <w:t xml:space="preserve"> if there ever was one. </w:t>
      </w:r>
      <w:r w:rsidR="00721CA0">
        <w:rPr>
          <w:rFonts w:ascii="Calibri" w:hAnsi="Calibri"/>
        </w:rPr>
        <w:t xml:space="preserve"> Let’s take apart the </w:t>
      </w:r>
      <w:r w:rsidR="000772E3">
        <w:rPr>
          <w:rFonts w:ascii="Calibri" w:hAnsi="Calibri"/>
        </w:rPr>
        <w:t>“</w:t>
      </w:r>
      <w:r w:rsidR="00721CA0">
        <w:rPr>
          <w:rFonts w:ascii="Calibri" w:hAnsi="Calibri"/>
        </w:rPr>
        <w:t>ballooning GPOA</w:t>
      </w:r>
      <w:r w:rsidR="000772E3">
        <w:rPr>
          <w:rFonts w:ascii="Calibri" w:hAnsi="Calibri"/>
        </w:rPr>
        <w:t>”</w:t>
      </w:r>
      <w:r w:rsidR="00721CA0">
        <w:rPr>
          <w:rFonts w:ascii="Calibri" w:hAnsi="Calibri"/>
        </w:rPr>
        <w:t xml:space="preserve"> argument in two parts – the purported control by lifetime giving/spending/debt incurrence, and the purported control by testamentary charitable/marital </w:t>
      </w:r>
      <w:r w:rsidR="002E7CF2">
        <w:rPr>
          <w:rFonts w:ascii="Calibri" w:hAnsi="Calibri"/>
        </w:rPr>
        <w:t>bequest.</w:t>
      </w:r>
    </w:p>
    <w:p w14:paraId="7A06315C" w14:textId="021A8D30" w:rsidR="008E5338" w:rsidRDefault="008E5338" w:rsidP="00A625AB">
      <w:pPr>
        <w:spacing w:line="360" w:lineRule="auto"/>
        <w:ind w:firstLine="720"/>
        <w:rPr>
          <w:rFonts w:ascii="Calibri" w:hAnsi="Calibri"/>
        </w:rPr>
      </w:pPr>
      <w:r>
        <w:rPr>
          <w:rFonts w:ascii="Calibri" w:hAnsi="Calibri"/>
        </w:rPr>
        <w:t xml:space="preserve">If, as some would argue, the </w:t>
      </w:r>
      <w:r w:rsidR="00E6283F">
        <w:rPr>
          <w:rFonts w:ascii="Calibri" w:hAnsi="Calibri"/>
        </w:rPr>
        <w:t xml:space="preserve">surviving </w:t>
      </w:r>
      <w:r>
        <w:rPr>
          <w:rFonts w:ascii="Calibri" w:hAnsi="Calibri"/>
        </w:rPr>
        <w:t xml:space="preserve">spouse’s ability to enlarge the formula </w:t>
      </w:r>
      <w:r w:rsidR="00F0502F">
        <w:rPr>
          <w:rFonts w:ascii="Calibri" w:hAnsi="Calibri"/>
        </w:rPr>
        <w:t xml:space="preserve">testamentary </w:t>
      </w:r>
      <w:r>
        <w:rPr>
          <w:rFonts w:ascii="Calibri" w:hAnsi="Calibri"/>
        </w:rPr>
        <w:t xml:space="preserve">GPOA by bankrupting themselves constitutes </w:t>
      </w:r>
      <w:r w:rsidRPr="00F0502F">
        <w:rPr>
          <w:rFonts w:ascii="Calibri" w:hAnsi="Calibri"/>
          <w:i/>
        </w:rPr>
        <w:t>control</w:t>
      </w:r>
      <w:r>
        <w:rPr>
          <w:rFonts w:ascii="Calibri" w:hAnsi="Calibri"/>
        </w:rPr>
        <w:t>, then arguably every</w:t>
      </w:r>
      <w:r w:rsidR="00F0502F">
        <w:rPr>
          <w:rFonts w:ascii="Calibri" w:hAnsi="Calibri"/>
        </w:rPr>
        <w:t xml:space="preserve"> beneficiary of an</w:t>
      </w:r>
      <w:r>
        <w:rPr>
          <w:rFonts w:ascii="Calibri" w:hAnsi="Calibri"/>
        </w:rPr>
        <w:t xml:space="preserve"> irrevocable trust with a means tested </w:t>
      </w:r>
      <w:r w:rsidR="00F0502F">
        <w:rPr>
          <w:rFonts w:ascii="Calibri" w:hAnsi="Calibri"/>
        </w:rPr>
        <w:t>provision</w:t>
      </w:r>
      <w:r>
        <w:rPr>
          <w:rFonts w:ascii="Calibri" w:hAnsi="Calibri"/>
        </w:rPr>
        <w:t xml:space="preserve"> should </w:t>
      </w:r>
      <w:r w:rsidR="00F0502F">
        <w:rPr>
          <w:rFonts w:ascii="Calibri" w:hAnsi="Calibri"/>
        </w:rPr>
        <w:t xml:space="preserve">be deemed to </w:t>
      </w:r>
      <w:r>
        <w:rPr>
          <w:rFonts w:ascii="Calibri" w:hAnsi="Calibri"/>
        </w:rPr>
        <w:t>have a de facto</w:t>
      </w:r>
      <w:r w:rsidR="00F0502F">
        <w:rPr>
          <w:rFonts w:ascii="Calibri" w:hAnsi="Calibri"/>
        </w:rPr>
        <w:t xml:space="preserve"> general power of appointment.  E.g.</w:t>
      </w:r>
      <w:r w:rsidR="00E6283F">
        <w:rPr>
          <w:rFonts w:ascii="Calibri" w:hAnsi="Calibri"/>
        </w:rPr>
        <w:t>,</w:t>
      </w:r>
      <w:r w:rsidR="00F0502F">
        <w:rPr>
          <w:rFonts w:ascii="Calibri" w:hAnsi="Calibri"/>
        </w:rPr>
        <w:t xml:space="preserve"> Jimmy, an irrevocable trust beneficiary, was used to a lifestyle spending $200,000/</w:t>
      </w:r>
      <w:r w:rsidR="00772C0D">
        <w:rPr>
          <w:rFonts w:ascii="Calibri" w:hAnsi="Calibri"/>
        </w:rPr>
        <w:t>yr.</w:t>
      </w:r>
      <w:r w:rsidR="00F0502F">
        <w:rPr>
          <w:rFonts w:ascii="Calibri" w:hAnsi="Calibri"/>
        </w:rPr>
        <w:t xml:space="preserve"> after tax.  </w:t>
      </w:r>
      <w:r w:rsidR="005E0EB1">
        <w:rPr>
          <w:rFonts w:ascii="Calibri" w:hAnsi="Calibri"/>
        </w:rPr>
        <w:t>The t</w:t>
      </w:r>
      <w:r w:rsidR="00F0502F">
        <w:rPr>
          <w:rFonts w:ascii="Calibri" w:hAnsi="Calibri"/>
        </w:rPr>
        <w:t xml:space="preserve">rustee has paid him little if anything previously under “health, education, maintenance and support in the lifestyle in which he is accustomed, taking other resources available into account”.  Jimmy </w:t>
      </w:r>
      <w:r w:rsidR="00A6430A">
        <w:rPr>
          <w:rFonts w:ascii="Calibri" w:hAnsi="Calibri"/>
        </w:rPr>
        <w:t xml:space="preserve">quits his job, </w:t>
      </w:r>
      <w:r w:rsidR="00F0502F">
        <w:rPr>
          <w:rFonts w:ascii="Calibri" w:hAnsi="Calibri"/>
        </w:rPr>
        <w:t xml:space="preserve">spends all his money on expensive gene therapy, gambling, </w:t>
      </w:r>
      <w:r w:rsidR="00A6430A">
        <w:rPr>
          <w:rFonts w:ascii="Calibri" w:hAnsi="Calibri"/>
        </w:rPr>
        <w:t xml:space="preserve">drugs </w:t>
      </w:r>
      <w:r w:rsidR="00F0502F">
        <w:rPr>
          <w:rFonts w:ascii="Calibri" w:hAnsi="Calibri"/>
        </w:rPr>
        <w:t>or whatever.  He’s now arguably entitle</w:t>
      </w:r>
      <w:r w:rsidR="00E6283F">
        <w:rPr>
          <w:rFonts w:ascii="Calibri" w:hAnsi="Calibri"/>
        </w:rPr>
        <w:t>d to $200,000/</w:t>
      </w:r>
      <w:r w:rsidR="00772C0D">
        <w:rPr>
          <w:rFonts w:ascii="Calibri" w:hAnsi="Calibri"/>
        </w:rPr>
        <w:t>yr.</w:t>
      </w:r>
      <w:r w:rsidR="00E6283F">
        <w:rPr>
          <w:rFonts w:ascii="Calibri" w:hAnsi="Calibri"/>
        </w:rPr>
        <w:t xml:space="preserve"> from the trust, even though he could adopt a frugal lifestyle</w:t>
      </w:r>
      <w:r w:rsidR="00A6430A">
        <w:rPr>
          <w:rFonts w:ascii="Calibri" w:hAnsi="Calibri"/>
        </w:rPr>
        <w:t>, get a job</w:t>
      </w:r>
      <w:r w:rsidR="00E6283F">
        <w:rPr>
          <w:rFonts w:ascii="Calibri" w:hAnsi="Calibri"/>
        </w:rPr>
        <w:t xml:space="preserve"> and</w:t>
      </w:r>
      <w:r w:rsidR="00A6430A">
        <w:rPr>
          <w:rFonts w:ascii="Calibri" w:hAnsi="Calibri"/>
        </w:rPr>
        <w:t>/or</w:t>
      </w:r>
      <w:r w:rsidR="00E6283F">
        <w:rPr>
          <w:rFonts w:ascii="Calibri" w:hAnsi="Calibri"/>
        </w:rPr>
        <w:t xml:space="preserve"> subsist on 1/10 that.</w:t>
      </w:r>
      <w:r w:rsidR="00F0502F">
        <w:rPr>
          <w:rFonts w:ascii="Calibri" w:hAnsi="Calibri"/>
        </w:rPr>
        <w:t xml:space="preserve">  Under the </w:t>
      </w:r>
      <w:r w:rsidR="00F0502F" w:rsidRPr="00A6430A">
        <w:rPr>
          <w:rFonts w:ascii="Calibri" w:hAnsi="Calibri"/>
          <w:i/>
        </w:rPr>
        <w:t>de facto</w:t>
      </w:r>
      <w:r w:rsidR="00F0502F">
        <w:rPr>
          <w:rFonts w:ascii="Calibri" w:hAnsi="Calibri"/>
        </w:rPr>
        <w:t xml:space="preserve"> </w:t>
      </w:r>
      <w:r w:rsidR="00F0502F" w:rsidRPr="00F0502F">
        <w:rPr>
          <w:rFonts w:ascii="Calibri" w:hAnsi="Calibri"/>
          <w:i/>
        </w:rPr>
        <w:t>control</w:t>
      </w:r>
      <w:r w:rsidR="00F0502F">
        <w:rPr>
          <w:rFonts w:ascii="Calibri" w:hAnsi="Calibri"/>
        </w:rPr>
        <w:t xml:space="preserve"> argument, Jimmy </w:t>
      </w:r>
      <w:r w:rsidR="00A6430A">
        <w:rPr>
          <w:rFonts w:ascii="Calibri" w:hAnsi="Calibri"/>
        </w:rPr>
        <w:t>would have</w:t>
      </w:r>
      <w:r w:rsidR="00F0502F">
        <w:rPr>
          <w:rFonts w:ascii="Calibri" w:hAnsi="Calibri"/>
        </w:rPr>
        <w:t xml:space="preserve"> a GPOA</w:t>
      </w:r>
      <w:r w:rsidR="00721CA0">
        <w:rPr>
          <w:rFonts w:ascii="Calibri" w:hAnsi="Calibri"/>
        </w:rPr>
        <w:t xml:space="preserve"> over the trust</w:t>
      </w:r>
      <w:r w:rsidR="00A6430A">
        <w:rPr>
          <w:rFonts w:ascii="Calibri" w:hAnsi="Calibri"/>
        </w:rPr>
        <w:t xml:space="preserve"> or at least over the present value of $200,000/</w:t>
      </w:r>
      <w:r w:rsidR="00772C0D">
        <w:rPr>
          <w:rFonts w:ascii="Calibri" w:hAnsi="Calibri"/>
        </w:rPr>
        <w:t>yr.</w:t>
      </w:r>
      <w:r w:rsidR="00A6430A">
        <w:rPr>
          <w:rFonts w:ascii="Calibri" w:hAnsi="Calibri"/>
        </w:rPr>
        <w:t xml:space="preserve"> if the trust is larger, </w:t>
      </w:r>
      <w:r w:rsidR="00F0502F">
        <w:rPr>
          <w:rFonts w:ascii="Calibri" w:hAnsi="Calibri"/>
        </w:rPr>
        <w:t>but we know he doesn’</w:t>
      </w:r>
      <w:r w:rsidR="00721CA0">
        <w:rPr>
          <w:rFonts w:ascii="Calibri" w:hAnsi="Calibri"/>
        </w:rPr>
        <w:t>t, because Jimmy</w:t>
      </w:r>
      <w:r w:rsidR="00E6283F">
        <w:rPr>
          <w:rFonts w:ascii="Calibri" w:hAnsi="Calibri"/>
        </w:rPr>
        <w:t>’s ability</w:t>
      </w:r>
      <w:r w:rsidR="00721CA0">
        <w:rPr>
          <w:rFonts w:ascii="Calibri" w:hAnsi="Calibri"/>
        </w:rPr>
        <w:t xml:space="preserve"> to indirectly access/control the amount of appointive assets available under the </w:t>
      </w:r>
      <w:r w:rsidR="00E6283F">
        <w:rPr>
          <w:rFonts w:ascii="Calibri" w:hAnsi="Calibri"/>
        </w:rPr>
        <w:t xml:space="preserve">trustee’s </w:t>
      </w:r>
      <w:r w:rsidR="00721CA0">
        <w:rPr>
          <w:rFonts w:ascii="Calibri" w:hAnsi="Calibri"/>
        </w:rPr>
        <w:t xml:space="preserve">fiduciary power of appointment is trumped by the more </w:t>
      </w:r>
      <w:r w:rsidR="00721CA0">
        <w:rPr>
          <w:rFonts w:ascii="Calibri" w:hAnsi="Calibri"/>
        </w:rPr>
        <w:lastRenderedPageBreak/>
        <w:t>specific and clearer rules of IRC §2041/</w:t>
      </w:r>
      <w:r w:rsidR="00E6283F">
        <w:rPr>
          <w:rFonts w:ascii="Calibri" w:hAnsi="Calibri"/>
        </w:rPr>
        <w:t>§</w:t>
      </w:r>
      <w:r w:rsidR="00721CA0">
        <w:rPr>
          <w:rFonts w:ascii="Calibri" w:hAnsi="Calibri"/>
        </w:rPr>
        <w:t>2514 which clearly do not cause Jimmy to have a power of appointment</w:t>
      </w:r>
      <w:r w:rsidR="00E6283F">
        <w:rPr>
          <w:rFonts w:ascii="Calibri" w:hAnsi="Calibri"/>
        </w:rPr>
        <w:t xml:space="preserve"> in spite of his indirect control, even if Jimmy were trustee!</w:t>
      </w:r>
    </w:p>
    <w:p w14:paraId="5AA0998C" w14:textId="77777777" w:rsidR="004C2A66" w:rsidRDefault="00097EFA" w:rsidP="00097EFA">
      <w:pPr>
        <w:pStyle w:val="FootnoteText"/>
        <w:spacing w:line="360" w:lineRule="auto"/>
        <w:ind w:firstLine="720"/>
        <w:rPr>
          <w:rFonts w:ascii="Calibri" w:hAnsi="Calibri"/>
          <w:sz w:val="24"/>
          <w:szCs w:val="24"/>
        </w:rPr>
      </w:pPr>
      <w:r w:rsidRPr="00097EFA">
        <w:rPr>
          <w:rFonts w:ascii="Calibri" w:hAnsi="Calibri"/>
          <w:sz w:val="24"/>
          <w:szCs w:val="24"/>
        </w:rPr>
        <w:t xml:space="preserve">What of the ability of a powerholder to indirectly augment their GPOA </w:t>
      </w:r>
      <w:r w:rsidR="00E6283F" w:rsidRPr="00097EFA">
        <w:rPr>
          <w:rFonts w:ascii="Calibri" w:hAnsi="Calibri"/>
          <w:sz w:val="24"/>
          <w:szCs w:val="24"/>
        </w:rPr>
        <w:t>via marital/charitable</w:t>
      </w:r>
      <w:r w:rsidRPr="00097EFA">
        <w:rPr>
          <w:rFonts w:ascii="Calibri" w:hAnsi="Calibri"/>
          <w:sz w:val="24"/>
          <w:szCs w:val="24"/>
        </w:rPr>
        <w:t xml:space="preserve"> bequest</w:t>
      </w:r>
      <w:r w:rsidR="00E6283F" w:rsidRPr="00097EFA">
        <w:rPr>
          <w:rFonts w:ascii="Calibri" w:hAnsi="Calibri"/>
          <w:sz w:val="24"/>
          <w:szCs w:val="24"/>
        </w:rPr>
        <w:t xml:space="preserve">?  This certainly sounds like </w:t>
      </w:r>
      <w:r w:rsidRPr="00097EFA">
        <w:rPr>
          <w:rFonts w:ascii="Calibri" w:hAnsi="Calibri"/>
          <w:sz w:val="24"/>
          <w:szCs w:val="24"/>
        </w:rPr>
        <w:t>the</w:t>
      </w:r>
      <w:r w:rsidR="00E6283F" w:rsidRPr="00097EFA">
        <w:rPr>
          <w:rFonts w:ascii="Calibri" w:hAnsi="Calibri"/>
          <w:sz w:val="24"/>
          <w:szCs w:val="24"/>
        </w:rPr>
        <w:t xml:space="preserve"> more plausible</w:t>
      </w:r>
      <w:r w:rsidRPr="00097EFA">
        <w:rPr>
          <w:rFonts w:ascii="Calibri" w:hAnsi="Calibri"/>
          <w:sz w:val="24"/>
          <w:szCs w:val="24"/>
        </w:rPr>
        <w:t xml:space="preserve"> line of</w:t>
      </w:r>
      <w:r w:rsidR="00E6283F" w:rsidRPr="00097EFA">
        <w:rPr>
          <w:rFonts w:ascii="Calibri" w:hAnsi="Calibri"/>
          <w:sz w:val="24"/>
          <w:szCs w:val="24"/>
        </w:rPr>
        <w:t xml:space="preserve"> attack.  </w:t>
      </w:r>
      <w:r w:rsidRPr="00097EFA">
        <w:rPr>
          <w:rFonts w:ascii="Calibri" w:hAnsi="Calibri"/>
          <w:sz w:val="24"/>
          <w:szCs w:val="24"/>
        </w:rPr>
        <w:t xml:space="preserve">Again, let’s start with an example: </w:t>
      </w:r>
      <w:r w:rsidR="000C334B">
        <w:rPr>
          <w:rFonts w:ascii="Calibri" w:hAnsi="Calibri"/>
          <w:sz w:val="24"/>
          <w:szCs w:val="24"/>
        </w:rPr>
        <w:t>Sandra is a widow with $7 million AEA and</w:t>
      </w:r>
      <w:r w:rsidRPr="00097EFA">
        <w:rPr>
          <w:rFonts w:ascii="Calibri" w:hAnsi="Calibri"/>
          <w:sz w:val="24"/>
          <w:szCs w:val="24"/>
        </w:rPr>
        <w:t xml:space="preserve"> $7 million estate who has a formula GPOA over a $4</w:t>
      </w:r>
      <w:r w:rsidR="000C334B">
        <w:rPr>
          <w:rFonts w:ascii="Calibri" w:hAnsi="Calibri"/>
          <w:sz w:val="24"/>
          <w:szCs w:val="24"/>
        </w:rPr>
        <w:t>.5</w:t>
      </w:r>
      <w:r w:rsidRPr="00097EFA">
        <w:rPr>
          <w:rFonts w:ascii="Calibri" w:hAnsi="Calibri"/>
          <w:sz w:val="24"/>
          <w:szCs w:val="24"/>
        </w:rPr>
        <w:t xml:space="preserve"> million bypass trust, </w:t>
      </w:r>
      <w:r w:rsidR="000C334B">
        <w:rPr>
          <w:rFonts w:ascii="Calibri" w:hAnsi="Calibri"/>
          <w:sz w:val="24"/>
          <w:szCs w:val="24"/>
        </w:rPr>
        <w:t xml:space="preserve">left to her by her late husband (assume the cap is based on net estate </w:t>
      </w:r>
      <w:r w:rsidR="000C334B" w:rsidRPr="00B87A74">
        <w:rPr>
          <w:rFonts w:ascii="Calibri" w:hAnsi="Calibri"/>
          <w:i/>
          <w:sz w:val="24"/>
          <w:szCs w:val="24"/>
        </w:rPr>
        <w:t>after</w:t>
      </w:r>
      <w:r w:rsidR="000C334B">
        <w:rPr>
          <w:rFonts w:ascii="Calibri" w:hAnsi="Calibri"/>
          <w:sz w:val="24"/>
          <w:szCs w:val="24"/>
        </w:rPr>
        <w:t xml:space="preserve"> marital/charitable deductions</w:t>
      </w:r>
      <w:r w:rsidR="004C2A66">
        <w:rPr>
          <w:rFonts w:ascii="Calibri" w:hAnsi="Calibri"/>
          <w:sz w:val="24"/>
          <w:szCs w:val="24"/>
        </w:rPr>
        <w:t>)</w:t>
      </w:r>
      <w:r w:rsidR="000C334B">
        <w:rPr>
          <w:rFonts w:ascii="Calibri" w:hAnsi="Calibri"/>
          <w:sz w:val="24"/>
          <w:szCs w:val="24"/>
        </w:rPr>
        <w:t>.  If Sandra gives</w:t>
      </w:r>
      <w:r w:rsidRPr="00097EFA">
        <w:rPr>
          <w:rFonts w:ascii="Calibri" w:hAnsi="Calibri"/>
          <w:sz w:val="24"/>
          <w:szCs w:val="24"/>
        </w:rPr>
        <w:t xml:space="preserve"> </w:t>
      </w:r>
      <w:r w:rsidR="004C2A66">
        <w:rPr>
          <w:rFonts w:ascii="Calibri" w:hAnsi="Calibri"/>
          <w:sz w:val="24"/>
          <w:szCs w:val="24"/>
        </w:rPr>
        <w:t>$2 million</w:t>
      </w:r>
      <w:r w:rsidRPr="00097EFA">
        <w:rPr>
          <w:rFonts w:ascii="Calibri" w:hAnsi="Calibri"/>
          <w:sz w:val="24"/>
          <w:szCs w:val="24"/>
        </w:rPr>
        <w:t xml:space="preserve"> to charity, </w:t>
      </w:r>
      <w:r w:rsidR="000C334B">
        <w:rPr>
          <w:rFonts w:ascii="Calibri" w:hAnsi="Calibri"/>
          <w:sz w:val="24"/>
          <w:szCs w:val="24"/>
        </w:rPr>
        <w:t>she</w:t>
      </w:r>
      <w:r w:rsidRPr="00097EFA">
        <w:rPr>
          <w:rFonts w:ascii="Calibri" w:hAnsi="Calibri"/>
          <w:sz w:val="24"/>
          <w:szCs w:val="24"/>
        </w:rPr>
        <w:t xml:space="preserve"> would otherwise </w:t>
      </w:r>
      <w:r w:rsidR="000C334B">
        <w:rPr>
          <w:rFonts w:ascii="Calibri" w:hAnsi="Calibri"/>
          <w:sz w:val="24"/>
          <w:szCs w:val="24"/>
        </w:rPr>
        <w:t>have</w:t>
      </w:r>
      <w:r w:rsidRPr="00097EFA">
        <w:rPr>
          <w:rFonts w:ascii="Calibri" w:hAnsi="Calibri"/>
          <w:sz w:val="24"/>
          <w:szCs w:val="24"/>
        </w:rPr>
        <w:t xml:space="preserve"> $</w:t>
      </w:r>
      <w:r w:rsidR="004C2A66">
        <w:rPr>
          <w:rFonts w:ascii="Calibri" w:hAnsi="Calibri"/>
          <w:sz w:val="24"/>
          <w:szCs w:val="24"/>
        </w:rPr>
        <w:t>2</w:t>
      </w:r>
      <w:r w:rsidRPr="00097EFA">
        <w:rPr>
          <w:rFonts w:ascii="Calibri" w:hAnsi="Calibri"/>
          <w:sz w:val="24"/>
          <w:szCs w:val="24"/>
        </w:rPr>
        <w:t xml:space="preserve"> million of additional basis increasing “coupon”</w:t>
      </w:r>
      <w:r w:rsidR="000C334B">
        <w:rPr>
          <w:rFonts w:ascii="Calibri" w:hAnsi="Calibri"/>
          <w:sz w:val="24"/>
          <w:szCs w:val="24"/>
        </w:rPr>
        <w:t xml:space="preserve"> to use over the bypass trust</w:t>
      </w:r>
      <w:r w:rsidR="004C2A66">
        <w:rPr>
          <w:rFonts w:ascii="Calibri" w:hAnsi="Calibri"/>
          <w:sz w:val="24"/>
          <w:szCs w:val="24"/>
        </w:rPr>
        <w:t>, if she gives $4.5 million to charity, she would in theory have control over all of it</w:t>
      </w:r>
      <w:r w:rsidR="000C334B">
        <w:rPr>
          <w:rFonts w:ascii="Calibri" w:hAnsi="Calibri"/>
          <w:sz w:val="24"/>
          <w:szCs w:val="24"/>
        </w:rPr>
        <w:t xml:space="preserve">.  </w:t>
      </w:r>
      <w:r w:rsidR="005E0EB1">
        <w:rPr>
          <w:rFonts w:ascii="Calibri" w:hAnsi="Calibri"/>
          <w:sz w:val="24"/>
          <w:szCs w:val="24"/>
        </w:rPr>
        <w:t xml:space="preserve">Ditto if she marries and leaves the equivalent to her new husband.  </w:t>
      </w:r>
      <w:r w:rsidR="000C334B">
        <w:rPr>
          <w:rFonts w:ascii="Calibri" w:hAnsi="Calibri"/>
          <w:sz w:val="24"/>
          <w:szCs w:val="24"/>
        </w:rPr>
        <w:t>Does her ability to</w:t>
      </w:r>
      <w:r w:rsidR="004C2A66">
        <w:rPr>
          <w:rFonts w:ascii="Calibri" w:hAnsi="Calibri"/>
          <w:sz w:val="24"/>
          <w:szCs w:val="24"/>
        </w:rPr>
        <w:t xml:space="preserve"> control the amount of the GPOA mean it is all in her estate </w:t>
      </w:r>
      <w:r w:rsidR="004C2A66" w:rsidRPr="00B87A74">
        <w:rPr>
          <w:rFonts w:ascii="Calibri" w:hAnsi="Calibri"/>
          <w:i/>
          <w:sz w:val="24"/>
          <w:szCs w:val="24"/>
        </w:rPr>
        <w:t>even if she makes no charitable contribution</w:t>
      </w:r>
      <w:r w:rsidR="004C2A66">
        <w:rPr>
          <w:rFonts w:ascii="Calibri" w:hAnsi="Calibri"/>
          <w:sz w:val="24"/>
          <w:szCs w:val="24"/>
        </w:rPr>
        <w:t>?</w:t>
      </w:r>
    </w:p>
    <w:p w14:paraId="5E2F64E7" w14:textId="3628CF1F" w:rsidR="00DC6ACD" w:rsidRDefault="004C2A66" w:rsidP="00A625AB">
      <w:pPr>
        <w:spacing w:line="360" w:lineRule="auto"/>
        <w:ind w:firstLine="720"/>
        <w:rPr>
          <w:rFonts w:ascii="Calibri" w:hAnsi="Calibri"/>
        </w:rPr>
      </w:pPr>
      <w:r>
        <w:rPr>
          <w:rFonts w:ascii="Calibri" w:hAnsi="Calibri"/>
        </w:rPr>
        <w:t>Not if we properly understand</w:t>
      </w:r>
      <w:r w:rsidR="00FC25DD">
        <w:rPr>
          <w:rFonts w:ascii="Calibri" w:hAnsi="Calibri"/>
        </w:rPr>
        <w:t xml:space="preserve"> the goal </w:t>
      </w:r>
      <w:r w:rsidR="00881937">
        <w:rPr>
          <w:rFonts w:ascii="Calibri" w:hAnsi="Calibri"/>
        </w:rPr>
        <w:t>and theory behind</w:t>
      </w:r>
      <w:r w:rsidR="008E5338">
        <w:rPr>
          <w:rFonts w:ascii="Calibri" w:hAnsi="Calibri"/>
        </w:rPr>
        <w:t xml:space="preserve"> </w:t>
      </w:r>
      <w:r w:rsidR="00A6430A">
        <w:rPr>
          <w:rFonts w:ascii="Calibri" w:hAnsi="Calibri"/>
        </w:rPr>
        <w:t xml:space="preserve">IRC §2041 and </w:t>
      </w:r>
      <w:r w:rsidR="008E5338">
        <w:rPr>
          <w:rFonts w:ascii="Calibri" w:hAnsi="Calibri"/>
        </w:rPr>
        <w:t>estate taxation of GPOAs</w:t>
      </w:r>
      <w:r w:rsidR="00881937">
        <w:rPr>
          <w:rFonts w:ascii="Calibri" w:hAnsi="Calibri"/>
        </w:rPr>
        <w:t xml:space="preserve">, espoused by </w:t>
      </w:r>
      <w:r w:rsidR="00881937" w:rsidRPr="00881937">
        <w:rPr>
          <w:rFonts w:ascii="Calibri" w:hAnsi="Calibri"/>
          <w:i/>
        </w:rPr>
        <w:t>Kurz</w:t>
      </w:r>
      <w:r w:rsidR="00881937">
        <w:rPr>
          <w:rFonts w:ascii="Calibri" w:hAnsi="Calibri"/>
        </w:rPr>
        <w:t xml:space="preserve"> and other cases.  T</w:t>
      </w:r>
      <w:r w:rsidR="008E5338">
        <w:rPr>
          <w:rFonts w:ascii="Calibri" w:hAnsi="Calibri"/>
        </w:rPr>
        <w:t xml:space="preserve">axation of </w:t>
      </w:r>
      <w:r w:rsidR="00FC25DD">
        <w:rPr>
          <w:rFonts w:ascii="Calibri" w:hAnsi="Calibri"/>
        </w:rPr>
        <w:t xml:space="preserve">a </w:t>
      </w:r>
      <w:r w:rsidR="00FC25DD" w:rsidRPr="008E5338">
        <w:rPr>
          <w:rFonts w:ascii="Calibri" w:hAnsi="Calibri"/>
          <w:i/>
        </w:rPr>
        <w:t>testamentary</w:t>
      </w:r>
      <w:r w:rsidR="00FC25DD">
        <w:rPr>
          <w:rFonts w:ascii="Calibri" w:hAnsi="Calibri"/>
        </w:rPr>
        <w:t xml:space="preserve"> GPOA </w:t>
      </w:r>
      <w:r w:rsidR="00FC25DD" w:rsidRPr="00555C86">
        <w:rPr>
          <w:rFonts w:ascii="Calibri" w:hAnsi="Calibri"/>
          <w:b/>
        </w:rPr>
        <w:t>must</w:t>
      </w:r>
      <w:r w:rsidR="00FC25DD">
        <w:rPr>
          <w:rFonts w:ascii="Calibri" w:hAnsi="Calibri"/>
        </w:rPr>
        <w:t xml:space="preserve"> look to the value of what </w:t>
      </w:r>
      <w:r w:rsidR="008E5338">
        <w:rPr>
          <w:rFonts w:ascii="Calibri" w:hAnsi="Calibri"/>
        </w:rPr>
        <w:t xml:space="preserve">assets it permits the powerholder to transfer </w:t>
      </w:r>
      <w:r>
        <w:rPr>
          <w:rFonts w:ascii="Calibri" w:hAnsi="Calibri"/>
        </w:rPr>
        <w:t xml:space="preserve">to the powerholder, powerholder’s estate or creditors of either, </w:t>
      </w:r>
      <w:r w:rsidR="008E5338" w:rsidRPr="00555C86">
        <w:rPr>
          <w:rFonts w:ascii="Calibri" w:hAnsi="Calibri"/>
          <w:i/>
        </w:rPr>
        <w:t>at the time of death</w:t>
      </w:r>
      <w:r>
        <w:rPr>
          <w:rFonts w:ascii="Calibri" w:hAnsi="Calibri"/>
        </w:rPr>
        <w:t>.</w:t>
      </w:r>
      <w:r w:rsidR="002E3A0F">
        <w:rPr>
          <w:rStyle w:val="FootnoteReference"/>
          <w:rFonts w:ascii="Calibri" w:hAnsi="Calibri"/>
        </w:rPr>
        <w:footnoteReference w:id="144"/>
      </w:r>
      <w:r w:rsidR="00FC25DD">
        <w:rPr>
          <w:rFonts w:ascii="Calibri" w:hAnsi="Calibri"/>
        </w:rPr>
        <w:t xml:space="preserve"> </w:t>
      </w:r>
      <w:r w:rsidR="00881937">
        <w:rPr>
          <w:rFonts w:ascii="Calibri" w:hAnsi="Calibri"/>
        </w:rPr>
        <w:t xml:space="preserve"> Even taken together, under any scenario above, Sandra’s power to transfer to </w:t>
      </w:r>
      <w:r w:rsidR="00881937" w:rsidRPr="00A6430A">
        <w:rPr>
          <w:rFonts w:ascii="Calibri" w:hAnsi="Calibri"/>
          <w:i/>
        </w:rPr>
        <w:t xml:space="preserve">that </w:t>
      </w:r>
      <w:r w:rsidR="00A6430A">
        <w:rPr>
          <w:rFonts w:ascii="Calibri" w:hAnsi="Calibri"/>
          <w:i/>
        </w:rPr>
        <w:t xml:space="preserve">expanded </w:t>
      </w:r>
      <w:r w:rsidR="00881937" w:rsidRPr="00A6430A">
        <w:rPr>
          <w:rFonts w:ascii="Calibri" w:hAnsi="Calibri"/>
          <w:i/>
        </w:rPr>
        <w:t>class</w:t>
      </w:r>
      <w:r w:rsidR="00881937">
        <w:rPr>
          <w:rFonts w:ascii="Calibri" w:hAnsi="Calibri"/>
        </w:rPr>
        <w:t xml:space="preserve"> of appointees is still limited to $7 million (AEA).  Yes, she may have the </w:t>
      </w:r>
      <w:r w:rsidR="002E3A0F" w:rsidRPr="002E3A0F">
        <w:rPr>
          <w:rFonts w:ascii="Calibri" w:hAnsi="Calibri"/>
          <w:i/>
        </w:rPr>
        <w:t>limited</w:t>
      </w:r>
      <w:r w:rsidR="002E3A0F">
        <w:rPr>
          <w:rFonts w:ascii="Calibri" w:hAnsi="Calibri"/>
        </w:rPr>
        <w:t xml:space="preserve"> </w:t>
      </w:r>
      <w:r w:rsidR="00881937">
        <w:rPr>
          <w:rFonts w:ascii="Calibri" w:hAnsi="Calibri"/>
        </w:rPr>
        <w:t>power to control more by donating $4.5 million, but any additional control</w:t>
      </w:r>
      <w:r w:rsidR="000C2E84">
        <w:rPr>
          <w:rFonts w:ascii="Calibri" w:hAnsi="Calibri"/>
        </w:rPr>
        <w:t xml:space="preserve"> </w:t>
      </w:r>
      <w:r w:rsidR="00881937">
        <w:rPr>
          <w:rFonts w:ascii="Calibri" w:hAnsi="Calibri"/>
        </w:rPr>
        <w:t>is at most an indirect LIMITED power, since any amounts above the AEA would necessarily have to go to charity</w:t>
      </w:r>
      <w:r w:rsidR="00A6430A">
        <w:rPr>
          <w:rFonts w:ascii="Calibri" w:hAnsi="Calibri"/>
        </w:rPr>
        <w:t xml:space="preserve"> and may not go to the powerholder, powerholder’s estate or creditors of either</w:t>
      </w:r>
      <w:r w:rsidR="00881937">
        <w:rPr>
          <w:rFonts w:ascii="Calibri" w:hAnsi="Calibri"/>
        </w:rPr>
        <w:t>.</w:t>
      </w:r>
      <w:r w:rsidR="00B87A74">
        <w:rPr>
          <w:rFonts w:ascii="Calibri" w:hAnsi="Calibri"/>
        </w:rPr>
        <w:t xml:space="preserve">  </w:t>
      </w:r>
      <w:r w:rsidR="00A6430A">
        <w:rPr>
          <w:rFonts w:ascii="Calibri" w:hAnsi="Calibri"/>
        </w:rPr>
        <w:t xml:space="preserve">Under no circumstance or </w:t>
      </w:r>
      <w:r w:rsidR="00555C86">
        <w:rPr>
          <w:rFonts w:ascii="Calibri" w:hAnsi="Calibri"/>
        </w:rPr>
        <w:t xml:space="preserve">plausible </w:t>
      </w:r>
      <w:r w:rsidR="00A6430A">
        <w:rPr>
          <w:rFonts w:ascii="Calibri" w:hAnsi="Calibri"/>
        </w:rPr>
        <w:t>interpretation would she have the</w:t>
      </w:r>
      <w:r w:rsidR="00B87A74">
        <w:rPr>
          <w:rFonts w:ascii="Calibri" w:hAnsi="Calibri"/>
        </w:rPr>
        <w:t xml:space="preserve"> power to give $11.5 million to </w:t>
      </w:r>
      <w:r w:rsidR="00A6430A">
        <w:rPr>
          <w:rFonts w:ascii="Calibri" w:hAnsi="Calibri"/>
        </w:rPr>
        <w:t>that class</w:t>
      </w:r>
      <w:r w:rsidR="000444B0">
        <w:rPr>
          <w:rFonts w:ascii="Calibri" w:hAnsi="Calibri"/>
        </w:rPr>
        <w:t xml:space="preserve"> of appointees that </w:t>
      </w:r>
      <w:r w:rsidR="00DE057E">
        <w:rPr>
          <w:rFonts w:ascii="Calibri" w:hAnsi="Calibri"/>
        </w:rPr>
        <w:t xml:space="preserve">creates a </w:t>
      </w:r>
      <w:r w:rsidR="00DE057E" w:rsidRPr="00DE057E">
        <w:rPr>
          <w:rFonts w:ascii="Calibri" w:hAnsi="Calibri"/>
          <w:i/>
          <w:iCs/>
        </w:rPr>
        <w:t>general</w:t>
      </w:r>
      <w:r w:rsidR="00DE057E">
        <w:rPr>
          <w:rFonts w:ascii="Calibri" w:hAnsi="Calibri"/>
        </w:rPr>
        <w:t xml:space="preserve"> power</w:t>
      </w:r>
      <w:r w:rsidR="00B87A74">
        <w:rPr>
          <w:rFonts w:ascii="Calibri" w:hAnsi="Calibri"/>
        </w:rPr>
        <w:t>.</w:t>
      </w:r>
    </w:p>
    <w:p w14:paraId="140A386B" w14:textId="77777777" w:rsidR="006F6AE7" w:rsidRDefault="0060663A" w:rsidP="00A625AB">
      <w:pPr>
        <w:spacing w:line="360" w:lineRule="auto"/>
        <w:ind w:firstLine="720"/>
        <w:rPr>
          <w:rFonts w:ascii="Calibri" w:hAnsi="Calibri"/>
        </w:rPr>
      </w:pPr>
      <w:r>
        <w:rPr>
          <w:rFonts w:ascii="Calibri" w:hAnsi="Calibri"/>
        </w:rPr>
        <w:lastRenderedPageBreak/>
        <w:t xml:space="preserve">Other detractors of formula powers argue that various expenses and deductions that might delay the determination of the value of the appointive assets make </w:t>
      </w:r>
      <w:r w:rsidR="00555C86">
        <w:rPr>
          <w:rFonts w:ascii="Calibri" w:hAnsi="Calibri"/>
        </w:rPr>
        <w:t>a formula</w:t>
      </w:r>
      <w:r>
        <w:rPr>
          <w:rFonts w:ascii="Calibri" w:hAnsi="Calibri"/>
        </w:rPr>
        <w:t xml:space="preserve"> GPOA “indeterminable” and</w:t>
      </w:r>
      <w:r w:rsidR="00523798">
        <w:rPr>
          <w:rFonts w:ascii="Calibri" w:hAnsi="Calibri"/>
        </w:rPr>
        <w:t>,</w:t>
      </w:r>
      <w:r>
        <w:rPr>
          <w:rFonts w:ascii="Calibri" w:hAnsi="Calibri"/>
        </w:rPr>
        <w:t xml:space="preserve"> therefore</w:t>
      </w:r>
      <w:r w:rsidR="00523798">
        <w:rPr>
          <w:rFonts w:ascii="Calibri" w:hAnsi="Calibri"/>
        </w:rPr>
        <w:t>,</w:t>
      </w:r>
      <w:r>
        <w:rPr>
          <w:rFonts w:ascii="Calibri" w:hAnsi="Calibri"/>
        </w:rPr>
        <w:t xml:space="preserve"> null and void.  </w:t>
      </w:r>
      <w:r w:rsidR="00555C86">
        <w:rPr>
          <w:rFonts w:ascii="Calibri" w:hAnsi="Calibri"/>
        </w:rPr>
        <w:t>Could Bill Gates</w:t>
      </w:r>
      <w:r>
        <w:rPr>
          <w:rFonts w:ascii="Calibri" w:hAnsi="Calibri"/>
        </w:rPr>
        <w:t xml:space="preserve"> leave a fortune to his wife Melinda in a GPOA marital trust and her estate </w:t>
      </w:r>
      <w:r w:rsidR="00523798">
        <w:rPr>
          <w:rFonts w:ascii="Calibri" w:hAnsi="Calibri"/>
        </w:rPr>
        <w:t xml:space="preserve">later </w:t>
      </w:r>
      <w:r>
        <w:rPr>
          <w:rFonts w:ascii="Calibri" w:hAnsi="Calibri"/>
        </w:rPr>
        <w:t>simply claim that the amount is “</w:t>
      </w:r>
      <w:r w:rsidR="006F6AE7">
        <w:rPr>
          <w:rFonts w:ascii="Calibri" w:hAnsi="Calibri"/>
        </w:rPr>
        <w:t>indeterminable</w:t>
      </w:r>
      <w:r>
        <w:rPr>
          <w:rFonts w:ascii="Calibri" w:hAnsi="Calibri"/>
        </w:rPr>
        <w:t>” at the date of death because of the alternate valuation date, expenses,</w:t>
      </w:r>
      <w:r w:rsidR="006F6AE7">
        <w:rPr>
          <w:rFonts w:ascii="Calibri" w:hAnsi="Calibri"/>
        </w:rPr>
        <w:t xml:space="preserve"> </w:t>
      </w:r>
      <w:r>
        <w:rPr>
          <w:rFonts w:ascii="Calibri" w:hAnsi="Calibri"/>
        </w:rPr>
        <w:t>debts</w:t>
      </w:r>
      <w:r w:rsidR="006F6AE7">
        <w:rPr>
          <w:rFonts w:ascii="Calibri" w:hAnsi="Calibri"/>
        </w:rPr>
        <w:t xml:space="preserve">, various tax election choices </w:t>
      </w:r>
      <w:r>
        <w:rPr>
          <w:rFonts w:ascii="Calibri" w:hAnsi="Calibri"/>
        </w:rPr>
        <w:t xml:space="preserve">or any number of issues that will ultimately determine the </w:t>
      </w:r>
      <w:r w:rsidR="006F6AE7">
        <w:rPr>
          <w:rFonts w:ascii="Calibri" w:hAnsi="Calibri"/>
        </w:rPr>
        <w:t xml:space="preserve">net </w:t>
      </w:r>
      <w:r>
        <w:rPr>
          <w:rFonts w:ascii="Calibri" w:hAnsi="Calibri"/>
        </w:rPr>
        <w:t>value of appointive assets subject to the GPOA</w:t>
      </w:r>
      <w:r w:rsidR="00555C86">
        <w:rPr>
          <w:rFonts w:ascii="Calibri" w:hAnsi="Calibri"/>
        </w:rPr>
        <w:t>?</w:t>
      </w:r>
      <w:r>
        <w:rPr>
          <w:rFonts w:ascii="Calibri" w:hAnsi="Calibri"/>
        </w:rPr>
        <w:t xml:space="preserve">  Good luck with that argument</w:t>
      </w:r>
      <w:r w:rsidR="003D5DE9">
        <w:rPr>
          <w:rFonts w:ascii="Calibri" w:hAnsi="Calibri"/>
        </w:rPr>
        <w:t>!</w:t>
      </w:r>
    </w:p>
    <w:p w14:paraId="6723171E" w14:textId="77777777" w:rsidR="0060663A" w:rsidRDefault="006F6AE7" w:rsidP="00A625AB">
      <w:pPr>
        <w:spacing w:line="360" w:lineRule="auto"/>
        <w:ind w:firstLine="720"/>
        <w:rPr>
          <w:rFonts w:ascii="Calibri" w:hAnsi="Calibri"/>
        </w:rPr>
      </w:pPr>
      <w:r>
        <w:rPr>
          <w:rFonts w:ascii="Calibri" w:hAnsi="Calibri"/>
        </w:rPr>
        <w:t xml:space="preserve">QTIP regulations specifically permit formula elections that refer to the taxable estate, </w:t>
      </w:r>
      <w:r w:rsidRPr="00D945BF">
        <w:rPr>
          <w:rFonts w:ascii="Calibri" w:hAnsi="Calibri"/>
          <w:i/>
        </w:rPr>
        <w:t>even though later actions</w:t>
      </w:r>
      <w:r w:rsidR="000E581A" w:rsidRPr="00D945BF">
        <w:rPr>
          <w:rFonts w:ascii="Calibri" w:hAnsi="Calibri"/>
          <w:i/>
        </w:rPr>
        <w:t xml:space="preserve"> </w:t>
      </w:r>
      <w:r w:rsidR="00555C86" w:rsidRPr="00D945BF">
        <w:rPr>
          <w:rFonts w:ascii="Calibri" w:hAnsi="Calibri"/>
          <w:i/>
        </w:rPr>
        <w:t xml:space="preserve">by a trustee/executor </w:t>
      </w:r>
      <w:r w:rsidR="000E581A" w:rsidRPr="00D945BF">
        <w:rPr>
          <w:rFonts w:ascii="Calibri" w:hAnsi="Calibri"/>
          <w:i/>
        </w:rPr>
        <w:t xml:space="preserve">clearly </w:t>
      </w:r>
      <w:r w:rsidR="00555C86" w:rsidRPr="00D945BF">
        <w:rPr>
          <w:rFonts w:ascii="Calibri" w:hAnsi="Calibri"/>
          <w:i/>
        </w:rPr>
        <w:t xml:space="preserve">affect the </w:t>
      </w:r>
      <w:r w:rsidR="00C83D84" w:rsidRPr="00D945BF">
        <w:rPr>
          <w:rFonts w:ascii="Calibri" w:hAnsi="Calibri"/>
          <w:i/>
        </w:rPr>
        <w:t>ultimate amount passing to the QTIP</w:t>
      </w:r>
      <w:r w:rsidR="00555C86">
        <w:rPr>
          <w:rFonts w:ascii="Calibri" w:hAnsi="Calibri"/>
        </w:rPr>
        <w:t>!</w:t>
      </w:r>
      <w:r>
        <w:rPr>
          <w:rStyle w:val="FootnoteReference"/>
          <w:rFonts w:ascii="Calibri" w:hAnsi="Calibri"/>
        </w:rPr>
        <w:footnoteReference w:id="145"/>
      </w:r>
      <w:r w:rsidR="000E581A">
        <w:rPr>
          <w:rFonts w:ascii="Calibri" w:hAnsi="Calibri"/>
        </w:rPr>
        <w:t xml:space="preserve">  OBIT formulas are similar </w:t>
      </w:r>
      <w:r w:rsidR="00555C86">
        <w:rPr>
          <w:rFonts w:ascii="Calibri" w:hAnsi="Calibri"/>
        </w:rPr>
        <w:t xml:space="preserve">to </w:t>
      </w:r>
      <w:r w:rsidR="000E581A">
        <w:rPr>
          <w:rFonts w:ascii="Calibri" w:hAnsi="Calibri"/>
        </w:rPr>
        <w:t>disclaimer and QTIP formulas in the regulations.</w:t>
      </w:r>
      <w:r w:rsidR="0060663A">
        <w:rPr>
          <w:rFonts w:ascii="Calibri" w:hAnsi="Calibri"/>
        </w:rPr>
        <w:t xml:space="preserve"> </w:t>
      </w:r>
    </w:p>
    <w:p w14:paraId="11F989B6" w14:textId="7C15114D" w:rsidR="007D4C0C" w:rsidRDefault="00881937" w:rsidP="00A625AB">
      <w:pPr>
        <w:spacing w:line="360" w:lineRule="auto"/>
        <w:ind w:firstLine="720"/>
        <w:rPr>
          <w:rFonts w:ascii="Calibri" w:hAnsi="Calibri"/>
        </w:rPr>
      </w:pPr>
      <w:r>
        <w:rPr>
          <w:rFonts w:ascii="Calibri" w:hAnsi="Calibri"/>
        </w:rPr>
        <w:t>Despite the above analysis</w:t>
      </w:r>
      <w:r w:rsidR="000C2E84">
        <w:rPr>
          <w:rFonts w:ascii="Calibri" w:hAnsi="Calibri"/>
        </w:rPr>
        <w:t xml:space="preserve">, </w:t>
      </w:r>
      <w:r w:rsidR="00B87A74">
        <w:rPr>
          <w:rFonts w:ascii="Calibri" w:hAnsi="Calibri"/>
        </w:rPr>
        <w:t>many</w:t>
      </w:r>
      <w:r w:rsidR="00DC6ACD">
        <w:rPr>
          <w:rFonts w:ascii="Calibri" w:hAnsi="Calibri"/>
        </w:rPr>
        <w:t xml:space="preserve"> practitioners</w:t>
      </w:r>
      <w:r w:rsidR="000C2E84">
        <w:rPr>
          <w:rFonts w:ascii="Calibri" w:hAnsi="Calibri"/>
        </w:rPr>
        <w:t xml:space="preserve"> </w:t>
      </w:r>
      <w:r w:rsidR="006E3150">
        <w:rPr>
          <w:rFonts w:ascii="Calibri" w:hAnsi="Calibri"/>
        </w:rPr>
        <w:t>would</w:t>
      </w:r>
      <w:r w:rsidR="00DC6ACD">
        <w:rPr>
          <w:rFonts w:ascii="Calibri" w:hAnsi="Calibri"/>
        </w:rPr>
        <w:t xml:space="preserve"> prefer avoiding even the hint of a</w:t>
      </w:r>
      <w:r w:rsidR="003F0503">
        <w:rPr>
          <w:rFonts w:ascii="Calibri" w:hAnsi="Calibri"/>
        </w:rPr>
        <w:t xml:space="preserve"> </w:t>
      </w:r>
      <w:r w:rsidR="003F0503" w:rsidRPr="003F0503">
        <w:rPr>
          <w:rFonts w:ascii="Calibri" w:hAnsi="Calibri"/>
          <w:i/>
        </w:rPr>
        <w:t>Kurz</w:t>
      </w:r>
      <w:r w:rsidR="003F0503">
        <w:rPr>
          <w:rFonts w:ascii="Calibri" w:hAnsi="Calibri"/>
        </w:rPr>
        <w:t xml:space="preserve"> type</w:t>
      </w:r>
      <w:r w:rsidR="00DC6ACD">
        <w:rPr>
          <w:rFonts w:ascii="Calibri" w:hAnsi="Calibri"/>
        </w:rPr>
        <w:t xml:space="preserve"> argument against formula GPOA</w:t>
      </w:r>
      <w:r w:rsidR="00FC25DD">
        <w:rPr>
          <w:rFonts w:ascii="Calibri" w:hAnsi="Calibri"/>
        </w:rPr>
        <w:t xml:space="preserve"> cap</w:t>
      </w:r>
      <w:r w:rsidR="00DC6ACD">
        <w:rPr>
          <w:rFonts w:ascii="Calibri" w:hAnsi="Calibri"/>
        </w:rPr>
        <w:t>s</w:t>
      </w:r>
      <w:r w:rsidR="00555C86">
        <w:rPr>
          <w:rFonts w:ascii="Calibri" w:hAnsi="Calibri"/>
        </w:rPr>
        <w:t>, and any argument that the powerholder controls the amount directly or indirectly</w:t>
      </w:r>
      <w:r w:rsidR="00DC6ACD">
        <w:rPr>
          <w:rFonts w:ascii="Calibri" w:hAnsi="Calibri"/>
        </w:rPr>
        <w:t>.</w:t>
      </w:r>
      <w:r w:rsidR="003F0503">
        <w:rPr>
          <w:rFonts w:ascii="Calibri" w:hAnsi="Calibri"/>
        </w:rPr>
        <w:t xml:space="preserve">  </w:t>
      </w:r>
      <w:r w:rsidR="00750E19">
        <w:rPr>
          <w:rFonts w:ascii="Calibri" w:hAnsi="Calibri"/>
        </w:rPr>
        <w:t>First,</w:t>
      </w:r>
      <w:r w:rsidR="00480F83">
        <w:rPr>
          <w:rFonts w:ascii="Calibri" w:hAnsi="Calibri"/>
        </w:rPr>
        <w:t xml:space="preserve"> avoid calling your clause a contingent GPOA, to avoid tempting </w:t>
      </w:r>
      <w:r w:rsidR="00D945BF">
        <w:rPr>
          <w:rFonts w:ascii="Calibri" w:hAnsi="Calibri"/>
        </w:rPr>
        <w:t>an inapt</w:t>
      </w:r>
      <w:r w:rsidR="00750E19">
        <w:rPr>
          <w:rFonts w:ascii="Calibri" w:hAnsi="Calibri"/>
        </w:rPr>
        <w:t xml:space="preserve"> </w:t>
      </w:r>
      <w:r w:rsidR="00D945BF">
        <w:rPr>
          <w:rFonts w:ascii="Calibri" w:hAnsi="Calibri"/>
        </w:rPr>
        <w:t>comparison of</w:t>
      </w:r>
      <w:r w:rsidR="00480F83">
        <w:rPr>
          <w:rFonts w:ascii="Calibri" w:hAnsi="Calibri"/>
        </w:rPr>
        <w:t xml:space="preserve"> </w:t>
      </w:r>
      <w:r w:rsidR="00750E19">
        <w:rPr>
          <w:rFonts w:ascii="Calibri" w:hAnsi="Calibri"/>
        </w:rPr>
        <w:t xml:space="preserve">a formula clause over specific assets </w:t>
      </w:r>
      <w:r w:rsidR="00480F83">
        <w:rPr>
          <w:rFonts w:ascii="Calibri" w:hAnsi="Calibri"/>
        </w:rPr>
        <w:t xml:space="preserve">to the completely different concept/regulation </w:t>
      </w:r>
      <w:r w:rsidR="00750E19">
        <w:rPr>
          <w:rFonts w:ascii="Calibri" w:hAnsi="Calibri"/>
        </w:rPr>
        <w:t xml:space="preserve">of contingent GPOAs analyzed </w:t>
      </w:r>
      <w:r w:rsidR="00480F83">
        <w:rPr>
          <w:rFonts w:ascii="Calibri" w:hAnsi="Calibri"/>
        </w:rPr>
        <w:t xml:space="preserve">in the </w:t>
      </w:r>
      <w:r w:rsidR="00480F83" w:rsidRPr="00750E19">
        <w:rPr>
          <w:rFonts w:ascii="Calibri" w:hAnsi="Calibri"/>
          <w:i/>
        </w:rPr>
        <w:t>Kurz</w:t>
      </w:r>
      <w:r w:rsidR="00480F83">
        <w:rPr>
          <w:rFonts w:ascii="Calibri" w:hAnsi="Calibri"/>
        </w:rPr>
        <w:t xml:space="preserve"> case</w:t>
      </w:r>
      <w:r w:rsidR="00750E19">
        <w:rPr>
          <w:rFonts w:ascii="Calibri" w:hAnsi="Calibri"/>
        </w:rPr>
        <w:t>s</w:t>
      </w:r>
      <w:r w:rsidR="00480F83">
        <w:rPr>
          <w:rFonts w:ascii="Calibri" w:hAnsi="Calibri"/>
        </w:rPr>
        <w:t>.</w:t>
      </w:r>
      <w:r w:rsidR="00480F83">
        <w:rPr>
          <w:rStyle w:val="FootnoteReference"/>
          <w:rFonts w:ascii="Calibri" w:hAnsi="Calibri"/>
        </w:rPr>
        <w:footnoteReference w:id="146"/>
      </w:r>
      <w:r w:rsidR="00480F83">
        <w:rPr>
          <w:rFonts w:ascii="Calibri" w:hAnsi="Calibri"/>
        </w:rPr>
        <w:t xml:space="preserve">  Second, draft the formula GPOA to avoid</w:t>
      </w:r>
      <w:r w:rsidR="003D5DE9">
        <w:rPr>
          <w:rFonts w:ascii="Calibri" w:hAnsi="Calibri"/>
        </w:rPr>
        <w:t xml:space="preserve"> </w:t>
      </w:r>
      <w:r w:rsidR="00480F83">
        <w:rPr>
          <w:rFonts w:ascii="Calibri" w:hAnsi="Calibri"/>
        </w:rPr>
        <w:t xml:space="preserve">considering </w:t>
      </w:r>
      <w:r w:rsidR="003D5DE9">
        <w:rPr>
          <w:rFonts w:ascii="Calibri" w:hAnsi="Calibri"/>
        </w:rPr>
        <w:t xml:space="preserve">any marital/charitable bequest by a power holder, even if it might </w:t>
      </w:r>
      <w:r w:rsidR="00BF5A5E">
        <w:rPr>
          <w:rFonts w:ascii="Calibri" w:hAnsi="Calibri"/>
        </w:rPr>
        <w:t xml:space="preserve">in rare cases </w:t>
      </w:r>
      <w:r w:rsidR="003D5DE9">
        <w:rPr>
          <w:rFonts w:ascii="Calibri" w:hAnsi="Calibri"/>
        </w:rPr>
        <w:t xml:space="preserve">reduce the amount that might be included in a power holder’s </w:t>
      </w:r>
      <w:r w:rsidR="00750E19">
        <w:rPr>
          <w:rFonts w:ascii="Calibri" w:hAnsi="Calibri"/>
        </w:rPr>
        <w:t xml:space="preserve">appointive assets </w:t>
      </w:r>
      <w:r w:rsidR="003D5DE9">
        <w:rPr>
          <w:rFonts w:ascii="Calibri" w:hAnsi="Calibri"/>
        </w:rPr>
        <w:t>and</w:t>
      </w:r>
      <w:r w:rsidR="00D945BF">
        <w:rPr>
          <w:rFonts w:ascii="Calibri" w:hAnsi="Calibri"/>
        </w:rPr>
        <w:t xml:space="preserve"> potentially reduce the step up</w:t>
      </w:r>
      <w:r w:rsidR="003D5DE9">
        <w:rPr>
          <w:rFonts w:ascii="Calibri" w:hAnsi="Calibri"/>
        </w:rPr>
        <w:t xml:space="preserve">.  While the formula GPOA the </w:t>
      </w:r>
      <w:r w:rsidR="00750E19">
        <w:rPr>
          <w:rFonts w:ascii="Calibri" w:hAnsi="Calibri"/>
        </w:rPr>
        <w:t>IRS</w:t>
      </w:r>
      <w:r w:rsidR="003D5DE9">
        <w:rPr>
          <w:rFonts w:ascii="Calibri" w:hAnsi="Calibri"/>
        </w:rPr>
        <w:t xml:space="preserve"> </w:t>
      </w:r>
      <w:r w:rsidR="00750E19">
        <w:rPr>
          <w:rFonts w:ascii="Calibri" w:hAnsi="Calibri"/>
        </w:rPr>
        <w:t xml:space="preserve">approved </w:t>
      </w:r>
      <w:r w:rsidR="003D5DE9">
        <w:rPr>
          <w:rFonts w:ascii="Calibri" w:hAnsi="Calibri"/>
        </w:rPr>
        <w:t xml:space="preserve">in PLR 9527024 contained no such limitations or restrictions, </w:t>
      </w:r>
      <w:r w:rsidR="003F0503">
        <w:rPr>
          <w:rFonts w:ascii="Calibri" w:hAnsi="Calibri"/>
        </w:rPr>
        <w:t xml:space="preserve">a conservative practitioner </w:t>
      </w:r>
      <w:r w:rsidR="00BA5148">
        <w:rPr>
          <w:rFonts w:ascii="Calibri" w:hAnsi="Calibri"/>
        </w:rPr>
        <w:t>should probably</w:t>
      </w:r>
      <w:r w:rsidR="003F0503">
        <w:rPr>
          <w:rFonts w:ascii="Calibri" w:hAnsi="Calibri"/>
        </w:rPr>
        <w:t xml:space="preserve"> ignore </w:t>
      </w:r>
      <w:r w:rsidR="002C10A9">
        <w:rPr>
          <w:rFonts w:ascii="Calibri" w:hAnsi="Calibri"/>
        </w:rPr>
        <w:t xml:space="preserve">any </w:t>
      </w:r>
      <w:r w:rsidR="003F0503">
        <w:rPr>
          <w:rFonts w:ascii="Calibri" w:hAnsi="Calibri"/>
        </w:rPr>
        <w:t xml:space="preserve">charitable/marital deduction </w:t>
      </w:r>
      <w:r w:rsidR="002C10A9">
        <w:rPr>
          <w:rFonts w:ascii="Calibri" w:hAnsi="Calibri"/>
        </w:rPr>
        <w:t xml:space="preserve">otherwise available to the powerholder’s estate </w:t>
      </w:r>
      <w:r w:rsidR="003F0503">
        <w:rPr>
          <w:rFonts w:ascii="Calibri" w:hAnsi="Calibri"/>
        </w:rPr>
        <w:t xml:space="preserve">in the GPOA </w:t>
      </w:r>
      <w:r w:rsidR="002C10A9">
        <w:rPr>
          <w:rFonts w:ascii="Calibri" w:hAnsi="Calibri"/>
        </w:rPr>
        <w:t>capping formula</w:t>
      </w:r>
      <w:r w:rsidR="00BA5148" w:rsidRPr="00BA5148">
        <w:rPr>
          <w:rFonts w:ascii="Calibri" w:hAnsi="Calibri"/>
        </w:rPr>
        <w:t xml:space="preserve"> </w:t>
      </w:r>
      <w:r w:rsidR="00BA5148">
        <w:rPr>
          <w:rFonts w:ascii="Calibri" w:hAnsi="Calibri"/>
        </w:rPr>
        <w:t xml:space="preserve">until there is </w:t>
      </w:r>
      <w:r w:rsidR="00555C86">
        <w:rPr>
          <w:rFonts w:ascii="Calibri" w:hAnsi="Calibri"/>
        </w:rPr>
        <w:t xml:space="preserve">clearer </w:t>
      </w:r>
      <w:r w:rsidR="00BA5148">
        <w:rPr>
          <w:rFonts w:ascii="Calibri" w:hAnsi="Calibri"/>
        </w:rPr>
        <w:t xml:space="preserve">positive </w:t>
      </w:r>
      <w:r w:rsidR="00BA5148">
        <w:rPr>
          <w:rFonts w:ascii="Calibri" w:hAnsi="Calibri"/>
        </w:rPr>
        <w:lastRenderedPageBreak/>
        <w:t>precedent</w:t>
      </w:r>
      <w:r w:rsidR="002C10A9">
        <w:rPr>
          <w:rFonts w:ascii="Calibri" w:hAnsi="Calibri"/>
        </w:rPr>
        <w:t>.</w:t>
      </w:r>
      <w:r w:rsidR="002C10A9">
        <w:rPr>
          <w:rStyle w:val="FootnoteReference"/>
          <w:rFonts w:ascii="Calibri" w:hAnsi="Calibri"/>
        </w:rPr>
        <w:footnoteReference w:id="147"/>
      </w:r>
      <w:r w:rsidR="003F0503">
        <w:rPr>
          <w:rFonts w:ascii="Calibri" w:hAnsi="Calibri"/>
        </w:rPr>
        <w:t xml:space="preserve"> </w:t>
      </w:r>
      <w:r w:rsidR="0073674F">
        <w:rPr>
          <w:rFonts w:ascii="Calibri" w:hAnsi="Calibri"/>
        </w:rPr>
        <w:t xml:space="preserve"> </w:t>
      </w:r>
      <w:r w:rsidR="00FC25DD" w:rsidRPr="00BA5148">
        <w:rPr>
          <w:rFonts w:ascii="Calibri" w:hAnsi="Calibri"/>
          <w:i/>
        </w:rPr>
        <w:t>In most estate plans, this is unlikely to make much</w:t>
      </w:r>
      <w:r w:rsidR="00223176">
        <w:rPr>
          <w:rFonts w:ascii="Calibri" w:hAnsi="Calibri"/>
          <w:i/>
        </w:rPr>
        <w:t>,</w:t>
      </w:r>
      <w:r w:rsidR="00FC25DD" w:rsidRPr="00BA5148">
        <w:rPr>
          <w:rFonts w:ascii="Calibri" w:hAnsi="Calibri"/>
          <w:i/>
        </w:rPr>
        <w:t xml:space="preserve"> if any</w:t>
      </w:r>
      <w:r w:rsidR="00223176">
        <w:rPr>
          <w:rFonts w:ascii="Calibri" w:hAnsi="Calibri"/>
          <w:i/>
        </w:rPr>
        <w:t>,</w:t>
      </w:r>
      <w:r w:rsidR="00FC25DD" w:rsidRPr="00BA5148">
        <w:rPr>
          <w:rFonts w:ascii="Calibri" w:hAnsi="Calibri"/>
          <w:i/>
        </w:rPr>
        <w:t xml:space="preserve"> difference</w:t>
      </w:r>
      <w:r w:rsidR="00B87A74" w:rsidRPr="00BA5148">
        <w:rPr>
          <w:rFonts w:ascii="Calibri" w:hAnsi="Calibri"/>
          <w:i/>
        </w:rPr>
        <w:t>, so why take a chance</w:t>
      </w:r>
      <w:r w:rsidR="00480F83">
        <w:rPr>
          <w:rFonts w:ascii="Calibri" w:hAnsi="Calibri"/>
          <w:i/>
        </w:rPr>
        <w:t>, even if it’s remote risk</w:t>
      </w:r>
      <w:r w:rsidR="00B87A74">
        <w:rPr>
          <w:rFonts w:ascii="Calibri" w:hAnsi="Calibri"/>
        </w:rPr>
        <w:t>?</w:t>
      </w:r>
      <w:r w:rsidR="003D5DE9">
        <w:rPr>
          <w:rFonts w:ascii="Calibri" w:hAnsi="Calibri"/>
        </w:rPr>
        <w:t xml:space="preserve">  </w:t>
      </w:r>
    </w:p>
    <w:p w14:paraId="3F3DDA5B" w14:textId="48305EA8" w:rsidR="00CE5952" w:rsidRDefault="00CE5952" w:rsidP="00A625AB">
      <w:pPr>
        <w:spacing w:line="360" w:lineRule="auto"/>
        <w:ind w:firstLine="720"/>
        <w:rPr>
          <w:rFonts w:ascii="Calibri" w:hAnsi="Calibri"/>
        </w:rPr>
      </w:pPr>
      <w:r>
        <w:rPr>
          <w:rFonts w:ascii="Calibri" w:hAnsi="Calibri"/>
        </w:rPr>
        <w:t xml:space="preserve">Other methods are simply to periodically revisit the power through an independent trustee or trust protector power to amend to adjust to circumstance, or base the </w:t>
      </w:r>
      <w:r w:rsidR="00DE1FA8">
        <w:rPr>
          <w:rFonts w:ascii="Calibri" w:hAnsi="Calibri"/>
        </w:rPr>
        <w:t>cap on an estimated likely estate size</w:t>
      </w:r>
      <w:r w:rsidR="00597593">
        <w:rPr>
          <w:rFonts w:ascii="Calibri" w:hAnsi="Calibri"/>
        </w:rPr>
        <w:t xml:space="preserve"> (building in a cushion for growth)</w:t>
      </w:r>
      <w:r w:rsidR="00DE1FA8">
        <w:rPr>
          <w:rFonts w:ascii="Calibri" w:hAnsi="Calibri"/>
        </w:rPr>
        <w:t xml:space="preserve"> and simply subtract that from the applicable exclusion amount in place at the time of death.</w:t>
      </w:r>
    </w:p>
    <w:p w14:paraId="000CD2F1" w14:textId="77777777" w:rsidR="002E3A0F" w:rsidRDefault="00BD1F72" w:rsidP="00A625AB">
      <w:pPr>
        <w:spacing w:line="360" w:lineRule="auto"/>
        <w:ind w:firstLine="720"/>
        <w:rPr>
          <w:rFonts w:ascii="Calibri" w:hAnsi="Calibri"/>
        </w:rPr>
      </w:pPr>
      <w:r>
        <w:rPr>
          <w:rFonts w:ascii="Calibri" w:hAnsi="Calibri"/>
        </w:rPr>
        <w:t>Some may also fear some kind of public policy argument similar to the gift tax formula valuation adjustment cases and rulings.</w:t>
      </w:r>
      <w:r>
        <w:rPr>
          <w:rStyle w:val="FootnoteReference"/>
          <w:rFonts w:ascii="Calibri" w:hAnsi="Calibri"/>
        </w:rPr>
        <w:footnoteReference w:id="148"/>
      </w:r>
      <w:r>
        <w:rPr>
          <w:rFonts w:ascii="Calibri" w:hAnsi="Calibri"/>
        </w:rPr>
        <w:t xml:space="preserve">  However, attorneys have been using valuation formulas in trusts for decades now, effecting bypass/marital, GST splits or otherwise, without any intimation that they are against public policy, not to mention that Treasury has many </w:t>
      </w:r>
      <w:r w:rsidR="00667FCC">
        <w:rPr>
          <w:rFonts w:ascii="Calibri" w:hAnsi="Calibri"/>
        </w:rPr>
        <w:t xml:space="preserve">formula </w:t>
      </w:r>
      <w:r>
        <w:rPr>
          <w:rFonts w:ascii="Calibri" w:hAnsi="Calibri"/>
        </w:rPr>
        <w:t>examples in its own regulations</w:t>
      </w:r>
      <w:r w:rsidR="00B66820">
        <w:rPr>
          <w:rFonts w:ascii="Calibri" w:hAnsi="Calibri"/>
        </w:rPr>
        <w:t xml:space="preserve">.  </w:t>
      </w:r>
      <w:r>
        <w:rPr>
          <w:rFonts w:ascii="Calibri" w:hAnsi="Calibri"/>
        </w:rPr>
        <w:t>Even aside from that, the</w:t>
      </w:r>
      <w:r w:rsidR="00712C05">
        <w:rPr>
          <w:rFonts w:ascii="Calibri" w:hAnsi="Calibri"/>
        </w:rPr>
        <w:t xml:space="preserve"> recent gutting (or at least, mauling) of the </w:t>
      </w:r>
      <w:r w:rsidR="00633937" w:rsidRPr="00C83D84">
        <w:rPr>
          <w:rFonts w:ascii="Calibri" w:hAnsi="Calibri"/>
          <w:i/>
        </w:rPr>
        <w:t>public policy</w:t>
      </w:r>
      <w:r w:rsidR="00712C05">
        <w:rPr>
          <w:rFonts w:ascii="Calibri" w:hAnsi="Calibri"/>
        </w:rPr>
        <w:t xml:space="preserve"> </w:t>
      </w:r>
      <w:r w:rsidR="00633937">
        <w:rPr>
          <w:rFonts w:ascii="Calibri" w:hAnsi="Calibri"/>
        </w:rPr>
        <w:t>argument</w:t>
      </w:r>
      <w:r w:rsidR="00712C05">
        <w:rPr>
          <w:rFonts w:ascii="Calibri" w:hAnsi="Calibri"/>
        </w:rPr>
        <w:t xml:space="preserve"> has been quite pro-taxpayer lately, even at the appellate level, with much more egregious facts</w:t>
      </w:r>
      <w:r w:rsidR="00667FCC">
        <w:rPr>
          <w:rFonts w:ascii="Calibri" w:hAnsi="Calibri"/>
        </w:rPr>
        <w:t>, under</w:t>
      </w:r>
      <w:r w:rsidR="00712C05">
        <w:rPr>
          <w:rFonts w:ascii="Calibri" w:hAnsi="Calibri"/>
        </w:rPr>
        <w:t xml:space="preserve"> </w:t>
      </w:r>
      <w:r w:rsidR="00712C05" w:rsidRPr="00712C05">
        <w:rPr>
          <w:rFonts w:ascii="Calibri" w:hAnsi="Calibri"/>
          <w:i/>
        </w:rPr>
        <w:t>McCord, Petter, Christiansen, Hendrix</w:t>
      </w:r>
      <w:r w:rsidR="00C83D84">
        <w:rPr>
          <w:rFonts w:ascii="Calibri" w:hAnsi="Calibri"/>
          <w:i/>
        </w:rPr>
        <w:t xml:space="preserve"> and</w:t>
      </w:r>
      <w:r w:rsidR="00712C05" w:rsidRPr="00712C05">
        <w:rPr>
          <w:rFonts w:ascii="Calibri" w:hAnsi="Calibri"/>
          <w:i/>
        </w:rPr>
        <w:t xml:space="preserve"> Wandry</w:t>
      </w:r>
      <w:r w:rsidR="00712C05">
        <w:rPr>
          <w:rFonts w:ascii="Calibri" w:hAnsi="Calibri"/>
          <w:i/>
        </w:rPr>
        <w:t xml:space="preserve">.  </w:t>
      </w:r>
    </w:p>
    <w:p w14:paraId="69DF2DBB" w14:textId="73E42037" w:rsidR="006E3150" w:rsidRDefault="00C643C1" w:rsidP="00760D72">
      <w:pPr>
        <w:spacing w:line="360" w:lineRule="auto"/>
        <w:ind w:firstLine="720"/>
        <w:rPr>
          <w:rFonts w:ascii="Calibri" w:hAnsi="Calibri"/>
          <w:color w:val="000000"/>
        </w:rPr>
      </w:pPr>
      <w:r>
        <w:rPr>
          <w:rFonts w:ascii="Calibri" w:hAnsi="Calibri"/>
          <w:color w:val="000000"/>
        </w:rPr>
        <w:t>Unlike a GPOA, t</w:t>
      </w:r>
      <w:r w:rsidR="006B40BF">
        <w:rPr>
          <w:rFonts w:ascii="Calibri" w:hAnsi="Calibri"/>
          <w:color w:val="000000"/>
        </w:rPr>
        <w:t xml:space="preserve">he </w:t>
      </w:r>
      <w:r>
        <w:rPr>
          <w:rFonts w:ascii="Calibri" w:hAnsi="Calibri"/>
          <w:color w:val="000000"/>
        </w:rPr>
        <w:t xml:space="preserve">Delaware Tax Trap is only applicable </w:t>
      </w:r>
      <w:r w:rsidRPr="00F15C21">
        <w:rPr>
          <w:rFonts w:ascii="Calibri" w:hAnsi="Calibri"/>
          <w:i/>
          <w:color w:val="000000"/>
        </w:rPr>
        <w:t>to the extent of EXERCISE</w:t>
      </w:r>
      <w:r>
        <w:rPr>
          <w:rFonts w:ascii="Calibri" w:hAnsi="Calibri"/>
          <w:color w:val="000000"/>
        </w:rPr>
        <w:t xml:space="preserve"> – there is no such thing as </w:t>
      </w:r>
      <w:r w:rsidR="003863B6">
        <w:rPr>
          <w:rFonts w:ascii="Calibri" w:hAnsi="Calibri"/>
          <w:color w:val="000000"/>
        </w:rPr>
        <w:t xml:space="preserve">mere existence of an LPOA or </w:t>
      </w:r>
      <w:r>
        <w:rPr>
          <w:rFonts w:ascii="Calibri" w:hAnsi="Calibri"/>
          <w:color w:val="000000"/>
        </w:rPr>
        <w:t xml:space="preserve">a lapse of an LPOA causing inclusion under IRC §2041(a)(3) just because it </w:t>
      </w:r>
      <w:r w:rsidRPr="00C643C1">
        <w:rPr>
          <w:rFonts w:ascii="Calibri" w:hAnsi="Calibri"/>
          <w:i/>
          <w:color w:val="000000"/>
        </w:rPr>
        <w:t>could</w:t>
      </w:r>
      <w:r>
        <w:rPr>
          <w:rFonts w:ascii="Calibri" w:hAnsi="Calibri"/>
          <w:color w:val="000000"/>
        </w:rPr>
        <w:t xml:space="preserve"> </w:t>
      </w:r>
      <w:r w:rsidRPr="00C643C1">
        <w:rPr>
          <w:rFonts w:ascii="Calibri" w:hAnsi="Calibri"/>
          <w:i/>
          <w:color w:val="000000"/>
        </w:rPr>
        <w:t>have been</w:t>
      </w:r>
      <w:r>
        <w:rPr>
          <w:rFonts w:ascii="Calibri" w:hAnsi="Calibri"/>
          <w:color w:val="000000"/>
        </w:rPr>
        <w:t xml:space="preserve"> exercised to trigger </w:t>
      </w:r>
      <w:r w:rsidR="00B87A74">
        <w:rPr>
          <w:rFonts w:ascii="Calibri" w:hAnsi="Calibri"/>
          <w:color w:val="000000"/>
        </w:rPr>
        <w:t>§</w:t>
      </w:r>
      <w:r>
        <w:rPr>
          <w:rFonts w:ascii="Calibri" w:hAnsi="Calibri"/>
          <w:color w:val="000000"/>
        </w:rPr>
        <w:t>2041(a)(3).</w:t>
      </w:r>
      <w:r w:rsidR="00DC6ACD">
        <w:rPr>
          <w:rFonts w:ascii="Calibri" w:hAnsi="Calibri"/>
          <w:color w:val="000000"/>
        </w:rPr>
        <w:t xml:space="preserve">  Therefore, using the Delaware Tax Trap</w:t>
      </w:r>
      <w:r>
        <w:rPr>
          <w:rFonts w:ascii="Calibri" w:hAnsi="Calibri"/>
          <w:color w:val="000000"/>
        </w:rPr>
        <w:t xml:space="preserve"> OBIT technique </w:t>
      </w:r>
      <w:r w:rsidR="00DC6ACD">
        <w:rPr>
          <w:rFonts w:ascii="Calibri" w:hAnsi="Calibri"/>
          <w:color w:val="000000"/>
        </w:rPr>
        <w:t>is</w:t>
      </w:r>
      <w:r>
        <w:rPr>
          <w:rFonts w:ascii="Calibri" w:hAnsi="Calibri"/>
          <w:color w:val="000000"/>
        </w:rPr>
        <w:t xml:space="preserve"> completely</w:t>
      </w:r>
      <w:r w:rsidR="000C2E84">
        <w:rPr>
          <w:rFonts w:ascii="Calibri" w:hAnsi="Calibri"/>
          <w:color w:val="000000"/>
        </w:rPr>
        <w:t xml:space="preserve"> immune to the </w:t>
      </w:r>
      <w:r w:rsidR="000C2E84" w:rsidRPr="000C2E84">
        <w:rPr>
          <w:rFonts w:ascii="Calibri" w:hAnsi="Calibri"/>
          <w:i/>
          <w:color w:val="000000"/>
        </w:rPr>
        <w:t>Kurz</w:t>
      </w:r>
      <w:r w:rsidR="006E3150">
        <w:rPr>
          <w:rFonts w:ascii="Calibri" w:hAnsi="Calibri"/>
          <w:i/>
          <w:color w:val="000000"/>
        </w:rPr>
        <w:t xml:space="preserve"> or “powerholder control”</w:t>
      </w:r>
      <w:r>
        <w:rPr>
          <w:rFonts w:ascii="Calibri" w:hAnsi="Calibri"/>
          <w:color w:val="000000"/>
        </w:rPr>
        <w:t xml:space="preserve"> argument</w:t>
      </w:r>
      <w:r w:rsidR="00DC6ACD">
        <w:rPr>
          <w:rFonts w:ascii="Calibri" w:hAnsi="Calibri"/>
          <w:color w:val="000000"/>
        </w:rPr>
        <w:t>.  Hence</w:t>
      </w:r>
      <w:r w:rsidR="003863B6">
        <w:rPr>
          <w:rFonts w:ascii="Calibri" w:hAnsi="Calibri"/>
          <w:color w:val="000000"/>
        </w:rPr>
        <w:t>,</w:t>
      </w:r>
      <w:r w:rsidR="00DC6ACD">
        <w:rPr>
          <w:rFonts w:ascii="Calibri" w:hAnsi="Calibri"/>
          <w:color w:val="000000"/>
        </w:rPr>
        <w:t xml:space="preserve"> </w:t>
      </w:r>
      <w:r w:rsidR="00FC70D4">
        <w:rPr>
          <w:rFonts w:ascii="Calibri" w:hAnsi="Calibri"/>
          <w:color w:val="000000"/>
        </w:rPr>
        <w:t>some</w:t>
      </w:r>
      <w:r w:rsidR="008A5C64">
        <w:rPr>
          <w:rFonts w:ascii="Calibri" w:hAnsi="Calibri"/>
          <w:color w:val="000000"/>
        </w:rPr>
        <w:t xml:space="preserve"> attorneys may prefer it</w:t>
      </w:r>
      <w:r w:rsidR="006E3150">
        <w:rPr>
          <w:rFonts w:ascii="Calibri" w:hAnsi="Calibri"/>
          <w:color w:val="000000"/>
        </w:rPr>
        <w:t>,</w:t>
      </w:r>
      <w:r w:rsidR="003863B6">
        <w:rPr>
          <w:rFonts w:ascii="Calibri" w:hAnsi="Calibri"/>
          <w:color w:val="000000"/>
        </w:rPr>
        <w:t xml:space="preserve"> despite the advantages of formula GPOAs</w:t>
      </w:r>
      <w:r w:rsidR="006E3150">
        <w:rPr>
          <w:rFonts w:ascii="Calibri" w:hAnsi="Calibri"/>
          <w:color w:val="000000"/>
        </w:rPr>
        <w:t>,</w:t>
      </w:r>
      <w:r w:rsidR="002C10A9">
        <w:rPr>
          <w:rFonts w:ascii="Calibri" w:hAnsi="Calibri"/>
          <w:color w:val="000000"/>
        </w:rPr>
        <w:t xml:space="preserve"> for those estates that would likely be subject to capping</w:t>
      </w:r>
      <w:r>
        <w:rPr>
          <w:rFonts w:ascii="Calibri" w:hAnsi="Calibri"/>
          <w:color w:val="000000"/>
        </w:rPr>
        <w:t>.</w:t>
      </w:r>
      <w:r w:rsidR="00C83D84">
        <w:rPr>
          <w:rFonts w:ascii="Calibri" w:hAnsi="Calibri"/>
          <w:color w:val="000000"/>
        </w:rPr>
        <w:t xml:space="preserve">  Pros and cons comparing the two techniques are discussed below.</w:t>
      </w:r>
    </w:p>
    <w:p w14:paraId="31EA5677" w14:textId="77777777" w:rsidR="00760D72" w:rsidRDefault="006E3150" w:rsidP="00760D72">
      <w:pPr>
        <w:spacing w:line="360" w:lineRule="auto"/>
        <w:ind w:firstLine="720"/>
        <w:rPr>
          <w:rFonts w:ascii="Arial" w:hAnsi="Arial" w:cs="Arial"/>
          <w:b/>
          <w:bCs/>
          <w:color w:val="000080"/>
          <w:sz w:val="22"/>
          <w:szCs w:val="22"/>
        </w:rPr>
      </w:pPr>
      <w:r>
        <w:rPr>
          <w:rFonts w:ascii="Calibri" w:hAnsi="Calibri"/>
          <w:color w:val="000000"/>
        </w:rPr>
        <w:t xml:space="preserve">Some may fear that using an LPOA to appoint to the same beneficiaries as would inherit by default might be illusory or disregarded.  </w:t>
      </w:r>
      <w:r w:rsidR="00C83D84">
        <w:rPr>
          <w:rFonts w:ascii="Calibri" w:hAnsi="Calibri"/>
          <w:color w:val="000000"/>
        </w:rPr>
        <w:t xml:space="preserve">After all, what’s so different from </w:t>
      </w:r>
      <w:r w:rsidR="00C83D84">
        <w:rPr>
          <w:rFonts w:ascii="Calibri" w:hAnsi="Calibri"/>
          <w:color w:val="000000"/>
        </w:rPr>
        <w:lastRenderedPageBreak/>
        <w:t xml:space="preserve">appointing to trusts with PEG powers granted to children and a default that distributes to them outright?  </w:t>
      </w:r>
      <w:r w:rsidR="00B87A74">
        <w:rPr>
          <w:rFonts w:ascii="Calibri" w:hAnsi="Calibri"/>
          <w:color w:val="000000"/>
        </w:rPr>
        <w:t xml:space="preserve">Thankfully, </w:t>
      </w:r>
      <w:r>
        <w:rPr>
          <w:rFonts w:ascii="Calibri" w:hAnsi="Calibri"/>
          <w:color w:val="000000"/>
        </w:rPr>
        <w:t xml:space="preserve">Treasury </w:t>
      </w:r>
      <w:r w:rsidR="00C83D84">
        <w:rPr>
          <w:rFonts w:ascii="Calibri" w:hAnsi="Calibri"/>
          <w:color w:val="000000"/>
        </w:rPr>
        <w:t>guidance should prevent</w:t>
      </w:r>
      <w:r>
        <w:rPr>
          <w:rFonts w:ascii="Calibri" w:hAnsi="Calibri"/>
          <w:color w:val="000000"/>
        </w:rPr>
        <w:t xml:space="preserve"> this result.</w:t>
      </w:r>
      <w:r>
        <w:rPr>
          <w:rStyle w:val="FootnoteReference"/>
          <w:rFonts w:ascii="Calibri" w:hAnsi="Calibri"/>
          <w:color w:val="000000"/>
        </w:rPr>
        <w:footnoteReference w:id="149"/>
      </w:r>
      <w:r w:rsidR="00760D72" w:rsidRPr="00760D72">
        <w:rPr>
          <w:rFonts w:ascii="Arial" w:hAnsi="Arial" w:cs="Arial"/>
          <w:b/>
          <w:bCs/>
          <w:color w:val="000080"/>
          <w:sz w:val="22"/>
          <w:szCs w:val="22"/>
        </w:rPr>
        <w:t xml:space="preserve"> </w:t>
      </w:r>
    </w:p>
    <w:p w14:paraId="5CDBFD8A" w14:textId="77777777" w:rsidR="00760D72" w:rsidRPr="00FE339E" w:rsidRDefault="00537D68" w:rsidP="00180FD1">
      <w:pPr>
        <w:pStyle w:val="ListParagraph"/>
        <w:numPr>
          <w:ilvl w:val="0"/>
          <w:numId w:val="19"/>
        </w:numPr>
        <w:ind w:left="720" w:hanging="720"/>
        <w:rPr>
          <w:rFonts w:ascii="Arial" w:hAnsi="Arial" w:cs="Arial"/>
          <w:b/>
          <w:bCs/>
          <w:color w:val="000080"/>
        </w:rPr>
      </w:pPr>
      <w:r w:rsidRPr="00FE339E">
        <w:rPr>
          <w:rFonts w:ascii="Arial" w:hAnsi="Arial" w:cs="Arial"/>
          <w:b/>
          <w:bCs/>
          <w:color w:val="000080"/>
        </w:rPr>
        <w:br w:type="page"/>
      </w:r>
      <w:r w:rsidR="00760D72" w:rsidRPr="00C53A13">
        <w:rPr>
          <w:rFonts w:ascii="Arial" w:hAnsi="Arial" w:cs="Arial"/>
          <w:b/>
          <w:bCs/>
          <w:sz w:val="22"/>
        </w:rPr>
        <w:lastRenderedPageBreak/>
        <w:t>Comparing/Contrasting Formula GPOA v. LPOA/Delaware Tax Trap</w:t>
      </w:r>
    </w:p>
    <w:p w14:paraId="7E9A9156" w14:textId="77777777" w:rsidR="00760D72" w:rsidRPr="00A1492F" w:rsidRDefault="00760D72" w:rsidP="00760D72">
      <w:pPr>
        <w:rPr>
          <w:rFonts w:ascii="Arial" w:hAnsi="Arial" w:cs="Arial"/>
          <w:b/>
          <w:bCs/>
          <w:color w:val="000080"/>
          <w:sz w:val="22"/>
          <w:szCs w:val="22"/>
        </w:rPr>
      </w:pPr>
      <w:r w:rsidRPr="00A1492F">
        <w:rPr>
          <w:rFonts w:ascii="Arial" w:hAnsi="Arial" w:cs="Arial"/>
          <w:b/>
          <w:bCs/>
          <w:color w:val="000080"/>
          <w:sz w:val="22"/>
          <w:szCs w:val="22"/>
        </w:rPr>
        <w:t>Issues Favoring Use of Delaware Tax Trap/LPOAs</w:t>
      </w:r>
      <w:r w:rsidR="00A1492F">
        <w:rPr>
          <w:rFonts w:ascii="Arial" w:hAnsi="Arial" w:cs="Arial"/>
          <w:b/>
          <w:bCs/>
          <w:color w:val="000080"/>
          <w:sz w:val="22"/>
          <w:szCs w:val="22"/>
        </w:rPr>
        <w:t xml:space="preserve"> over F</w:t>
      </w:r>
      <w:r w:rsidRPr="00A1492F">
        <w:rPr>
          <w:rFonts w:ascii="Arial" w:hAnsi="Arial" w:cs="Arial"/>
          <w:b/>
          <w:bCs/>
          <w:color w:val="000080"/>
          <w:sz w:val="22"/>
          <w:szCs w:val="22"/>
        </w:rPr>
        <w:t xml:space="preserve">ormula </w:t>
      </w:r>
      <w:r w:rsidR="00A1492F">
        <w:rPr>
          <w:rFonts w:ascii="Arial" w:hAnsi="Arial" w:cs="Arial"/>
          <w:b/>
          <w:bCs/>
          <w:color w:val="000080"/>
          <w:sz w:val="22"/>
          <w:szCs w:val="22"/>
        </w:rPr>
        <w:t>T</w:t>
      </w:r>
      <w:r w:rsidRPr="00A1492F">
        <w:rPr>
          <w:rFonts w:ascii="Arial" w:hAnsi="Arial" w:cs="Arial"/>
          <w:b/>
          <w:bCs/>
          <w:color w:val="000080"/>
          <w:sz w:val="22"/>
          <w:szCs w:val="22"/>
        </w:rPr>
        <w:t>estamentary GPOAs</w:t>
      </w:r>
    </w:p>
    <w:p w14:paraId="0AC69A44" w14:textId="77777777" w:rsidR="00760D72" w:rsidRPr="009B7C74" w:rsidRDefault="00760D72" w:rsidP="00760D72">
      <w:pPr>
        <w:rPr>
          <w:rFonts w:ascii="Arial" w:hAnsi="Arial" w:cs="Arial"/>
          <w:b/>
          <w:bCs/>
          <w:sz w:val="22"/>
          <w:szCs w:val="22"/>
        </w:rPr>
      </w:pPr>
    </w:p>
    <w:p w14:paraId="0018C64C" w14:textId="77777777" w:rsidR="00760D72" w:rsidRDefault="00760D72" w:rsidP="00180FD1">
      <w:pPr>
        <w:numPr>
          <w:ilvl w:val="0"/>
          <w:numId w:val="8"/>
        </w:numPr>
        <w:tabs>
          <w:tab w:val="clear" w:pos="420"/>
          <w:tab w:val="num" w:pos="0"/>
        </w:tabs>
        <w:spacing w:line="360" w:lineRule="auto"/>
        <w:ind w:left="0" w:firstLine="0"/>
        <w:rPr>
          <w:rFonts w:ascii="Calibri" w:hAnsi="Calibri" w:cs="Arial"/>
          <w:bCs/>
        </w:rPr>
      </w:pPr>
      <w:r w:rsidRPr="00F30867">
        <w:rPr>
          <w:rFonts w:ascii="Calibri" w:hAnsi="Calibri" w:cs="Arial"/>
          <w:b/>
          <w:bCs/>
        </w:rPr>
        <w:t xml:space="preserve">Spousal Use of Lifetime LPOAs/Gift Tax </w:t>
      </w:r>
      <w:r w:rsidRPr="00F30867">
        <w:rPr>
          <w:rFonts w:ascii="Calibri" w:hAnsi="Calibri" w:cs="Arial"/>
          <w:bCs/>
        </w:rPr>
        <w:t>- When someone exercises a lifetime LPOA, there is less chance of gift tax exclusion being used</w:t>
      </w:r>
      <w:r w:rsidR="007B0C66">
        <w:rPr>
          <w:rFonts w:ascii="Calibri" w:hAnsi="Calibri" w:cs="Arial"/>
          <w:bCs/>
        </w:rPr>
        <w:t xml:space="preserve"> than if there were also a testamentary GPOA</w:t>
      </w:r>
      <w:r w:rsidRPr="00F30867">
        <w:rPr>
          <w:rFonts w:ascii="Calibri" w:hAnsi="Calibri" w:cs="Arial"/>
          <w:bCs/>
        </w:rPr>
        <w:t>.  Unless the appointment triggers the DTT, or unless income is mandated paya</w:t>
      </w:r>
      <w:r w:rsidR="00E67042">
        <w:rPr>
          <w:rFonts w:ascii="Calibri" w:hAnsi="Calibri" w:cs="Arial"/>
          <w:bCs/>
        </w:rPr>
        <w:t>ble to the powerholder, exercising a lifetime limited power causes</w:t>
      </w:r>
      <w:r w:rsidRPr="00F30867">
        <w:rPr>
          <w:rFonts w:ascii="Calibri" w:hAnsi="Calibri" w:cs="Arial"/>
          <w:bCs/>
        </w:rPr>
        <w:t xml:space="preserve"> no </w:t>
      </w:r>
      <w:r w:rsidR="00E67042">
        <w:rPr>
          <w:rFonts w:ascii="Calibri" w:hAnsi="Calibri" w:cs="Arial"/>
          <w:bCs/>
        </w:rPr>
        <w:t xml:space="preserve">taxable </w:t>
      </w:r>
      <w:r w:rsidRPr="00F30867">
        <w:rPr>
          <w:rFonts w:ascii="Calibri" w:hAnsi="Calibri" w:cs="Arial"/>
          <w:bCs/>
        </w:rPr>
        <w:t>gift</w:t>
      </w:r>
      <w:r w:rsidR="00E67042">
        <w:rPr>
          <w:rFonts w:ascii="Calibri" w:hAnsi="Calibri" w:cs="Arial"/>
          <w:bCs/>
        </w:rPr>
        <w:t xml:space="preserve"> (or, at least it would probably be negligible value, as discussed elsewhere herein)</w:t>
      </w:r>
      <w:r w:rsidRPr="00F30867">
        <w:rPr>
          <w:rFonts w:ascii="Calibri" w:hAnsi="Calibri" w:cs="Arial"/>
          <w:bCs/>
        </w:rPr>
        <w:t xml:space="preserve">, whereas exercising a lifetime LPOA raises complicated issues if those assets are otherwise subject to a formula or capped testamentary GPOA – would IRC </w:t>
      </w:r>
      <w:r w:rsidR="00FE3A8B" w:rsidRPr="00F30867">
        <w:rPr>
          <w:rFonts w:ascii="Calibri" w:hAnsi="Calibri" w:cs="Arial"/>
          <w:bCs/>
        </w:rPr>
        <w:t>§</w:t>
      </w:r>
      <w:r w:rsidRPr="00F30867">
        <w:rPr>
          <w:rFonts w:ascii="Calibri" w:hAnsi="Calibri" w:cs="Arial"/>
          <w:bCs/>
        </w:rPr>
        <w:t xml:space="preserve">2514 trigger a taxable gift even if the appointed assets were insurance, </w:t>
      </w:r>
      <w:r w:rsidR="00AC5928">
        <w:rPr>
          <w:rFonts w:ascii="Calibri" w:hAnsi="Calibri" w:cs="Arial"/>
          <w:bCs/>
        </w:rPr>
        <w:t>cash</w:t>
      </w:r>
      <w:r w:rsidRPr="00F30867">
        <w:rPr>
          <w:rFonts w:ascii="Calibri" w:hAnsi="Calibri" w:cs="Arial"/>
          <w:bCs/>
        </w:rPr>
        <w:t xml:space="preserve"> or loss property not subject to the testamentary power?  </w:t>
      </w:r>
      <w:r w:rsidR="007B0C66">
        <w:rPr>
          <w:rFonts w:ascii="Calibri" w:hAnsi="Calibri" w:cs="Arial"/>
          <w:bCs/>
        </w:rPr>
        <w:t>Can a trustee or trust protector, if permitted, simply remove a testamentary GPOA prior to any lifetime appointment to avoid any gift argument, and subsequently add it back without ill effect?</w:t>
      </w:r>
    </w:p>
    <w:p w14:paraId="517C0FCD" w14:textId="77777777" w:rsidR="00760D72" w:rsidRDefault="00760D72" w:rsidP="00180FD1">
      <w:pPr>
        <w:numPr>
          <w:ilvl w:val="0"/>
          <w:numId w:val="8"/>
        </w:numPr>
        <w:tabs>
          <w:tab w:val="clear" w:pos="420"/>
          <w:tab w:val="num" w:pos="0"/>
        </w:tabs>
        <w:spacing w:line="360" w:lineRule="auto"/>
        <w:ind w:left="0" w:firstLine="0"/>
        <w:rPr>
          <w:rFonts w:ascii="Calibri" w:hAnsi="Calibri" w:cs="Arial"/>
          <w:bCs/>
        </w:rPr>
      </w:pPr>
      <w:r w:rsidRPr="00F30867">
        <w:rPr>
          <w:rFonts w:ascii="Calibri" w:hAnsi="Calibri" w:cs="Arial"/>
          <w:b/>
          <w:bCs/>
        </w:rPr>
        <w:t>Access by Powerholder’s Estate’s Creditors</w:t>
      </w:r>
      <w:r w:rsidRPr="00F30867">
        <w:rPr>
          <w:rFonts w:ascii="Calibri" w:hAnsi="Calibri" w:cs="Arial"/>
          <w:bCs/>
        </w:rPr>
        <w:t xml:space="preserve"> – There is no asset protection issue if </w:t>
      </w:r>
      <w:r w:rsidR="00AC5928">
        <w:rPr>
          <w:rFonts w:ascii="Calibri" w:hAnsi="Calibri" w:cs="Arial"/>
          <w:bCs/>
        </w:rPr>
        <w:t xml:space="preserve">a </w:t>
      </w:r>
      <w:r w:rsidRPr="00F30867">
        <w:rPr>
          <w:rFonts w:ascii="Calibri" w:hAnsi="Calibri" w:cs="Arial"/>
          <w:bCs/>
        </w:rPr>
        <w:t xml:space="preserve">powerholder's estate is insolvent and </w:t>
      </w:r>
      <w:r w:rsidR="00FE3A8B" w:rsidRPr="00F30867">
        <w:rPr>
          <w:rFonts w:ascii="Calibri" w:hAnsi="Calibri" w:cs="Arial"/>
          <w:bCs/>
        </w:rPr>
        <w:t>a testamentary</w:t>
      </w:r>
      <w:r w:rsidRPr="00F30867">
        <w:rPr>
          <w:rFonts w:ascii="Calibri" w:hAnsi="Calibri" w:cs="Arial"/>
          <w:bCs/>
        </w:rPr>
        <w:t xml:space="preserve"> LPOA is exercised (or lapses) – creditors have no access.  However, if the powerholder had a </w:t>
      </w:r>
      <w:r w:rsidR="00FE3A8B" w:rsidRPr="00F30867">
        <w:rPr>
          <w:rFonts w:ascii="Calibri" w:hAnsi="Calibri" w:cs="Arial"/>
          <w:bCs/>
        </w:rPr>
        <w:t>testamentary</w:t>
      </w:r>
      <w:r w:rsidRPr="00F30867">
        <w:rPr>
          <w:rFonts w:ascii="Calibri" w:hAnsi="Calibri" w:cs="Arial"/>
          <w:bCs/>
        </w:rPr>
        <w:t xml:space="preserve"> GPOA, depending on the state, and </w:t>
      </w:r>
      <w:r w:rsidR="00FF77F1">
        <w:rPr>
          <w:rFonts w:ascii="Calibri" w:hAnsi="Calibri" w:cs="Arial"/>
          <w:bCs/>
        </w:rPr>
        <w:t xml:space="preserve">potentially </w:t>
      </w:r>
      <w:r w:rsidRPr="00F30867">
        <w:rPr>
          <w:rFonts w:ascii="Calibri" w:hAnsi="Calibri" w:cs="Arial"/>
          <w:bCs/>
        </w:rPr>
        <w:t xml:space="preserve">whether the GPOA is </w:t>
      </w:r>
      <w:r w:rsidRPr="00AC5928">
        <w:rPr>
          <w:rFonts w:ascii="Calibri" w:hAnsi="Calibri" w:cs="Arial"/>
          <w:bCs/>
          <w:i/>
        </w:rPr>
        <w:t>exercised</w:t>
      </w:r>
      <w:r w:rsidRPr="00F30867">
        <w:rPr>
          <w:rFonts w:ascii="Calibri" w:hAnsi="Calibri" w:cs="Arial"/>
          <w:bCs/>
        </w:rPr>
        <w:t>, creditors of the testamentary GPOA powerholder’s estate may have access</w:t>
      </w:r>
      <w:r w:rsidR="00AC5928">
        <w:rPr>
          <w:rFonts w:ascii="Calibri" w:hAnsi="Calibri" w:cs="Arial"/>
          <w:bCs/>
        </w:rPr>
        <w:t xml:space="preserve"> (see </w:t>
      </w:r>
      <w:r w:rsidR="007B0C66">
        <w:rPr>
          <w:rFonts w:ascii="Calibri" w:hAnsi="Calibri" w:cs="Arial"/>
          <w:bCs/>
        </w:rPr>
        <w:t xml:space="preserve">discussions and citations in </w:t>
      </w:r>
      <w:r w:rsidR="00AC5928">
        <w:rPr>
          <w:rFonts w:ascii="Calibri" w:hAnsi="Calibri" w:cs="Arial"/>
          <w:bCs/>
        </w:rPr>
        <w:t>Part III.h.)</w:t>
      </w:r>
      <w:r w:rsidRPr="00F30867">
        <w:rPr>
          <w:rFonts w:ascii="Calibri" w:hAnsi="Calibri" w:cs="Arial"/>
          <w:bCs/>
        </w:rPr>
        <w:t xml:space="preserve">. </w:t>
      </w:r>
    </w:p>
    <w:p w14:paraId="1F76FC2D" w14:textId="77777777" w:rsidR="00760D72" w:rsidRDefault="00760D72" w:rsidP="00180FD1">
      <w:pPr>
        <w:numPr>
          <w:ilvl w:val="0"/>
          <w:numId w:val="8"/>
        </w:numPr>
        <w:tabs>
          <w:tab w:val="clear" w:pos="420"/>
          <w:tab w:val="num" w:pos="0"/>
        </w:tabs>
        <w:spacing w:line="360" w:lineRule="auto"/>
        <w:ind w:left="0" w:firstLine="0"/>
        <w:rPr>
          <w:rFonts w:ascii="Calibri" w:hAnsi="Calibri" w:cs="Arial"/>
          <w:bCs/>
        </w:rPr>
      </w:pPr>
      <w:r w:rsidRPr="00F30867">
        <w:rPr>
          <w:rFonts w:ascii="Calibri" w:hAnsi="Calibri" w:cs="Arial"/>
          <w:b/>
          <w:bCs/>
        </w:rPr>
        <w:t>Subsequent Amendments/Releases/Non-Qualified Disclaimers/Decanting</w:t>
      </w:r>
      <w:r w:rsidRPr="00F30867">
        <w:rPr>
          <w:rFonts w:ascii="Calibri" w:hAnsi="Calibri" w:cs="Arial"/>
          <w:bCs/>
        </w:rPr>
        <w:t xml:space="preserve"> – Generally, LPOAs</w:t>
      </w:r>
      <w:r w:rsidR="00FE3A8B" w:rsidRPr="00F30867">
        <w:rPr>
          <w:rFonts w:ascii="Calibri" w:hAnsi="Calibri" w:cs="Arial"/>
          <w:bCs/>
        </w:rPr>
        <w:t xml:space="preserve"> can be </w:t>
      </w:r>
      <w:r w:rsidRPr="00F30867">
        <w:rPr>
          <w:rFonts w:ascii="Calibri" w:hAnsi="Calibri" w:cs="Arial"/>
          <w:bCs/>
        </w:rPr>
        <w:t xml:space="preserve">removed </w:t>
      </w:r>
      <w:r w:rsidR="00FE3A8B" w:rsidRPr="00F30867">
        <w:rPr>
          <w:rFonts w:ascii="Calibri" w:hAnsi="Calibri" w:cs="Arial"/>
          <w:bCs/>
        </w:rPr>
        <w:t xml:space="preserve">or limited </w:t>
      </w:r>
      <w:r w:rsidRPr="00F30867">
        <w:rPr>
          <w:rFonts w:ascii="Calibri" w:hAnsi="Calibri" w:cs="Arial"/>
          <w:bCs/>
        </w:rPr>
        <w:t xml:space="preserve">without gift/estate tax issue, by decanting, reformation, release, trust protector or otherwise.  While there are PLRs holding otherwise, any removal or limiting of a testamentary GPOA, even with a court approval, might have gift/estate tax effects under </w:t>
      </w:r>
      <w:r w:rsidR="00FE3A8B" w:rsidRPr="00F30867">
        <w:rPr>
          <w:rFonts w:ascii="Calibri" w:hAnsi="Calibri" w:cs="Arial"/>
          <w:bCs/>
        </w:rPr>
        <w:t>§</w:t>
      </w:r>
      <w:r w:rsidR="007E1312" w:rsidRPr="00F30867">
        <w:rPr>
          <w:rFonts w:ascii="Calibri" w:hAnsi="Calibri" w:cs="Arial"/>
          <w:bCs/>
        </w:rPr>
        <w:t>2514.</w:t>
      </w:r>
      <w:r w:rsidR="00E67042">
        <w:rPr>
          <w:rFonts w:ascii="Calibri" w:hAnsi="Calibri" w:cs="Arial"/>
          <w:bCs/>
        </w:rPr>
        <w:t xml:space="preserve">  If the beneficiary is not involved or </w:t>
      </w:r>
      <w:r w:rsidR="00545A64">
        <w:rPr>
          <w:rFonts w:ascii="Calibri" w:hAnsi="Calibri" w:cs="Arial"/>
          <w:bCs/>
        </w:rPr>
        <w:t>does not consent to</w:t>
      </w:r>
      <w:r w:rsidR="00E67042">
        <w:rPr>
          <w:rFonts w:ascii="Calibri" w:hAnsi="Calibri" w:cs="Arial"/>
          <w:bCs/>
        </w:rPr>
        <w:t xml:space="preserve"> the removal of a GPOA, can there be a taxable gift?</w:t>
      </w:r>
      <w:r w:rsidR="00545A64">
        <w:rPr>
          <w:rFonts w:ascii="Calibri" w:hAnsi="Calibri" w:cs="Arial"/>
          <w:bCs/>
        </w:rPr>
        <w:t xml:space="preserve">  Arguably no, but it’s not 100% clear.</w:t>
      </w:r>
    </w:p>
    <w:p w14:paraId="32B4FD26" w14:textId="77777777" w:rsidR="00760D72" w:rsidRPr="00F30867" w:rsidRDefault="00760D72" w:rsidP="00180FD1">
      <w:pPr>
        <w:numPr>
          <w:ilvl w:val="0"/>
          <w:numId w:val="8"/>
        </w:numPr>
        <w:tabs>
          <w:tab w:val="clear" w:pos="420"/>
          <w:tab w:val="num" w:pos="0"/>
        </w:tabs>
        <w:spacing w:line="360" w:lineRule="auto"/>
        <w:ind w:left="0" w:firstLine="0"/>
        <w:rPr>
          <w:rFonts w:ascii="Calibri" w:hAnsi="Calibri" w:cs="Arial"/>
          <w:bCs/>
        </w:rPr>
      </w:pPr>
      <w:r w:rsidRPr="00F30867">
        <w:rPr>
          <w:rFonts w:ascii="Calibri" w:hAnsi="Calibri" w:cs="Arial"/>
          <w:b/>
          <w:bCs/>
        </w:rPr>
        <w:t>Easier to go beyond formula wherever/whenever inclusion may be desirable</w:t>
      </w:r>
      <w:r w:rsidRPr="00F30867">
        <w:rPr>
          <w:rFonts w:ascii="Calibri" w:hAnsi="Calibri" w:cs="Arial"/>
          <w:bCs/>
        </w:rPr>
        <w:t xml:space="preserve"> – Because the LPOA in the document would not be limited by formula</w:t>
      </w:r>
      <w:r w:rsidR="00545A64">
        <w:rPr>
          <w:rFonts w:ascii="Calibri" w:hAnsi="Calibri" w:cs="Arial"/>
          <w:bCs/>
        </w:rPr>
        <w:t xml:space="preserve"> (or need not be, it may depend on the settlor’s intent)</w:t>
      </w:r>
      <w:r w:rsidRPr="00F30867">
        <w:rPr>
          <w:rFonts w:ascii="Calibri" w:hAnsi="Calibri" w:cs="Arial"/>
          <w:bCs/>
        </w:rPr>
        <w:t>, it</w:t>
      </w:r>
      <w:r w:rsidR="00545A64">
        <w:rPr>
          <w:rFonts w:ascii="Calibri" w:hAnsi="Calibri" w:cs="Arial"/>
          <w:bCs/>
        </w:rPr>
        <w:t>s exercise</w:t>
      </w:r>
      <w:r w:rsidRPr="00F30867">
        <w:rPr>
          <w:rFonts w:ascii="Calibri" w:hAnsi="Calibri" w:cs="Arial"/>
          <w:bCs/>
        </w:rPr>
        <w:t xml:space="preserve"> can easily cause inclusion beyond </w:t>
      </w:r>
      <w:r w:rsidR="00E67042">
        <w:rPr>
          <w:rFonts w:ascii="Calibri" w:hAnsi="Calibri" w:cs="Arial"/>
          <w:bCs/>
        </w:rPr>
        <w:t xml:space="preserve">the </w:t>
      </w:r>
      <w:r w:rsidR="00545A64">
        <w:rPr>
          <w:rFonts w:ascii="Calibri" w:hAnsi="Calibri" w:cs="Arial"/>
          <w:bCs/>
        </w:rPr>
        <w:t xml:space="preserve">federal and state </w:t>
      </w:r>
      <w:r w:rsidRPr="00F30867">
        <w:rPr>
          <w:rFonts w:ascii="Calibri" w:hAnsi="Calibri" w:cs="Arial"/>
          <w:bCs/>
        </w:rPr>
        <w:t>estate tax exclusion amount if desired for specific circumstance or change in tax code.  As discussed in the section on state estate taxes, there may be cases where paying state estate tax is desirable because the</w:t>
      </w:r>
      <w:r w:rsidR="00130C29">
        <w:rPr>
          <w:rFonts w:ascii="Calibri" w:hAnsi="Calibri" w:cs="Arial"/>
          <w:bCs/>
        </w:rPr>
        <w:t xml:space="preserve"> overall</w:t>
      </w:r>
      <w:r w:rsidRPr="00F30867">
        <w:rPr>
          <w:rFonts w:ascii="Calibri" w:hAnsi="Calibri" w:cs="Arial"/>
          <w:bCs/>
        </w:rPr>
        <w:t xml:space="preserve"> </w:t>
      </w:r>
      <w:r w:rsidR="00E67042">
        <w:rPr>
          <w:rFonts w:ascii="Calibri" w:hAnsi="Calibri" w:cs="Arial"/>
          <w:bCs/>
        </w:rPr>
        <w:t xml:space="preserve">state and federal </w:t>
      </w:r>
      <w:r w:rsidRPr="00F30867">
        <w:rPr>
          <w:rFonts w:ascii="Calibri" w:hAnsi="Calibri" w:cs="Arial"/>
          <w:bCs/>
        </w:rPr>
        <w:t>income taxes saved by beneficiaries</w:t>
      </w:r>
      <w:r w:rsidR="00E67042">
        <w:rPr>
          <w:rFonts w:ascii="Calibri" w:hAnsi="Calibri" w:cs="Arial"/>
          <w:bCs/>
        </w:rPr>
        <w:t xml:space="preserve"> by obtaining extra basis</w:t>
      </w:r>
      <w:r w:rsidRPr="00F30867">
        <w:rPr>
          <w:rFonts w:ascii="Calibri" w:hAnsi="Calibri" w:cs="Arial"/>
          <w:bCs/>
        </w:rPr>
        <w:t xml:space="preserve"> outweigh the state estate tax.  In fact, if Congress were </w:t>
      </w:r>
      <w:r w:rsidRPr="00F30867">
        <w:rPr>
          <w:rFonts w:ascii="Calibri" w:hAnsi="Calibri" w:cs="Arial"/>
          <w:bCs/>
        </w:rPr>
        <w:lastRenderedPageBreak/>
        <w:t xml:space="preserve">to change the tax code again, this could also be true </w:t>
      </w:r>
      <w:r w:rsidR="00130C29">
        <w:rPr>
          <w:rFonts w:ascii="Calibri" w:hAnsi="Calibri" w:cs="Arial"/>
          <w:bCs/>
        </w:rPr>
        <w:t xml:space="preserve">of the federal estate tax.  It </w:t>
      </w:r>
      <w:r w:rsidR="00E67042">
        <w:rPr>
          <w:rFonts w:ascii="Calibri" w:hAnsi="Calibri" w:cs="Arial"/>
          <w:bCs/>
        </w:rPr>
        <w:t>is already close</w:t>
      </w:r>
      <w:r w:rsidR="00130C29">
        <w:rPr>
          <w:rFonts w:ascii="Calibri" w:hAnsi="Calibri" w:cs="Arial"/>
          <w:bCs/>
        </w:rPr>
        <w:t xml:space="preserve"> -</w:t>
      </w:r>
      <w:r w:rsidRPr="00F30867">
        <w:rPr>
          <w:rFonts w:ascii="Calibri" w:hAnsi="Calibri" w:cs="Arial"/>
          <w:bCs/>
        </w:rPr>
        <w:t xml:space="preserve"> consider </w:t>
      </w:r>
      <w:r w:rsidR="00545A64">
        <w:rPr>
          <w:rFonts w:ascii="Calibri" w:hAnsi="Calibri" w:cs="Arial"/>
          <w:bCs/>
        </w:rPr>
        <w:t xml:space="preserve">that very </w:t>
      </w:r>
      <w:r w:rsidRPr="00F30867">
        <w:rPr>
          <w:rFonts w:ascii="Calibri" w:hAnsi="Calibri" w:cs="Arial"/>
          <w:bCs/>
        </w:rPr>
        <w:t xml:space="preserve">low basis collectibles </w:t>
      </w:r>
      <w:r w:rsidR="00E67042">
        <w:rPr>
          <w:rFonts w:ascii="Calibri" w:hAnsi="Calibri" w:cs="Arial"/>
          <w:bCs/>
        </w:rPr>
        <w:t xml:space="preserve">may be </w:t>
      </w:r>
      <w:r w:rsidRPr="00F30867">
        <w:rPr>
          <w:rFonts w:ascii="Calibri" w:hAnsi="Calibri" w:cs="Arial"/>
          <w:bCs/>
        </w:rPr>
        <w:t xml:space="preserve">taxed to a beneficiary </w:t>
      </w:r>
      <w:r w:rsidR="00545A64">
        <w:rPr>
          <w:rFonts w:ascii="Calibri" w:hAnsi="Calibri" w:cs="Arial"/>
          <w:bCs/>
        </w:rPr>
        <w:t xml:space="preserve">upon sale </w:t>
      </w:r>
      <w:r w:rsidRPr="00F30867">
        <w:rPr>
          <w:rFonts w:ascii="Calibri" w:hAnsi="Calibri" w:cs="Arial"/>
          <w:bCs/>
        </w:rPr>
        <w:t>in a high tax state</w:t>
      </w:r>
      <w:r w:rsidR="00130C29">
        <w:rPr>
          <w:rFonts w:ascii="Calibri" w:hAnsi="Calibri" w:cs="Arial"/>
          <w:bCs/>
        </w:rPr>
        <w:t xml:space="preserve"> </w:t>
      </w:r>
      <w:r w:rsidR="00AC5928">
        <w:rPr>
          <w:rFonts w:ascii="Calibri" w:hAnsi="Calibri" w:cs="Arial"/>
          <w:bCs/>
        </w:rPr>
        <w:t>(31.8% federal +</w:t>
      </w:r>
      <w:r w:rsidR="00545A64">
        <w:rPr>
          <w:rFonts w:ascii="Calibri" w:hAnsi="Calibri" w:cs="Arial"/>
          <w:bCs/>
        </w:rPr>
        <w:t xml:space="preserve"> </w:t>
      </w:r>
      <w:r w:rsidR="00AC5928">
        <w:rPr>
          <w:rFonts w:ascii="Calibri" w:hAnsi="Calibri" w:cs="Arial"/>
          <w:bCs/>
        </w:rPr>
        <w:t xml:space="preserve">up to 13.3%) </w:t>
      </w:r>
      <w:r w:rsidR="00E67042">
        <w:rPr>
          <w:rFonts w:ascii="Calibri" w:hAnsi="Calibri" w:cs="Arial"/>
          <w:bCs/>
        </w:rPr>
        <w:t>at a rate higher than</w:t>
      </w:r>
      <w:r w:rsidR="00130C29">
        <w:rPr>
          <w:rFonts w:ascii="Calibri" w:hAnsi="Calibri" w:cs="Arial"/>
          <w:bCs/>
        </w:rPr>
        <w:t xml:space="preserve"> </w:t>
      </w:r>
      <w:r w:rsidR="00E67042">
        <w:rPr>
          <w:rFonts w:ascii="Calibri" w:hAnsi="Calibri" w:cs="Arial"/>
          <w:bCs/>
        </w:rPr>
        <w:t>the</w:t>
      </w:r>
      <w:r w:rsidR="00130C29">
        <w:rPr>
          <w:rFonts w:ascii="Calibri" w:hAnsi="Calibri" w:cs="Arial"/>
          <w:bCs/>
        </w:rPr>
        <w:t xml:space="preserve"> estate tax</w:t>
      </w:r>
      <w:r w:rsidR="00AC5928">
        <w:rPr>
          <w:rFonts w:ascii="Calibri" w:hAnsi="Calibri" w:cs="Arial"/>
          <w:bCs/>
        </w:rPr>
        <w:t xml:space="preserve"> (40% federal)</w:t>
      </w:r>
      <w:r w:rsidRPr="00F30867">
        <w:rPr>
          <w:rFonts w:ascii="Calibri" w:hAnsi="Calibri" w:cs="Arial"/>
          <w:bCs/>
        </w:rPr>
        <w:t>.</w:t>
      </w:r>
    </w:p>
    <w:p w14:paraId="64607A7C" w14:textId="77777777" w:rsidR="00760D72" w:rsidRDefault="00760D72" w:rsidP="00180FD1">
      <w:pPr>
        <w:numPr>
          <w:ilvl w:val="0"/>
          <w:numId w:val="8"/>
        </w:numPr>
        <w:tabs>
          <w:tab w:val="clear" w:pos="420"/>
          <w:tab w:val="num" w:pos="0"/>
        </w:tabs>
        <w:spacing w:line="360" w:lineRule="auto"/>
        <w:ind w:left="0" w:firstLine="60"/>
        <w:rPr>
          <w:rFonts w:ascii="Calibri" w:hAnsi="Calibri" w:cs="Arial"/>
          <w:bCs/>
        </w:rPr>
      </w:pPr>
      <w:r w:rsidRPr="00F30867">
        <w:rPr>
          <w:rFonts w:ascii="Calibri" w:hAnsi="Calibri" w:cs="Arial"/>
          <w:b/>
          <w:bCs/>
          <w:iCs/>
        </w:rPr>
        <w:t>Actions of the powerholder/trustee irrelevant.</w:t>
      </w:r>
      <w:r w:rsidRPr="00F30867">
        <w:rPr>
          <w:rFonts w:ascii="Calibri" w:hAnsi="Calibri" w:cs="Arial"/>
          <w:bCs/>
          <w:iCs/>
        </w:rPr>
        <w:t xml:space="preserve">  As d</w:t>
      </w:r>
      <w:r w:rsidR="00E67042">
        <w:rPr>
          <w:rFonts w:ascii="Calibri" w:hAnsi="Calibri" w:cs="Arial"/>
          <w:bCs/>
          <w:iCs/>
        </w:rPr>
        <w:t>iscussed herein, there is an</w:t>
      </w:r>
      <w:r w:rsidRPr="00F30867">
        <w:rPr>
          <w:rFonts w:ascii="Calibri" w:hAnsi="Calibri" w:cs="Arial"/>
          <w:bCs/>
          <w:iCs/>
        </w:rPr>
        <w:t xml:space="preserve"> argument that trustee’s investment policy, powerholder spending or estate devise, pursuant to the </w:t>
      </w:r>
      <w:r w:rsidRPr="00F30867">
        <w:rPr>
          <w:rFonts w:ascii="Calibri" w:hAnsi="Calibri" w:cs="Arial"/>
          <w:bCs/>
          <w:i/>
          <w:iCs/>
        </w:rPr>
        <w:t>Kurz</w:t>
      </w:r>
      <w:r w:rsidRPr="00F30867">
        <w:rPr>
          <w:rFonts w:ascii="Calibri" w:hAnsi="Calibri" w:cs="Arial"/>
          <w:bCs/>
        </w:rPr>
        <w:t xml:space="preserve"> case or otherwise, could be invoked </w:t>
      </w:r>
      <w:r w:rsidR="00E67042">
        <w:rPr>
          <w:rFonts w:ascii="Calibri" w:hAnsi="Calibri" w:cs="Arial"/>
          <w:bCs/>
        </w:rPr>
        <w:t xml:space="preserve">by the IRS </w:t>
      </w:r>
      <w:r w:rsidRPr="00F30867">
        <w:rPr>
          <w:rFonts w:ascii="Calibri" w:hAnsi="Calibri" w:cs="Arial"/>
          <w:bCs/>
        </w:rPr>
        <w:t xml:space="preserve">to override the cap and cause more assets than desired to be subject to a formula testamentary GPOA. </w:t>
      </w:r>
      <w:r w:rsidR="00E67042">
        <w:rPr>
          <w:rFonts w:ascii="Calibri" w:hAnsi="Calibri" w:cs="Arial"/>
          <w:bCs/>
        </w:rPr>
        <w:t xml:space="preserve"> While I think this is a weak and ultimately losing argument, t</w:t>
      </w:r>
      <w:r w:rsidRPr="00F30867">
        <w:rPr>
          <w:rFonts w:ascii="Calibri" w:hAnsi="Calibri" w:cs="Arial"/>
          <w:bCs/>
        </w:rPr>
        <w:t>he LPOA/DTT technique is</w:t>
      </w:r>
      <w:r w:rsidR="00F30867">
        <w:rPr>
          <w:rFonts w:ascii="Calibri" w:hAnsi="Calibri" w:cs="Arial"/>
          <w:bCs/>
        </w:rPr>
        <w:t xml:space="preserve"> </w:t>
      </w:r>
      <w:r w:rsidR="00F30867" w:rsidRPr="00FF77F1">
        <w:rPr>
          <w:rFonts w:ascii="Calibri" w:hAnsi="Calibri" w:cs="Arial"/>
          <w:b/>
          <w:bCs/>
        </w:rPr>
        <w:t>completely</w:t>
      </w:r>
      <w:r w:rsidRPr="00F30867">
        <w:rPr>
          <w:rFonts w:ascii="Calibri" w:hAnsi="Calibri" w:cs="Arial"/>
          <w:bCs/>
        </w:rPr>
        <w:t xml:space="preserve"> </w:t>
      </w:r>
      <w:r w:rsidRPr="00F30867">
        <w:rPr>
          <w:rFonts w:ascii="Calibri" w:hAnsi="Calibri" w:cs="Arial"/>
          <w:b/>
          <w:bCs/>
        </w:rPr>
        <w:t>immune</w:t>
      </w:r>
      <w:r w:rsidRPr="00F30867">
        <w:rPr>
          <w:rFonts w:ascii="Calibri" w:hAnsi="Calibri" w:cs="Arial"/>
          <w:bCs/>
        </w:rPr>
        <w:t xml:space="preserve"> to these arguments, since </w:t>
      </w:r>
      <w:r w:rsidR="00F60F5B" w:rsidRPr="00F30867">
        <w:rPr>
          <w:rFonts w:ascii="Calibri" w:hAnsi="Calibri" w:cs="Arial"/>
          <w:bCs/>
        </w:rPr>
        <w:t>§</w:t>
      </w:r>
      <w:r w:rsidRPr="00F30867">
        <w:rPr>
          <w:rFonts w:ascii="Calibri" w:hAnsi="Calibri" w:cs="Arial"/>
          <w:bCs/>
        </w:rPr>
        <w:t xml:space="preserve">2041(a)(3) is triggered only upon and to the extent of </w:t>
      </w:r>
      <w:r w:rsidRPr="00E67042">
        <w:rPr>
          <w:rFonts w:ascii="Calibri" w:hAnsi="Calibri" w:cs="Arial"/>
          <w:bCs/>
          <w:i/>
        </w:rPr>
        <w:t>exercise</w:t>
      </w:r>
      <w:r w:rsidRPr="00F30867">
        <w:rPr>
          <w:rFonts w:ascii="Calibri" w:hAnsi="Calibri" w:cs="Arial"/>
          <w:bCs/>
        </w:rPr>
        <w:t>.</w:t>
      </w:r>
    </w:p>
    <w:p w14:paraId="6447E586" w14:textId="77777777" w:rsidR="00F30867" w:rsidRDefault="00656A79" w:rsidP="00656A79">
      <w:pPr>
        <w:autoSpaceDE w:val="0"/>
        <w:autoSpaceDN w:val="0"/>
        <w:adjustRightInd w:val="0"/>
        <w:spacing w:line="360" w:lineRule="auto"/>
        <w:rPr>
          <w:rFonts w:ascii="Calibri" w:hAnsi="Calibri"/>
        </w:rPr>
      </w:pPr>
      <w:r>
        <w:rPr>
          <w:rFonts w:ascii="Calibri" w:hAnsi="Calibri" w:cs="Arial"/>
          <w:b/>
          <w:bCs/>
        </w:rPr>
        <w:t xml:space="preserve">- </w:t>
      </w:r>
      <w:r>
        <w:rPr>
          <w:rFonts w:ascii="Calibri" w:hAnsi="Calibri" w:cs="Arial"/>
          <w:b/>
          <w:bCs/>
        </w:rPr>
        <w:tab/>
      </w:r>
      <w:r w:rsidR="007E1312" w:rsidRPr="00F30867">
        <w:rPr>
          <w:rFonts w:ascii="Calibri" w:hAnsi="Calibri" w:cs="Arial"/>
          <w:b/>
          <w:bCs/>
        </w:rPr>
        <w:t xml:space="preserve">The </w:t>
      </w:r>
      <w:r w:rsidR="007E1312" w:rsidRPr="00F30867">
        <w:rPr>
          <w:rFonts w:ascii="Calibri" w:hAnsi="Calibri" w:cs="Arial"/>
          <w:b/>
          <w:bCs/>
          <w:i/>
        </w:rPr>
        <w:t>beneficiaries</w:t>
      </w:r>
      <w:r w:rsidR="007E1312" w:rsidRPr="00F30867">
        <w:rPr>
          <w:rFonts w:ascii="Calibri" w:hAnsi="Calibri" w:cs="Arial"/>
          <w:b/>
          <w:bCs/>
        </w:rPr>
        <w:t xml:space="preserve"> </w:t>
      </w:r>
      <w:r w:rsidR="00CC34A4">
        <w:rPr>
          <w:rFonts w:ascii="Calibri" w:hAnsi="Calibri" w:cs="Arial"/>
          <w:b/>
          <w:bCs/>
        </w:rPr>
        <w:t xml:space="preserve">may </w:t>
      </w:r>
      <w:r w:rsidR="007E1312" w:rsidRPr="00F30867">
        <w:rPr>
          <w:rFonts w:ascii="Calibri" w:hAnsi="Calibri" w:cs="Arial"/>
          <w:b/>
          <w:bCs/>
        </w:rPr>
        <w:t xml:space="preserve">have </w:t>
      </w:r>
      <w:r w:rsidR="00C431A5">
        <w:rPr>
          <w:rFonts w:ascii="Calibri" w:hAnsi="Calibri" w:cs="Arial"/>
          <w:b/>
          <w:bCs/>
        </w:rPr>
        <w:t>some</w:t>
      </w:r>
      <w:r w:rsidR="007E1312" w:rsidRPr="00F30867">
        <w:rPr>
          <w:rFonts w:ascii="Calibri" w:hAnsi="Calibri" w:cs="Arial"/>
          <w:b/>
          <w:bCs/>
        </w:rPr>
        <w:t xml:space="preserve"> post-mortem control over </w:t>
      </w:r>
      <w:r w:rsidR="00E260E4">
        <w:rPr>
          <w:rFonts w:ascii="Calibri" w:hAnsi="Calibri" w:cs="Arial"/>
          <w:b/>
          <w:bCs/>
        </w:rPr>
        <w:t xml:space="preserve">asset protection, </w:t>
      </w:r>
      <w:r w:rsidR="007E1312" w:rsidRPr="00F30867">
        <w:rPr>
          <w:rFonts w:ascii="Calibri" w:hAnsi="Calibri" w:cs="Arial"/>
          <w:b/>
          <w:bCs/>
        </w:rPr>
        <w:t xml:space="preserve">estate taxation/basis </w:t>
      </w:r>
      <w:r w:rsidR="007E1312" w:rsidRPr="00F30867">
        <w:rPr>
          <w:rFonts w:ascii="Calibri" w:hAnsi="Calibri" w:cs="Arial"/>
          <w:bCs/>
        </w:rPr>
        <w:t xml:space="preserve">– </w:t>
      </w:r>
      <w:r w:rsidR="00F30867">
        <w:rPr>
          <w:rFonts w:ascii="Calibri" w:hAnsi="Calibri" w:cs="Arial"/>
          <w:bCs/>
        </w:rPr>
        <w:t xml:space="preserve"> </w:t>
      </w:r>
      <w:r w:rsidR="00F30867" w:rsidRPr="00F30867">
        <w:rPr>
          <w:rFonts w:ascii="Calibri" w:hAnsi="Calibri" w:cs="Arial"/>
          <w:bCs/>
        </w:rPr>
        <w:t xml:space="preserve">A recipient/appointee </w:t>
      </w:r>
      <w:r w:rsidR="00F30867" w:rsidRPr="00763308">
        <w:rPr>
          <w:rFonts w:ascii="Calibri" w:hAnsi="Calibri" w:cs="Arial"/>
          <w:bCs/>
          <w:i/>
        </w:rPr>
        <w:t>might</w:t>
      </w:r>
      <w:r w:rsidR="00F30867" w:rsidRPr="00F30867">
        <w:rPr>
          <w:rFonts w:ascii="Calibri" w:hAnsi="Calibri" w:cs="Arial"/>
          <w:bCs/>
        </w:rPr>
        <w:t xml:space="preserve"> </w:t>
      </w:r>
      <w:r w:rsidR="00E260E4">
        <w:rPr>
          <w:rFonts w:ascii="Calibri" w:hAnsi="Calibri" w:cs="Arial"/>
          <w:bCs/>
        </w:rPr>
        <w:t xml:space="preserve">be able to </w:t>
      </w:r>
      <w:r w:rsidR="00F30867" w:rsidRPr="00F30867">
        <w:rPr>
          <w:rFonts w:ascii="Calibri" w:hAnsi="Calibri" w:cs="Arial"/>
          <w:bCs/>
        </w:rPr>
        <w:t xml:space="preserve">disclaim a PEG power </w:t>
      </w:r>
      <w:r w:rsidR="00F30867">
        <w:rPr>
          <w:rFonts w:ascii="Calibri" w:hAnsi="Calibri" w:cs="Arial"/>
          <w:bCs/>
        </w:rPr>
        <w:t>in a trust funded through the</w:t>
      </w:r>
      <w:r w:rsidR="00F30867" w:rsidRPr="00F30867">
        <w:rPr>
          <w:rFonts w:ascii="Calibri" w:hAnsi="Calibri" w:cs="Arial"/>
          <w:bCs/>
        </w:rPr>
        <w:t xml:space="preserve"> exercise of </w:t>
      </w:r>
      <w:r w:rsidR="00F30867">
        <w:rPr>
          <w:rFonts w:ascii="Calibri" w:hAnsi="Calibri" w:cs="Arial"/>
          <w:bCs/>
        </w:rPr>
        <w:t xml:space="preserve">an </w:t>
      </w:r>
      <w:r w:rsidR="00F30867" w:rsidRPr="00F30867">
        <w:rPr>
          <w:rFonts w:ascii="Calibri" w:hAnsi="Calibri" w:cs="Arial"/>
          <w:bCs/>
        </w:rPr>
        <w:t xml:space="preserve">LPOA </w:t>
      </w:r>
      <w:r w:rsidR="00F30867">
        <w:rPr>
          <w:rFonts w:ascii="Calibri" w:hAnsi="Calibri" w:cs="Arial"/>
          <w:bCs/>
        </w:rPr>
        <w:t xml:space="preserve">that would otherwise trigger the Delaware tax trap </w:t>
      </w:r>
      <w:r w:rsidR="00F30867" w:rsidRPr="00F30867">
        <w:rPr>
          <w:rFonts w:ascii="Calibri" w:hAnsi="Calibri" w:cs="Arial"/>
          <w:bCs/>
        </w:rPr>
        <w:t>and affect the upstream taxation/basis adjustment</w:t>
      </w:r>
      <w:r w:rsidR="00C431A5">
        <w:rPr>
          <w:rFonts w:ascii="Calibri" w:hAnsi="Calibri" w:cs="Arial"/>
          <w:bCs/>
        </w:rPr>
        <w:t xml:space="preserve"> (</w:t>
      </w:r>
      <w:r w:rsidR="00545A64">
        <w:rPr>
          <w:rFonts w:ascii="Calibri" w:hAnsi="Calibri" w:cs="Arial"/>
          <w:bCs/>
        </w:rPr>
        <w:t xml:space="preserve">by contrast, </w:t>
      </w:r>
      <w:r w:rsidR="00F30867" w:rsidRPr="00F30867">
        <w:rPr>
          <w:rFonts w:ascii="Calibri" w:hAnsi="Calibri" w:cs="Arial"/>
          <w:bCs/>
        </w:rPr>
        <w:t xml:space="preserve">it is </w:t>
      </w:r>
      <w:r w:rsidR="00F30867" w:rsidRPr="00E67042">
        <w:rPr>
          <w:rFonts w:ascii="Calibri" w:hAnsi="Calibri" w:cs="Arial"/>
          <w:bCs/>
          <w:i/>
        </w:rPr>
        <w:t>impossible</w:t>
      </w:r>
      <w:r w:rsidR="00F30867" w:rsidRPr="00F30867">
        <w:rPr>
          <w:rFonts w:ascii="Calibri" w:hAnsi="Calibri" w:cs="Arial"/>
          <w:bCs/>
        </w:rPr>
        <w:t xml:space="preserve"> </w:t>
      </w:r>
      <w:r w:rsidR="00F30867">
        <w:rPr>
          <w:rFonts w:ascii="Calibri" w:hAnsi="Calibri" w:cs="Arial"/>
          <w:bCs/>
        </w:rPr>
        <w:t xml:space="preserve">for recipients to affect whether a </w:t>
      </w:r>
      <w:r w:rsidR="00F30867" w:rsidRPr="00F30867">
        <w:rPr>
          <w:rFonts w:ascii="Calibri" w:hAnsi="Calibri" w:cs="Arial"/>
          <w:bCs/>
        </w:rPr>
        <w:t>GPOA</w:t>
      </w:r>
      <w:r w:rsidR="00F30867">
        <w:rPr>
          <w:rFonts w:ascii="Calibri" w:hAnsi="Calibri" w:cs="Arial"/>
          <w:bCs/>
        </w:rPr>
        <w:t xml:space="preserve"> is held at death or not</w:t>
      </w:r>
      <w:r w:rsidR="00C431A5">
        <w:rPr>
          <w:rFonts w:ascii="Calibri" w:hAnsi="Calibri" w:cs="Arial"/>
          <w:bCs/>
        </w:rPr>
        <w:t>)</w:t>
      </w:r>
      <w:r w:rsidR="00F30867" w:rsidRPr="00F30867">
        <w:rPr>
          <w:rFonts w:ascii="Calibri" w:hAnsi="Calibri" w:cs="Arial"/>
          <w:bCs/>
        </w:rPr>
        <w:t>.</w:t>
      </w:r>
      <w:r w:rsidR="00F30867">
        <w:rPr>
          <w:rFonts w:ascii="Calibri" w:hAnsi="Calibri" w:cs="Arial"/>
          <w:bCs/>
        </w:rPr>
        <w:t xml:space="preserve">  </w:t>
      </w:r>
      <w:r w:rsidR="00C431A5">
        <w:rPr>
          <w:rFonts w:ascii="Calibri" w:hAnsi="Calibri" w:cs="Arial"/>
          <w:bCs/>
        </w:rPr>
        <w:t>To the extent permitted, t</w:t>
      </w:r>
      <w:r w:rsidR="00F30867" w:rsidRPr="00F30867">
        <w:rPr>
          <w:rFonts w:ascii="Calibri" w:hAnsi="Calibri"/>
        </w:rPr>
        <w:t>his could be important to flexibly allow increased inclusion to yield federal, state and/or local income tax benefits by additional step up, or prevent over</w:t>
      </w:r>
      <w:r w:rsidR="00A06006">
        <w:rPr>
          <w:rFonts w:ascii="Calibri" w:hAnsi="Calibri"/>
        </w:rPr>
        <w:t>-</w:t>
      </w:r>
      <w:r w:rsidR="00F30867" w:rsidRPr="00F30867">
        <w:rPr>
          <w:rFonts w:ascii="Calibri" w:hAnsi="Calibri"/>
        </w:rPr>
        <w:t>inclusion</w:t>
      </w:r>
      <w:r w:rsidR="008D4365">
        <w:rPr>
          <w:rFonts w:ascii="Calibri" w:hAnsi="Calibri"/>
        </w:rPr>
        <w:t>, or improve asset protection at the expense of a step up in basis</w:t>
      </w:r>
      <w:r w:rsidR="00F30867" w:rsidRPr="00F30867">
        <w:rPr>
          <w:rFonts w:ascii="Calibri" w:hAnsi="Calibri"/>
        </w:rPr>
        <w:t>.  Disclaimers can be made partial or by formula.</w:t>
      </w:r>
      <w:r w:rsidR="00F30867" w:rsidRPr="00F30867">
        <w:rPr>
          <w:rStyle w:val="FootnoteReference"/>
          <w:rFonts w:ascii="Calibri" w:hAnsi="Calibri"/>
        </w:rPr>
        <w:footnoteReference w:id="150"/>
      </w:r>
      <w:r w:rsidR="00F30867">
        <w:rPr>
          <w:rFonts w:ascii="Calibri" w:hAnsi="Calibri"/>
        </w:rPr>
        <w:t xml:space="preserve">  </w:t>
      </w:r>
    </w:p>
    <w:p w14:paraId="086FDAA4" w14:textId="77777777" w:rsidR="008D4365" w:rsidRDefault="00E260E4" w:rsidP="00F30867">
      <w:pPr>
        <w:autoSpaceDE w:val="0"/>
        <w:autoSpaceDN w:val="0"/>
        <w:adjustRightInd w:val="0"/>
        <w:spacing w:line="360" w:lineRule="auto"/>
        <w:ind w:firstLine="720"/>
        <w:rPr>
          <w:rFonts w:ascii="Calibri" w:hAnsi="Calibri"/>
        </w:rPr>
      </w:pPr>
      <w:r>
        <w:rPr>
          <w:rFonts w:ascii="Calibri" w:hAnsi="Calibri"/>
        </w:rPr>
        <w:t xml:space="preserve">However, there </w:t>
      </w:r>
      <w:r w:rsidR="005E731A">
        <w:rPr>
          <w:rFonts w:ascii="Calibri" w:hAnsi="Calibri"/>
        </w:rPr>
        <w:t>are various complexities</w:t>
      </w:r>
      <w:r>
        <w:rPr>
          <w:rFonts w:ascii="Calibri" w:hAnsi="Calibri"/>
        </w:rPr>
        <w:t xml:space="preserve"> when disclaiming property </w:t>
      </w:r>
      <w:r w:rsidR="008D4365">
        <w:rPr>
          <w:rFonts w:ascii="Calibri" w:hAnsi="Calibri"/>
        </w:rPr>
        <w:t>received as a result of</w:t>
      </w:r>
      <w:r>
        <w:rPr>
          <w:rFonts w:ascii="Calibri" w:hAnsi="Calibri"/>
        </w:rPr>
        <w:t xml:space="preserve"> the execution of a </w:t>
      </w:r>
      <w:r w:rsidRPr="00E260E4">
        <w:rPr>
          <w:rFonts w:ascii="Calibri" w:hAnsi="Calibri"/>
          <w:i/>
        </w:rPr>
        <w:t>limited</w:t>
      </w:r>
      <w:r>
        <w:rPr>
          <w:rFonts w:ascii="Calibri" w:hAnsi="Calibri"/>
        </w:rPr>
        <w:t xml:space="preserve"> power of appointment.</w:t>
      </w:r>
      <w:r w:rsidR="00763308">
        <w:rPr>
          <w:rStyle w:val="FootnoteReference"/>
          <w:rFonts w:ascii="Calibri" w:hAnsi="Calibri"/>
        </w:rPr>
        <w:footnoteReference w:id="151"/>
      </w:r>
      <w:r>
        <w:rPr>
          <w:rFonts w:ascii="Calibri" w:hAnsi="Calibri"/>
        </w:rPr>
        <w:t xml:space="preserve">  </w:t>
      </w:r>
      <w:r w:rsidR="008D4365">
        <w:rPr>
          <w:rFonts w:ascii="Calibri" w:hAnsi="Calibri"/>
        </w:rPr>
        <w:t>A</w:t>
      </w:r>
      <w:r w:rsidR="00CA4AA7">
        <w:rPr>
          <w:rFonts w:ascii="Calibri" w:hAnsi="Calibri"/>
        </w:rPr>
        <w:t xml:space="preserve"> disclaimer </w:t>
      </w:r>
      <w:r w:rsidR="008D4365">
        <w:rPr>
          <w:rFonts w:ascii="Calibri" w:hAnsi="Calibri"/>
        </w:rPr>
        <w:t xml:space="preserve">is only </w:t>
      </w:r>
      <w:r w:rsidR="00CA4AA7">
        <w:rPr>
          <w:rFonts w:ascii="Calibri" w:hAnsi="Calibri"/>
        </w:rPr>
        <w:t xml:space="preserve">“qualified” for gift/estate tax purposes pursuant to IRC §2518 if it is made within 9 months of the </w:t>
      </w:r>
      <w:r w:rsidR="00CA4AA7" w:rsidRPr="008D4365">
        <w:rPr>
          <w:rFonts w:ascii="Calibri" w:hAnsi="Calibri"/>
          <w:i/>
        </w:rPr>
        <w:t>creation</w:t>
      </w:r>
      <w:r w:rsidR="00CA4AA7">
        <w:rPr>
          <w:rFonts w:ascii="Calibri" w:hAnsi="Calibri"/>
        </w:rPr>
        <w:t xml:space="preserve"> of the </w:t>
      </w:r>
      <w:r w:rsidR="00CA4AA7" w:rsidRPr="00CA4AA7">
        <w:rPr>
          <w:rFonts w:ascii="Calibri" w:hAnsi="Calibri"/>
          <w:b/>
          <w:i/>
        </w:rPr>
        <w:t>first</w:t>
      </w:r>
      <w:r w:rsidR="00CA4AA7">
        <w:rPr>
          <w:rFonts w:ascii="Calibri" w:hAnsi="Calibri"/>
        </w:rPr>
        <w:t xml:space="preserve"> power (or in the later event of nine months from a minor disclaimant turning age 21)</w:t>
      </w:r>
      <w:r w:rsidR="00BC6B86">
        <w:rPr>
          <w:rFonts w:ascii="Calibri" w:hAnsi="Calibri"/>
        </w:rPr>
        <w:t>.</w:t>
      </w:r>
      <w:r w:rsidR="00CA4AA7">
        <w:rPr>
          <w:rStyle w:val="FootnoteReference"/>
          <w:rFonts w:ascii="Calibri" w:hAnsi="Calibri"/>
        </w:rPr>
        <w:footnoteReference w:id="152"/>
      </w:r>
      <w:r w:rsidR="00CA4AA7">
        <w:rPr>
          <w:rFonts w:ascii="Calibri" w:hAnsi="Calibri"/>
        </w:rPr>
        <w:t xml:space="preserve"> </w:t>
      </w:r>
      <w:r w:rsidR="008D4365">
        <w:rPr>
          <w:rFonts w:ascii="Calibri" w:hAnsi="Calibri"/>
        </w:rPr>
        <w:t xml:space="preserve">This is in contrast to receipt after the execution or even lapse of a </w:t>
      </w:r>
      <w:r w:rsidR="008D4365" w:rsidRPr="008D4365">
        <w:rPr>
          <w:rFonts w:ascii="Calibri" w:hAnsi="Calibri"/>
          <w:i/>
        </w:rPr>
        <w:t>general</w:t>
      </w:r>
      <w:r w:rsidR="008D4365">
        <w:rPr>
          <w:rFonts w:ascii="Calibri" w:hAnsi="Calibri"/>
        </w:rPr>
        <w:t xml:space="preserve"> power</w:t>
      </w:r>
      <w:r w:rsidR="00CA4AA7">
        <w:rPr>
          <w:rFonts w:ascii="Calibri" w:hAnsi="Calibri"/>
        </w:rPr>
        <w:t>,</w:t>
      </w:r>
      <w:r w:rsidR="008D4365">
        <w:rPr>
          <w:rFonts w:ascii="Calibri" w:hAnsi="Calibri"/>
        </w:rPr>
        <w:t xml:space="preserve"> </w:t>
      </w:r>
      <w:r w:rsidR="008D4365">
        <w:rPr>
          <w:rFonts w:ascii="Calibri" w:hAnsi="Calibri"/>
        </w:rPr>
        <w:lastRenderedPageBreak/>
        <w:t>w</w:t>
      </w:r>
      <w:r w:rsidR="005E731A">
        <w:rPr>
          <w:rFonts w:ascii="Calibri" w:hAnsi="Calibri"/>
        </w:rPr>
        <w:t xml:space="preserve">hich grants and starts </w:t>
      </w:r>
      <w:r w:rsidR="00297CA5">
        <w:rPr>
          <w:rFonts w:ascii="Calibri" w:hAnsi="Calibri"/>
        </w:rPr>
        <w:t>a new</w:t>
      </w:r>
      <w:r w:rsidR="005E731A">
        <w:rPr>
          <w:rFonts w:ascii="Calibri" w:hAnsi="Calibri"/>
        </w:rPr>
        <w:t xml:space="preserve"> nine</w:t>
      </w:r>
      <w:r w:rsidR="008D4365">
        <w:rPr>
          <w:rFonts w:ascii="Calibri" w:hAnsi="Calibri"/>
        </w:rPr>
        <w:t xml:space="preserve"> month disclaimer window.  </w:t>
      </w:r>
      <w:r w:rsidR="009B1A68">
        <w:rPr>
          <w:rFonts w:ascii="Calibri" w:hAnsi="Calibri"/>
        </w:rPr>
        <w:t>There is an argument that a triggering of the Delaware tax trap should be treated more like the exercise of a general power for</w:t>
      </w:r>
      <w:r w:rsidR="00991E4C">
        <w:rPr>
          <w:rFonts w:ascii="Calibri" w:hAnsi="Calibri"/>
        </w:rPr>
        <w:t xml:space="preserve"> subsequent</w:t>
      </w:r>
      <w:r w:rsidR="009B1A68">
        <w:rPr>
          <w:rFonts w:ascii="Calibri" w:hAnsi="Calibri"/>
        </w:rPr>
        <w:t xml:space="preserve"> disclaimer purposes, but since the regulation</w:t>
      </w:r>
      <w:r w:rsidR="00991E4C">
        <w:rPr>
          <w:rFonts w:ascii="Calibri" w:hAnsi="Calibri"/>
        </w:rPr>
        <w:t xml:space="preserve"> cited above</w:t>
      </w:r>
      <w:r w:rsidR="009B1A68">
        <w:rPr>
          <w:rFonts w:ascii="Calibri" w:hAnsi="Calibri"/>
        </w:rPr>
        <w:t xml:space="preserve"> </w:t>
      </w:r>
      <w:r w:rsidR="00991E4C">
        <w:rPr>
          <w:rFonts w:ascii="Calibri" w:hAnsi="Calibri"/>
        </w:rPr>
        <w:t>mentions no exception, and also precludes a new time period for disclaimers of interests created through exercise of limited powers in QTIPs despite estate inclusion, this argument is unlikely to prevail</w:t>
      </w:r>
      <w:r w:rsidR="00E87647">
        <w:rPr>
          <w:rFonts w:ascii="Calibri" w:hAnsi="Calibri"/>
        </w:rPr>
        <w:t xml:space="preserve"> (an exercised </w:t>
      </w:r>
      <w:r w:rsidR="00762455">
        <w:rPr>
          <w:rFonts w:ascii="Calibri" w:hAnsi="Calibri"/>
        </w:rPr>
        <w:t xml:space="preserve">limited </w:t>
      </w:r>
      <w:r w:rsidR="00E87647">
        <w:rPr>
          <w:rFonts w:ascii="Calibri" w:hAnsi="Calibri"/>
        </w:rPr>
        <w:t>power triggering the trap is NOT within the definition of a general power, it merely has the same estate/gift tax effect)</w:t>
      </w:r>
      <w:r w:rsidR="00991E4C">
        <w:rPr>
          <w:rFonts w:ascii="Calibri" w:hAnsi="Calibri"/>
        </w:rPr>
        <w:t>.</w:t>
      </w:r>
    </w:p>
    <w:p w14:paraId="6E100867" w14:textId="77777777" w:rsidR="00EC26DB" w:rsidRDefault="008D4365" w:rsidP="00F30867">
      <w:pPr>
        <w:autoSpaceDE w:val="0"/>
        <w:autoSpaceDN w:val="0"/>
        <w:adjustRightInd w:val="0"/>
        <w:spacing w:line="360" w:lineRule="auto"/>
        <w:ind w:firstLine="720"/>
        <w:rPr>
          <w:rFonts w:ascii="Calibri" w:hAnsi="Calibri"/>
        </w:rPr>
      </w:pPr>
      <w:r>
        <w:rPr>
          <w:rFonts w:ascii="Calibri" w:hAnsi="Calibri"/>
        </w:rPr>
        <w:t>Does that mean there is no chance to disclaim a PEG power</w:t>
      </w:r>
      <w:r w:rsidR="005E731A">
        <w:rPr>
          <w:rFonts w:ascii="Calibri" w:hAnsi="Calibri"/>
        </w:rPr>
        <w:t xml:space="preserve"> absent quick successive deaths or a minor power holder</w:t>
      </w:r>
      <w:r>
        <w:rPr>
          <w:rFonts w:ascii="Calibri" w:hAnsi="Calibri"/>
        </w:rPr>
        <w:t>?  Not necessarily –</w:t>
      </w:r>
      <w:r w:rsidR="005E731A">
        <w:rPr>
          <w:rFonts w:ascii="Calibri" w:hAnsi="Calibri"/>
        </w:rPr>
        <w:t xml:space="preserve"> it just means the disclaimer</w:t>
      </w:r>
      <w:r>
        <w:rPr>
          <w:rFonts w:ascii="Calibri" w:hAnsi="Calibri"/>
        </w:rPr>
        <w:t xml:space="preserve"> is not “qualified” and </w:t>
      </w:r>
      <w:r w:rsidR="00BC6B86">
        <w:rPr>
          <w:rFonts w:ascii="Calibri" w:hAnsi="Calibri"/>
        </w:rPr>
        <w:t>could</w:t>
      </w:r>
      <w:r w:rsidR="00816947">
        <w:rPr>
          <w:rFonts w:ascii="Calibri" w:hAnsi="Calibri"/>
        </w:rPr>
        <w:t xml:space="preserve"> </w:t>
      </w:r>
      <w:r>
        <w:rPr>
          <w:rFonts w:ascii="Calibri" w:hAnsi="Calibri"/>
        </w:rPr>
        <w:t>constitute a taxable gift</w:t>
      </w:r>
      <w:r w:rsidR="00816947">
        <w:rPr>
          <w:rFonts w:ascii="Calibri" w:hAnsi="Calibri"/>
        </w:rPr>
        <w:t xml:space="preserve">, though depending on the scheme of </w:t>
      </w:r>
      <w:r w:rsidR="00C431A5">
        <w:rPr>
          <w:rFonts w:ascii="Calibri" w:hAnsi="Calibri"/>
        </w:rPr>
        <w:t xml:space="preserve">who takes </w:t>
      </w:r>
      <w:r w:rsidR="00816947">
        <w:rPr>
          <w:rFonts w:ascii="Calibri" w:hAnsi="Calibri"/>
        </w:rPr>
        <w:lastRenderedPageBreak/>
        <w:t>in default</w:t>
      </w:r>
      <w:r w:rsidR="00C431A5">
        <w:rPr>
          <w:rFonts w:ascii="Calibri" w:hAnsi="Calibri"/>
        </w:rPr>
        <w:t xml:space="preserve"> and under what terms,</w:t>
      </w:r>
      <w:r w:rsidR="00BC6B86">
        <w:rPr>
          <w:rFonts w:ascii="Calibri" w:hAnsi="Calibri"/>
        </w:rPr>
        <w:t xml:space="preserve"> the gift</w:t>
      </w:r>
      <w:r w:rsidR="00816947">
        <w:rPr>
          <w:rFonts w:ascii="Calibri" w:hAnsi="Calibri"/>
        </w:rPr>
        <w:t xml:space="preserve"> may be incomplete or </w:t>
      </w:r>
      <w:r w:rsidR="00BC6B86">
        <w:rPr>
          <w:rFonts w:ascii="Calibri" w:hAnsi="Calibri"/>
        </w:rPr>
        <w:t>even</w:t>
      </w:r>
      <w:r w:rsidR="00816947">
        <w:rPr>
          <w:rFonts w:ascii="Calibri" w:hAnsi="Calibri"/>
        </w:rPr>
        <w:t xml:space="preserve"> to oneself</w:t>
      </w:r>
      <w:r>
        <w:rPr>
          <w:rFonts w:ascii="Calibri" w:hAnsi="Calibri"/>
        </w:rPr>
        <w:t xml:space="preserve">.  </w:t>
      </w:r>
      <w:r w:rsidR="00AE03E6">
        <w:rPr>
          <w:rFonts w:ascii="Calibri" w:hAnsi="Calibri"/>
        </w:rPr>
        <w:t xml:space="preserve">Because so few people will ever fully use their lifetime gift tax exclusion, practitioners should explore when </w:t>
      </w:r>
      <w:r w:rsidR="00AE03E6" w:rsidRPr="00AE03E6">
        <w:rPr>
          <w:rFonts w:ascii="Calibri" w:hAnsi="Calibri"/>
          <w:i/>
        </w:rPr>
        <w:t>non-qualified</w:t>
      </w:r>
      <w:r w:rsidR="00AE03E6">
        <w:rPr>
          <w:rFonts w:ascii="Calibri" w:hAnsi="Calibri"/>
        </w:rPr>
        <w:t xml:space="preserve"> disclaimers may make sense</w:t>
      </w:r>
      <w:r w:rsidR="00816947">
        <w:rPr>
          <w:rFonts w:ascii="Calibri" w:hAnsi="Calibri"/>
        </w:rPr>
        <w:t>, when state law will still allow a disclaimer and what its effect will be.</w:t>
      </w:r>
      <w:r w:rsidR="00AE03E6">
        <w:rPr>
          <w:rFonts w:ascii="Calibri" w:hAnsi="Calibri"/>
        </w:rPr>
        <w:t xml:space="preserve">  </w:t>
      </w:r>
      <w:r w:rsidR="00D02B25">
        <w:rPr>
          <w:rFonts w:ascii="Calibri" w:hAnsi="Calibri"/>
        </w:rPr>
        <w:t>Most state laws are much more lenient on the time window for acceptable disclaimers than §2518</w:t>
      </w:r>
      <w:r w:rsidR="00BC6B86">
        <w:rPr>
          <w:rFonts w:ascii="Calibri" w:hAnsi="Calibri"/>
        </w:rPr>
        <w:t xml:space="preserve"> (there may be no time limit)</w:t>
      </w:r>
      <w:r w:rsidR="00D02B25">
        <w:rPr>
          <w:rFonts w:ascii="Calibri" w:hAnsi="Calibri"/>
        </w:rPr>
        <w:t>.</w:t>
      </w:r>
      <w:r w:rsidR="00991E4C">
        <w:rPr>
          <w:rFonts w:ascii="Calibri" w:hAnsi="Calibri"/>
        </w:rPr>
        <w:t xml:space="preserve">  </w:t>
      </w:r>
    </w:p>
    <w:p w14:paraId="781F59F1" w14:textId="585FAEE4" w:rsidR="00E260E4" w:rsidRDefault="008D4365" w:rsidP="00F30867">
      <w:pPr>
        <w:autoSpaceDE w:val="0"/>
        <w:autoSpaceDN w:val="0"/>
        <w:adjustRightInd w:val="0"/>
        <w:spacing w:line="360" w:lineRule="auto"/>
        <w:ind w:firstLine="720"/>
        <w:rPr>
          <w:rFonts w:ascii="Calibri" w:hAnsi="Calibri"/>
        </w:rPr>
      </w:pPr>
      <w:r>
        <w:rPr>
          <w:rFonts w:ascii="Calibri" w:hAnsi="Calibri"/>
        </w:rPr>
        <w:t>A non-</w:t>
      </w:r>
      <w:r w:rsidR="00D02B25">
        <w:rPr>
          <w:rFonts w:ascii="Calibri" w:hAnsi="Calibri"/>
        </w:rPr>
        <w:t>“</w:t>
      </w:r>
      <w:r>
        <w:rPr>
          <w:rFonts w:ascii="Calibri" w:hAnsi="Calibri"/>
        </w:rPr>
        <w:t>tax qualified</w:t>
      </w:r>
      <w:r w:rsidR="00D02B25">
        <w:rPr>
          <w:rFonts w:ascii="Calibri" w:hAnsi="Calibri"/>
        </w:rPr>
        <w:t>”</w:t>
      </w:r>
      <w:r>
        <w:rPr>
          <w:rFonts w:ascii="Calibri" w:hAnsi="Calibri"/>
        </w:rPr>
        <w:t xml:space="preserve"> disclaimer may still “relate back”, and retroactively eliminate a property interest</w:t>
      </w:r>
      <w:r w:rsidR="00816947">
        <w:rPr>
          <w:rFonts w:ascii="Calibri" w:hAnsi="Calibri"/>
        </w:rPr>
        <w:t xml:space="preserve"> such as a PEG power and it may still have beneficial asset protection effects, despite being a taxable gift</w:t>
      </w:r>
      <w:r w:rsidR="00C431A5">
        <w:rPr>
          <w:rFonts w:ascii="Calibri" w:hAnsi="Calibri"/>
        </w:rPr>
        <w:t xml:space="preserve"> for federal tax purposes</w:t>
      </w:r>
      <w:r w:rsidR="00BC6B86">
        <w:rPr>
          <w:rFonts w:ascii="Calibri" w:hAnsi="Calibri"/>
        </w:rPr>
        <w:t>, provided it comes under state disclaimer law rather than be deemed a common law release</w:t>
      </w:r>
      <w:r>
        <w:rPr>
          <w:rFonts w:ascii="Calibri" w:hAnsi="Calibri"/>
        </w:rPr>
        <w:t>.</w:t>
      </w:r>
      <w:r w:rsidR="00C431A5">
        <w:rPr>
          <w:rFonts w:ascii="Calibri" w:hAnsi="Calibri"/>
        </w:rPr>
        <w:t xml:space="preserve">  </w:t>
      </w:r>
      <w:r w:rsidR="00EC26DB">
        <w:rPr>
          <w:rFonts w:ascii="Calibri" w:hAnsi="Calibri"/>
        </w:rPr>
        <w:t>A</w:t>
      </w:r>
      <w:r w:rsidR="00C431A5">
        <w:rPr>
          <w:rFonts w:ascii="Calibri" w:hAnsi="Calibri"/>
        </w:rPr>
        <w:t xml:space="preserve"> </w:t>
      </w:r>
      <w:r w:rsidR="00C431A5" w:rsidRPr="008A2CBE">
        <w:rPr>
          <w:rFonts w:ascii="Calibri" w:hAnsi="Calibri"/>
          <w:i/>
        </w:rPr>
        <w:t>non-qualified</w:t>
      </w:r>
      <w:r w:rsidR="00C431A5">
        <w:rPr>
          <w:rFonts w:ascii="Calibri" w:hAnsi="Calibri"/>
        </w:rPr>
        <w:t xml:space="preserve"> disclaimer </w:t>
      </w:r>
      <w:r w:rsidR="00EC26DB">
        <w:rPr>
          <w:rFonts w:ascii="Calibri" w:hAnsi="Calibri"/>
        </w:rPr>
        <w:t>may also</w:t>
      </w:r>
      <w:r w:rsidR="00C431A5">
        <w:rPr>
          <w:rFonts w:ascii="Calibri" w:hAnsi="Calibri"/>
        </w:rPr>
        <w:t xml:space="preserve"> remove </w:t>
      </w:r>
      <w:r w:rsidR="008A2CBE">
        <w:rPr>
          <w:rFonts w:ascii="Calibri" w:hAnsi="Calibri"/>
        </w:rPr>
        <w:t>the PEG power</w:t>
      </w:r>
      <w:r w:rsidR="00C431A5">
        <w:rPr>
          <w:rFonts w:ascii="Calibri" w:hAnsi="Calibri"/>
        </w:rPr>
        <w:t xml:space="preserve"> retroactively to affect the taxation of the exercise of the power that appointed to the trust that contains it (</w:t>
      </w:r>
      <w:r w:rsidR="00F61667">
        <w:rPr>
          <w:rFonts w:ascii="Calibri" w:hAnsi="Calibri"/>
        </w:rPr>
        <w:t>e.g.,</w:t>
      </w:r>
      <w:r w:rsidR="00C431A5">
        <w:rPr>
          <w:rFonts w:ascii="Calibri" w:hAnsi="Calibri"/>
        </w:rPr>
        <w:t xml:space="preserve"> negate the triggering of the Delaware Tax Trap).</w:t>
      </w:r>
      <w:r w:rsidR="00EC26DB">
        <w:rPr>
          <w:rFonts w:ascii="Calibri" w:hAnsi="Calibri"/>
        </w:rPr>
        <w:t xml:space="preserve">  This is in contrast to a common law release or renunciation, which probably does NOT have the same effects for state law, </w:t>
      </w:r>
      <w:r w:rsidR="00F30134">
        <w:rPr>
          <w:rFonts w:ascii="Calibri" w:hAnsi="Calibri"/>
        </w:rPr>
        <w:t>n</w:t>
      </w:r>
      <w:r w:rsidR="00EC26DB">
        <w:rPr>
          <w:rFonts w:ascii="Calibri" w:hAnsi="Calibri"/>
        </w:rPr>
        <w:t>or</w:t>
      </w:r>
      <w:r w:rsidR="00F30134">
        <w:rPr>
          <w:rFonts w:ascii="Calibri" w:hAnsi="Calibri"/>
        </w:rPr>
        <w:t>, therefore, for avoiding</w:t>
      </w:r>
      <w:r w:rsidR="00EC26DB">
        <w:rPr>
          <w:rFonts w:ascii="Calibri" w:hAnsi="Calibri"/>
        </w:rPr>
        <w:t xml:space="preserve"> the Delaware tax trap.</w:t>
      </w:r>
      <w:r w:rsidR="00C431A5">
        <w:rPr>
          <w:rFonts w:ascii="Calibri" w:hAnsi="Calibri"/>
        </w:rPr>
        <w:t xml:space="preserve"> </w:t>
      </w:r>
      <w:r>
        <w:rPr>
          <w:rFonts w:ascii="Calibri" w:hAnsi="Calibri"/>
        </w:rPr>
        <w:t xml:space="preserve">  </w:t>
      </w:r>
      <w:r w:rsidR="00CA4AA7">
        <w:rPr>
          <w:rFonts w:ascii="Calibri" w:hAnsi="Calibri"/>
        </w:rPr>
        <w:t xml:space="preserve"> </w:t>
      </w:r>
    </w:p>
    <w:p w14:paraId="65CA5C93" w14:textId="5706AC26" w:rsidR="002448EC" w:rsidRPr="00BC6B86" w:rsidRDefault="00C431A5" w:rsidP="00BC6B86">
      <w:pPr>
        <w:autoSpaceDE w:val="0"/>
        <w:autoSpaceDN w:val="0"/>
        <w:adjustRightInd w:val="0"/>
        <w:spacing w:line="360" w:lineRule="auto"/>
        <w:ind w:firstLine="720"/>
        <w:rPr>
          <w:rFonts w:ascii="Calibri" w:hAnsi="Calibri"/>
          <w:i/>
        </w:rPr>
      </w:pPr>
      <w:r>
        <w:rPr>
          <w:rFonts w:ascii="Calibri" w:hAnsi="Calibri"/>
        </w:rPr>
        <w:t>This can get confusing – let’s take an example</w:t>
      </w:r>
      <w:r w:rsidR="00EC26DB">
        <w:rPr>
          <w:rFonts w:ascii="Calibri" w:hAnsi="Calibri"/>
        </w:rPr>
        <w:t xml:space="preserve"> and walk through the distinctions</w:t>
      </w:r>
      <w:r>
        <w:rPr>
          <w:rFonts w:ascii="Calibri" w:hAnsi="Calibri"/>
        </w:rPr>
        <w:t>:</w:t>
      </w:r>
      <w:r w:rsidR="00F30867">
        <w:rPr>
          <w:rFonts w:ascii="Calibri" w:hAnsi="Calibri"/>
        </w:rPr>
        <w:t xml:space="preserve"> </w:t>
      </w:r>
      <w:r w:rsidR="00816947">
        <w:rPr>
          <w:rFonts w:ascii="Calibri" w:hAnsi="Calibri"/>
        </w:rPr>
        <w:t xml:space="preserve">John Doe </w:t>
      </w:r>
      <w:r w:rsidR="00582EE9">
        <w:rPr>
          <w:rFonts w:ascii="Calibri" w:hAnsi="Calibri"/>
        </w:rPr>
        <w:t xml:space="preserve">dies and establishes an </w:t>
      </w:r>
      <w:r w:rsidR="00816947">
        <w:rPr>
          <w:rFonts w:ascii="Calibri" w:hAnsi="Calibri"/>
        </w:rPr>
        <w:t>Irrev</w:t>
      </w:r>
      <w:r w:rsidR="00F61667">
        <w:rPr>
          <w:rFonts w:ascii="Calibri" w:hAnsi="Calibri"/>
        </w:rPr>
        <w:t>ocable</w:t>
      </w:r>
      <w:r w:rsidR="00816947">
        <w:rPr>
          <w:rFonts w:ascii="Calibri" w:hAnsi="Calibri"/>
        </w:rPr>
        <w:t xml:space="preserve"> Trust</w:t>
      </w:r>
      <w:r w:rsidR="00582EE9">
        <w:rPr>
          <w:rFonts w:ascii="Calibri" w:hAnsi="Calibri"/>
        </w:rPr>
        <w:t xml:space="preserve"> for his wife Jane</w:t>
      </w:r>
      <w:r w:rsidR="00816947">
        <w:rPr>
          <w:rFonts w:ascii="Calibri" w:hAnsi="Calibri"/>
        </w:rPr>
        <w:t>.  She</w:t>
      </w:r>
      <w:r w:rsidR="00F30867" w:rsidRPr="00F30867">
        <w:rPr>
          <w:rFonts w:ascii="Calibri" w:hAnsi="Calibri"/>
        </w:rPr>
        <w:t xml:space="preserve"> has the limited power to appoint </w:t>
      </w:r>
      <w:r w:rsidR="00582EE9">
        <w:rPr>
          <w:rFonts w:ascii="Calibri" w:hAnsi="Calibri"/>
        </w:rPr>
        <w:t xml:space="preserve">appreciated assets </w:t>
      </w:r>
      <w:r w:rsidR="00F30867" w:rsidRPr="00F30867">
        <w:rPr>
          <w:rFonts w:ascii="Calibri" w:hAnsi="Calibri"/>
        </w:rPr>
        <w:t xml:space="preserve">to </w:t>
      </w:r>
      <w:r w:rsidR="00582EE9">
        <w:rPr>
          <w:rFonts w:ascii="Calibri" w:hAnsi="Calibri"/>
        </w:rPr>
        <w:t xml:space="preserve">Margaret or </w:t>
      </w:r>
      <w:r>
        <w:rPr>
          <w:rFonts w:ascii="Calibri" w:hAnsi="Calibri"/>
        </w:rPr>
        <w:t xml:space="preserve">to Margaret in trust, such as </w:t>
      </w:r>
      <w:r w:rsidR="00F30867" w:rsidRPr="00F30867">
        <w:rPr>
          <w:rFonts w:ascii="Calibri" w:hAnsi="Calibri"/>
        </w:rPr>
        <w:t>the Jane Doe Delaware Tax Trapping Trust fbo Margaret, which grants Margaret a PEG power (</w:t>
      </w:r>
      <w:r w:rsidR="00F30867" w:rsidRPr="00C431A5">
        <w:rPr>
          <w:rFonts w:ascii="Calibri" w:hAnsi="Calibri"/>
          <w:b/>
        </w:rPr>
        <w:t>p</w:t>
      </w:r>
      <w:r w:rsidR="00F30867" w:rsidRPr="00F30867">
        <w:rPr>
          <w:rFonts w:ascii="Calibri" w:hAnsi="Calibri"/>
        </w:rPr>
        <w:t xml:space="preserve">resently </w:t>
      </w:r>
      <w:r w:rsidR="00F30867" w:rsidRPr="00C431A5">
        <w:rPr>
          <w:rFonts w:ascii="Calibri" w:hAnsi="Calibri"/>
          <w:b/>
        </w:rPr>
        <w:t>e</w:t>
      </w:r>
      <w:r w:rsidR="00F30867" w:rsidRPr="00F30867">
        <w:rPr>
          <w:rFonts w:ascii="Calibri" w:hAnsi="Calibri"/>
        </w:rPr>
        <w:t xml:space="preserve">xercisable </w:t>
      </w:r>
      <w:r w:rsidR="00F30867" w:rsidRPr="00C431A5">
        <w:rPr>
          <w:rFonts w:ascii="Calibri" w:hAnsi="Calibri"/>
          <w:b/>
        </w:rPr>
        <w:t>g</w:t>
      </w:r>
      <w:r w:rsidR="00F30867" w:rsidRPr="00F30867">
        <w:rPr>
          <w:rFonts w:ascii="Calibri" w:hAnsi="Calibri"/>
        </w:rPr>
        <w:t>eneral power of appointment</w:t>
      </w:r>
      <w:r>
        <w:rPr>
          <w:rFonts w:ascii="Calibri" w:hAnsi="Calibri"/>
        </w:rPr>
        <w:t xml:space="preserve">, which, remember, is </w:t>
      </w:r>
      <w:r w:rsidR="00CC3DE2">
        <w:rPr>
          <w:rFonts w:ascii="Calibri" w:hAnsi="Calibri"/>
        </w:rPr>
        <w:t>very similar to</w:t>
      </w:r>
      <w:r>
        <w:rPr>
          <w:rFonts w:ascii="Calibri" w:hAnsi="Calibri"/>
        </w:rPr>
        <w:t xml:space="preserve"> a </w:t>
      </w:r>
      <w:r w:rsidRPr="00BC6B86">
        <w:rPr>
          <w:rFonts w:ascii="Calibri" w:hAnsi="Calibri"/>
          <w:i/>
        </w:rPr>
        <w:t>Crummey</w:t>
      </w:r>
      <w:r>
        <w:rPr>
          <w:rFonts w:ascii="Calibri" w:hAnsi="Calibri"/>
        </w:rPr>
        <w:t xml:space="preserve"> power</w:t>
      </w:r>
      <w:r w:rsidR="00CC3DE2" w:rsidRPr="00CC3DE2">
        <w:t xml:space="preserve"> </w:t>
      </w:r>
      <w:r w:rsidR="00CC3DE2" w:rsidRPr="00CC3DE2">
        <w:rPr>
          <w:rFonts w:ascii="Calibri" w:hAnsi="Calibri"/>
        </w:rPr>
        <w:t>withdrawal power</w:t>
      </w:r>
      <w:r w:rsidR="00CC3DE2">
        <w:rPr>
          <w:rFonts w:ascii="Calibri" w:hAnsi="Calibri"/>
        </w:rPr>
        <w:t>,</w:t>
      </w:r>
      <w:r w:rsidR="00CC3DE2" w:rsidRPr="00CC3DE2">
        <w:rPr>
          <w:rFonts w:ascii="Calibri" w:hAnsi="Calibri"/>
        </w:rPr>
        <w:t xml:space="preserve"> but </w:t>
      </w:r>
      <w:r w:rsidR="00CC3DE2">
        <w:rPr>
          <w:rFonts w:ascii="Calibri" w:hAnsi="Calibri"/>
        </w:rPr>
        <w:t xml:space="preserve">which </w:t>
      </w:r>
      <w:r w:rsidR="00CC3DE2" w:rsidRPr="00CC3DE2">
        <w:rPr>
          <w:rFonts w:ascii="Calibri" w:hAnsi="Calibri"/>
        </w:rPr>
        <w:t>may</w:t>
      </w:r>
      <w:r w:rsidR="00CC3DE2">
        <w:rPr>
          <w:rFonts w:ascii="Calibri" w:hAnsi="Calibri"/>
        </w:rPr>
        <w:t>,</w:t>
      </w:r>
      <w:r w:rsidR="00CC3DE2" w:rsidRPr="00CC3DE2">
        <w:rPr>
          <w:rFonts w:ascii="Calibri" w:hAnsi="Calibri"/>
        </w:rPr>
        <w:t xml:space="preserve"> depending on state law</w:t>
      </w:r>
      <w:r w:rsidR="00CC3DE2">
        <w:rPr>
          <w:rFonts w:ascii="Calibri" w:hAnsi="Calibri"/>
        </w:rPr>
        <w:t>,</w:t>
      </w:r>
      <w:r w:rsidR="00CC3DE2" w:rsidRPr="00CC3DE2">
        <w:rPr>
          <w:rFonts w:ascii="Calibri" w:hAnsi="Calibri"/>
        </w:rPr>
        <w:t xml:space="preserve"> be </w:t>
      </w:r>
      <w:r w:rsidR="00CC3DE2">
        <w:rPr>
          <w:rFonts w:ascii="Calibri" w:hAnsi="Calibri"/>
        </w:rPr>
        <w:t xml:space="preserve">curbed for DTT purposes to </w:t>
      </w:r>
      <w:r w:rsidR="00CC3DE2" w:rsidRPr="00CC3DE2">
        <w:rPr>
          <w:rFonts w:ascii="Calibri" w:hAnsi="Calibri"/>
        </w:rPr>
        <w:t xml:space="preserve">only </w:t>
      </w:r>
      <w:r w:rsidR="00CC3DE2">
        <w:rPr>
          <w:rFonts w:ascii="Calibri" w:hAnsi="Calibri"/>
        </w:rPr>
        <w:t xml:space="preserve">being </w:t>
      </w:r>
      <w:r w:rsidR="00CC3DE2" w:rsidRPr="00CC3DE2">
        <w:rPr>
          <w:rFonts w:ascii="Calibri" w:hAnsi="Calibri"/>
        </w:rPr>
        <w:t>exercisable with adverse or non-adverse parties</w:t>
      </w:r>
      <w:r w:rsidR="00F30867" w:rsidRPr="00F30867">
        <w:rPr>
          <w:rFonts w:ascii="Calibri" w:hAnsi="Calibri"/>
        </w:rPr>
        <w:t xml:space="preserve">).  To the extent Jane appoints to this trust, and Margaret has a PEG power, it triggers IRC §2041(a)(3) – the Delaware Tax Trap.  </w:t>
      </w:r>
      <w:r w:rsidR="00582EE9">
        <w:rPr>
          <w:rFonts w:ascii="Calibri" w:hAnsi="Calibri"/>
        </w:rPr>
        <w:t xml:space="preserve">Unless Margaret disclaims within 9 months of </w:t>
      </w:r>
      <w:r w:rsidR="00582EE9" w:rsidRPr="009B2FA4">
        <w:rPr>
          <w:rFonts w:ascii="Calibri" w:hAnsi="Calibri"/>
          <w:b/>
          <w:i/>
        </w:rPr>
        <w:t>John’s</w:t>
      </w:r>
      <w:r w:rsidR="00582EE9">
        <w:rPr>
          <w:rFonts w:ascii="Calibri" w:hAnsi="Calibri"/>
        </w:rPr>
        <w:t xml:space="preserve"> death</w:t>
      </w:r>
      <w:r w:rsidR="008A2CBE">
        <w:rPr>
          <w:rFonts w:ascii="Calibri" w:hAnsi="Calibri"/>
        </w:rPr>
        <w:t xml:space="preserve"> (or unless she recently turned age 21)</w:t>
      </w:r>
      <w:r w:rsidR="00582EE9">
        <w:rPr>
          <w:rFonts w:ascii="Calibri" w:hAnsi="Calibri"/>
        </w:rPr>
        <w:t xml:space="preserve">, her disclaimer cannot be “qualified” under </w:t>
      </w:r>
      <w:r w:rsidR="009B2FA4">
        <w:rPr>
          <w:rFonts w:ascii="Calibri" w:hAnsi="Calibri"/>
        </w:rPr>
        <w:t xml:space="preserve">IRC </w:t>
      </w:r>
      <w:r w:rsidR="00582EE9">
        <w:rPr>
          <w:rFonts w:ascii="Calibri" w:hAnsi="Calibri"/>
        </w:rPr>
        <w:t xml:space="preserve">§2518.  </w:t>
      </w:r>
      <w:r w:rsidR="00F30867" w:rsidRPr="00F30867">
        <w:rPr>
          <w:rFonts w:ascii="Calibri" w:hAnsi="Calibri"/>
        </w:rPr>
        <w:t xml:space="preserve">But, what if Margaret makes a </w:t>
      </w:r>
      <w:r w:rsidR="00AE03E6" w:rsidRPr="00AE03E6">
        <w:rPr>
          <w:rFonts w:ascii="Calibri" w:hAnsi="Calibri"/>
          <w:i/>
        </w:rPr>
        <w:t>non-</w:t>
      </w:r>
      <w:r w:rsidR="00F30867" w:rsidRPr="00AE03E6">
        <w:rPr>
          <w:rFonts w:ascii="Calibri" w:hAnsi="Calibri"/>
          <w:i/>
        </w:rPr>
        <w:t>qualified</w:t>
      </w:r>
      <w:r w:rsidR="00F30867" w:rsidRPr="00F30867">
        <w:rPr>
          <w:rFonts w:ascii="Calibri" w:hAnsi="Calibri"/>
        </w:rPr>
        <w:t xml:space="preserve"> disclaimer of the </w:t>
      </w:r>
      <w:r w:rsidR="00D02B25">
        <w:rPr>
          <w:rFonts w:ascii="Calibri" w:hAnsi="Calibri"/>
        </w:rPr>
        <w:t>PEG power</w:t>
      </w:r>
      <w:r w:rsidR="002448EC">
        <w:rPr>
          <w:rFonts w:ascii="Calibri" w:hAnsi="Calibri"/>
        </w:rPr>
        <w:t xml:space="preserve"> – one completely valid under state law, just not IRC §2518</w:t>
      </w:r>
      <w:r w:rsidR="00AE03E6">
        <w:rPr>
          <w:rFonts w:ascii="Calibri" w:hAnsi="Calibri"/>
        </w:rPr>
        <w:t xml:space="preserve">?  For federal tax law, she has </w:t>
      </w:r>
      <w:r w:rsidR="009B2FA4">
        <w:rPr>
          <w:rFonts w:ascii="Calibri" w:hAnsi="Calibri"/>
        </w:rPr>
        <w:t xml:space="preserve">clearly </w:t>
      </w:r>
      <w:r w:rsidR="00AE03E6">
        <w:rPr>
          <w:rFonts w:ascii="Calibri" w:hAnsi="Calibri"/>
        </w:rPr>
        <w:t>made a gift</w:t>
      </w:r>
      <w:r w:rsidR="009B2FA4">
        <w:rPr>
          <w:rFonts w:ascii="Calibri" w:hAnsi="Calibri"/>
        </w:rPr>
        <w:t xml:space="preserve"> (how much</w:t>
      </w:r>
      <w:r w:rsidR="00CC3DE2">
        <w:rPr>
          <w:rFonts w:ascii="Calibri" w:hAnsi="Calibri"/>
        </w:rPr>
        <w:t>, to whom</w:t>
      </w:r>
      <w:r w:rsidR="009B2FA4">
        <w:rPr>
          <w:rFonts w:ascii="Calibri" w:hAnsi="Calibri"/>
        </w:rPr>
        <w:t xml:space="preserve"> and whether it’s complete is another question)</w:t>
      </w:r>
      <w:r w:rsidR="00AE03E6">
        <w:rPr>
          <w:rFonts w:ascii="Calibri" w:hAnsi="Calibri"/>
        </w:rPr>
        <w:t>.</w:t>
      </w:r>
      <w:r w:rsidR="00582EE9">
        <w:rPr>
          <w:rFonts w:ascii="Calibri" w:hAnsi="Calibri"/>
        </w:rPr>
        <w:t xml:space="preserve">  </w:t>
      </w:r>
      <w:r w:rsidR="000A55C1">
        <w:rPr>
          <w:rFonts w:ascii="Calibri" w:hAnsi="Calibri"/>
        </w:rPr>
        <w:t>Under</w:t>
      </w:r>
      <w:r w:rsidR="00BC6B86">
        <w:rPr>
          <w:rFonts w:ascii="Calibri" w:hAnsi="Calibri"/>
        </w:rPr>
        <w:t xml:space="preserve"> most state laws</w:t>
      </w:r>
      <w:r w:rsidR="000A55C1">
        <w:rPr>
          <w:rFonts w:ascii="Calibri" w:hAnsi="Calibri"/>
        </w:rPr>
        <w:t>,</w:t>
      </w:r>
      <w:r w:rsidR="00BC6B86">
        <w:rPr>
          <w:rFonts w:ascii="Calibri" w:hAnsi="Calibri"/>
        </w:rPr>
        <w:t xml:space="preserve"> a valid disclaimer still “relates back” to the time of creation, which is arguably </w:t>
      </w:r>
      <w:r w:rsidR="00BC6B86" w:rsidRPr="00BC6B86">
        <w:rPr>
          <w:rFonts w:ascii="Calibri" w:hAnsi="Calibri"/>
          <w:i/>
        </w:rPr>
        <w:t>John’s death</w:t>
      </w:r>
      <w:r w:rsidR="00BC6B86">
        <w:rPr>
          <w:rFonts w:ascii="Calibri" w:hAnsi="Calibri"/>
          <w:i/>
        </w:rPr>
        <w:t>, not Jane’s</w:t>
      </w:r>
      <w:r w:rsidR="00BC6B86">
        <w:rPr>
          <w:rFonts w:ascii="Calibri" w:hAnsi="Calibri"/>
        </w:rPr>
        <w:t xml:space="preserve">.  </w:t>
      </w:r>
      <w:r w:rsidR="009B2FA4" w:rsidRPr="00D02B25">
        <w:rPr>
          <w:rFonts w:ascii="Calibri" w:hAnsi="Calibri"/>
        </w:rPr>
        <w:t>Does disclaiming the PEG power</w:t>
      </w:r>
      <w:r w:rsidR="00582EE9" w:rsidRPr="00D02B25">
        <w:rPr>
          <w:rFonts w:ascii="Calibri" w:hAnsi="Calibri"/>
        </w:rPr>
        <w:t xml:space="preserve"> allow</w:t>
      </w:r>
      <w:r w:rsidR="00F30867" w:rsidRPr="00D02B25">
        <w:rPr>
          <w:rFonts w:ascii="Calibri" w:hAnsi="Calibri"/>
        </w:rPr>
        <w:t xml:space="preserve"> Margaret to eliminate any estate inclusion</w:t>
      </w:r>
      <w:r w:rsidR="00441DF3">
        <w:rPr>
          <w:rFonts w:ascii="Calibri" w:hAnsi="Calibri"/>
        </w:rPr>
        <w:t xml:space="preserve"> in Jane’s estate</w:t>
      </w:r>
      <w:r w:rsidR="00F30867" w:rsidRPr="00D02B25">
        <w:rPr>
          <w:rFonts w:ascii="Calibri" w:hAnsi="Calibri"/>
        </w:rPr>
        <w:t xml:space="preserve"> due to the DTT, </w:t>
      </w:r>
      <w:r w:rsidR="00EC26DB">
        <w:rPr>
          <w:rFonts w:ascii="Calibri" w:hAnsi="Calibri"/>
        </w:rPr>
        <w:t>even though it is</w:t>
      </w:r>
      <w:r w:rsidR="00F30867" w:rsidRPr="00D02B25">
        <w:rPr>
          <w:rFonts w:ascii="Calibri" w:hAnsi="Calibri"/>
        </w:rPr>
        <w:t xml:space="preserve"> </w:t>
      </w:r>
      <w:r w:rsidR="00AE03E6" w:rsidRPr="00D02B25">
        <w:rPr>
          <w:rFonts w:ascii="Calibri" w:hAnsi="Calibri"/>
          <w:b/>
          <w:i/>
        </w:rPr>
        <w:t>non-</w:t>
      </w:r>
      <w:r w:rsidR="00F30867" w:rsidRPr="00D02B25">
        <w:rPr>
          <w:rFonts w:ascii="Calibri" w:hAnsi="Calibri"/>
          <w:b/>
          <w:i/>
        </w:rPr>
        <w:t>qualified</w:t>
      </w:r>
      <w:r w:rsidR="009B2FA4" w:rsidRPr="00D02B25">
        <w:rPr>
          <w:rFonts w:ascii="Calibri" w:hAnsi="Calibri"/>
        </w:rPr>
        <w:t xml:space="preserve">?  </w:t>
      </w:r>
    </w:p>
    <w:p w14:paraId="1F4E4E25" w14:textId="77777777" w:rsidR="00173312" w:rsidRDefault="00EC26DB" w:rsidP="00173312">
      <w:pPr>
        <w:autoSpaceDE w:val="0"/>
        <w:autoSpaceDN w:val="0"/>
        <w:adjustRightInd w:val="0"/>
        <w:spacing w:line="360" w:lineRule="auto"/>
        <w:ind w:firstLine="720"/>
        <w:rPr>
          <w:rFonts w:ascii="Calibri" w:hAnsi="Calibri"/>
        </w:rPr>
      </w:pPr>
      <w:r>
        <w:rPr>
          <w:rFonts w:ascii="Calibri" w:hAnsi="Calibri"/>
        </w:rPr>
        <w:lastRenderedPageBreak/>
        <w:t>While</w:t>
      </w:r>
      <w:r w:rsidR="00D02B25">
        <w:rPr>
          <w:rFonts w:ascii="Calibri" w:hAnsi="Calibri"/>
        </w:rPr>
        <w:t xml:space="preserve"> there is no case law on point</w:t>
      </w:r>
      <w:r>
        <w:rPr>
          <w:rFonts w:ascii="Calibri" w:hAnsi="Calibri"/>
        </w:rPr>
        <w:t>, whether the disclaimer</w:t>
      </w:r>
      <w:r w:rsidR="00CC3DE2">
        <w:rPr>
          <w:rFonts w:ascii="Calibri" w:hAnsi="Calibri"/>
        </w:rPr>
        <w:t xml:space="preserve"> of a PEG power</w:t>
      </w:r>
      <w:r>
        <w:rPr>
          <w:rFonts w:ascii="Calibri" w:hAnsi="Calibri"/>
        </w:rPr>
        <w:t xml:space="preserve"> is </w:t>
      </w:r>
      <w:r w:rsidR="00BC6B86">
        <w:rPr>
          <w:rFonts w:ascii="Calibri" w:hAnsi="Calibri"/>
        </w:rPr>
        <w:t xml:space="preserve">gift </w:t>
      </w:r>
      <w:r w:rsidR="002448EC">
        <w:rPr>
          <w:rFonts w:ascii="Calibri" w:hAnsi="Calibri"/>
        </w:rPr>
        <w:t>tax-</w:t>
      </w:r>
      <w:r>
        <w:rPr>
          <w:rFonts w:ascii="Calibri" w:hAnsi="Calibri"/>
        </w:rPr>
        <w:t xml:space="preserve">qualified or not </w:t>
      </w:r>
      <w:r w:rsidR="00CC3DE2">
        <w:rPr>
          <w:rFonts w:ascii="Calibri" w:hAnsi="Calibri"/>
        </w:rPr>
        <w:t>should make no</w:t>
      </w:r>
      <w:r>
        <w:rPr>
          <w:rFonts w:ascii="Calibri" w:hAnsi="Calibri"/>
        </w:rPr>
        <w:t xml:space="preserve"> difference</w:t>
      </w:r>
      <w:r w:rsidR="00441DF3">
        <w:rPr>
          <w:rFonts w:ascii="Calibri" w:hAnsi="Calibri"/>
        </w:rPr>
        <w:t xml:space="preserve"> </w:t>
      </w:r>
      <w:r w:rsidR="002448EC">
        <w:rPr>
          <w:rFonts w:ascii="Calibri" w:hAnsi="Calibri"/>
        </w:rPr>
        <w:t xml:space="preserve">for the Delaware Tax Trap </w:t>
      </w:r>
      <w:r w:rsidR="00441DF3">
        <w:rPr>
          <w:rFonts w:ascii="Calibri" w:hAnsi="Calibri"/>
        </w:rPr>
        <w:t>– we need to examine both the trust and state law</w:t>
      </w:r>
      <w:r w:rsidR="009B1A68">
        <w:rPr>
          <w:rFonts w:ascii="Calibri" w:hAnsi="Calibri"/>
        </w:rPr>
        <w:t>, since the regulations state that “</w:t>
      </w:r>
      <w:r w:rsidR="009B1A68" w:rsidRPr="009B1A68">
        <w:rPr>
          <w:rFonts w:ascii="Calibri" w:hAnsi="Calibri"/>
        </w:rPr>
        <w:t>Whether a power of appointment is in fact exer</w:t>
      </w:r>
      <w:r w:rsidR="009B1A68">
        <w:rPr>
          <w:rFonts w:ascii="Calibri" w:hAnsi="Calibri"/>
        </w:rPr>
        <w:t>cised may depend upon local law”</w:t>
      </w:r>
      <w:r w:rsidR="002448EC">
        <w:rPr>
          <w:rFonts w:ascii="Calibri" w:hAnsi="Calibri"/>
        </w:rPr>
        <w:t>, and in contrast to GPOAs, §2041(a)(3) is only triggered by valid exercise</w:t>
      </w:r>
      <w:r w:rsidR="00D02B25">
        <w:rPr>
          <w:rFonts w:ascii="Calibri" w:hAnsi="Calibri"/>
        </w:rPr>
        <w:t>.</w:t>
      </w:r>
      <w:r w:rsidR="009B1A68">
        <w:rPr>
          <w:rStyle w:val="FootnoteReference"/>
          <w:rFonts w:ascii="Calibri" w:hAnsi="Calibri"/>
        </w:rPr>
        <w:footnoteReference w:id="153"/>
      </w:r>
      <w:r w:rsidR="00D02B25">
        <w:rPr>
          <w:rFonts w:ascii="Calibri" w:hAnsi="Calibri"/>
        </w:rPr>
        <w:t xml:space="preserve">  </w:t>
      </w:r>
      <w:r w:rsidR="009B2FA4">
        <w:rPr>
          <w:rFonts w:ascii="Calibri" w:hAnsi="Calibri"/>
        </w:rPr>
        <w:t>As a general rule, the disclaimer of an interest received via exercise of a power of appointment, regardless of whether it is “tax-qualified” per §2518, will relate back as if the object had predeceased the powerholder (e.g., in our above example, as if Margaret predeceased her mother Jane).</w:t>
      </w:r>
      <w:r w:rsidR="009B2FA4">
        <w:rPr>
          <w:rStyle w:val="FootnoteReference"/>
          <w:rFonts w:ascii="Calibri" w:hAnsi="Calibri"/>
        </w:rPr>
        <w:footnoteReference w:id="154"/>
      </w:r>
      <w:r w:rsidR="009B2FA4">
        <w:rPr>
          <w:rFonts w:ascii="Calibri" w:hAnsi="Calibri"/>
        </w:rPr>
        <w:t xml:space="preserve"> </w:t>
      </w:r>
      <w:r w:rsidR="00441DF3">
        <w:rPr>
          <w:rFonts w:ascii="Calibri" w:hAnsi="Calibri"/>
        </w:rPr>
        <w:t>We might then have to examine the trust and state anti-lapse statute – would the PEG power be eliminated, or simply pass to her issue per stirpes?  The easy answer to this is for Jane to simply draft the exercise/</w:t>
      </w:r>
      <w:r w:rsidR="008A2CBE">
        <w:rPr>
          <w:rFonts w:ascii="Calibri" w:hAnsi="Calibri"/>
        </w:rPr>
        <w:t xml:space="preserve">DTT </w:t>
      </w:r>
      <w:r w:rsidR="00441DF3">
        <w:rPr>
          <w:rFonts w:ascii="Calibri" w:hAnsi="Calibri"/>
        </w:rPr>
        <w:t>trust clearly to preclude such application (“to the extent that my daughter Margaret disclaim</w:t>
      </w:r>
      <w:r w:rsidR="00173312">
        <w:rPr>
          <w:rFonts w:ascii="Calibri" w:hAnsi="Calibri"/>
        </w:rPr>
        <w:t>s her presently exercisable general power of appointment granted above, regardless of whether the disclaimer is qualified under federal gift tax law</w:t>
      </w:r>
      <w:r w:rsidR="008A2CBE">
        <w:rPr>
          <w:rFonts w:ascii="Calibri" w:hAnsi="Calibri"/>
        </w:rPr>
        <w:t xml:space="preserve">, provided it is </w:t>
      </w:r>
      <w:r w:rsidR="009B1A68">
        <w:rPr>
          <w:rFonts w:ascii="Calibri" w:hAnsi="Calibri"/>
        </w:rPr>
        <w:t>valid</w:t>
      </w:r>
      <w:r w:rsidR="008A2CBE">
        <w:rPr>
          <w:rFonts w:ascii="Calibri" w:hAnsi="Calibri"/>
        </w:rPr>
        <w:t xml:space="preserve"> under state law</w:t>
      </w:r>
      <w:r w:rsidR="00173312">
        <w:rPr>
          <w:rFonts w:ascii="Calibri" w:hAnsi="Calibri"/>
        </w:rPr>
        <w:t>, such power shall</w:t>
      </w:r>
      <w:r w:rsidR="00173312" w:rsidRPr="00173312">
        <w:rPr>
          <w:sz w:val="22"/>
          <w:szCs w:val="22"/>
        </w:rPr>
        <w:t xml:space="preserve"> </w:t>
      </w:r>
      <w:r w:rsidR="00173312">
        <w:rPr>
          <w:rFonts w:ascii="Calibri" w:hAnsi="Calibri"/>
        </w:rPr>
        <w:t xml:space="preserve">be completely extinguished, despite any state anti-lapse statute to the contrary, as if </w:t>
      </w:r>
      <w:r w:rsidR="008A2CBE">
        <w:rPr>
          <w:rFonts w:ascii="Calibri" w:hAnsi="Calibri"/>
        </w:rPr>
        <w:t>the power</w:t>
      </w:r>
      <w:r w:rsidR="00173312">
        <w:rPr>
          <w:rFonts w:ascii="Calibri" w:hAnsi="Calibri"/>
        </w:rPr>
        <w:t xml:space="preserve"> had never existed”)</w:t>
      </w:r>
      <w:r w:rsidR="001464E5">
        <w:rPr>
          <w:rFonts w:ascii="Calibri" w:hAnsi="Calibri"/>
        </w:rPr>
        <w:t>.</w:t>
      </w:r>
      <w:r w:rsidR="00173312">
        <w:rPr>
          <w:rFonts w:ascii="Calibri" w:hAnsi="Calibri"/>
        </w:rPr>
        <w:t xml:space="preserve"> </w:t>
      </w:r>
    </w:p>
    <w:p w14:paraId="58BAF03E" w14:textId="77777777" w:rsidR="001464E5" w:rsidRPr="00173312" w:rsidRDefault="001464E5" w:rsidP="00173312">
      <w:pPr>
        <w:autoSpaceDE w:val="0"/>
        <w:autoSpaceDN w:val="0"/>
        <w:adjustRightInd w:val="0"/>
        <w:spacing w:line="360" w:lineRule="auto"/>
        <w:ind w:firstLine="720"/>
        <w:rPr>
          <w:rFonts w:ascii="Calibri" w:hAnsi="Calibri"/>
        </w:rPr>
      </w:pPr>
      <w:r>
        <w:rPr>
          <w:rFonts w:ascii="Calibri" w:hAnsi="Calibri"/>
        </w:rPr>
        <w:t xml:space="preserve">Let’s briefly contrast a </w:t>
      </w:r>
      <w:r w:rsidR="008E6F0A">
        <w:rPr>
          <w:rFonts w:ascii="Calibri" w:hAnsi="Calibri"/>
        </w:rPr>
        <w:t xml:space="preserve">common law </w:t>
      </w:r>
      <w:r>
        <w:rPr>
          <w:rFonts w:ascii="Calibri" w:hAnsi="Calibri"/>
        </w:rPr>
        <w:t xml:space="preserve">release or renunciation, which is similar to a non-qualified disclaimer, but has important differences for asset protection and the Delaware tax trap.  If Margaret accepts some of her power, or takes any action that under state law would prohibit a state law disclaimer, she might still always release or renounce her power.  The effect is nearly identical </w:t>
      </w:r>
      <w:r w:rsidRPr="00CC3DE2">
        <w:rPr>
          <w:rFonts w:ascii="Calibri" w:hAnsi="Calibri"/>
          <w:i/>
        </w:rPr>
        <w:t>prospectively</w:t>
      </w:r>
      <w:r>
        <w:rPr>
          <w:rFonts w:ascii="Calibri" w:hAnsi="Calibri"/>
        </w:rPr>
        <w:t xml:space="preserve">, but the important difference between these two legal concepts is that </w:t>
      </w:r>
      <w:r w:rsidRPr="00CC3DE2">
        <w:rPr>
          <w:rFonts w:ascii="Calibri" w:hAnsi="Calibri"/>
          <w:i/>
        </w:rPr>
        <w:t>releases are not retroactive, whereas disclaimers are</w:t>
      </w:r>
      <w:r w:rsidR="008E6F0A">
        <w:rPr>
          <w:rFonts w:ascii="Calibri" w:hAnsi="Calibri"/>
        </w:rPr>
        <w:t>; releases may be fraudulent transfers; disclaimers usually aren’t</w:t>
      </w:r>
      <w:r>
        <w:rPr>
          <w:rFonts w:ascii="Calibri" w:hAnsi="Calibri"/>
        </w:rPr>
        <w:t>.</w:t>
      </w:r>
      <w:r w:rsidR="004D3F97">
        <w:rPr>
          <w:rStyle w:val="FootnoteReference"/>
          <w:rFonts w:ascii="Calibri" w:hAnsi="Calibri"/>
        </w:rPr>
        <w:footnoteReference w:id="155"/>
      </w:r>
      <w:r>
        <w:rPr>
          <w:rFonts w:ascii="Calibri" w:hAnsi="Calibri"/>
        </w:rPr>
        <w:t xml:space="preserve">  The </w:t>
      </w:r>
      <w:r w:rsidR="00CC3DE2">
        <w:rPr>
          <w:rFonts w:ascii="Calibri" w:hAnsi="Calibri"/>
        </w:rPr>
        <w:t xml:space="preserve">treasury </w:t>
      </w:r>
      <w:r>
        <w:rPr>
          <w:rFonts w:ascii="Calibri" w:hAnsi="Calibri"/>
        </w:rPr>
        <w:t xml:space="preserve">regulation is clear that a </w:t>
      </w:r>
      <w:r w:rsidRPr="00CC3DE2">
        <w:rPr>
          <w:rFonts w:ascii="Calibri" w:hAnsi="Calibri"/>
          <w:i/>
        </w:rPr>
        <w:t>renunciation</w:t>
      </w:r>
      <w:r>
        <w:rPr>
          <w:rFonts w:ascii="Calibri" w:hAnsi="Calibri"/>
        </w:rPr>
        <w:t xml:space="preserve"> by an appointee does not negate the exercise by the power holder.</w:t>
      </w:r>
      <w:r>
        <w:rPr>
          <w:rStyle w:val="FootnoteReference"/>
          <w:rFonts w:ascii="Calibri" w:hAnsi="Calibri"/>
        </w:rPr>
        <w:footnoteReference w:id="156"/>
      </w:r>
    </w:p>
    <w:p w14:paraId="2769F528" w14:textId="77777777" w:rsidR="00FE3A8B" w:rsidRPr="00F30867" w:rsidRDefault="00D02B25" w:rsidP="00F30867">
      <w:pPr>
        <w:autoSpaceDE w:val="0"/>
        <w:autoSpaceDN w:val="0"/>
        <w:adjustRightInd w:val="0"/>
        <w:spacing w:line="360" w:lineRule="auto"/>
        <w:ind w:firstLine="720"/>
        <w:rPr>
          <w:rFonts w:ascii="Calibri" w:hAnsi="Calibri" w:cs="Arial"/>
          <w:bCs/>
        </w:rPr>
      </w:pPr>
      <w:r w:rsidRPr="00D02B25">
        <w:rPr>
          <w:rFonts w:ascii="Calibri" w:hAnsi="Calibri"/>
        </w:rPr>
        <w:lastRenderedPageBreak/>
        <w:t>Is the trust still a non-self-settled trust pursuant to state law</w:t>
      </w:r>
      <w:r w:rsidR="001464E5">
        <w:rPr>
          <w:rFonts w:ascii="Calibri" w:hAnsi="Calibri"/>
        </w:rPr>
        <w:t xml:space="preserve"> after a PEG power is disclaimed</w:t>
      </w:r>
      <w:r w:rsidRPr="00D02B25">
        <w:rPr>
          <w:rFonts w:ascii="Calibri" w:hAnsi="Calibri"/>
        </w:rPr>
        <w:t>?</w:t>
      </w:r>
      <w:r>
        <w:rPr>
          <w:rFonts w:ascii="Calibri" w:hAnsi="Calibri"/>
        </w:rPr>
        <w:t xml:space="preserve">  Probably </w:t>
      </w:r>
      <w:r w:rsidRPr="00D02B25">
        <w:rPr>
          <w:rFonts w:ascii="Calibri" w:hAnsi="Calibri"/>
          <w:b/>
        </w:rPr>
        <w:t>yes</w:t>
      </w:r>
      <w:r>
        <w:rPr>
          <w:rFonts w:ascii="Calibri" w:hAnsi="Calibri"/>
        </w:rPr>
        <w:t>.  One or two states may allow a creditor to void a disclaimer</w:t>
      </w:r>
      <w:r w:rsidR="00C66EEE">
        <w:rPr>
          <w:rFonts w:ascii="Calibri" w:hAnsi="Calibri"/>
        </w:rPr>
        <w:t xml:space="preserve"> if the disclaimant is insolvent, and there may be additional questions in bankruptcy or tax liens, but in general such disclaimers, even if not tax-qualified, can be effective planning tools to allow the subse</w:t>
      </w:r>
      <w:r w:rsidR="001464E5">
        <w:rPr>
          <w:rFonts w:ascii="Calibri" w:hAnsi="Calibri"/>
        </w:rPr>
        <w:t>quent trust to remain protected from creditors.</w:t>
      </w:r>
    </w:p>
    <w:p w14:paraId="26EEC0A5" w14:textId="77777777" w:rsidR="00656A79" w:rsidRDefault="000F4395" w:rsidP="00180FD1">
      <w:pPr>
        <w:numPr>
          <w:ilvl w:val="0"/>
          <w:numId w:val="8"/>
        </w:numPr>
        <w:tabs>
          <w:tab w:val="clear" w:pos="420"/>
          <w:tab w:val="num" w:pos="0"/>
        </w:tabs>
        <w:spacing w:line="360" w:lineRule="auto"/>
        <w:ind w:left="0" w:firstLine="0"/>
        <w:rPr>
          <w:rFonts w:ascii="Calibri" w:hAnsi="Calibri" w:cs="Arial"/>
          <w:bCs/>
        </w:rPr>
      </w:pPr>
      <w:r w:rsidRPr="00656A79">
        <w:rPr>
          <w:rFonts w:ascii="Calibri" w:hAnsi="Calibri" w:cs="Arial"/>
          <w:b/>
          <w:bCs/>
        </w:rPr>
        <w:t xml:space="preserve">You can give </w:t>
      </w:r>
      <w:r w:rsidR="00326641" w:rsidRPr="00656A79">
        <w:rPr>
          <w:rFonts w:ascii="Calibri" w:hAnsi="Calibri" w:cs="Arial"/>
          <w:b/>
          <w:bCs/>
        </w:rPr>
        <w:t>your most trusted beneficiaries</w:t>
      </w:r>
      <w:r w:rsidRPr="00656A79">
        <w:rPr>
          <w:rFonts w:ascii="Calibri" w:hAnsi="Calibri" w:cs="Arial"/>
          <w:b/>
          <w:bCs/>
        </w:rPr>
        <w:t xml:space="preserve"> a de facto veto power</w:t>
      </w:r>
      <w:r w:rsidR="00326641" w:rsidRPr="00656A79">
        <w:rPr>
          <w:rFonts w:ascii="Calibri" w:hAnsi="Calibri" w:cs="Arial"/>
          <w:b/>
          <w:bCs/>
        </w:rPr>
        <w:t>, allowing more family control and more post-mortem flexibility</w:t>
      </w:r>
      <w:r w:rsidR="00E6286F">
        <w:rPr>
          <w:rFonts w:ascii="Calibri" w:hAnsi="Calibri" w:cs="Arial"/>
          <w:b/>
          <w:bCs/>
        </w:rPr>
        <w:t xml:space="preserve"> than a GPOA</w:t>
      </w:r>
      <w:r w:rsidRPr="00656A79">
        <w:rPr>
          <w:rFonts w:ascii="Calibri" w:hAnsi="Calibri" w:cs="Arial"/>
          <w:bCs/>
        </w:rPr>
        <w:t xml:space="preserve">.  For example, if I establish a trust for my wife, remainder to </w:t>
      </w:r>
      <w:r w:rsidR="00326641" w:rsidRPr="00656A79">
        <w:rPr>
          <w:rFonts w:ascii="Calibri" w:hAnsi="Calibri" w:cs="Arial"/>
          <w:bCs/>
        </w:rPr>
        <w:t xml:space="preserve">my </w:t>
      </w:r>
      <w:r w:rsidRPr="00656A79">
        <w:rPr>
          <w:rFonts w:ascii="Calibri" w:hAnsi="Calibri" w:cs="Arial"/>
          <w:bCs/>
        </w:rPr>
        <w:t>daughters, I might want my daughters to have a veto power – to require their consent for any appointment by my wife – who knows what undue influence she might encounter without me</w:t>
      </w:r>
      <w:r w:rsidR="00326641" w:rsidRPr="00656A79">
        <w:rPr>
          <w:rFonts w:ascii="Calibri" w:hAnsi="Calibri" w:cs="Arial"/>
          <w:bCs/>
        </w:rPr>
        <w:t>!</w:t>
      </w:r>
      <w:r w:rsidR="004A4E47">
        <w:rPr>
          <w:rFonts w:ascii="Calibri" w:hAnsi="Calibri" w:cs="Arial"/>
          <w:bCs/>
        </w:rPr>
        <w:t xml:space="preserve">  Remember that</w:t>
      </w:r>
      <w:r w:rsidRPr="00656A79">
        <w:rPr>
          <w:rFonts w:ascii="Calibri" w:hAnsi="Calibri" w:cs="Arial"/>
          <w:bCs/>
        </w:rPr>
        <w:t xml:space="preserve"> </w:t>
      </w:r>
      <w:r w:rsidR="00FF77F1">
        <w:rPr>
          <w:rFonts w:ascii="Calibri" w:hAnsi="Calibri" w:cs="Arial"/>
          <w:bCs/>
        </w:rPr>
        <w:t xml:space="preserve">estate </w:t>
      </w:r>
      <w:r w:rsidR="00B86737" w:rsidRPr="00656A79">
        <w:rPr>
          <w:rFonts w:ascii="Calibri" w:hAnsi="Calibri" w:cs="Arial"/>
          <w:bCs/>
        </w:rPr>
        <w:t>inclusion</w:t>
      </w:r>
      <w:r w:rsidR="004A4E47">
        <w:rPr>
          <w:rFonts w:ascii="Calibri" w:hAnsi="Calibri" w:cs="Arial"/>
          <w:bCs/>
        </w:rPr>
        <w:t xml:space="preserve"> via </w:t>
      </w:r>
      <w:r w:rsidRPr="00656A79">
        <w:rPr>
          <w:rFonts w:ascii="Calibri" w:hAnsi="Calibri" w:cs="Arial"/>
          <w:bCs/>
        </w:rPr>
        <w:t>GPOA</w:t>
      </w:r>
      <w:r w:rsidR="00375B72">
        <w:rPr>
          <w:rFonts w:ascii="Calibri" w:hAnsi="Calibri" w:cs="Arial"/>
          <w:bCs/>
        </w:rPr>
        <w:t xml:space="preserve"> </w:t>
      </w:r>
      <w:r w:rsidRPr="00656A79">
        <w:rPr>
          <w:rFonts w:ascii="Calibri" w:hAnsi="Calibri" w:cs="Arial"/>
          <w:bCs/>
        </w:rPr>
        <w:t xml:space="preserve">is </w:t>
      </w:r>
      <w:r w:rsidRPr="004A4E47">
        <w:rPr>
          <w:rFonts w:ascii="Calibri" w:hAnsi="Calibri" w:cs="Arial"/>
          <w:b/>
          <w:bCs/>
          <w:i/>
        </w:rPr>
        <w:t>not</w:t>
      </w:r>
      <w:r w:rsidRPr="00656A79">
        <w:rPr>
          <w:rFonts w:ascii="Calibri" w:hAnsi="Calibri" w:cs="Arial"/>
          <w:bCs/>
        </w:rPr>
        <w:t xml:space="preserve"> triggered </w:t>
      </w:r>
      <w:r w:rsidR="00B86737" w:rsidRPr="00656A79">
        <w:rPr>
          <w:rFonts w:ascii="Calibri" w:hAnsi="Calibri" w:cs="Arial"/>
          <w:bCs/>
        </w:rPr>
        <w:t xml:space="preserve">under §2041(a)(2) and §2041(b) </w:t>
      </w:r>
      <w:r w:rsidRPr="00656A79">
        <w:rPr>
          <w:rFonts w:ascii="Calibri" w:hAnsi="Calibri" w:cs="Arial"/>
          <w:bCs/>
        </w:rPr>
        <w:t xml:space="preserve">if I require </w:t>
      </w:r>
      <w:r w:rsidRPr="00E76737">
        <w:rPr>
          <w:rFonts w:ascii="Calibri" w:hAnsi="Calibri" w:cs="Arial"/>
          <w:bCs/>
          <w:i/>
        </w:rPr>
        <w:t>adverse</w:t>
      </w:r>
      <w:r w:rsidRPr="00656A79">
        <w:rPr>
          <w:rFonts w:ascii="Calibri" w:hAnsi="Calibri" w:cs="Arial"/>
          <w:bCs/>
        </w:rPr>
        <w:t xml:space="preserve"> </w:t>
      </w:r>
      <w:r w:rsidRPr="00E76737">
        <w:rPr>
          <w:rFonts w:ascii="Calibri" w:hAnsi="Calibri" w:cs="Arial"/>
          <w:bCs/>
          <w:i/>
        </w:rPr>
        <w:t>party</w:t>
      </w:r>
      <w:r w:rsidRPr="00656A79">
        <w:rPr>
          <w:rFonts w:ascii="Calibri" w:hAnsi="Calibri" w:cs="Arial"/>
          <w:bCs/>
        </w:rPr>
        <w:t xml:space="preserve"> consent.  Perhaps I don’t have a trustworthy person to be a “non-adverse party”, or I fear credi</w:t>
      </w:r>
      <w:r w:rsidR="00CE410D">
        <w:rPr>
          <w:rFonts w:ascii="Calibri" w:hAnsi="Calibri" w:cs="Arial"/>
          <w:bCs/>
        </w:rPr>
        <w:t>tors or others might browbeat</w:t>
      </w:r>
      <w:r w:rsidR="00326641" w:rsidRPr="00656A79">
        <w:rPr>
          <w:rFonts w:ascii="Calibri" w:hAnsi="Calibri" w:cs="Arial"/>
          <w:bCs/>
        </w:rPr>
        <w:t xml:space="preserve"> </w:t>
      </w:r>
      <w:r w:rsidRPr="00656A79">
        <w:rPr>
          <w:rFonts w:ascii="Calibri" w:hAnsi="Calibri" w:cs="Arial"/>
          <w:bCs/>
        </w:rPr>
        <w:t xml:space="preserve">the “non-adverse party” </w:t>
      </w:r>
      <w:r w:rsidR="00326641" w:rsidRPr="00656A79">
        <w:rPr>
          <w:rFonts w:ascii="Calibri" w:hAnsi="Calibri" w:cs="Arial"/>
          <w:bCs/>
        </w:rPr>
        <w:t xml:space="preserve">- </w:t>
      </w:r>
      <w:r w:rsidRPr="00656A79">
        <w:rPr>
          <w:rFonts w:ascii="Calibri" w:hAnsi="Calibri" w:cs="Arial"/>
          <w:bCs/>
        </w:rPr>
        <w:t xml:space="preserve">they would have </w:t>
      </w:r>
      <w:r w:rsidR="00326641" w:rsidRPr="00656A79">
        <w:rPr>
          <w:rFonts w:ascii="Calibri" w:hAnsi="Calibri" w:cs="Arial"/>
          <w:bCs/>
        </w:rPr>
        <w:t xml:space="preserve">absolutely </w:t>
      </w:r>
      <w:r w:rsidRPr="00656A79">
        <w:rPr>
          <w:rFonts w:ascii="Calibri" w:hAnsi="Calibri" w:cs="Arial"/>
          <w:bCs/>
        </w:rPr>
        <w:t>no fiduciary duty whatsoever to my daughters</w:t>
      </w:r>
      <w:r w:rsidR="00326641" w:rsidRPr="00656A79">
        <w:rPr>
          <w:rFonts w:ascii="Calibri" w:hAnsi="Calibri" w:cs="Arial"/>
          <w:bCs/>
        </w:rPr>
        <w:t xml:space="preserve"> (and they, </w:t>
      </w:r>
      <w:r w:rsidR="007601C6">
        <w:rPr>
          <w:rFonts w:ascii="Calibri" w:hAnsi="Calibri" w:cs="Arial"/>
          <w:bCs/>
        </w:rPr>
        <w:t xml:space="preserve">in turn, </w:t>
      </w:r>
      <w:r w:rsidR="00326641" w:rsidRPr="00656A79">
        <w:rPr>
          <w:rFonts w:ascii="Calibri" w:hAnsi="Calibri" w:cs="Arial"/>
          <w:bCs/>
        </w:rPr>
        <w:t>no recourse)</w:t>
      </w:r>
      <w:r w:rsidRPr="00656A79">
        <w:rPr>
          <w:rFonts w:ascii="Calibri" w:hAnsi="Calibri" w:cs="Arial"/>
          <w:bCs/>
        </w:rPr>
        <w:t>.  But</w:t>
      </w:r>
      <w:r w:rsidR="004A4E47">
        <w:rPr>
          <w:rFonts w:ascii="Calibri" w:hAnsi="Calibri" w:cs="Arial"/>
          <w:bCs/>
        </w:rPr>
        <w:t xml:space="preserve"> </w:t>
      </w:r>
      <w:r w:rsidRPr="00656A79">
        <w:rPr>
          <w:rFonts w:ascii="Calibri" w:hAnsi="Calibri" w:cs="Arial"/>
          <w:bCs/>
        </w:rPr>
        <w:t xml:space="preserve">§2041(a)(3) does not rely on a definition of a general power of appointment </w:t>
      </w:r>
      <w:r w:rsidR="00326641" w:rsidRPr="00656A79">
        <w:rPr>
          <w:rFonts w:ascii="Calibri" w:hAnsi="Calibri" w:cs="Arial"/>
          <w:bCs/>
        </w:rPr>
        <w:t xml:space="preserve">– it pertains to the </w:t>
      </w:r>
      <w:r w:rsidR="00326641" w:rsidRPr="00656A79">
        <w:rPr>
          <w:rFonts w:ascii="Calibri" w:hAnsi="Calibri" w:cs="Arial"/>
          <w:bCs/>
          <w:i/>
        </w:rPr>
        <w:t>exercise</w:t>
      </w:r>
      <w:r w:rsidR="00326641" w:rsidRPr="00656A79">
        <w:rPr>
          <w:rFonts w:ascii="Calibri" w:hAnsi="Calibri" w:cs="Arial"/>
          <w:bCs/>
        </w:rPr>
        <w:t xml:space="preserve"> of a </w:t>
      </w:r>
      <w:r w:rsidR="00326641" w:rsidRPr="00656A79">
        <w:rPr>
          <w:rFonts w:ascii="Calibri" w:hAnsi="Calibri" w:cs="Arial"/>
          <w:bCs/>
          <w:i/>
        </w:rPr>
        <w:t>limited</w:t>
      </w:r>
      <w:r w:rsidR="00326641" w:rsidRPr="00656A79">
        <w:rPr>
          <w:rFonts w:ascii="Calibri" w:hAnsi="Calibri" w:cs="Arial"/>
          <w:bCs/>
        </w:rPr>
        <w:t xml:space="preserve"> p</w:t>
      </w:r>
      <w:r w:rsidR="00AC5928">
        <w:rPr>
          <w:rFonts w:ascii="Calibri" w:hAnsi="Calibri" w:cs="Arial"/>
          <w:bCs/>
        </w:rPr>
        <w:t>ower.  If my daughters determine</w:t>
      </w:r>
      <w:r w:rsidR="00326641" w:rsidRPr="00656A79">
        <w:rPr>
          <w:rFonts w:ascii="Calibri" w:hAnsi="Calibri" w:cs="Arial"/>
          <w:bCs/>
        </w:rPr>
        <w:t xml:space="preserve"> that for </w:t>
      </w:r>
      <w:r w:rsidR="00297CA5">
        <w:rPr>
          <w:rFonts w:ascii="Calibri" w:hAnsi="Calibri" w:cs="Arial"/>
          <w:bCs/>
        </w:rPr>
        <w:t>various</w:t>
      </w:r>
      <w:r w:rsidR="00326641" w:rsidRPr="00656A79">
        <w:rPr>
          <w:rFonts w:ascii="Calibri" w:hAnsi="Calibri" w:cs="Arial"/>
          <w:bCs/>
        </w:rPr>
        <w:t xml:space="preserve"> reasons </w:t>
      </w:r>
      <w:r w:rsidR="00751194">
        <w:rPr>
          <w:rFonts w:ascii="Calibri" w:hAnsi="Calibri" w:cs="Arial"/>
          <w:bCs/>
        </w:rPr>
        <w:t>they</w:t>
      </w:r>
      <w:r w:rsidR="00CE410D">
        <w:rPr>
          <w:rFonts w:ascii="Calibri" w:hAnsi="Calibri" w:cs="Arial"/>
          <w:bCs/>
        </w:rPr>
        <w:t xml:space="preserve"> don’t want to</w:t>
      </w:r>
      <w:r w:rsidR="00326641" w:rsidRPr="00656A79">
        <w:rPr>
          <w:rFonts w:ascii="Calibri" w:hAnsi="Calibri" w:cs="Arial"/>
          <w:bCs/>
        </w:rPr>
        <w:t xml:space="preserve"> allow </w:t>
      </w:r>
      <w:r w:rsidR="00E76737">
        <w:rPr>
          <w:rFonts w:ascii="Calibri" w:hAnsi="Calibri" w:cs="Arial"/>
          <w:bCs/>
        </w:rPr>
        <w:t>my wife’s</w:t>
      </w:r>
      <w:r w:rsidR="00326641" w:rsidRPr="00656A79">
        <w:rPr>
          <w:rFonts w:ascii="Calibri" w:hAnsi="Calibri" w:cs="Arial"/>
          <w:bCs/>
        </w:rPr>
        <w:t xml:space="preserve"> appointment, or </w:t>
      </w:r>
      <w:r w:rsidR="00E76737">
        <w:rPr>
          <w:rFonts w:ascii="Calibri" w:hAnsi="Calibri" w:cs="Arial"/>
          <w:bCs/>
        </w:rPr>
        <w:t xml:space="preserve">they </w:t>
      </w:r>
      <w:r w:rsidR="00326641" w:rsidRPr="00656A79">
        <w:rPr>
          <w:rFonts w:ascii="Calibri" w:hAnsi="Calibri" w:cs="Arial"/>
          <w:bCs/>
        </w:rPr>
        <w:t xml:space="preserve">would like to limit the appointment to </w:t>
      </w:r>
      <w:r w:rsidR="00B86737" w:rsidRPr="00656A79">
        <w:rPr>
          <w:rFonts w:ascii="Calibri" w:hAnsi="Calibri" w:cs="Arial"/>
          <w:bCs/>
        </w:rPr>
        <w:t>certain assets</w:t>
      </w:r>
      <w:r w:rsidR="00326641" w:rsidRPr="00656A79">
        <w:rPr>
          <w:rFonts w:ascii="Calibri" w:hAnsi="Calibri" w:cs="Arial"/>
          <w:bCs/>
        </w:rPr>
        <w:t xml:space="preserve">, </w:t>
      </w:r>
      <w:r w:rsidR="00751194">
        <w:rPr>
          <w:rFonts w:ascii="Calibri" w:hAnsi="Calibri" w:cs="Arial"/>
          <w:bCs/>
        </w:rPr>
        <w:t>they</w:t>
      </w:r>
      <w:r w:rsidR="00B86737" w:rsidRPr="00656A79">
        <w:rPr>
          <w:rFonts w:ascii="Calibri" w:hAnsi="Calibri" w:cs="Arial"/>
          <w:bCs/>
        </w:rPr>
        <w:t xml:space="preserve"> can</w:t>
      </w:r>
      <w:r w:rsidR="004A4E47">
        <w:rPr>
          <w:rFonts w:ascii="Calibri" w:hAnsi="Calibri" w:cs="Arial"/>
          <w:bCs/>
        </w:rPr>
        <w:t xml:space="preserve"> have a </w:t>
      </w:r>
      <w:r w:rsidR="00CE410D">
        <w:rPr>
          <w:rFonts w:ascii="Calibri" w:hAnsi="Calibri" w:cs="Arial"/>
          <w:bCs/>
        </w:rPr>
        <w:t>veto power over an LPOA</w:t>
      </w:r>
      <w:r w:rsidR="00E76737">
        <w:rPr>
          <w:rFonts w:ascii="Calibri" w:hAnsi="Calibri" w:cs="Arial"/>
          <w:bCs/>
        </w:rPr>
        <w:t xml:space="preserve">, </w:t>
      </w:r>
      <w:r w:rsidR="004A4E47">
        <w:rPr>
          <w:rFonts w:ascii="Calibri" w:hAnsi="Calibri" w:cs="Arial"/>
          <w:bCs/>
        </w:rPr>
        <w:t>and</w:t>
      </w:r>
      <w:r w:rsidR="00E76737">
        <w:rPr>
          <w:rFonts w:ascii="Calibri" w:hAnsi="Calibri" w:cs="Arial"/>
          <w:bCs/>
        </w:rPr>
        <w:t xml:space="preserve"> </w:t>
      </w:r>
      <w:r w:rsidR="00CE410D">
        <w:rPr>
          <w:rFonts w:ascii="Calibri" w:hAnsi="Calibri" w:cs="Arial"/>
          <w:bCs/>
        </w:rPr>
        <w:t>the adverse consent requirement</w:t>
      </w:r>
      <w:r w:rsidR="004A4E47">
        <w:rPr>
          <w:rFonts w:ascii="Calibri" w:hAnsi="Calibri" w:cs="Arial"/>
          <w:bCs/>
        </w:rPr>
        <w:t xml:space="preserve"> would not impair inclusion</w:t>
      </w:r>
      <w:r w:rsidR="00326641" w:rsidRPr="00656A79">
        <w:rPr>
          <w:rFonts w:ascii="Calibri" w:hAnsi="Calibri" w:cs="Arial"/>
          <w:bCs/>
        </w:rPr>
        <w:t xml:space="preserve">.  </w:t>
      </w:r>
    </w:p>
    <w:p w14:paraId="30614DDD" w14:textId="77777777" w:rsidR="000F4395" w:rsidRDefault="004A4E47" w:rsidP="00656A79">
      <w:pPr>
        <w:spacing w:line="360" w:lineRule="auto"/>
        <w:ind w:left="60" w:firstLine="660"/>
        <w:rPr>
          <w:rFonts w:ascii="Calibri" w:hAnsi="Calibri" w:cs="Arial"/>
          <w:bCs/>
        </w:rPr>
      </w:pPr>
      <w:r>
        <w:rPr>
          <w:rFonts w:ascii="Calibri" w:hAnsi="Calibri" w:cs="Arial"/>
          <w:bCs/>
        </w:rPr>
        <w:t>T</w:t>
      </w:r>
      <w:r w:rsidR="00B86737" w:rsidRPr="00656A79">
        <w:rPr>
          <w:rFonts w:ascii="Calibri" w:hAnsi="Calibri" w:cs="Arial"/>
          <w:bCs/>
        </w:rPr>
        <w:t>his even</w:t>
      </w:r>
      <w:r w:rsidR="00326641" w:rsidRPr="00656A79">
        <w:rPr>
          <w:rFonts w:ascii="Calibri" w:hAnsi="Calibri" w:cs="Arial"/>
          <w:bCs/>
        </w:rPr>
        <w:t xml:space="preserve"> allows </w:t>
      </w:r>
      <w:r w:rsidR="009B2FA4">
        <w:rPr>
          <w:rFonts w:ascii="Calibri" w:hAnsi="Calibri" w:cs="Arial"/>
          <w:bCs/>
        </w:rPr>
        <w:t>my</w:t>
      </w:r>
      <w:r w:rsidR="00326641" w:rsidRPr="00656A79">
        <w:rPr>
          <w:rFonts w:ascii="Calibri" w:hAnsi="Calibri" w:cs="Arial"/>
          <w:bCs/>
        </w:rPr>
        <w:t xml:space="preserve"> daughter to pick and choose </w:t>
      </w:r>
      <w:r w:rsidR="00FF77F1">
        <w:rPr>
          <w:rFonts w:ascii="Calibri" w:hAnsi="Calibri" w:cs="Arial"/>
          <w:bCs/>
        </w:rPr>
        <w:t xml:space="preserve">the assets to receive the new basis </w:t>
      </w:r>
      <w:r w:rsidR="00326641" w:rsidRPr="00656A79">
        <w:rPr>
          <w:rFonts w:ascii="Calibri" w:hAnsi="Calibri" w:cs="Arial"/>
          <w:bCs/>
        </w:rPr>
        <w:t xml:space="preserve">(the power should be clear that the consenting party can consent or not as to each </w:t>
      </w:r>
      <w:r w:rsidR="00B22355" w:rsidRPr="00656A79">
        <w:rPr>
          <w:rFonts w:ascii="Calibri" w:hAnsi="Calibri" w:cs="Arial"/>
          <w:bCs/>
        </w:rPr>
        <w:t xml:space="preserve">particular </w:t>
      </w:r>
      <w:r w:rsidR="00326641" w:rsidRPr="00656A79">
        <w:rPr>
          <w:rFonts w:ascii="Calibri" w:hAnsi="Calibri" w:cs="Arial"/>
          <w:bCs/>
        </w:rPr>
        <w:t>asset)</w:t>
      </w:r>
      <w:r w:rsidR="00B84AE8">
        <w:rPr>
          <w:rFonts w:ascii="Calibri" w:hAnsi="Calibri" w:cs="Arial"/>
          <w:bCs/>
        </w:rPr>
        <w:t>, giving</w:t>
      </w:r>
      <w:r w:rsidR="00B86737" w:rsidRPr="00656A79">
        <w:rPr>
          <w:rFonts w:ascii="Calibri" w:hAnsi="Calibri" w:cs="Arial"/>
          <w:bCs/>
        </w:rPr>
        <w:t xml:space="preserve"> additional</w:t>
      </w:r>
      <w:r w:rsidR="00B84AE8">
        <w:rPr>
          <w:rFonts w:ascii="Calibri" w:hAnsi="Calibri" w:cs="Arial"/>
          <w:bCs/>
        </w:rPr>
        <w:t xml:space="preserve"> flexibility and</w:t>
      </w:r>
      <w:r w:rsidR="00B86737" w:rsidRPr="00656A79">
        <w:rPr>
          <w:rFonts w:ascii="Calibri" w:hAnsi="Calibri" w:cs="Arial"/>
          <w:bCs/>
        </w:rPr>
        <w:t xml:space="preserve"> b</w:t>
      </w:r>
      <w:r w:rsidR="00751194">
        <w:rPr>
          <w:rFonts w:ascii="Calibri" w:hAnsi="Calibri" w:cs="Arial"/>
          <w:bCs/>
        </w:rPr>
        <w:t>ack up protection.  For example</w:t>
      </w:r>
      <w:r w:rsidR="00B86737" w:rsidRPr="00656A79">
        <w:rPr>
          <w:rFonts w:ascii="Calibri" w:hAnsi="Calibri" w:cs="Arial"/>
          <w:bCs/>
        </w:rPr>
        <w:t xml:space="preserve">, if </w:t>
      </w:r>
      <w:r w:rsidR="00751194">
        <w:rPr>
          <w:rFonts w:ascii="Calibri" w:hAnsi="Calibri" w:cs="Arial"/>
          <w:bCs/>
        </w:rPr>
        <w:t>my</w:t>
      </w:r>
      <w:r w:rsidR="00B86737" w:rsidRPr="00656A79">
        <w:rPr>
          <w:rFonts w:ascii="Calibri" w:hAnsi="Calibri" w:cs="Arial"/>
          <w:bCs/>
        </w:rPr>
        <w:t xml:space="preserve"> daughter and her husband had </w:t>
      </w:r>
      <w:r w:rsidR="00751194">
        <w:rPr>
          <w:rFonts w:ascii="Calibri" w:hAnsi="Calibri" w:cs="Arial"/>
          <w:bCs/>
        </w:rPr>
        <w:t>tax</w:t>
      </w:r>
      <w:r w:rsidR="00B86737" w:rsidRPr="00656A79">
        <w:rPr>
          <w:rFonts w:ascii="Calibri" w:hAnsi="Calibri" w:cs="Arial"/>
          <w:bCs/>
        </w:rPr>
        <w:t xml:space="preserve"> issues but </w:t>
      </w:r>
      <w:r w:rsidR="00375B72">
        <w:rPr>
          <w:rFonts w:ascii="Calibri" w:hAnsi="Calibri" w:cs="Arial"/>
          <w:bCs/>
        </w:rPr>
        <w:t xml:space="preserve">they </w:t>
      </w:r>
      <w:r w:rsidR="00B86737" w:rsidRPr="00656A79">
        <w:rPr>
          <w:rFonts w:ascii="Calibri" w:hAnsi="Calibri" w:cs="Arial"/>
          <w:bCs/>
        </w:rPr>
        <w:t>did not t</w:t>
      </w:r>
      <w:r w:rsidR="00375B72">
        <w:rPr>
          <w:rFonts w:ascii="Calibri" w:hAnsi="Calibri" w:cs="Arial"/>
          <w:bCs/>
        </w:rPr>
        <w:t>ell her mother (not uncommon</w:t>
      </w:r>
      <w:r w:rsidR="00751194">
        <w:rPr>
          <w:rFonts w:ascii="Calibri" w:hAnsi="Calibri" w:cs="Arial"/>
          <w:bCs/>
        </w:rPr>
        <w:t xml:space="preserve"> in families</w:t>
      </w:r>
      <w:r w:rsidR="00375B72">
        <w:rPr>
          <w:rFonts w:ascii="Calibri" w:hAnsi="Calibri" w:cs="Arial"/>
          <w:bCs/>
        </w:rPr>
        <w:t xml:space="preserve">) </w:t>
      </w:r>
      <w:r w:rsidR="00B86737" w:rsidRPr="00656A79">
        <w:rPr>
          <w:rFonts w:ascii="Calibri" w:hAnsi="Calibri" w:cs="Arial"/>
          <w:bCs/>
        </w:rPr>
        <w:t xml:space="preserve">it would be ideal to forego the step up in basis </w:t>
      </w:r>
      <w:r w:rsidR="00656A79">
        <w:rPr>
          <w:rFonts w:ascii="Calibri" w:hAnsi="Calibri" w:cs="Arial"/>
          <w:bCs/>
        </w:rPr>
        <w:t xml:space="preserve">afforded by appointing to a trust with a PEG power </w:t>
      </w:r>
      <w:r w:rsidR="00B86737" w:rsidRPr="00656A79">
        <w:rPr>
          <w:rFonts w:ascii="Calibri" w:hAnsi="Calibri" w:cs="Arial"/>
          <w:bCs/>
        </w:rPr>
        <w:t xml:space="preserve">for the </w:t>
      </w:r>
      <w:r w:rsidR="00375B72">
        <w:rPr>
          <w:rFonts w:ascii="Calibri" w:hAnsi="Calibri" w:cs="Arial"/>
          <w:bCs/>
        </w:rPr>
        <w:t xml:space="preserve">better </w:t>
      </w:r>
      <w:r w:rsidR="00B86737" w:rsidRPr="00656A79">
        <w:rPr>
          <w:rFonts w:ascii="Calibri" w:hAnsi="Calibri" w:cs="Arial"/>
          <w:bCs/>
        </w:rPr>
        <w:t xml:space="preserve">creditor protection of an ongoing </w:t>
      </w:r>
      <w:r w:rsidR="00751194">
        <w:rPr>
          <w:rFonts w:ascii="Calibri" w:hAnsi="Calibri" w:cs="Arial"/>
          <w:bCs/>
        </w:rPr>
        <w:t xml:space="preserve">discretionary </w:t>
      </w:r>
      <w:r w:rsidR="00656A79">
        <w:rPr>
          <w:rFonts w:ascii="Calibri" w:hAnsi="Calibri" w:cs="Arial"/>
          <w:bCs/>
        </w:rPr>
        <w:t>trust without one.</w:t>
      </w:r>
      <w:r w:rsidR="00B86737" w:rsidRPr="00656A79">
        <w:rPr>
          <w:rFonts w:ascii="Calibri" w:hAnsi="Calibri" w:cs="Arial"/>
          <w:bCs/>
        </w:rPr>
        <w:t xml:space="preserve">  While </w:t>
      </w:r>
      <w:r w:rsidR="00751194">
        <w:rPr>
          <w:rFonts w:ascii="Calibri" w:hAnsi="Calibri" w:cs="Arial"/>
          <w:bCs/>
        </w:rPr>
        <w:lastRenderedPageBreak/>
        <w:t xml:space="preserve">a powerholder </w:t>
      </w:r>
      <w:r w:rsidR="007601C6">
        <w:rPr>
          <w:rFonts w:ascii="Calibri" w:hAnsi="Calibri" w:cs="Arial"/>
          <w:bCs/>
        </w:rPr>
        <w:t>might be able to make a non-qualified</w:t>
      </w:r>
      <w:r w:rsidR="00751194">
        <w:rPr>
          <w:rFonts w:ascii="Calibri" w:hAnsi="Calibri" w:cs="Arial"/>
          <w:bCs/>
        </w:rPr>
        <w:t xml:space="preserve"> disclaim</w:t>
      </w:r>
      <w:r w:rsidR="007601C6">
        <w:rPr>
          <w:rFonts w:ascii="Calibri" w:hAnsi="Calibri" w:cs="Arial"/>
          <w:bCs/>
        </w:rPr>
        <w:t>er of</w:t>
      </w:r>
      <w:r w:rsidR="00E76737">
        <w:rPr>
          <w:rFonts w:ascii="Calibri" w:hAnsi="Calibri" w:cs="Arial"/>
          <w:bCs/>
        </w:rPr>
        <w:t xml:space="preserve"> PEG powers, a few</w:t>
      </w:r>
      <w:r w:rsidR="00B86737" w:rsidRPr="00656A79">
        <w:rPr>
          <w:rFonts w:ascii="Calibri" w:hAnsi="Calibri" w:cs="Arial"/>
          <w:bCs/>
        </w:rPr>
        <w:t xml:space="preserve"> states</w:t>
      </w:r>
      <w:r w:rsidR="00751194">
        <w:rPr>
          <w:rFonts w:ascii="Calibri" w:hAnsi="Calibri" w:cs="Arial"/>
          <w:bCs/>
        </w:rPr>
        <w:t xml:space="preserve"> (</w:t>
      </w:r>
      <w:r w:rsidR="00B86737" w:rsidRPr="00751194">
        <w:rPr>
          <w:rFonts w:ascii="Calibri" w:hAnsi="Calibri" w:cs="Arial"/>
          <w:b/>
          <w:bCs/>
          <w:i/>
        </w:rPr>
        <w:t>and IRS liens</w:t>
      </w:r>
      <w:r w:rsidR="00751194">
        <w:rPr>
          <w:rFonts w:ascii="Calibri" w:hAnsi="Calibri" w:cs="Arial"/>
          <w:bCs/>
        </w:rPr>
        <w:t>)</w:t>
      </w:r>
      <w:r w:rsidR="00B86737" w:rsidRPr="00656A79">
        <w:rPr>
          <w:rFonts w:ascii="Calibri" w:hAnsi="Calibri" w:cs="Arial"/>
          <w:bCs/>
        </w:rPr>
        <w:t xml:space="preserve">, do not follow the relation back doctrine </w:t>
      </w:r>
      <w:r w:rsidR="00751194">
        <w:rPr>
          <w:rFonts w:ascii="Calibri" w:hAnsi="Calibri" w:cs="Arial"/>
          <w:bCs/>
        </w:rPr>
        <w:t>as to</w:t>
      </w:r>
      <w:r w:rsidR="00B86737" w:rsidRPr="00656A79">
        <w:rPr>
          <w:rFonts w:ascii="Calibri" w:hAnsi="Calibri" w:cs="Arial"/>
          <w:bCs/>
        </w:rPr>
        <w:t xml:space="preserve"> creditor protection, so </w:t>
      </w:r>
      <w:r w:rsidR="00751194">
        <w:rPr>
          <w:rFonts w:ascii="Calibri" w:hAnsi="Calibri" w:cs="Arial"/>
          <w:bCs/>
        </w:rPr>
        <w:t>required consent</w:t>
      </w:r>
      <w:r w:rsidR="00375B72">
        <w:rPr>
          <w:rFonts w:ascii="Calibri" w:hAnsi="Calibri" w:cs="Arial"/>
          <w:bCs/>
        </w:rPr>
        <w:t xml:space="preserve"> </w:t>
      </w:r>
      <w:r w:rsidR="00751194">
        <w:rPr>
          <w:rFonts w:ascii="Calibri" w:hAnsi="Calibri" w:cs="Arial"/>
          <w:bCs/>
        </w:rPr>
        <w:t>may</w:t>
      </w:r>
      <w:r w:rsidR="00B86737" w:rsidRPr="00656A79">
        <w:rPr>
          <w:rFonts w:ascii="Calibri" w:hAnsi="Calibri" w:cs="Arial"/>
          <w:bCs/>
        </w:rPr>
        <w:t xml:space="preserve"> be superior.</w:t>
      </w:r>
      <w:r w:rsidR="00FF77F1">
        <w:rPr>
          <w:rStyle w:val="FootnoteReference"/>
          <w:rFonts w:ascii="Calibri" w:hAnsi="Calibri" w:cs="Arial"/>
          <w:bCs/>
        </w:rPr>
        <w:footnoteReference w:id="157"/>
      </w:r>
    </w:p>
    <w:p w14:paraId="0F974F8C" w14:textId="77777777" w:rsidR="00760D72" w:rsidRPr="00297CA5" w:rsidRDefault="00EC7FE4" w:rsidP="00760D72">
      <w:pPr>
        <w:numPr>
          <w:ilvl w:val="0"/>
          <w:numId w:val="8"/>
        </w:numPr>
        <w:tabs>
          <w:tab w:val="clear" w:pos="420"/>
          <w:tab w:val="num" w:pos="0"/>
        </w:tabs>
        <w:spacing w:line="360" w:lineRule="auto"/>
        <w:ind w:left="0" w:firstLine="0"/>
        <w:rPr>
          <w:rFonts w:ascii="Arial" w:hAnsi="Arial" w:cs="Arial"/>
          <w:b/>
          <w:bCs/>
          <w:color w:val="000080"/>
          <w:sz w:val="22"/>
          <w:szCs w:val="22"/>
        </w:rPr>
      </w:pPr>
      <w:r w:rsidRPr="00297CA5">
        <w:rPr>
          <w:rFonts w:ascii="Calibri" w:hAnsi="Calibri" w:cs="Arial"/>
          <w:b/>
          <w:bCs/>
          <w:iCs/>
        </w:rPr>
        <w:t>An LPOA/DTT can be used by a QTIP as well</w:t>
      </w:r>
      <w:r w:rsidR="00FF77F1" w:rsidRPr="00297CA5">
        <w:rPr>
          <w:rFonts w:ascii="Calibri" w:hAnsi="Calibri" w:cs="Arial"/>
          <w:b/>
          <w:bCs/>
          <w:iCs/>
        </w:rPr>
        <w:t xml:space="preserve">.  </w:t>
      </w:r>
      <w:r w:rsidRPr="00297CA5">
        <w:rPr>
          <w:rFonts w:ascii="Calibri" w:hAnsi="Calibri" w:cs="Arial"/>
          <w:bCs/>
          <w:iCs/>
        </w:rPr>
        <w:t xml:space="preserve">Why would someone want to trigger §2041(a)(3) when QTIP assets are going to be included under §2044 anyway?  </w:t>
      </w:r>
      <w:r w:rsidRPr="00297CA5">
        <w:rPr>
          <w:rFonts w:ascii="Calibri" w:hAnsi="Calibri" w:cs="Arial"/>
          <w:b/>
          <w:bCs/>
          <w:iCs/>
        </w:rPr>
        <w:t>Aggregation</w:t>
      </w:r>
      <w:r w:rsidRPr="00297CA5">
        <w:rPr>
          <w:rFonts w:ascii="Calibri" w:hAnsi="Calibri" w:cs="Arial"/>
          <w:bCs/>
          <w:iCs/>
        </w:rPr>
        <w:t>.</w:t>
      </w:r>
      <w:r w:rsidRPr="00297CA5">
        <w:rPr>
          <w:rFonts w:ascii="Calibri" w:hAnsi="Calibri" w:cs="Arial"/>
          <w:bCs/>
        </w:rPr>
        <w:t xml:space="preserve">  As discussed in Part II</w:t>
      </w:r>
      <w:r w:rsidR="00751194" w:rsidRPr="00297CA5">
        <w:rPr>
          <w:rFonts w:ascii="Calibri" w:hAnsi="Calibri" w:cs="Arial"/>
          <w:bCs/>
        </w:rPr>
        <w:t>.d.</w:t>
      </w:r>
      <w:r w:rsidRPr="00297CA5">
        <w:rPr>
          <w:rFonts w:ascii="Calibri" w:hAnsi="Calibri" w:cs="Arial"/>
          <w:bCs/>
        </w:rPr>
        <w:t xml:space="preserve">, if a spouse has </w:t>
      </w:r>
      <w:r w:rsidR="00CE410D" w:rsidRPr="00297CA5">
        <w:rPr>
          <w:rFonts w:ascii="Calibri" w:hAnsi="Calibri" w:cs="Arial"/>
          <w:bCs/>
        </w:rPr>
        <w:t xml:space="preserve">50% of </w:t>
      </w:r>
      <w:r w:rsidRPr="00297CA5">
        <w:rPr>
          <w:rFonts w:ascii="Calibri" w:hAnsi="Calibri" w:cs="Arial"/>
          <w:bCs/>
        </w:rPr>
        <w:t>an LLC worth $1 million</w:t>
      </w:r>
      <w:r w:rsidR="00CE410D" w:rsidRPr="00297CA5">
        <w:rPr>
          <w:rFonts w:ascii="Calibri" w:hAnsi="Calibri" w:cs="Arial"/>
          <w:bCs/>
        </w:rPr>
        <w:t xml:space="preserve"> and</w:t>
      </w:r>
      <w:r w:rsidRPr="00297CA5">
        <w:rPr>
          <w:rFonts w:ascii="Calibri" w:hAnsi="Calibri" w:cs="Arial"/>
          <w:bCs/>
        </w:rPr>
        <w:t xml:space="preserve"> 50% owned </w:t>
      </w:r>
      <w:r w:rsidR="00CE410D" w:rsidRPr="00297CA5">
        <w:rPr>
          <w:rFonts w:ascii="Calibri" w:hAnsi="Calibri" w:cs="Arial"/>
          <w:bCs/>
        </w:rPr>
        <w:t>in QTIP</w:t>
      </w:r>
      <w:r w:rsidRPr="00297CA5">
        <w:rPr>
          <w:rFonts w:ascii="Calibri" w:hAnsi="Calibri" w:cs="Arial"/>
          <w:bCs/>
        </w:rPr>
        <w:t xml:space="preserve">, the beneficiaries will get “discounted” </w:t>
      </w:r>
      <w:r w:rsidR="00751194" w:rsidRPr="00297CA5">
        <w:rPr>
          <w:rFonts w:ascii="Calibri" w:hAnsi="Calibri" w:cs="Arial"/>
          <w:bCs/>
        </w:rPr>
        <w:t>adjustments to</w:t>
      </w:r>
      <w:r w:rsidRPr="00297CA5">
        <w:rPr>
          <w:rFonts w:ascii="Calibri" w:hAnsi="Calibri" w:cs="Arial"/>
          <w:bCs/>
        </w:rPr>
        <w:t xml:space="preserve"> basis</w:t>
      </w:r>
      <w:r w:rsidR="00B8150A" w:rsidRPr="00297CA5">
        <w:rPr>
          <w:rFonts w:ascii="Calibri" w:hAnsi="Calibri" w:cs="Arial"/>
          <w:bCs/>
        </w:rPr>
        <w:t xml:space="preserve">, shaving off hundreds of thousands of dollars of </w:t>
      </w:r>
      <w:r w:rsidR="00715E6A" w:rsidRPr="00297CA5">
        <w:rPr>
          <w:rFonts w:ascii="Calibri" w:hAnsi="Calibri" w:cs="Arial"/>
          <w:bCs/>
        </w:rPr>
        <w:t xml:space="preserve">valuable </w:t>
      </w:r>
      <w:r w:rsidR="00B8150A" w:rsidRPr="00297CA5">
        <w:rPr>
          <w:rFonts w:ascii="Calibri" w:hAnsi="Calibri" w:cs="Arial"/>
          <w:bCs/>
        </w:rPr>
        <w:t>basis</w:t>
      </w:r>
      <w:r w:rsidRPr="00297CA5">
        <w:rPr>
          <w:rFonts w:ascii="Calibri" w:hAnsi="Calibri" w:cs="Arial"/>
          <w:bCs/>
        </w:rPr>
        <w:t xml:space="preserve"> </w:t>
      </w:r>
      <w:r w:rsidR="00CE410D" w:rsidRPr="00297CA5">
        <w:rPr>
          <w:rFonts w:ascii="Calibri" w:hAnsi="Calibri" w:cs="Arial"/>
          <w:bCs/>
        </w:rPr>
        <w:t>–</w:t>
      </w:r>
      <w:r w:rsidRPr="00297CA5">
        <w:rPr>
          <w:rFonts w:ascii="Calibri" w:hAnsi="Calibri" w:cs="Arial"/>
          <w:bCs/>
        </w:rPr>
        <w:t xml:space="preserve"> </w:t>
      </w:r>
      <w:r w:rsidR="00CE410D" w:rsidRPr="00297CA5">
        <w:rPr>
          <w:rFonts w:ascii="Calibri" w:hAnsi="Calibri" w:cs="Arial"/>
          <w:bCs/>
        </w:rPr>
        <w:t xml:space="preserve">but </w:t>
      </w:r>
      <w:r w:rsidR="00B8150A" w:rsidRPr="00297CA5">
        <w:rPr>
          <w:rFonts w:ascii="Calibri" w:hAnsi="Calibri" w:cs="Arial"/>
          <w:bCs/>
        </w:rPr>
        <w:t xml:space="preserve">inclusion under </w:t>
      </w:r>
      <w:r w:rsidR="00FF77F1" w:rsidRPr="00297CA5">
        <w:rPr>
          <w:rFonts w:ascii="Calibri" w:hAnsi="Calibri" w:cs="Arial"/>
          <w:bCs/>
        </w:rPr>
        <w:t>§</w:t>
      </w:r>
      <w:r w:rsidR="00B8150A" w:rsidRPr="00297CA5">
        <w:rPr>
          <w:rFonts w:ascii="Calibri" w:hAnsi="Calibri" w:cs="Arial"/>
          <w:bCs/>
        </w:rPr>
        <w:t>2041 should lead to aggregation</w:t>
      </w:r>
      <w:r w:rsidR="004A4E47" w:rsidRPr="00297CA5">
        <w:rPr>
          <w:rFonts w:ascii="Calibri" w:hAnsi="Calibri" w:cs="Arial"/>
          <w:bCs/>
        </w:rPr>
        <w:t>,</w:t>
      </w:r>
      <w:r w:rsidR="00B8150A" w:rsidRPr="00297CA5">
        <w:rPr>
          <w:rFonts w:ascii="Calibri" w:hAnsi="Calibri" w:cs="Arial"/>
          <w:bCs/>
        </w:rPr>
        <w:t xml:space="preserve"> </w:t>
      </w:r>
      <w:r w:rsidR="00B8150A" w:rsidRPr="00297CA5">
        <w:rPr>
          <w:rFonts w:ascii="Calibri" w:hAnsi="Calibri" w:cs="Arial"/>
          <w:bCs/>
          <w:i/>
        </w:rPr>
        <w:t>overriding</w:t>
      </w:r>
      <w:r w:rsidR="00B8150A" w:rsidRPr="00297CA5">
        <w:rPr>
          <w:rFonts w:ascii="Calibri" w:hAnsi="Calibri" w:cs="Arial"/>
          <w:bCs/>
        </w:rPr>
        <w:t xml:space="preserve"> the QTIP</w:t>
      </w:r>
      <w:r w:rsidR="009D56C5" w:rsidRPr="00297CA5">
        <w:rPr>
          <w:rFonts w:ascii="Calibri" w:hAnsi="Calibri" w:cs="Arial"/>
          <w:bCs/>
        </w:rPr>
        <w:t>’s</w:t>
      </w:r>
      <w:r w:rsidR="004A4E47" w:rsidRPr="00297CA5">
        <w:rPr>
          <w:rFonts w:ascii="Calibri" w:hAnsi="Calibri" w:cs="Arial"/>
          <w:bCs/>
        </w:rPr>
        <w:t xml:space="preserve"> segregation of assets from the rest of the estate for</w:t>
      </w:r>
      <w:r w:rsidR="00B8150A" w:rsidRPr="00297CA5">
        <w:rPr>
          <w:rFonts w:ascii="Calibri" w:hAnsi="Calibri" w:cs="Arial"/>
          <w:bCs/>
        </w:rPr>
        <w:t xml:space="preserve"> valuation</w:t>
      </w:r>
      <w:r w:rsidR="004A4E47" w:rsidRPr="00297CA5">
        <w:rPr>
          <w:rFonts w:ascii="Calibri" w:hAnsi="Calibri" w:cs="Arial"/>
          <w:bCs/>
        </w:rPr>
        <w:t xml:space="preserve"> purposes</w:t>
      </w:r>
      <w:r w:rsidR="00B8150A" w:rsidRPr="00297CA5">
        <w:rPr>
          <w:rFonts w:ascii="Calibri" w:hAnsi="Calibri" w:cs="Arial"/>
          <w:bCs/>
        </w:rPr>
        <w:t>.</w:t>
      </w:r>
      <w:r w:rsidR="00763308" w:rsidRPr="00297CA5">
        <w:rPr>
          <w:rFonts w:ascii="Calibri" w:hAnsi="Calibri" w:cs="Arial"/>
          <w:bCs/>
        </w:rPr>
        <w:t xml:space="preserve"> </w:t>
      </w:r>
      <w:r w:rsidR="00326641" w:rsidRPr="00297CA5">
        <w:rPr>
          <w:rFonts w:ascii="Arial" w:hAnsi="Arial" w:cs="Arial"/>
          <w:b/>
          <w:bCs/>
          <w:color w:val="000080"/>
          <w:sz w:val="22"/>
          <w:szCs w:val="22"/>
        </w:rPr>
        <w:br w:type="page"/>
      </w:r>
      <w:r w:rsidR="00760D72" w:rsidRPr="00297CA5">
        <w:rPr>
          <w:rFonts w:ascii="Arial" w:hAnsi="Arial" w:cs="Arial"/>
          <w:b/>
          <w:bCs/>
          <w:color w:val="000080"/>
          <w:sz w:val="22"/>
          <w:szCs w:val="22"/>
        </w:rPr>
        <w:lastRenderedPageBreak/>
        <w:t xml:space="preserve">Issues Favoring Use of Formula Testamentary GPOAs over </w:t>
      </w:r>
      <w:r w:rsidR="00A1492F" w:rsidRPr="00297CA5">
        <w:rPr>
          <w:rFonts w:ascii="Arial" w:hAnsi="Arial" w:cs="Arial"/>
          <w:b/>
          <w:bCs/>
          <w:color w:val="000080"/>
          <w:sz w:val="22"/>
          <w:szCs w:val="22"/>
        </w:rPr>
        <w:t xml:space="preserve">Using </w:t>
      </w:r>
      <w:r w:rsidR="00760D72" w:rsidRPr="00297CA5">
        <w:rPr>
          <w:rFonts w:ascii="Arial" w:hAnsi="Arial" w:cs="Arial"/>
          <w:b/>
          <w:bCs/>
          <w:color w:val="000080"/>
          <w:sz w:val="22"/>
          <w:szCs w:val="22"/>
        </w:rPr>
        <w:t>LPOAs/DTT</w:t>
      </w:r>
    </w:p>
    <w:p w14:paraId="3AD35E7D" w14:textId="77777777" w:rsidR="00760D72" w:rsidRPr="00FE3A8B" w:rsidRDefault="00760D72" w:rsidP="00760D72">
      <w:pPr>
        <w:spacing w:line="360" w:lineRule="auto"/>
        <w:ind w:left="60"/>
        <w:rPr>
          <w:rFonts w:ascii="Calibri" w:hAnsi="Calibri" w:cs="Arial"/>
          <w:bCs/>
          <w:sz w:val="22"/>
          <w:szCs w:val="22"/>
        </w:rPr>
      </w:pPr>
    </w:p>
    <w:p w14:paraId="59DCB6D4" w14:textId="77777777" w:rsidR="00760D72" w:rsidRPr="0070189C" w:rsidRDefault="00760D72" w:rsidP="00180FD1">
      <w:pPr>
        <w:numPr>
          <w:ilvl w:val="0"/>
          <w:numId w:val="8"/>
        </w:numPr>
        <w:tabs>
          <w:tab w:val="clear" w:pos="420"/>
          <w:tab w:val="num" w:pos="0"/>
        </w:tabs>
        <w:spacing w:line="360" w:lineRule="auto"/>
        <w:ind w:left="0" w:firstLine="60"/>
        <w:rPr>
          <w:rFonts w:ascii="Calibri" w:hAnsi="Calibri" w:cs="Arial"/>
          <w:bCs/>
        </w:rPr>
      </w:pPr>
      <w:r w:rsidRPr="0070189C">
        <w:rPr>
          <w:rFonts w:ascii="Calibri" w:hAnsi="Calibri" w:cs="Arial"/>
          <w:b/>
          <w:bCs/>
        </w:rPr>
        <w:t>Do</w:t>
      </w:r>
      <w:r w:rsidR="0070189C" w:rsidRPr="0070189C">
        <w:rPr>
          <w:rFonts w:ascii="Calibri" w:hAnsi="Calibri" w:cs="Arial"/>
          <w:b/>
          <w:bCs/>
        </w:rPr>
        <w:t>es</w:t>
      </w:r>
      <w:r w:rsidRPr="0070189C">
        <w:rPr>
          <w:rFonts w:ascii="Calibri" w:hAnsi="Calibri" w:cs="Arial"/>
          <w:b/>
          <w:bCs/>
        </w:rPr>
        <w:t xml:space="preserve">n't rely on obscure/arcane rule against perpetuities nuances.  </w:t>
      </w:r>
      <w:r w:rsidRPr="0070189C">
        <w:rPr>
          <w:rFonts w:ascii="Calibri" w:hAnsi="Calibri" w:cs="Arial"/>
          <w:bCs/>
        </w:rPr>
        <w:t xml:space="preserve">Experts seem to agree that appointing to a trust that grants someone a presently exercisable GPOA triggers </w:t>
      </w:r>
      <w:r w:rsidR="00326641" w:rsidRPr="0070189C">
        <w:rPr>
          <w:rFonts w:ascii="Calibri" w:hAnsi="Calibri" w:cs="Arial"/>
          <w:bCs/>
        </w:rPr>
        <w:t>§</w:t>
      </w:r>
      <w:r w:rsidRPr="0070189C">
        <w:rPr>
          <w:rFonts w:ascii="Calibri" w:hAnsi="Calibri" w:cs="Arial"/>
          <w:bCs/>
        </w:rPr>
        <w:t>2041(a)(3) because the GPOA powerholder can postpone vesting</w:t>
      </w:r>
      <w:r w:rsidR="00DF72DC">
        <w:rPr>
          <w:rFonts w:ascii="Calibri" w:hAnsi="Calibri" w:cs="Arial"/>
          <w:bCs/>
        </w:rPr>
        <w:t>/suspend alienation without regard to the original RAP period.</w:t>
      </w:r>
      <w:r w:rsidRPr="0070189C">
        <w:rPr>
          <w:rFonts w:ascii="Calibri" w:hAnsi="Calibri" w:cs="Arial"/>
          <w:bCs/>
        </w:rPr>
        <w:t xml:space="preserve">  How confident are you that your state law </w:t>
      </w:r>
      <w:r w:rsidR="000C2734">
        <w:rPr>
          <w:rFonts w:ascii="Calibri" w:hAnsi="Calibri" w:cs="Arial"/>
          <w:bCs/>
        </w:rPr>
        <w:t xml:space="preserve">(or trust!) </w:t>
      </w:r>
      <w:r w:rsidR="007B5171">
        <w:rPr>
          <w:rFonts w:ascii="Calibri" w:hAnsi="Calibri" w:cs="Arial"/>
          <w:bCs/>
        </w:rPr>
        <w:t>does not have a savings clause or construction that prevents triggering</w:t>
      </w:r>
      <w:r w:rsidRPr="0070189C">
        <w:rPr>
          <w:rFonts w:ascii="Calibri" w:hAnsi="Calibri" w:cs="Arial"/>
          <w:bCs/>
        </w:rPr>
        <w:t xml:space="preserve"> </w:t>
      </w:r>
      <w:r w:rsidR="00326641" w:rsidRPr="0070189C">
        <w:rPr>
          <w:rFonts w:ascii="Calibri" w:hAnsi="Calibri" w:cs="Arial"/>
          <w:bCs/>
        </w:rPr>
        <w:t>§</w:t>
      </w:r>
      <w:r w:rsidRPr="0070189C">
        <w:rPr>
          <w:rFonts w:ascii="Calibri" w:hAnsi="Calibri" w:cs="Arial"/>
          <w:bCs/>
        </w:rPr>
        <w:t xml:space="preserve">2041(a)(3)?  How does this interpretation further Congressional intent of thwarting continued transfer tax avoidance if the GPOA </w:t>
      </w:r>
      <w:r w:rsidRPr="000C2734">
        <w:rPr>
          <w:rFonts w:ascii="Calibri" w:hAnsi="Calibri" w:cs="Arial"/>
          <w:bCs/>
          <w:i/>
        </w:rPr>
        <w:t>causes</w:t>
      </w:r>
      <w:r w:rsidRPr="0070189C">
        <w:rPr>
          <w:rFonts w:ascii="Calibri" w:hAnsi="Calibri" w:cs="Arial"/>
          <w:bCs/>
        </w:rPr>
        <w:t xml:space="preserve"> gift/estate tax in the PEG powerholder’s estate?  </w:t>
      </w:r>
      <w:r w:rsidR="000C2734">
        <w:rPr>
          <w:rFonts w:ascii="Calibri" w:hAnsi="Calibri" w:cs="Arial"/>
          <w:bCs/>
        </w:rPr>
        <w:t xml:space="preserve">(Very little, unless you consider the gradual escape via 5/5 lapse protection of §2514(e)).  </w:t>
      </w:r>
      <w:r w:rsidRPr="0070189C">
        <w:rPr>
          <w:rFonts w:ascii="Calibri" w:hAnsi="Calibri" w:cs="Arial"/>
          <w:bCs/>
        </w:rPr>
        <w:t>While this technique appear</w:t>
      </w:r>
      <w:r w:rsidR="00DF72DC">
        <w:rPr>
          <w:rFonts w:ascii="Calibri" w:hAnsi="Calibri" w:cs="Arial"/>
          <w:bCs/>
        </w:rPr>
        <w:t>s</w:t>
      </w:r>
      <w:r w:rsidRPr="0070189C">
        <w:rPr>
          <w:rFonts w:ascii="Calibri" w:hAnsi="Calibri" w:cs="Arial"/>
          <w:bCs/>
        </w:rPr>
        <w:t xml:space="preserve"> to work</w:t>
      </w:r>
      <w:r w:rsidR="00DF72DC">
        <w:rPr>
          <w:rFonts w:ascii="Calibri" w:hAnsi="Calibri" w:cs="Arial"/>
          <w:bCs/>
        </w:rPr>
        <w:t xml:space="preserve"> (</w:t>
      </w:r>
      <w:r w:rsidR="007B5171">
        <w:rPr>
          <w:rFonts w:ascii="Calibri" w:hAnsi="Calibri" w:cs="Arial"/>
          <w:bCs/>
        </w:rPr>
        <w:t xml:space="preserve">the </w:t>
      </w:r>
      <w:r w:rsidR="00DF72DC">
        <w:rPr>
          <w:rFonts w:ascii="Calibri" w:hAnsi="Calibri" w:cs="Arial"/>
          <w:bCs/>
        </w:rPr>
        <w:t xml:space="preserve">regulations imply </w:t>
      </w:r>
      <w:r w:rsidR="007B5171">
        <w:rPr>
          <w:rFonts w:ascii="Calibri" w:hAnsi="Calibri" w:cs="Arial"/>
          <w:bCs/>
        </w:rPr>
        <w:t xml:space="preserve">so </w:t>
      </w:r>
      <w:r w:rsidR="00DF72DC">
        <w:rPr>
          <w:rFonts w:ascii="Calibri" w:hAnsi="Calibri" w:cs="Arial"/>
          <w:bCs/>
        </w:rPr>
        <w:t>as well)</w:t>
      </w:r>
      <w:r w:rsidRPr="0070189C">
        <w:rPr>
          <w:rFonts w:ascii="Calibri" w:hAnsi="Calibri" w:cs="Arial"/>
          <w:bCs/>
        </w:rPr>
        <w:t xml:space="preserve">, there is </w:t>
      </w:r>
      <w:r w:rsidRPr="007B5171">
        <w:rPr>
          <w:rFonts w:ascii="Calibri" w:hAnsi="Calibri" w:cs="Arial"/>
          <w:b/>
          <w:bCs/>
        </w:rPr>
        <w:t>no</w:t>
      </w:r>
      <w:r w:rsidRPr="0070189C">
        <w:rPr>
          <w:rFonts w:ascii="Calibri" w:hAnsi="Calibri" w:cs="Arial"/>
          <w:bCs/>
        </w:rPr>
        <w:t xml:space="preserve"> </w:t>
      </w:r>
      <w:r w:rsidR="000C2734">
        <w:rPr>
          <w:rFonts w:ascii="Calibri" w:hAnsi="Calibri" w:cs="Arial"/>
          <w:b/>
          <w:bCs/>
        </w:rPr>
        <w:t>reported</w:t>
      </w:r>
      <w:r w:rsidRPr="007B5171">
        <w:rPr>
          <w:rFonts w:ascii="Calibri" w:hAnsi="Calibri" w:cs="Arial"/>
          <w:b/>
          <w:bCs/>
        </w:rPr>
        <w:t xml:space="preserve"> case</w:t>
      </w:r>
      <w:r w:rsidRPr="0070189C">
        <w:rPr>
          <w:rFonts w:ascii="Calibri" w:hAnsi="Calibri" w:cs="Arial"/>
          <w:bCs/>
        </w:rPr>
        <w:t xml:space="preserve"> confirming this.</w:t>
      </w:r>
      <w:r w:rsidR="0059403B" w:rsidRPr="0070189C">
        <w:rPr>
          <w:rFonts w:ascii="Calibri" w:hAnsi="Calibri" w:cs="Arial"/>
          <w:bCs/>
        </w:rPr>
        <w:t xml:space="preserve">  The only </w:t>
      </w:r>
      <w:r w:rsidR="00DF72DC">
        <w:rPr>
          <w:rFonts w:ascii="Calibri" w:hAnsi="Calibri" w:cs="Arial"/>
          <w:bCs/>
        </w:rPr>
        <w:t xml:space="preserve">reported </w:t>
      </w:r>
      <w:r w:rsidR="0059403B" w:rsidRPr="0070189C">
        <w:rPr>
          <w:rFonts w:ascii="Calibri" w:hAnsi="Calibri" w:cs="Arial"/>
          <w:bCs/>
        </w:rPr>
        <w:t xml:space="preserve">case </w:t>
      </w:r>
      <w:r w:rsidR="007B5171">
        <w:rPr>
          <w:rFonts w:ascii="Calibri" w:hAnsi="Calibri" w:cs="Arial"/>
          <w:bCs/>
        </w:rPr>
        <w:t xml:space="preserve">on this issue </w:t>
      </w:r>
      <w:r w:rsidR="0059403B" w:rsidRPr="0070189C">
        <w:rPr>
          <w:rFonts w:ascii="Calibri" w:hAnsi="Calibri" w:cs="Arial"/>
          <w:bCs/>
        </w:rPr>
        <w:t xml:space="preserve">found </w:t>
      </w:r>
      <w:r w:rsidR="00DF72DC">
        <w:rPr>
          <w:rFonts w:ascii="Calibri" w:hAnsi="Calibri" w:cs="Arial"/>
          <w:bCs/>
        </w:rPr>
        <w:t>that</w:t>
      </w:r>
      <w:r w:rsidR="0059403B" w:rsidRPr="0070189C">
        <w:rPr>
          <w:rFonts w:ascii="Calibri" w:hAnsi="Calibri" w:cs="Arial"/>
          <w:bCs/>
        </w:rPr>
        <w:t xml:space="preserve"> §2041(a)(3) </w:t>
      </w:r>
      <w:r w:rsidR="00DF72DC">
        <w:rPr>
          <w:rFonts w:ascii="Calibri" w:hAnsi="Calibri" w:cs="Arial"/>
          <w:bCs/>
        </w:rPr>
        <w:t xml:space="preserve">was </w:t>
      </w:r>
      <w:r w:rsidR="00DF72DC" w:rsidRPr="000C2734">
        <w:rPr>
          <w:rFonts w:ascii="Calibri" w:hAnsi="Calibri" w:cs="Arial"/>
          <w:b/>
          <w:bCs/>
        </w:rPr>
        <w:t>not</w:t>
      </w:r>
      <w:r w:rsidR="00DF72DC">
        <w:rPr>
          <w:rFonts w:ascii="Calibri" w:hAnsi="Calibri" w:cs="Arial"/>
          <w:bCs/>
        </w:rPr>
        <w:t xml:space="preserve"> </w:t>
      </w:r>
      <w:r w:rsidR="0059403B" w:rsidRPr="0070189C">
        <w:rPr>
          <w:rFonts w:ascii="Calibri" w:hAnsi="Calibri" w:cs="Arial"/>
          <w:bCs/>
        </w:rPr>
        <w:t>triggered.</w:t>
      </w:r>
      <w:r w:rsidR="00E6286F">
        <w:rPr>
          <w:rFonts w:ascii="Calibri" w:hAnsi="Calibri" w:cs="Arial"/>
          <w:bCs/>
        </w:rPr>
        <w:t xml:space="preserve">  As discussed above, the ability to simply incorporate other states’ more favorable laws to allow more protective Delaware Tax Trapping trusts without reliance on PEG powers is also uncertain.</w:t>
      </w:r>
    </w:p>
    <w:p w14:paraId="035EBF8E" w14:textId="77777777" w:rsidR="00760D72" w:rsidRPr="0070189C" w:rsidRDefault="00760D72" w:rsidP="00180FD1">
      <w:pPr>
        <w:numPr>
          <w:ilvl w:val="0"/>
          <w:numId w:val="8"/>
        </w:numPr>
        <w:tabs>
          <w:tab w:val="clear" w:pos="420"/>
          <w:tab w:val="num" w:pos="0"/>
        </w:tabs>
        <w:spacing w:line="360" w:lineRule="auto"/>
        <w:ind w:left="0" w:firstLine="60"/>
        <w:rPr>
          <w:rFonts w:ascii="Calibri" w:hAnsi="Calibri" w:cs="Arial"/>
          <w:b/>
          <w:bCs/>
        </w:rPr>
      </w:pPr>
      <w:r w:rsidRPr="0070189C">
        <w:rPr>
          <w:rFonts w:ascii="Calibri" w:hAnsi="Calibri" w:cs="Arial"/>
          <w:b/>
          <w:bCs/>
        </w:rPr>
        <w:t>Less documentation/probate/paperwork, less chance of something falling through the cracks</w:t>
      </w:r>
      <w:r w:rsidR="0059403B" w:rsidRPr="0070189C">
        <w:rPr>
          <w:rFonts w:ascii="Calibri" w:hAnsi="Calibri" w:cs="Arial"/>
          <w:b/>
          <w:bCs/>
        </w:rPr>
        <w:t xml:space="preserve">.  </w:t>
      </w:r>
      <w:r w:rsidRPr="0070189C">
        <w:rPr>
          <w:rFonts w:ascii="Calibri" w:hAnsi="Calibri" w:cs="Arial"/>
          <w:b/>
          <w:bCs/>
        </w:rPr>
        <w:t xml:space="preserve"> </w:t>
      </w:r>
      <w:r w:rsidRPr="0070189C">
        <w:rPr>
          <w:rFonts w:ascii="Calibri" w:hAnsi="Calibri" w:cs="Arial"/>
          <w:bCs/>
        </w:rPr>
        <w:t>A formula GPOA doesn’t even have to be exercised to get the intended benefit, but the LPOA/DTT technique requires an</w:t>
      </w:r>
      <w:r w:rsidRPr="0070189C">
        <w:rPr>
          <w:rFonts w:ascii="Calibri" w:hAnsi="Calibri" w:cs="Arial"/>
          <w:b/>
          <w:bCs/>
        </w:rPr>
        <w:t xml:space="preserve"> </w:t>
      </w:r>
      <w:r w:rsidRPr="0070189C">
        <w:rPr>
          <w:rFonts w:ascii="Calibri" w:hAnsi="Calibri" w:cs="Arial"/>
          <w:bCs/>
        </w:rPr>
        <w:t xml:space="preserve">additional exercising document (usually by will), potentially </w:t>
      </w:r>
      <w:r w:rsidR="00282175" w:rsidRPr="0070189C">
        <w:rPr>
          <w:rFonts w:ascii="Calibri" w:hAnsi="Calibri" w:cs="Arial"/>
          <w:bCs/>
        </w:rPr>
        <w:t xml:space="preserve">a probate </w:t>
      </w:r>
      <w:r w:rsidR="000C2734">
        <w:rPr>
          <w:rFonts w:ascii="Calibri" w:hAnsi="Calibri" w:cs="Arial"/>
          <w:bCs/>
        </w:rPr>
        <w:t xml:space="preserve">filing </w:t>
      </w:r>
      <w:r w:rsidR="00282175" w:rsidRPr="0070189C">
        <w:rPr>
          <w:rFonts w:ascii="Calibri" w:hAnsi="Calibri" w:cs="Arial"/>
          <w:bCs/>
        </w:rPr>
        <w:t>if by will</w:t>
      </w:r>
      <w:r w:rsidR="00E76737">
        <w:rPr>
          <w:rFonts w:ascii="Calibri" w:hAnsi="Calibri" w:cs="Arial"/>
          <w:bCs/>
        </w:rPr>
        <w:t xml:space="preserve"> (though it does not mean a full probate need be opened or that appointive assets are probate assets)</w:t>
      </w:r>
      <w:r w:rsidR="00282175" w:rsidRPr="0070189C">
        <w:rPr>
          <w:rFonts w:ascii="Calibri" w:hAnsi="Calibri" w:cs="Arial"/>
          <w:bCs/>
        </w:rPr>
        <w:t>.</w:t>
      </w:r>
      <w:r w:rsidR="00C24A3E">
        <w:rPr>
          <w:rStyle w:val="FootnoteReference"/>
          <w:rFonts w:ascii="Calibri" w:hAnsi="Calibri" w:cs="Arial"/>
          <w:bCs/>
        </w:rPr>
        <w:footnoteReference w:id="158"/>
      </w:r>
      <w:r w:rsidR="00282175" w:rsidRPr="0070189C">
        <w:rPr>
          <w:rFonts w:ascii="Calibri" w:hAnsi="Calibri" w:cs="Arial"/>
          <w:bCs/>
        </w:rPr>
        <w:t xml:space="preserve">  Plus, </w:t>
      </w:r>
      <w:r w:rsidR="00E76737">
        <w:rPr>
          <w:rFonts w:ascii="Calibri" w:hAnsi="Calibri" w:cs="Arial"/>
          <w:bCs/>
        </w:rPr>
        <w:t>invoking the DTT</w:t>
      </w:r>
      <w:r w:rsidRPr="0070189C">
        <w:rPr>
          <w:rFonts w:ascii="Calibri" w:hAnsi="Calibri" w:cs="Arial"/>
          <w:bCs/>
        </w:rPr>
        <w:t xml:space="preserve"> </w:t>
      </w:r>
      <w:r w:rsidR="00E76737">
        <w:rPr>
          <w:rFonts w:ascii="Calibri" w:hAnsi="Calibri" w:cs="Arial"/>
          <w:bCs/>
        </w:rPr>
        <w:t>usually means</w:t>
      </w:r>
      <w:r w:rsidRPr="0070189C">
        <w:rPr>
          <w:rFonts w:ascii="Calibri" w:hAnsi="Calibri" w:cs="Arial"/>
          <w:bCs/>
        </w:rPr>
        <w:t xml:space="preserve"> a new separate “DTT-trapping” trust to appoint to</w:t>
      </w:r>
      <w:r w:rsidR="0059403B" w:rsidRPr="0070189C">
        <w:rPr>
          <w:rFonts w:ascii="Calibri" w:hAnsi="Calibri" w:cs="Arial"/>
          <w:bCs/>
        </w:rPr>
        <w:t xml:space="preserve"> (even if </w:t>
      </w:r>
      <w:r w:rsidR="000C2734">
        <w:rPr>
          <w:rFonts w:ascii="Calibri" w:hAnsi="Calibri" w:cs="Arial"/>
          <w:bCs/>
        </w:rPr>
        <w:t xml:space="preserve">it’s </w:t>
      </w:r>
      <w:r w:rsidR="0059403B" w:rsidRPr="0070189C">
        <w:rPr>
          <w:rFonts w:ascii="Calibri" w:hAnsi="Calibri" w:cs="Arial"/>
          <w:bCs/>
        </w:rPr>
        <w:t>only one page</w:t>
      </w:r>
      <w:r w:rsidR="000C2734">
        <w:rPr>
          <w:rFonts w:ascii="Calibri" w:hAnsi="Calibri" w:cs="Arial"/>
          <w:bCs/>
        </w:rPr>
        <w:t xml:space="preserve">, or referring to another </w:t>
      </w:r>
      <w:r w:rsidR="00E76737">
        <w:rPr>
          <w:rFonts w:ascii="Calibri" w:hAnsi="Calibri" w:cs="Arial"/>
          <w:bCs/>
        </w:rPr>
        <w:t>sub</w:t>
      </w:r>
      <w:r w:rsidR="000C2734">
        <w:rPr>
          <w:rFonts w:ascii="Calibri" w:hAnsi="Calibri" w:cs="Arial"/>
          <w:bCs/>
        </w:rPr>
        <w:t xml:space="preserve">trust with a </w:t>
      </w:r>
      <w:r w:rsidR="00E6286F">
        <w:rPr>
          <w:rFonts w:ascii="Calibri" w:hAnsi="Calibri" w:cs="Arial"/>
          <w:bCs/>
        </w:rPr>
        <w:t xml:space="preserve">few </w:t>
      </w:r>
      <w:r w:rsidR="000C2734">
        <w:rPr>
          <w:rFonts w:ascii="Calibri" w:hAnsi="Calibri" w:cs="Arial"/>
          <w:bCs/>
        </w:rPr>
        <w:t>sentence</w:t>
      </w:r>
      <w:r w:rsidR="00E6286F">
        <w:rPr>
          <w:rFonts w:ascii="Calibri" w:hAnsi="Calibri" w:cs="Arial"/>
          <w:bCs/>
        </w:rPr>
        <w:t>s</w:t>
      </w:r>
      <w:r w:rsidR="000C2734">
        <w:rPr>
          <w:rFonts w:ascii="Calibri" w:hAnsi="Calibri" w:cs="Arial"/>
          <w:bCs/>
        </w:rPr>
        <w:t xml:space="preserve"> added</w:t>
      </w:r>
      <w:r w:rsidR="0059403B" w:rsidRPr="0070189C">
        <w:rPr>
          <w:rFonts w:ascii="Calibri" w:hAnsi="Calibri" w:cs="Arial"/>
          <w:bCs/>
        </w:rPr>
        <w:t>)</w:t>
      </w:r>
      <w:r w:rsidRPr="0070189C">
        <w:rPr>
          <w:rFonts w:ascii="Calibri" w:hAnsi="Calibri" w:cs="Arial"/>
          <w:bCs/>
        </w:rPr>
        <w:t xml:space="preserve">. </w:t>
      </w:r>
    </w:p>
    <w:p w14:paraId="1CF067E4" w14:textId="77777777" w:rsidR="00760D72" w:rsidRPr="0070189C" w:rsidRDefault="00760D72" w:rsidP="00180FD1">
      <w:pPr>
        <w:numPr>
          <w:ilvl w:val="0"/>
          <w:numId w:val="8"/>
        </w:numPr>
        <w:tabs>
          <w:tab w:val="clear" w:pos="420"/>
          <w:tab w:val="num" w:pos="0"/>
        </w:tabs>
        <w:spacing w:line="360" w:lineRule="auto"/>
        <w:ind w:left="0" w:firstLine="60"/>
        <w:rPr>
          <w:rFonts w:ascii="Calibri" w:hAnsi="Calibri" w:cs="Arial"/>
          <w:bCs/>
        </w:rPr>
      </w:pPr>
      <w:r w:rsidRPr="0070189C">
        <w:rPr>
          <w:rFonts w:ascii="Calibri" w:hAnsi="Calibri" w:cs="Arial"/>
          <w:b/>
          <w:bCs/>
        </w:rPr>
        <w:t xml:space="preserve">Better ongoing asset protection for beneficiaries – </w:t>
      </w:r>
      <w:r w:rsidRPr="0070189C">
        <w:rPr>
          <w:rFonts w:ascii="Calibri" w:hAnsi="Calibri" w:cs="Arial"/>
          <w:bCs/>
        </w:rPr>
        <w:t xml:space="preserve">although the </w:t>
      </w:r>
      <w:r w:rsidR="00CD2F03">
        <w:rPr>
          <w:rFonts w:ascii="Calibri" w:hAnsi="Calibri" w:cs="Arial"/>
          <w:bCs/>
        </w:rPr>
        <w:t>GPOA</w:t>
      </w:r>
      <w:r w:rsidRPr="0070189C">
        <w:rPr>
          <w:rFonts w:ascii="Calibri" w:hAnsi="Calibri" w:cs="Arial"/>
          <w:bCs/>
        </w:rPr>
        <w:t xml:space="preserve"> might be more prone to access by a </w:t>
      </w:r>
      <w:r w:rsidR="00CD2F03">
        <w:rPr>
          <w:rFonts w:ascii="Calibri" w:hAnsi="Calibri" w:cs="Arial"/>
          <w:bCs/>
        </w:rPr>
        <w:t xml:space="preserve">decedent </w:t>
      </w:r>
      <w:r w:rsidRPr="0070189C">
        <w:rPr>
          <w:rFonts w:ascii="Calibri" w:hAnsi="Calibri" w:cs="Arial"/>
          <w:bCs/>
        </w:rPr>
        <w:t xml:space="preserve">powerholder’s estate (discussed above), it is </w:t>
      </w:r>
      <w:r w:rsidRPr="0070189C">
        <w:rPr>
          <w:rFonts w:ascii="Calibri" w:hAnsi="Calibri" w:cs="Arial"/>
          <w:b/>
          <w:bCs/>
        </w:rPr>
        <w:t>much</w:t>
      </w:r>
      <w:r w:rsidRPr="0070189C">
        <w:rPr>
          <w:rFonts w:ascii="Calibri" w:hAnsi="Calibri" w:cs="Arial"/>
          <w:bCs/>
        </w:rPr>
        <w:t xml:space="preserve"> more likely that one of the </w:t>
      </w:r>
      <w:r w:rsidRPr="0070189C">
        <w:rPr>
          <w:rFonts w:ascii="Calibri" w:hAnsi="Calibri" w:cs="Arial"/>
          <w:bCs/>
          <w:i/>
        </w:rPr>
        <w:t>children</w:t>
      </w:r>
      <w:r w:rsidR="00CD2F03">
        <w:rPr>
          <w:rFonts w:ascii="Calibri" w:hAnsi="Calibri" w:cs="Arial"/>
          <w:bCs/>
        </w:rPr>
        <w:t xml:space="preserve"> has</w:t>
      </w:r>
      <w:r w:rsidRPr="0070189C">
        <w:rPr>
          <w:rFonts w:ascii="Calibri" w:hAnsi="Calibri" w:cs="Arial"/>
          <w:bCs/>
        </w:rPr>
        <w:t xml:space="preserve"> creditor issues than a bypass trust </w:t>
      </w:r>
      <w:r w:rsidR="000C2734" w:rsidRPr="000C2734">
        <w:rPr>
          <w:rFonts w:ascii="Calibri" w:hAnsi="Calibri" w:cs="Arial"/>
          <w:bCs/>
          <w:i/>
        </w:rPr>
        <w:t>spouse</w:t>
      </w:r>
      <w:r w:rsidR="000C2734">
        <w:rPr>
          <w:rFonts w:ascii="Calibri" w:hAnsi="Calibri" w:cs="Arial"/>
          <w:bCs/>
        </w:rPr>
        <w:t>/</w:t>
      </w:r>
      <w:r w:rsidR="0059403B" w:rsidRPr="0070189C">
        <w:rPr>
          <w:rFonts w:ascii="Calibri" w:hAnsi="Calibri" w:cs="Arial"/>
          <w:bCs/>
        </w:rPr>
        <w:t>beneficiary</w:t>
      </w:r>
      <w:r w:rsidRPr="0070189C">
        <w:rPr>
          <w:rFonts w:ascii="Calibri" w:hAnsi="Calibri" w:cs="Arial"/>
          <w:bCs/>
        </w:rPr>
        <w:t>.  Even aside from outside creditors, granting a child a PEG power may jeopardize the assets (or even more likely, the growth on those assets), in a divorce</w:t>
      </w:r>
      <w:r w:rsidR="000C2734">
        <w:rPr>
          <w:rFonts w:ascii="Calibri" w:hAnsi="Calibri" w:cs="Arial"/>
          <w:bCs/>
        </w:rPr>
        <w:t xml:space="preserve">, or subject the assets to a spousal elective </w:t>
      </w:r>
      <w:r w:rsidR="000C2734">
        <w:rPr>
          <w:rFonts w:ascii="Calibri" w:hAnsi="Calibri" w:cs="Arial"/>
          <w:bCs/>
        </w:rPr>
        <w:lastRenderedPageBreak/>
        <w:t>share</w:t>
      </w:r>
      <w:r w:rsidR="0059403B" w:rsidRPr="0070189C">
        <w:rPr>
          <w:rFonts w:ascii="Calibri" w:hAnsi="Calibri" w:cs="Arial"/>
          <w:bCs/>
        </w:rPr>
        <w:t>.</w:t>
      </w:r>
      <w:r w:rsidR="000C2734">
        <w:rPr>
          <w:rStyle w:val="FootnoteReference"/>
          <w:rFonts w:ascii="Calibri" w:hAnsi="Calibri" w:cs="Arial"/>
          <w:bCs/>
        </w:rPr>
        <w:footnoteReference w:id="159"/>
      </w:r>
      <w:r w:rsidR="0059403B" w:rsidRPr="0070189C">
        <w:rPr>
          <w:rFonts w:ascii="Calibri" w:hAnsi="Calibri" w:cs="Arial"/>
          <w:bCs/>
        </w:rPr>
        <w:t xml:space="preserve">  Q</w:t>
      </w:r>
      <w:r w:rsidR="00E76737">
        <w:rPr>
          <w:rFonts w:ascii="Calibri" w:hAnsi="Calibri" w:cs="Arial"/>
          <w:bCs/>
        </w:rPr>
        <w:t>uery how a PEG power over only the</w:t>
      </w:r>
      <w:r w:rsidR="0059403B" w:rsidRPr="0070189C">
        <w:rPr>
          <w:rFonts w:ascii="Calibri" w:hAnsi="Calibri" w:cs="Arial"/>
          <w:bCs/>
        </w:rPr>
        <w:t xml:space="preserve"> remainder </w:t>
      </w:r>
      <w:r w:rsidR="00E76737">
        <w:rPr>
          <w:rFonts w:ascii="Calibri" w:hAnsi="Calibri" w:cs="Arial"/>
          <w:bCs/>
        </w:rPr>
        <w:t xml:space="preserve">interest </w:t>
      </w:r>
      <w:r w:rsidR="0059403B" w:rsidRPr="0070189C">
        <w:rPr>
          <w:rFonts w:ascii="Calibri" w:hAnsi="Calibri" w:cs="Arial"/>
          <w:bCs/>
        </w:rPr>
        <w:t>would be viewed.</w:t>
      </w:r>
      <w:r w:rsidR="00CD2F03">
        <w:rPr>
          <w:rFonts w:ascii="Calibri" w:hAnsi="Calibri" w:cs="Arial"/>
          <w:bCs/>
        </w:rPr>
        <w:t xml:space="preserve">  This assumes a PEG power must be used and one cannot use DE/AZ law to trigger the DTT without granting a PEG power.</w:t>
      </w:r>
    </w:p>
    <w:p w14:paraId="7E26E3C5" w14:textId="77777777" w:rsidR="00760D72" w:rsidRPr="0070189C" w:rsidRDefault="00760D72" w:rsidP="00180FD1">
      <w:pPr>
        <w:numPr>
          <w:ilvl w:val="0"/>
          <w:numId w:val="8"/>
        </w:numPr>
        <w:tabs>
          <w:tab w:val="clear" w:pos="420"/>
          <w:tab w:val="num" w:pos="0"/>
        </w:tabs>
        <w:spacing w:line="360" w:lineRule="auto"/>
        <w:ind w:left="0" w:firstLine="60"/>
        <w:rPr>
          <w:rFonts w:ascii="Calibri" w:hAnsi="Calibri" w:cs="Arial"/>
          <w:bCs/>
        </w:rPr>
      </w:pPr>
      <w:r w:rsidRPr="0070189C">
        <w:rPr>
          <w:rFonts w:ascii="Calibri" w:hAnsi="Calibri" w:cs="Arial"/>
          <w:b/>
          <w:bCs/>
        </w:rPr>
        <w:t xml:space="preserve">No waste of GST exclusion, assets can </w:t>
      </w:r>
      <w:r w:rsidR="000A55C1">
        <w:rPr>
          <w:rFonts w:ascii="Calibri" w:hAnsi="Calibri" w:cs="Arial"/>
          <w:b/>
          <w:bCs/>
        </w:rPr>
        <w:t xml:space="preserve">be </w:t>
      </w:r>
      <w:r w:rsidRPr="0070189C">
        <w:rPr>
          <w:rFonts w:ascii="Calibri" w:hAnsi="Calibri" w:cs="Arial"/>
          <w:b/>
          <w:bCs/>
        </w:rPr>
        <w:t xml:space="preserve">excluded from </w:t>
      </w:r>
      <w:r w:rsidRPr="00E76737">
        <w:rPr>
          <w:rFonts w:ascii="Calibri" w:hAnsi="Calibri" w:cs="Arial"/>
          <w:b/>
          <w:bCs/>
          <w:i/>
        </w:rPr>
        <w:t>beneficiaries’</w:t>
      </w:r>
      <w:r w:rsidRPr="0070189C">
        <w:rPr>
          <w:rFonts w:ascii="Calibri" w:hAnsi="Calibri" w:cs="Arial"/>
          <w:b/>
          <w:bCs/>
        </w:rPr>
        <w:t xml:space="preserve"> estates – </w:t>
      </w:r>
      <w:r w:rsidRPr="0070189C">
        <w:rPr>
          <w:rFonts w:ascii="Calibri" w:hAnsi="Calibri" w:cs="Arial"/>
          <w:bCs/>
        </w:rPr>
        <w:t>when a child or other beneficiary</w:t>
      </w:r>
      <w:r w:rsidRPr="0070189C">
        <w:rPr>
          <w:rFonts w:ascii="Calibri" w:hAnsi="Calibri" w:cs="Arial"/>
          <w:b/>
          <w:bCs/>
        </w:rPr>
        <w:t xml:space="preserve"> </w:t>
      </w:r>
      <w:r w:rsidRPr="0070189C">
        <w:rPr>
          <w:rFonts w:ascii="Calibri" w:hAnsi="Calibri" w:cs="Arial"/>
          <w:bCs/>
        </w:rPr>
        <w:t xml:space="preserve">inherits in trust pursuant to a formula GPOA, GST will be allocated, and if properly drafted the subsequent trust escapes taxation in the beneficiaries’ estate for federal and state estate tax.  By contrast, this is </w:t>
      </w:r>
      <w:r w:rsidR="002215C8">
        <w:rPr>
          <w:rFonts w:ascii="Calibri" w:hAnsi="Calibri" w:cs="Arial"/>
          <w:bCs/>
        </w:rPr>
        <w:t xml:space="preserve">near </w:t>
      </w:r>
      <w:r w:rsidRPr="0070189C">
        <w:rPr>
          <w:rFonts w:ascii="Calibri" w:hAnsi="Calibri" w:cs="Arial"/>
          <w:bCs/>
        </w:rPr>
        <w:t>impossible to do if the beneficiary receives assets with an attendant PEG Power</w:t>
      </w:r>
      <w:r w:rsidR="002215C8">
        <w:rPr>
          <w:rFonts w:ascii="Calibri" w:hAnsi="Calibri" w:cs="Arial"/>
          <w:bCs/>
        </w:rPr>
        <w:t xml:space="preserve"> (w/ possible exception for annual 5/5 lapses)</w:t>
      </w:r>
      <w:r w:rsidRPr="0070189C">
        <w:rPr>
          <w:rFonts w:ascii="Calibri" w:hAnsi="Calibri" w:cs="Arial"/>
          <w:bCs/>
        </w:rPr>
        <w:t xml:space="preserve">. </w:t>
      </w:r>
    </w:p>
    <w:p w14:paraId="34FD0862" w14:textId="77777777" w:rsidR="00760D72" w:rsidRPr="0070189C" w:rsidRDefault="00760D72" w:rsidP="00180FD1">
      <w:pPr>
        <w:numPr>
          <w:ilvl w:val="0"/>
          <w:numId w:val="8"/>
        </w:numPr>
        <w:tabs>
          <w:tab w:val="clear" w:pos="420"/>
          <w:tab w:val="num" w:pos="0"/>
        </w:tabs>
        <w:spacing w:line="360" w:lineRule="auto"/>
        <w:ind w:left="0" w:firstLine="60"/>
        <w:rPr>
          <w:rFonts w:ascii="Calibri" w:hAnsi="Calibri" w:cs="Arial"/>
          <w:bCs/>
        </w:rPr>
      </w:pPr>
      <w:r w:rsidRPr="0070189C">
        <w:rPr>
          <w:rFonts w:ascii="Calibri" w:hAnsi="Calibri" w:cs="Arial"/>
          <w:b/>
          <w:bCs/>
        </w:rPr>
        <w:t xml:space="preserve">Children or other beneficiaries can spray income – </w:t>
      </w:r>
      <w:r w:rsidR="00CD2F03">
        <w:rPr>
          <w:rFonts w:ascii="Calibri" w:hAnsi="Calibri" w:cs="Arial"/>
          <w:bCs/>
        </w:rPr>
        <w:t>When</w:t>
      </w:r>
      <w:r w:rsidRPr="0070189C">
        <w:rPr>
          <w:rFonts w:ascii="Calibri" w:hAnsi="Calibri" w:cs="Arial"/>
          <w:bCs/>
        </w:rPr>
        <w:t xml:space="preserve"> a beneficiary receives trust assets with a typical PEG Power, there is a forced grantor</w:t>
      </w:r>
      <w:r w:rsidR="000C2734">
        <w:rPr>
          <w:rFonts w:ascii="Calibri" w:hAnsi="Calibri" w:cs="Arial"/>
          <w:bCs/>
        </w:rPr>
        <w:t xml:space="preserve"> trust </w:t>
      </w:r>
      <w:r w:rsidR="00CD2F03">
        <w:rPr>
          <w:rFonts w:ascii="Calibri" w:hAnsi="Calibri" w:cs="Arial"/>
          <w:bCs/>
        </w:rPr>
        <w:t xml:space="preserve">(beneficiary-deemed owner) </w:t>
      </w:r>
      <w:r w:rsidR="000C2734">
        <w:rPr>
          <w:rFonts w:ascii="Calibri" w:hAnsi="Calibri" w:cs="Arial"/>
          <w:bCs/>
        </w:rPr>
        <w:t>status under IRC §678(a).  I</w:t>
      </w:r>
      <w:r w:rsidR="007B5171">
        <w:rPr>
          <w:rFonts w:ascii="Calibri" w:hAnsi="Calibri" w:cs="Arial"/>
          <w:bCs/>
        </w:rPr>
        <w:t>f the PEG power is limited to the remainder interest, then there would be a partial forced grantor trust status as to principal.  W</w:t>
      </w:r>
      <w:r w:rsidRPr="0070189C">
        <w:rPr>
          <w:rFonts w:ascii="Calibri" w:hAnsi="Calibri" w:cs="Arial"/>
          <w:bCs/>
        </w:rPr>
        <w:t>hereas</w:t>
      </w:r>
      <w:r w:rsidR="007B5171">
        <w:rPr>
          <w:rFonts w:ascii="Calibri" w:hAnsi="Calibri" w:cs="Arial"/>
          <w:bCs/>
        </w:rPr>
        <w:t>,</w:t>
      </w:r>
      <w:r w:rsidRPr="0070189C">
        <w:rPr>
          <w:rFonts w:ascii="Calibri" w:hAnsi="Calibri" w:cs="Arial"/>
          <w:bCs/>
        </w:rPr>
        <w:t xml:space="preserve"> if a beneficiary inherits in a standard trust, </w:t>
      </w:r>
      <w:r w:rsidR="000C2734">
        <w:rPr>
          <w:rFonts w:ascii="Calibri" w:hAnsi="Calibri" w:cs="Arial"/>
          <w:bCs/>
        </w:rPr>
        <w:t>he/she can avail themselves of</w:t>
      </w:r>
      <w:r w:rsidR="00DD6732">
        <w:rPr>
          <w:rFonts w:ascii="Calibri" w:hAnsi="Calibri" w:cs="Arial"/>
          <w:bCs/>
        </w:rPr>
        <w:t xml:space="preserve"> opportunities to avoid state income tax, shift</w:t>
      </w:r>
      <w:r w:rsidRPr="0070189C">
        <w:rPr>
          <w:rFonts w:ascii="Calibri" w:hAnsi="Calibri" w:cs="Arial"/>
          <w:bCs/>
        </w:rPr>
        <w:t xml:space="preserve"> income and </w:t>
      </w:r>
      <w:r w:rsidR="00DD6732">
        <w:rPr>
          <w:rFonts w:ascii="Calibri" w:hAnsi="Calibri" w:cs="Arial"/>
          <w:bCs/>
        </w:rPr>
        <w:t xml:space="preserve">obtain more favorable </w:t>
      </w:r>
      <w:r w:rsidRPr="0070189C">
        <w:rPr>
          <w:rFonts w:ascii="Calibri" w:hAnsi="Calibri" w:cs="Arial"/>
          <w:bCs/>
        </w:rPr>
        <w:t xml:space="preserve">above the line charitable tax deduction opportunities </w:t>
      </w:r>
      <w:r w:rsidR="007B5171">
        <w:rPr>
          <w:rFonts w:ascii="Calibri" w:hAnsi="Calibri" w:cs="Arial"/>
          <w:bCs/>
        </w:rPr>
        <w:t>(</w:t>
      </w:r>
      <w:r w:rsidR="00CD2F03">
        <w:rPr>
          <w:rFonts w:ascii="Calibri" w:hAnsi="Calibri" w:cs="Arial"/>
          <w:bCs/>
        </w:rPr>
        <w:t xml:space="preserve">beneficiary-deemed owner v. non-grantor trust status is </w:t>
      </w:r>
      <w:r w:rsidR="007B5171">
        <w:rPr>
          <w:rFonts w:ascii="Calibri" w:hAnsi="Calibri" w:cs="Arial"/>
          <w:bCs/>
        </w:rPr>
        <w:t>discussed in Part VII)</w:t>
      </w:r>
      <w:r w:rsidR="00CD2F03">
        <w:rPr>
          <w:rFonts w:ascii="Calibri" w:hAnsi="Calibri" w:cs="Arial"/>
          <w:bCs/>
        </w:rPr>
        <w:t xml:space="preserve"> – in short, using a typical GPOA gives more flexibility to have non-</w:t>
      </w:r>
      <w:r w:rsidR="003F06E5">
        <w:rPr>
          <w:rFonts w:ascii="Calibri" w:hAnsi="Calibri" w:cs="Arial"/>
          <w:bCs/>
        </w:rPr>
        <w:t>grantor or beneficiary-deemed grantor trust status</w:t>
      </w:r>
      <w:r w:rsidR="00CD2F03">
        <w:rPr>
          <w:rFonts w:ascii="Calibri" w:hAnsi="Calibri" w:cs="Arial"/>
          <w:bCs/>
        </w:rPr>
        <w:t xml:space="preserve"> in the appointive trust</w:t>
      </w:r>
      <w:r w:rsidR="003F06E5">
        <w:rPr>
          <w:rFonts w:ascii="Calibri" w:hAnsi="Calibri" w:cs="Arial"/>
          <w:bCs/>
        </w:rPr>
        <w:t xml:space="preserve">, rather than be forced into </w:t>
      </w:r>
      <w:r w:rsidR="00CD2F03">
        <w:rPr>
          <w:rFonts w:ascii="Calibri" w:hAnsi="Calibri" w:cs="Arial"/>
          <w:bCs/>
        </w:rPr>
        <w:t>the latter</w:t>
      </w:r>
      <w:r w:rsidRPr="0070189C">
        <w:rPr>
          <w:rFonts w:ascii="Calibri" w:hAnsi="Calibri" w:cs="Arial"/>
          <w:bCs/>
        </w:rPr>
        <w:t>.</w:t>
      </w:r>
    </w:p>
    <w:p w14:paraId="6A376F57" w14:textId="77777777" w:rsidR="00760D72" w:rsidRPr="0070189C" w:rsidRDefault="003F06E5" w:rsidP="00180FD1">
      <w:pPr>
        <w:numPr>
          <w:ilvl w:val="0"/>
          <w:numId w:val="8"/>
        </w:numPr>
        <w:tabs>
          <w:tab w:val="clear" w:pos="420"/>
          <w:tab w:val="num" w:pos="0"/>
        </w:tabs>
        <w:spacing w:line="360" w:lineRule="auto"/>
        <w:ind w:left="0" w:firstLine="60"/>
        <w:rPr>
          <w:rFonts w:ascii="Calibri" w:hAnsi="Calibri" w:cs="Arial"/>
          <w:bCs/>
        </w:rPr>
      </w:pPr>
      <w:r>
        <w:rPr>
          <w:rFonts w:ascii="Calibri" w:hAnsi="Calibri" w:cs="Arial"/>
          <w:b/>
          <w:bCs/>
        </w:rPr>
        <w:t>Next generation use of l</w:t>
      </w:r>
      <w:r w:rsidR="00760D72" w:rsidRPr="0070189C">
        <w:rPr>
          <w:rFonts w:ascii="Calibri" w:hAnsi="Calibri" w:cs="Arial"/>
          <w:b/>
          <w:bCs/>
        </w:rPr>
        <w:t>ifetime LPOAs/</w:t>
      </w:r>
      <w:r>
        <w:rPr>
          <w:rFonts w:ascii="Calibri" w:hAnsi="Calibri" w:cs="Arial"/>
          <w:b/>
          <w:bCs/>
        </w:rPr>
        <w:t>gift t</w:t>
      </w:r>
      <w:r w:rsidR="00760D72" w:rsidRPr="0070189C">
        <w:rPr>
          <w:rFonts w:ascii="Calibri" w:hAnsi="Calibri" w:cs="Arial"/>
          <w:b/>
          <w:bCs/>
        </w:rPr>
        <w:t xml:space="preserve">ax – </w:t>
      </w:r>
      <w:r w:rsidR="00760D72" w:rsidRPr="0070189C">
        <w:rPr>
          <w:rFonts w:ascii="Calibri" w:hAnsi="Calibri" w:cs="Arial"/>
          <w:bCs/>
        </w:rPr>
        <w:t>If a beneficiary receives trust assets with a PEG power, any subsequent use of lifetime PO</w:t>
      </w:r>
      <w:r w:rsidR="00DD6732">
        <w:rPr>
          <w:rFonts w:ascii="Calibri" w:hAnsi="Calibri" w:cs="Arial"/>
          <w:bCs/>
        </w:rPr>
        <w:t xml:space="preserve">As will trigger a gift tax and </w:t>
      </w:r>
      <w:r w:rsidR="00CD2F03">
        <w:rPr>
          <w:rFonts w:ascii="Calibri" w:hAnsi="Calibri" w:cs="Arial"/>
          <w:bCs/>
        </w:rPr>
        <w:t>may in some cases</w:t>
      </w:r>
      <w:r w:rsidR="00760D72" w:rsidRPr="0070189C">
        <w:rPr>
          <w:rFonts w:ascii="Calibri" w:hAnsi="Calibri" w:cs="Arial"/>
          <w:bCs/>
        </w:rPr>
        <w:t xml:space="preserve"> be an assignment of income.  By contrast, if a beneficiary receives assets </w:t>
      </w:r>
      <w:r w:rsidR="00CD2F03">
        <w:rPr>
          <w:rFonts w:ascii="Calibri" w:hAnsi="Calibri" w:cs="Arial"/>
          <w:bCs/>
        </w:rPr>
        <w:t>in trust without a PEG power</w:t>
      </w:r>
      <w:r w:rsidR="00760D72" w:rsidRPr="0070189C">
        <w:rPr>
          <w:rFonts w:ascii="Calibri" w:hAnsi="Calibri" w:cs="Arial"/>
          <w:bCs/>
        </w:rPr>
        <w:t>, lifetime LPOAs and spray provisions may be used for better income tax planning</w:t>
      </w:r>
      <w:r w:rsidR="00DD6732">
        <w:rPr>
          <w:rFonts w:ascii="Calibri" w:hAnsi="Calibri" w:cs="Arial"/>
          <w:bCs/>
        </w:rPr>
        <w:t xml:space="preserve"> with little or no gift tax burden</w:t>
      </w:r>
      <w:r w:rsidR="00760D72" w:rsidRPr="0070189C">
        <w:rPr>
          <w:rFonts w:ascii="Calibri" w:hAnsi="Calibri" w:cs="Arial"/>
          <w:bCs/>
        </w:rPr>
        <w:t>.</w:t>
      </w:r>
    </w:p>
    <w:p w14:paraId="6BB75157" w14:textId="77777777" w:rsidR="00760D72" w:rsidRPr="0070189C" w:rsidRDefault="00760D72" w:rsidP="00180FD1">
      <w:pPr>
        <w:numPr>
          <w:ilvl w:val="0"/>
          <w:numId w:val="8"/>
        </w:numPr>
        <w:tabs>
          <w:tab w:val="clear" w:pos="420"/>
          <w:tab w:val="num" w:pos="0"/>
        </w:tabs>
        <w:spacing w:line="360" w:lineRule="auto"/>
        <w:ind w:left="0" w:firstLine="60"/>
        <w:rPr>
          <w:rFonts w:ascii="Calibri" w:hAnsi="Calibri" w:cs="Arial"/>
          <w:bCs/>
        </w:rPr>
      </w:pPr>
      <w:r w:rsidRPr="0070189C">
        <w:rPr>
          <w:rFonts w:ascii="Calibri" w:hAnsi="Calibri" w:cs="Arial"/>
          <w:b/>
          <w:bCs/>
        </w:rPr>
        <w:t xml:space="preserve">No potential issue re triggering DTT if powerholder moves state – </w:t>
      </w:r>
      <w:r w:rsidRPr="0070189C">
        <w:rPr>
          <w:rFonts w:ascii="Calibri" w:hAnsi="Calibri" w:cs="Arial"/>
          <w:bCs/>
        </w:rPr>
        <w:t>If a surviving spouse</w:t>
      </w:r>
      <w:r w:rsidR="003F06E5">
        <w:rPr>
          <w:rFonts w:ascii="Calibri" w:hAnsi="Calibri" w:cs="Arial"/>
          <w:bCs/>
        </w:rPr>
        <w:t xml:space="preserve"> or other beneficiary moves to another state or the trust changes situs/choice of law</w:t>
      </w:r>
      <w:r w:rsidRPr="0070189C">
        <w:rPr>
          <w:rFonts w:ascii="Calibri" w:hAnsi="Calibri" w:cs="Arial"/>
          <w:bCs/>
        </w:rPr>
        <w:t xml:space="preserve">, will </w:t>
      </w:r>
      <w:r w:rsidR="003F06E5">
        <w:rPr>
          <w:rFonts w:ascii="Calibri" w:hAnsi="Calibri" w:cs="Arial"/>
          <w:bCs/>
        </w:rPr>
        <w:t>this</w:t>
      </w:r>
      <w:r w:rsidRPr="0070189C">
        <w:rPr>
          <w:rFonts w:ascii="Calibri" w:hAnsi="Calibri" w:cs="Arial"/>
          <w:bCs/>
        </w:rPr>
        <w:t xml:space="preserve"> </w:t>
      </w:r>
      <w:r w:rsidR="003F06E5">
        <w:rPr>
          <w:rFonts w:ascii="Calibri" w:hAnsi="Calibri" w:cs="Arial"/>
          <w:bCs/>
        </w:rPr>
        <w:t>affect</w:t>
      </w:r>
      <w:r w:rsidRPr="0070189C">
        <w:rPr>
          <w:rFonts w:ascii="Calibri" w:hAnsi="Calibri" w:cs="Arial"/>
          <w:bCs/>
        </w:rPr>
        <w:t xml:space="preserve"> the </w:t>
      </w:r>
      <w:r w:rsidR="003F06E5">
        <w:rPr>
          <w:rFonts w:ascii="Calibri" w:hAnsi="Calibri" w:cs="Arial"/>
          <w:bCs/>
        </w:rPr>
        <w:t>powerholder’s</w:t>
      </w:r>
      <w:r w:rsidRPr="0070189C">
        <w:rPr>
          <w:rFonts w:ascii="Calibri" w:hAnsi="Calibri" w:cs="Arial"/>
          <w:bCs/>
        </w:rPr>
        <w:t xml:space="preserve"> ability to trig</w:t>
      </w:r>
      <w:r w:rsidR="003F06E5">
        <w:rPr>
          <w:rFonts w:ascii="Calibri" w:hAnsi="Calibri" w:cs="Arial"/>
          <w:bCs/>
        </w:rPr>
        <w:t>ger the DTT?  Perhaps</w:t>
      </w:r>
      <w:r w:rsidRPr="0070189C">
        <w:rPr>
          <w:rFonts w:ascii="Calibri" w:hAnsi="Calibri" w:cs="Arial"/>
          <w:bCs/>
        </w:rPr>
        <w:t xml:space="preserve"> no</w:t>
      </w:r>
      <w:r w:rsidR="003F06E5">
        <w:rPr>
          <w:rFonts w:ascii="Calibri" w:hAnsi="Calibri" w:cs="Arial"/>
          <w:bCs/>
        </w:rPr>
        <w:t>t, but i</w:t>
      </w:r>
      <w:r w:rsidR="0059403B" w:rsidRPr="0070189C">
        <w:rPr>
          <w:rFonts w:ascii="Calibri" w:hAnsi="Calibri" w:cs="Arial"/>
          <w:bCs/>
        </w:rPr>
        <w:t>t raises a</w:t>
      </w:r>
      <w:r w:rsidR="00DD6732">
        <w:rPr>
          <w:rFonts w:ascii="Calibri" w:hAnsi="Calibri" w:cs="Arial"/>
          <w:bCs/>
        </w:rPr>
        <w:t>nother</w:t>
      </w:r>
      <w:r w:rsidR="0059403B" w:rsidRPr="0070189C">
        <w:rPr>
          <w:rFonts w:ascii="Calibri" w:hAnsi="Calibri" w:cs="Arial"/>
          <w:bCs/>
        </w:rPr>
        <w:t xml:space="preserve"> potential </w:t>
      </w:r>
      <w:r w:rsidR="003F06E5">
        <w:rPr>
          <w:rFonts w:ascii="Calibri" w:hAnsi="Calibri" w:cs="Arial"/>
          <w:bCs/>
        </w:rPr>
        <w:t xml:space="preserve">tricky </w:t>
      </w:r>
      <w:r w:rsidR="0059403B" w:rsidRPr="0070189C">
        <w:rPr>
          <w:rFonts w:ascii="Calibri" w:hAnsi="Calibri" w:cs="Arial"/>
          <w:bCs/>
        </w:rPr>
        <w:t xml:space="preserve">issue that </w:t>
      </w:r>
      <w:r w:rsidR="00DD6732">
        <w:rPr>
          <w:rFonts w:ascii="Calibri" w:hAnsi="Calibri" w:cs="Arial"/>
          <w:bCs/>
        </w:rPr>
        <w:t xml:space="preserve">formula </w:t>
      </w:r>
      <w:r w:rsidR="0059403B" w:rsidRPr="0070189C">
        <w:rPr>
          <w:rFonts w:ascii="Calibri" w:hAnsi="Calibri" w:cs="Arial"/>
          <w:bCs/>
        </w:rPr>
        <w:t>GPOAs do not</w:t>
      </w:r>
      <w:r w:rsidR="003F06E5">
        <w:rPr>
          <w:rFonts w:ascii="Calibri" w:hAnsi="Calibri" w:cs="Arial"/>
          <w:bCs/>
        </w:rPr>
        <w:t xml:space="preserve"> have – since those trigger estate taxation largely regardless of state law quirks</w:t>
      </w:r>
      <w:r w:rsidR="0059403B" w:rsidRPr="0070189C">
        <w:rPr>
          <w:rFonts w:ascii="Calibri" w:hAnsi="Calibri" w:cs="Arial"/>
          <w:bCs/>
        </w:rPr>
        <w:t>.</w:t>
      </w:r>
    </w:p>
    <w:p w14:paraId="72B876A8" w14:textId="77777777" w:rsidR="00760D72" w:rsidRPr="0070189C" w:rsidRDefault="00760D72" w:rsidP="00180FD1">
      <w:pPr>
        <w:numPr>
          <w:ilvl w:val="0"/>
          <w:numId w:val="8"/>
        </w:numPr>
        <w:tabs>
          <w:tab w:val="clear" w:pos="420"/>
          <w:tab w:val="num" w:pos="0"/>
        </w:tabs>
        <w:spacing w:line="360" w:lineRule="auto"/>
        <w:ind w:left="0" w:firstLine="60"/>
        <w:rPr>
          <w:rFonts w:ascii="Calibri" w:hAnsi="Calibri" w:cs="Arial"/>
          <w:bCs/>
        </w:rPr>
      </w:pPr>
      <w:r w:rsidRPr="0070189C">
        <w:rPr>
          <w:rFonts w:ascii="Calibri" w:hAnsi="Calibri" w:cs="Arial"/>
          <w:b/>
          <w:bCs/>
        </w:rPr>
        <w:lastRenderedPageBreak/>
        <w:t xml:space="preserve">For intervivos SLATs, can revert to Settlor w/o impairing protection – </w:t>
      </w:r>
      <w:r w:rsidRPr="0070189C">
        <w:rPr>
          <w:rFonts w:ascii="Calibri" w:hAnsi="Calibri" w:cs="Arial"/>
          <w:bCs/>
        </w:rPr>
        <w:t>If the trust is question is a SLAT (aka inter</w:t>
      </w:r>
      <w:r w:rsidR="007E1312" w:rsidRPr="0070189C">
        <w:rPr>
          <w:rFonts w:ascii="Calibri" w:hAnsi="Calibri" w:cs="Arial"/>
          <w:bCs/>
        </w:rPr>
        <w:t>-</w:t>
      </w:r>
      <w:r w:rsidRPr="0070189C">
        <w:rPr>
          <w:rFonts w:ascii="Calibri" w:hAnsi="Calibri" w:cs="Arial"/>
          <w:bCs/>
        </w:rPr>
        <w:t xml:space="preserve">vivos bypass trust), and the donee spouse appoints back in trust to the original settlor/donor spouse, is the new trust considered “self-settled” subject to the original settlor’s (now beneficiary’s) creditors?  If the spouse executed a GPOA, she would </w:t>
      </w:r>
      <w:r w:rsidR="003F06E5">
        <w:rPr>
          <w:rFonts w:ascii="Calibri" w:hAnsi="Calibri" w:cs="Arial"/>
          <w:bCs/>
        </w:rPr>
        <w:t xml:space="preserve">clearly </w:t>
      </w:r>
      <w:r w:rsidRPr="0070189C">
        <w:rPr>
          <w:rFonts w:ascii="Calibri" w:hAnsi="Calibri" w:cs="Arial"/>
          <w:bCs/>
        </w:rPr>
        <w:t xml:space="preserve">be considered </w:t>
      </w:r>
      <w:r w:rsidR="007B5171">
        <w:rPr>
          <w:rFonts w:ascii="Calibri" w:hAnsi="Calibri" w:cs="Arial"/>
          <w:bCs/>
        </w:rPr>
        <w:t>the</w:t>
      </w:r>
      <w:r w:rsidRPr="0070189C">
        <w:rPr>
          <w:rFonts w:ascii="Calibri" w:hAnsi="Calibri" w:cs="Arial"/>
          <w:bCs/>
        </w:rPr>
        <w:t xml:space="preserve"> new grantor/settlor</w:t>
      </w:r>
      <w:r w:rsidR="003F06E5">
        <w:rPr>
          <w:rFonts w:ascii="Calibri" w:hAnsi="Calibri" w:cs="Arial"/>
          <w:bCs/>
        </w:rPr>
        <w:t xml:space="preserve"> for state law as well as tax law</w:t>
      </w:r>
      <w:r w:rsidRPr="0070189C">
        <w:rPr>
          <w:rFonts w:ascii="Calibri" w:hAnsi="Calibri" w:cs="Arial"/>
          <w:bCs/>
        </w:rPr>
        <w:t xml:space="preserve">, but if the spouse merely executed an LPOA, this would “relate back” and therefore under most state laws the </w:t>
      </w:r>
      <w:r w:rsidR="007B5171">
        <w:rPr>
          <w:rFonts w:ascii="Calibri" w:hAnsi="Calibri" w:cs="Arial"/>
          <w:bCs/>
        </w:rPr>
        <w:t xml:space="preserve">original settlor would </w:t>
      </w:r>
      <w:r w:rsidR="003F06E5">
        <w:rPr>
          <w:rFonts w:ascii="Calibri" w:hAnsi="Calibri" w:cs="Arial"/>
          <w:bCs/>
        </w:rPr>
        <w:t xml:space="preserve">remain and </w:t>
      </w:r>
      <w:r w:rsidR="007B5171">
        <w:rPr>
          <w:rFonts w:ascii="Calibri" w:hAnsi="Calibri" w:cs="Arial"/>
          <w:bCs/>
        </w:rPr>
        <w:t xml:space="preserve">still be considered the settlor and the </w:t>
      </w:r>
      <w:r w:rsidRPr="0070189C">
        <w:rPr>
          <w:rFonts w:ascii="Calibri" w:hAnsi="Calibri" w:cs="Arial"/>
          <w:bCs/>
        </w:rPr>
        <w:t>trust would be accessible to the settlor-beneficiary’s creditors.  This favors the use of formula GPOAs for SLATs</w:t>
      </w:r>
      <w:r w:rsidR="0059403B" w:rsidRPr="0070189C">
        <w:rPr>
          <w:rFonts w:ascii="Calibri" w:hAnsi="Calibri" w:cs="Arial"/>
          <w:bCs/>
        </w:rPr>
        <w:t xml:space="preserve"> and JESTs </w:t>
      </w:r>
      <w:r w:rsidR="006859CC">
        <w:rPr>
          <w:rFonts w:ascii="Calibri" w:hAnsi="Calibri" w:cs="Arial"/>
          <w:bCs/>
        </w:rPr>
        <w:t>(see part V)</w:t>
      </w:r>
      <w:r w:rsidRPr="0070189C">
        <w:rPr>
          <w:rFonts w:ascii="Calibri" w:hAnsi="Calibri" w:cs="Arial"/>
          <w:bCs/>
        </w:rPr>
        <w:t>.</w:t>
      </w:r>
    </w:p>
    <w:p w14:paraId="29ACF535" w14:textId="77777777" w:rsidR="00312BFA" w:rsidRDefault="00312BFA" w:rsidP="00312BFA">
      <w:pPr>
        <w:spacing w:line="360" w:lineRule="auto"/>
        <w:ind w:firstLine="720"/>
        <w:rPr>
          <w:rFonts w:ascii="Calibri" w:hAnsi="Calibri"/>
          <w:color w:val="000000"/>
        </w:rPr>
      </w:pPr>
    </w:p>
    <w:p w14:paraId="6B47B490" w14:textId="77777777" w:rsidR="00DD6732" w:rsidRDefault="00537D68" w:rsidP="00D35244">
      <w:pPr>
        <w:autoSpaceDE w:val="0"/>
        <w:autoSpaceDN w:val="0"/>
        <w:adjustRightInd w:val="0"/>
        <w:spacing w:line="360" w:lineRule="auto"/>
        <w:rPr>
          <w:rFonts w:ascii="Calibri" w:hAnsi="Calibri"/>
        </w:rPr>
      </w:pPr>
      <w:r>
        <w:rPr>
          <w:rFonts w:ascii="Calibri" w:hAnsi="Calibri"/>
          <w:b/>
        </w:rPr>
        <w:t xml:space="preserve">NOTE: </w:t>
      </w:r>
      <w:r w:rsidRPr="00537D68">
        <w:rPr>
          <w:rFonts w:ascii="Calibri" w:hAnsi="Calibri"/>
        </w:rPr>
        <w:t>in the above section</w:t>
      </w:r>
      <w:r>
        <w:rPr>
          <w:rFonts w:ascii="Calibri" w:hAnsi="Calibri"/>
        </w:rPr>
        <w:t xml:space="preserve"> and comparison</w:t>
      </w:r>
      <w:r w:rsidRPr="00537D68">
        <w:rPr>
          <w:rFonts w:ascii="Calibri" w:hAnsi="Calibri"/>
        </w:rPr>
        <w:t xml:space="preserve"> I have </w:t>
      </w:r>
      <w:r w:rsidR="00CD2F03">
        <w:rPr>
          <w:rFonts w:ascii="Calibri" w:hAnsi="Calibri"/>
        </w:rPr>
        <w:t xml:space="preserve">largely </w:t>
      </w:r>
      <w:r w:rsidRPr="00537D68">
        <w:rPr>
          <w:rFonts w:ascii="Calibri" w:hAnsi="Calibri"/>
        </w:rPr>
        <w:t>assumed use of only the most common</w:t>
      </w:r>
      <w:r w:rsidR="00455113">
        <w:rPr>
          <w:rFonts w:ascii="Calibri" w:hAnsi="Calibri"/>
        </w:rPr>
        <w:t>ly discussed/accepted</w:t>
      </w:r>
      <w:r w:rsidRPr="00537D68">
        <w:rPr>
          <w:rFonts w:ascii="Calibri" w:hAnsi="Calibri"/>
        </w:rPr>
        <w:t xml:space="preserve"> method of triggering </w:t>
      </w:r>
      <w:r w:rsidR="00455113">
        <w:rPr>
          <w:rFonts w:ascii="Calibri" w:hAnsi="Calibri"/>
        </w:rPr>
        <w:t>§</w:t>
      </w:r>
      <w:r w:rsidRPr="00537D68">
        <w:rPr>
          <w:rFonts w:ascii="Calibri" w:hAnsi="Calibri"/>
        </w:rPr>
        <w:t xml:space="preserve">2041(a)(3), which involves the powerholder appointing to a new trust which grants a </w:t>
      </w:r>
      <w:r w:rsidRPr="003F06E5">
        <w:rPr>
          <w:rFonts w:ascii="Calibri" w:hAnsi="Calibri"/>
          <w:i/>
        </w:rPr>
        <w:t>PEG power</w:t>
      </w:r>
      <w:r w:rsidRPr="00537D68">
        <w:rPr>
          <w:rFonts w:ascii="Calibri" w:hAnsi="Calibri"/>
        </w:rPr>
        <w:t xml:space="preserve">.  If, in your state, there is a </w:t>
      </w:r>
      <w:r w:rsidR="00455113">
        <w:rPr>
          <w:rFonts w:ascii="Calibri" w:hAnsi="Calibri"/>
        </w:rPr>
        <w:t xml:space="preserve">reliable </w:t>
      </w:r>
      <w:r w:rsidRPr="00537D68">
        <w:rPr>
          <w:rFonts w:ascii="Calibri" w:hAnsi="Calibri"/>
        </w:rPr>
        <w:t xml:space="preserve">way to trigger </w:t>
      </w:r>
      <w:r w:rsidR="00455113">
        <w:rPr>
          <w:rFonts w:ascii="Calibri" w:hAnsi="Calibri"/>
        </w:rPr>
        <w:t>§</w:t>
      </w:r>
      <w:r w:rsidRPr="00537D68">
        <w:rPr>
          <w:rFonts w:ascii="Calibri" w:hAnsi="Calibri"/>
        </w:rPr>
        <w:t xml:space="preserve">2041(a)(3) without this generally undesirable feature (e.g. </w:t>
      </w:r>
      <w:r w:rsidR="00455113">
        <w:rPr>
          <w:rFonts w:ascii="Calibri" w:hAnsi="Calibri"/>
        </w:rPr>
        <w:t xml:space="preserve">by </w:t>
      </w:r>
      <w:r w:rsidRPr="00537D68">
        <w:rPr>
          <w:rFonts w:ascii="Calibri" w:hAnsi="Calibri"/>
        </w:rPr>
        <w:t>appointing to a new trust that can postpone vesting/ownership and need not refer to the RAP applicable to the first trust</w:t>
      </w:r>
      <w:r w:rsidR="00455113">
        <w:rPr>
          <w:rFonts w:ascii="Calibri" w:hAnsi="Calibri"/>
        </w:rPr>
        <w:t xml:space="preserve"> and does NOT have a PEG power</w:t>
      </w:r>
      <w:r w:rsidR="00CD2F03">
        <w:rPr>
          <w:rFonts w:ascii="Calibri" w:hAnsi="Calibri"/>
        </w:rPr>
        <w:t>), then this may well</w:t>
      </w:r>
      <w:r w:rsidRPr="00537D68">
        <w:rPr>
          <w:rFonts w:ascii="Calibri" w:hAnsi="Calibri"/>
        </w:rPr>
        <w:t xml:space="preserve"> tip the scales </w:t>
      </w:r>
      <w:r w:rsidR="00DD6732">
        <w:rPr>
          <w:rFonts w:ascii="Calibri" w:hAnsi="Calibri"/>
        </w:rPr>
        <w:t>towards</w:t>
      </w:r>
      <w:r w:rsidR="006859CC">
        <w:rPr>
          <w:rFonts w:ascii="Calibri" w:hAnsi="Calibri"/>
        </w:rPr>
        <w:t xml:space="preserve"> </w:t>
      </w:r>
      <w:r w:rsidR="007B5171">
        <w:rPr>
          <w:rFonts w:ascii="Calibri" w:hAnsi="Calibri"/>
        </w:rPr>
        <w:t>using a limited power triggering</w:t>
      </w:r>
      <w:r w:rsidRPr="00537D68">
        <w:rPr>
          <w:rFonts w:ascii="Calibri" w:hAnsi="Calibri"/>
        </w:rPr>
        <w:t xml:space="preserve"> </w:t>
      </w:r>
      <w:r w:rsidR="00455113">
        <w:rPr>
          <w:rFonts w:ascii="Calibri" w:hAnsi="Calibri"/>
        </w:rPr>
        <w:t>§2041(a)(3) over a formula GPOA</w:t>
      </w:r>
      <w:r w:rsidRPr="00537D68">
        <w:rPr>
          <w:rFonts w:ascii="Calibri" w:hAnsi="Calibri"/>
        </w:rPr>
        <w:t xml:space="preserve">.  </w:t>
      </w:r>
    </w:p>
    <w:p w14:paraId="38E6EF00" w14:textId="77777777" w:rsidR="00086356" w:rsidRDefault="00701E70" w:rsidP="00751D1C">
      <w:pPr>
        <w:autoSpaceDE w:val="0"/>
        <w:autoSpaceDN w:val="0"/>
        <w:adjustRightInd w:val="0"/>
        <w:spacing w:line="360" w:lineRule="auto"/>
        <w:ind w:firstLine="720"/>
        <w:rPr>
          <w:rFonts w:ascii="Calibri" w:hAnsi="Calibri"/>
        </w:rPr>
      </w:pPr>
      <w:r>
        <w:rPr>
          <w:rFonts w:ascii="Calibri" w:hAnsi="Calibri"/>
        </w:rPr>
        <w:t>State law has</w:t>
      </w:r>
      <w:r w:rsidR="00DD6732">
        <w:rPr>
          <w:rFonts w:ascii="Calibri" w:hAnsi="Calibri"/>
        </w:rPr>
        <w:t xml:space="preserve"> inadvertently</w:t>
      </w:r>
      <w:r>
        <w:rPr>
          <w:rFonts w:ascii="Calibri" w:hAnsi="Calibri"/>
        </w:rPr>
        <w:t xml:space="preserve"> become extremely elitist in this regard</w:t>
      </w:r>
      <w:r w:rsidR="00715E6A">
        <w:rPr>
          <w:rFonts w:ascii="Calibri" w:hAnsi="Calibri"/>
        </w:rPr>
        <w:t xml:space="preserve">, with </w:t>
      </w:r>
      <w:r w:rsidR="00DD6732">
        <w:rPr>
          <w:rFonts w:ascii="Calibri" w:hAnsi="Calibri"/>
        </w:rPr>
        <w:t xml:space="preserve">RAP </w:t>
      </w:r>
      <w:r w:rsidR="00715E6A">
        <w:rPr>
          <w:rFonts w:ascii="Calibri" w:hAnsi="Calibri"/>
        </w:rPr>
        <w:t xml:space="preserve">savings </w:t>
      </w:r>
      <w:r w:rsidR="00DD6732">
        <w:rPr>
          <w:rFonts w:ascii="Calibri" w:hAnsi="Calibri"/>
        </w:rPr>
        <w:t>statutes</w:t>
      </w:r>
      <w:r w:rsidR="0026286B">
        <w:rPr>
          <w:rFonts w:ascii="Calibri" w:hAnsi="Calibri"/>
        </w:rPr>
        <w:t xml:space="preserve"> that hurt 99.8</w:t>
      </w:r>
      <w:r w:rsidR="00715E6A">
        <w:rPr>
          <w:rFonts w:ascii="Calibri" w:hAnsi="Calibri"/>
        </w:rPr>
        <w:t>% of the population and help less than 1%</w:t>
      </w:r>
      <w:r>
        <w:rPr>
          <w:rFonts w:ascii="Calibri" w:hAnsi="Calibri"/>
        </w:rPr>
        <w:t xml:space="preserve">.  </w:t>
      </w:r>
      <w:r w:rsidR="00282175">
        <w:rPr>
          <w:rFonts w:ascii="Calibri" w:hAnsi="Calibri"/>
        </w:rPr>
        <w:t xml:space="preserve">According to </w:t>
      </w:r>
      <w:r>
        <w:rPr>
          <w:rFonts w:ascii="Calibri" w:hAnsi="Calibri"/>
        </w:rPr>
        <w:t xml:space="preserve">the </w:t>
      </w:r>
      <w:r w:rsidR="00282175">
        <w:rPr>
          <w:rFonts w:ascii="Calibri" w:hAnsi="Calibri"/>
        </w:rPr>
        <w:t xml:space="preserve">ACTEC survey, Kentucky and Wisconsin will apparently allow </w:t>
      </w:r>
      <w:r w:rsidR="00F344FA">
        <w:rPr>
          <w:rFonts w:ascii="Calibri" w:hAnsi="Calibri"/>
        </w:rPr>
        <w:t>§</w:t>
      </w:r>
      <w:r w:rsidR="00282175">
        <w:rPr>
          <w:rFonts w:ascii="Calibri" w:hAnsi="Calibri"/>
        </w:rPr>
        <w:t xml:space="preserve">2041(a)(3) to be triggered by appointment to a new trust with a </w:t>
      </w:r>
      <w:r w:rsidR="00282175" w:rsidRPr="00282175">
        <w:rPr>
          <w:rFonts w:ascii="Calibri" w:hAnsi="Calibri"/>
          <w:i/>
        </w:rPr>
        <w:t>testamentary</w:t>
      </w:r>
      <w:r>
        <w:rPr>
          <w:rFonts w:ascii="Calibri" w:hAnsi="Calibri"/>
        </w:rPr>
        <w:t xml:space="preserve"> GPOA</w:t>
      </w:r>
      <w:r w:rsidR="00282175">
        <w:rPr>
          <w:rFonts w:ascii="Calibri" w:hAnsi="Calibri"/>
        </w:rPr>
        <w:t xml:space="preserve">.  </w:t>
      </w:r>
      <w:r w:rsidR="00DD6732">
        <w:rPr>
          <w:rFonts w:ascii="Calibri" w:hAnsi="Calibri"/>
        </w:rPr>
        <w:t xml:space="preserve">Until very recently, </w:t>
      </w:r>
      <w:r w:rsidR="00AF0627">
        <w:rPr>
          <w:rFonts w:ascii="Calibri" w:hAnsi="Calibri"/>
        </w:rPr>
        <w:t>Delaware</w:t>
      </w:r>
      <w:r w:rsidR="00DD6732">
        <w:rPr>
          <w:rFonts w:ascii="Calibri" w:hAnsi="Calibri"/>
        </w:rPr>
        <w:t xml:space="preserve"> did</w:t>
      </w:r>
      <w:r w:rsidR="00AF0627">
        <w:rPr>
          <w:rFonts w:ascii="Calibri" w:hAnsi="Calibri"/>
        </w:rPr>
        <w:t xml:space="preserve"> not </w:t>
      </w:r>
      <w:r w:rsidR="00751D1C">
        <w:rPr>
          <w:rFonts w:ascii="Calibri" w:hAnsi="Calibri"/>
        </w:rPr>
        <w:t xml:space="preserve">allow much more leeway </w:t>
      </w:r>
      <w:r w:rsidR="00F344FA">
        <w:rPr>
          <w:rFonts w:ascii="Calibri" w:hAnsi="Calibri"/>
        </w:rPr>
        <w:t>either</w:t>
      </w:r>
      <w:r w:rsidR="00AF0627">
        <w:rPr>
          <w:rFonts w:ascii="Calibri" w:hAnsi="Calibri"/>
        </w:rPr>
        <w:t>, because it bar</w:t>
      </w:r>
      <w:r w:rsidR="00DD6732">
        <w:rPr>
          <w:rFonts w:ascii="Calibri" w:hAnsi="Calibri"/>
        </w:rPr>
        <w:t>red</w:t>
      </w:r>
      <w:r w:rsidR="00AF0627">
        <w:rPr>
          <w:rFonts w:ascii="Calibri" w:hAnsi="Calibri"/>
        </w:rPr>
        <w:t xml:space="preserve"> </w:t>
      </w:r>
      <w:r w:rsidR="00F344FA">
        <w:rPr>
          <w:rFonts w:ascii="Calibri" w:hAnsi="Calibri"/>
        </w:rPr>
        <w:t>the triggering</w:t>
      </w:r>
      <w:r w:rsidR="00AF0627">
        <w:rPr>
          <w:rFonts w:ascii="Calibri" w:hAnsi="Calibri"/>
        </w:rPr>
        <w:t xml:space="preserve"> if the trust </w:t>
      </w:r>
      <w:r w:rsidR="00DD6732">
        <w:rPr>
          <w:rFonts w:ascii="Calibri" w:hAnsi="Calibri"/>
        </w:rPr>
        <w:t>wa</w:t>
      </w:r>
      <w:r w:rsidR="00AF0627">
        <w:rPr>
          <w:rFonts w:ascii="Calibri" w:hAnsi="Calibri"/>
        </w:rPr>
        <w:t>s GST exempt (zero inclusion ratio)</w:t>
      </w:r>
      <w:r w:rsidR="00F344FA">
        <w:rPr>
          <w:rFonts w:ascii="Calibri" w:hAnsi="Calibri"/>
        </w:rPr>
        <w:t xml:space="preserve">, the very </w:t>
      </w:r>
      <w:r w:rsidR="00751D1C">
        <w:rPr>
          <w:rFonts w:ascii="Calibri" w:hAnsi="Calibri"/>
        </w:rPr>
        <w:t>situation</w:t>
      </w:r>
      <w:r w:rsidR="00F344FA">
        <w:rPr>
          <w:rFonts w:ascii="Calibri" w:hAnsi="Calibri"/>
        </w:rPr>
        <w:t xml:space="preserve"> that 99.8% of the population will now want to use it for</w:t>
      </w:r>
      <w:r>
        <w:rPr>
          <w:rFonts w:ascii="Calibri" w:hAnsi="Calibri"/>
        </w:rPr>
        <w:t>!</w:t>
      </w:r>
      <w:r w:rsidR="00AF0627">
        <w:rPr>
          <w:rFonts w:ascii="Calibri" w:hAnsi="Calibri"/>
        </w:rPr>
        <w:t xml:space="preserve"> </w:t>
      </w:r>
      <w:r w:rsidR="007B5171">
        <w:rPr>
          <w:rFonts w:ascii="Calibri" w:hAnsi="Calibri"/>
        </w:rPr>
        <w:t xml:space="preserve"> </w:t>
      </w:r>
      <w:r w:rsidR="00DD6732">
        <w:rPr>
          <w:rFonts w:ascii="Calibri" w:hAnsi="Calibri"/>
        </w:rPr>
        <w:t xml:space="preserve">However, Delaware </w:t>
      </w:r>
      <w:r w:rsidR="00751D1C">
        <w:rPr>
          <w:rFonts w:ascii="Calibri" w:hAnsi="Calibri"/>
        </w:rPr>
        <w:t xml:space="preserve">just </w:t>
      </w:r>
      <w:r w:rsidR="00DD6732">
        <w:rPr>
          <w:rFonts w:ascii="Calibri" w:hAnsi="Calibri"/>
        </w:rPr>
        <w:t>recently amended their statute</w:t>
      </w:r>
      <w:r w:rsidR="00751D1C">
        <w:rPr>
          <w:rFonts w:ascii="Calibri" w:hAnsi="Calibri"/>
        </w:rPr>
        <w:t xml:space="preserve"> to allow an opt-in as this white paper has advocated</w:t>
      </w:r>
      <w:r w:rsidR="00DD6732">
        <w:rPr>
          <w:rFonts w:ascii="Calibri" w:hAnsi="Calibri"/>
        </w:rPr>
        <w:t>.</w:t>
      </w:r>
      <w:r w:rsidR="00DD6732">
        <w:rPr>
          <w:rStyle w:val="FootnoteReference"/>
          <w:rFonts w:ascii="Calibri" w:hAnsi="Calibri"/>
        </w:rPr>
        <w:footnoteReference w:id="160"/>
      </w:r>
      <w:r w:rsidR="00DD6732">
        <w:rPr>
          <w:rFonts w:ascii="Calibri" w:hAnsi="Calibri"/>
        </w:rPr>
        <w:t xml:space="preserve">  </w:t>
      </w:r>
      <w:r w:rsidR="007B5171">
        <w:rPr>
          <w:rFonts w:ascii="Calibri" w:hAnsi="Calibri"/>
        </w:rPr>
        <w:t>State bar committees/legislatures</w:t>
      </w:r>
      <w:r w:rsidR="00282175">
        <w:rPr>
          <w:rFonts w:ascii="Calibri" w:hAnsi="Calibri"/>
        </w:rPr>
        <w:t xml:space="preserve"> should consider amending their RAP statutes to </w:t>
      </w:r>
      <w:r w:rsidR="00751D1C">
        <w:rPr>
          <w:rFonts w:ascii="Calibri" w:hAnsi="Calibri"/>
        </w:rPr>
        <w:t xml:space="preserve">allow a specific reference in the instrument to </w:t>
      </w:r>
      <w:r w:rsidR="00282175">
        <w:rPr>
          <w:rFonts w:ascii="Calibri" w:hAnsi="Calibri"/>
        </w:rPr>
        <w:t xml:space="preserve">“open the trap”, </w:t>
      </w:r>
      <w:r w:rsidR="00751D1C">
        <w:rPr>
          <w:rFonts w:ascii="Calibri" w:hAnsi="Calibri"/>
        </w:rPr>
        <w:t>with</w:t>
      </w:r>
      <w:r w:rsidR="00282175">
        <w:rPr>
          <w:rFonts w:ascii="Calibri" w:hAnsi="Calibri"/>
        </w:rPr>
        <w:t xml:space="preserve"> an </w:t>
      </w:r>
      <w:r w:rsidR="00282175">
        <w:rPr>
          <w:rFonts w:ascii="Calibri" w:hAnsi="Calibri"/>
        </w:rPr>
        <w:lastRenderedPageBreak/>
        <w:t xml:space="preserve">affirmative </w:t>
      </w:r>
      <w:r w:rsidR="00715E6A">
        <w:rPr>
          <w:rFonts w:ascii="Calibri" w:hAnsi="Calibri"/>
        </w:rPr>
        <w:t>and specifically referenced “</w:t>
      </w:r>
      <w:r w:rsidR="00282175">
        <w:rPr>
          <w:rFonts w:ascii="Calibri" w:hAnsi="Calibri"/>
        </w:rPr>
        <w:t>opt-in</w:t>
      </w:r>
      <w:r w:rsidR="00715E6A">
        <w:rPr>
          <w:rFonts w:ascii="Calibri" w:hAnsi="Calibri"/>
        </w:rPr>
        <w:t>”</w:t>
      </w:r>
      <w:r w:rsidR="00DD6732">
        <w:rPr>
          <w:rFonts w:ascii="Calibri" w:hAnsi="Calibri"/>
        </w:rPr>
        <w:t xml:space="preserve">, similar to </w:t>
      </w:r>
      <w:r>
        <w:rPr>
          <w:rFonts w:ascii="Calibri" w:hAnsi="Calibri"/>
        </w:rPr>
        <w:t xml:space="preserve">Arizona </w:t>
      </w:r>
      <w:r w:rsidR="00DD6732">
        <w:rPr>
          <w:rFonts w:ascii="Calibri" w:hAnsi="Calibri"/>
        </w:rPr>
        <w:t>and Delaware.</w:t>
      </w:r>
      <w:r w:rsidR="0026286B">
        <w:rPr>
          <w:rStyle w:val="FootnoteReference"/>
          <w:rFonts w:ascii="Calibri" w:hAnsi="Calibri"/>
        </w:rPr>
        <w:footnoteReference w:id="161"/>
      </w:r>
      <w:r w:rsidR="00DD6732">
        <w:rPr>
          <w:rFonts w:ascii="Calibri" w:hAnsi="Calibri"/>
        </w:rPr>
        <w:t xml:space="preserve">  </w:t>
      </w:r>
      <w:r>
        <w:rPr>
          <w:rFonts w:ascii="Calibri" w:hAnsi="Calibri"/>
        </w:rPr>
        <w:t xml:space="preserve">Texas, Florida and Colorado bar committees have </w:t>
      </w:r>
      <w:r w:rsidR="00751D1C">
        <w:rPr>
          <w:rFonts w:ascii="Calibri" w:hAnsi="Calibri"/>
        </w:rPr>
        <w:t xml:space="preserve">begun to </w:t>
      </w:r>
      <w:r w:rsidR="000A55C1">
        <w:rPr>
          <w:rFonts w:ascii="Calibri" w:hAnsi="Calibri"/>
        </w:rPr>
        <w:t xml:space="preserve">consider </w:t>
      </w:r>
      <w:r>
        <w:rPr>
          <w:rFonts w:ascii="Calibri" w:hAnsi="Calibri"/>
        </w:rPr>
        <w:t>proposed legislation for their bar/legislature to consider.</w:t>
      </w:r>
      <w:r>
        <w:rPr>
          <w:rStyle w:val="FootnoteReference"/>
          <w:rFonts w:ascii="Calibri" w:hAnsi="Calibri"/>
        </w:rPr>
        <w:footnoteReference w:id="162"/>
      </w:r>
      <w:r>
        <w:rPr>
          <w:rFonts w:ascii="Calibri" w:hAnsi="Calibri"/>
        </w:rPr>
        <w:t xml:space="preserve"> </w:t>
      </w:r>
      <w:r w:rsidR="00EE79CA">
        <w:rPr>
          <w:rFonts w:ascii="Calibri" w:hAnsi="Calibri"/>
        </w:rPr>
        <w:t xml:space="preserve"> More will certainly follow</w:t>
      </w:r>
      <w:r w:rsidR="000A55C1">
        <w:rPr>
          <w:rFonts w:ascii="Calibri" w:hAnsi="Calibri"/>
        </w:rPr>
        <w:t>, especially if any favorable rulings emerge</w:t>
      </w:r>
      <w:r w:rsidR="00EE79CA">
        <w:rPr>
          <w:rFonts w:ascii="Calibri" w:hAnsi="Calibri"/>
        </w:rPr>
        <w:t xml:space="preserve">.  </w:t>
      </w:r>
      <w:r>
        <w:rPr>
          <w:rFonts w:ascii="Calibri" w:hAnsi="Calibri"/>
        </w:rPr>
        <w:t xml:space="preserve"> </w:t>
      </w:r>
      <w:r w:rsidR="00AF0627">
        <w:rPr>
          <w:rFonts w:ascii="Calibri" w:hAnsi="Calibri"/>
        </w:rPr>
        <w:t>In the Appendix is a proposed variant of Delaw</w:t>
      </w:r>
      <w:r w:rsidR="002215C8">
        <w:rPr>
          <w:rFonts w:ascii="Calibri" w:hAnsi="Calibri"/>
        </w:rPr>
        <w:t>are’s law, modified for use in Ohio</w:t>
      </w:r>
      <w:r w:rsidR="00AF0627">
        <w:rPr>
          <w:rFonts w:ascii="Calibri" w:hAnsi="Calibri"/>
        </w:rPr>
        <w:t>.</w:t>
      </w:r>
      <w:r w:rsidR="00AF0627">
        <w:rPr>
          <w:rStyle w:val="FootnoteReference"/>
          <w:rFonts w:ascii="Calibri" w:hAnsi="Calibri"/>
        </w:rPr>
        <w:footnoteReference w:id="163"/>
      </w:r>
      <w:r w:rsidR="00282175">
        <w:rPr>
          <w:rFonts w:ascii="Calibri" w:hAnsi="Calibri"/>
        </w:rPr>
        <w:t xml:space="preserve"> </w:t>
      </w:r>
      <w:r w:rsidR="002215C8">
        <w:rPr>
          <w:rFonts w:ascii="Calibri" w:hAnsi="Calibri"/>
        </w:rPr>
        <w:t xml:space="preserve">  </w:t>
      </w:r>
      <w:r w:rsidR="00282175">
        <w:rPr>
          <w:rFonts w:ascii="Calibri" w:hAnsi="Calibri"/>
        </w:rPr>
        <w:t xml:space="preserve"> </w:t>
      </w:r>
    </w:p>
    <w:p w14:paraId="2CADC617" w14:textId="77777777" w:rsidR="00086356" w:rsidRDefault="00086356" w:rsidP="00751D1C">
      <w:pPr>
        <w:autoSpaceDE w:val="0"/>
        <w:autoSpaceDN w:val="0"/>
        <w:adjustRightInd w:val="0"/>
        <w:spacing w:line="360" w:lineRule="auto"/>
        <w:ind w:firstLine="720"/>
        <w:rPr>
          <w:rFonts w:ascii="Calibri" w:hAnsi="Calibri"/>
        </w:rPr>
      </w:pPr>
      <w:r>
        <w:rPr>
          <w:rFonts w:ascii="Calibri" w:hAnsi="Calibri"/>
        </w:rPr>
        <w:t>A more interesting question is whether we can simply incorporate one of these state’s laws into our trust for this purpose, without the need to hire a trustee in that state or have other nexus.  As a general rule, common law and the Uniform Trust Code allow a settlor to choose which state law applies (or, potentially for a trustee, trust protector or court to change it):</w:t>
      </w:r>
    </w:p>
    <w:p w14:paraId="21953999" w14:textId="77777777" w:rsidR="005F1F7A" w:rsidRPr="00086356" w:rsidRDefault="00086356" w:rsidP="007D01CB">
      <w:pPr>
        <w:autoSpaceDE w:val="0"/>
        <w:autoSpaceDN w:val="0"/>
        <w:adjustRightInd w:val="0"/>
        <w:spacing w:line="320" w:lineRule="exact"/>
        <w:ind w:left="720"/>
        <w:rPr>
          <w:rFonts w:ascii="Calibri" w:hAnsi="Calibri"/>
        </w:rPr>
      </w:pPr>
      <w:r w:rsidRPr="00086356">
        <w:rPr>
          <w:rFonts w:ascii="Calibri" w:hAnsi="Calibri"/>
        </w:rPr>
        <w:t xml:space="preserve">“SECTION 107. GOVERNING LAW. The meaning and effect of the terms of a trust are determined by: (1) </w:t>
      </w:r>
      <w:r w:rsidRPr="00086356">
        <w:rPr>
          <w:rFonts w:ascii="Calibri" w:hAnsi="Calibri"/>
          <w:b/>
        </w:rPr>
        <w:t>the law of the jurisdiction designated in the terms unless the designation of that jurisdiction’s law is contrary to a strong public policy of the jurisdiction having the most significant relationship to the matter at issue</w:t>
      </w:r>
      <w:r w:rsidRPr="00086356">
        <w:rPr>
          <w:rFonts w:ascii="Calibri" w:hAnsi="Calibri"/>
        </w:rPr>
        <w:t>; or (2) in the absence of a controlling designation in the terms of the trust, the law of the jurisdiction having the most significant relationship to the matter at issue.</w:t>
      </w:r>
      <w:r w:rsidR="00EC404D">
        <w:rPr>
          <w:rFonts w:ascii="Calibri" w:hAnsi="Calibri"/>
        </w:rPr>
        <w:t>”</w:t>
      </w:r>
      <w:r w:rsidR="00EC404D">
        <w:rPr>
          <w:rStyle w:val="FootnoteReference"/>
          <w:rFonts w:ascii="Calibri" w:hAnsi="Calibri"/>
        </w:rPr>
        <w:footnoteReference w:id="164"/>
      </w:r>
    </w:p>
    <w:p w14:paraId="5310D901" w14:textId="77777777" w:rsidR="00086356" w:rsidRDefault="00086356" w:rsidP="00751D1C">
      <w:pPr>
        <w:autoSpaceDE w:val="0"/>
        <w:autoSpaceDN w:val="0"/>
        <w:adjustRightInd w:val="0"/>
        <w:spacing w:line="360" w:lineRule="auto"/>
        <w:ind w:firstLine="720"/>
        <w:rPr>
          <w:rFonts w:ascii="Calibri" w:hAnsi="Calibri"/>
          <w:b/>
        </w:rPr>
      </w:pPr>
    </w:p>
    <w:p w14:paraId="4861ED08" w14:textId="77777777" w:rsidR="0041372F" w:rsidRDefault="0041372F" w:rsidP="00086356">
      <w:pPr>
        <w:autoSpaceDE w:val="0"/>
        <w:autoSpaceDN w:val="0"/>
        <w:adjustRightInd w:val="0"/>
        <w:spacing w:line="360" w:lineRule="auto"/>
        <w:ind w:firstLine="720"/>
        <w:rPr>
          <w:rFonts w:ascii="Calibri" w:hAnsi="Calibri"/>
        </w:rPr>
      </w:pPr>
      <w:r>
        <w:rPr>
          <w:rFonts w:ascii="Calibri" w:hAnsi="Calibri"/>
        </w:rPr>
        <w:t>Scenario</w:t>
      </w:r>
      <w:r w:rsidR="00086356">
        <w:rPr>
          <w:rFonts w:ascii="Calibri" w:hAnsi="Calibri"/>
        </w:rPr>
        <w:t>:</w:t>
      </w:r>
      <w:r w:rsidR="00086356" w:rsidRPr="00086356">
        <w:rPr>
          <w:rFonts w:ascii="Calibri" w:hAnsi="Calibri"/>
        </w:rPr>
        <w:t xml:space="preserve"> your client is on their deathbed.  They </w:t>
      </w:r>
      <w:r w:rsidR="00086356">
        <w:rPr>
          <w:rFonts w:ascii="Calibri" w:hAnsi="Calibri"/>
        </w:rPr>
        <w:t>are a beneficiary of</w:t>
      </w:r>
      <w:r w:rsidR="00086356" w:rsidRPr="00086356">
        <w:rPr>
          <w:rFonts w:ascii="Calibri" w:hAnsi="Calibri"/>
        </w:rPr>
        <w:t xml:space="preserve"> a</w:t>
      </w:r>
      <w:r w:rsidR="00086356">
        <w:rPr>
          <w:rFonts w:ascii="Calibri" w:hAnsi="Calibri"/>
        </w:rPr>
        <w:t xml:space="preserve"> trust with highly appreciated assets in it, they have a limited testamentary power of appointment and plenty of spare applicable exclusion amount such that triggering inclusion of the appreciated trust assets in their estate would have no detrimental federal or state tax effect. The trust allows a change of situs/law or state law would otherwise allow a non-judicial settlement agreement to effect the same. </w:t>
      </w:r>
      <w:r>
        <w:rPr>
          <w:rFonts w:ascii="Calibri" w:hAnsi="Calibri"/>
        </w:rPr>
        <w:t xml:space="preserve">Can you simply change the applicable law to Delaware or Arizona and have </w:t>
      </w:r>
      <w:r>
        <w:rPr>
          <w:rFonts w:ascii="Calibri" w:hAnsi="Calibri"/>
        </w:rPr>
        <w:lastRenderedPageBreak/>
        <w:t xml:space="preserve">your client opt in to the Delaware Tax Trap by appointing to a trust that triggers the Delaware tax trap with a mere </w:t>
      </w:r>
      <w:r w:rsidRPr="0041372F">
        <w:rPr>
          <w:rFonts w:ascii="Calibri" w:hAnsi="Calibri"/>
          <w:i/>
        </w:rPr>
        <w:t>limited</w:t>
      </w:r>
      <w:r>
        <w:rPr>
          <w:rFonts w:ascii="Calibri" w:hAnsi="Calibri"/>
        </w:rPr>
        <w:t xml:space="preserve"> power of appointment in the appointive trust, without the need for the brute force and negative consequences of adding a PEG power?</w:t>
      </w:r>
      <w:r w:rsidR="007D01CB">
        <w:rPr>
          <w:rStyle w:val="FootnoteReference"/>
          <w:rFonts w:ascii="Calibri" w:hAnsi="Calibri"/>
        </w:rPr>
        <w:footnoteReference w:id="165"/>
      </w:r>
      <w:r w:rsidR="00086356">
        <w:rPr>
          <w:rFonts w:ascii="Calibri" w:hAnsi="Calibri"/>
        </w:rPr>
        <w:t xml:space="preserve"> </w:t>
      </w:r>
      <w:r>
        <w:rPr>
          <w:rFonts w:ascii="Calibri" w:hAnsi="Calibri"/>
        </w:rPr>
        <w:t>Would DE or AZ law, which permits the holder of the limited power to start a new rule against perpetuities period without referencing the original trust date, be “contrary to a strong public policy” of your state?</w:t>
      </w:r>
    </w:p>
    <w:p w14:paraId="764FDFEE" w14:textId="77777777" w:rsidR="00595B80" w:rsidRDefault="0041372F" w:rsidP="0041372F">
      <w:pPr>
        <w:autoSpaceDE w:val="0"/>
        <w:autoSpaceDN w:val="0"/>
        <w:adjustRightInd w:val="0"/>
        <w:spacing w:line="360" w:lineRule="auto"/>
        <w:ind w:firstLine="720"/>
        <w:rPr>
          <w:rFonts w:ascii="Calibri" w:hAnsi="Calibri"/>
        </w:rPr>
      </w:pPr>
      <w:r w:rsidRPr="0041372F">
        <w:rPr>
          <w:rFonts w:ascii="Calibri" w:hAnsi="Calibri"/>
          <w:b/>
        </w:rPr>
        <w:t>Probably not</w:t>
      </w:r>
      <w:r>
        <w:rPr>
          <w:rFonts w:ascii="Calibri" w:hAnsi="Calibri"/>
        </w:rPr>
        <w:t xml:space="preserve">.  This is a far cry from </w:t>
      </w:r>
      <w:r w:rsidR="00EC404D">
        <w:rPr>
          <w:rFonts w:ascii="Calibri" w:hAnsi="Calibri"/>
        </w:rPr>
        <w:t xml:space="preserve">spousal elective shares, </w:t>
      </w:r>
      <w:r>
        <w:rPr>
          <w:rFonts w:ascii="Calibri" w:hAnsi="Calibri"/>
        </w:rPr>
        <w:t>charging orders and validity of self-settled trusts, where states (and creditors!) have extremely strong interests against application of other states</w:t>
      </w:r>
      <w:r w:rsidR="00A442AD">
        <w:rPr>
          <w:rFonts w:ascii="Calibri" w:hAnsi="Calibri"/>
        </w:rPr>
        <w:t>’</w:t>
      </w:r>
      <w:r>
        <w:rPr>
          <w:rFonts w:ascii="Calibri" w:hAnsi="Calibri"/>
        </w:rPr>
        <w:t xml:space="preserve"> debtor-friendly</w:t>
      </w:r>
      <w:r w:rsidR="009624A9">
        <w:rPr>
          <w:rFonts w:ascii="Calibri" w:hAnsi="Calibri"/>
        </w:rPr>
        <w:t xml:space="preserve"> or unprotective</w:t>
      </w:r>
      <w:r>
        <w:rPr>
          <w:rFonts w:ascii="Calibri" w:hAnsi="Calibri"/>
        </w:rPr>
        <w:t xml:space="preserve"> laws</w:t>
      </w:r>
      <w:r w:rsidR="004D58EE">
        <w:rPr>
          <w:rFonts w:ascii="Calibri" w:hAnsi="Calibri"/>
        </w:rPr>
        <w:t xml:space="preserve"> to assets and residents in their jurisdiction</w:t>
      </w:r>
      <w:r>
        <w:rPr>
          <w:rFonts w:ascii="Calibri" w:hAnsi="Calibri"/>
        </w:rPr>
        <w:t>.</w:t>
      </w:r>
      <w:r w:rsidR="004D58EE">
        <w:rPr>
          <w:rStyle w:val="FootnoteReference"/>
          <w:rFonts w:ascii="Calibri" w:hAnsi="Calibri"/>
        </w:rPr>
        <w:footnoteReference w:id="166"/>
      </w:r>
      <w:r>
        <w:rPr>
          <w:rFonts w:ascii="Calibri" w:hAnsi="Calibri"/>
        </w:rPr>
        <w:t xml:space="preserve">  The one exception might be</w:t>
      </w:r>
      <w:r w:rsidR="003B114F">
        <w:rPr>
          <w:rFonts w:ascii="Calibri" w:hAnsi="Calibri"/>
        </w:rPr>
        <w:t xml:space="preserve"> states that have a </w:t>
      </w:r>
      <w:r w:rsidR="004D58EE">
        <w:rPr>
          <w:rFonts w:ascii="Calibri" w:hAnsi="Calibri"/>
        </w:rPr>
        <w:t>state c</w:t>
      </w:r>
      <w:r w:rsidR="003B114F">
        <w:rPr>
          <w:rFonts w:ascii="Calibri" w:hAnsi="Calibri"/>
        </w:rPr>
        <w:t>onstitutional prohibition on perpetuities of some sort.</w:t>
      </w:r>
      <w:r w:rsidR="003B114F">
        <w:rPr>
          <w:rStyle w:val="FootnoteReference"/>
          <w:rFonts w:ascii="Calibri" w:hAnsi="Calibri"/>
        </w:rPr>
        <w:footnoteReference w:id="167"/>
      </w:r>
      <w:r w:rsidR="003B114F">
        <w:rPr>
          <w:rFonts w:ascii="Calibri" w:hAnsi="Calibri"/>
        </w:rPr>
        <w:t xml:space="preserve">  </w:t>
      </w:r>
      <w:r w:rsidR="00595B80">
        <w:rPr>
          <w:rFonts w:ascii="Calibri" w:hAnsi="Calibri"/>
        </w:rPr>
        <w:t xml:space="preserve">However, in </w:t>
      </w:r>
      <w:r w:rsidR="008E26DB">
        <w:rPr>
          <w:rFonts w:ascii="Calibri" w:hAnsi="Calibri"/>
        </w:rPr>
        <w:t>the majority of states</w:t>
      </w:r>
      <w:r w:rsidR="00595B80">
        <w:rPr>
          <w:rFonts w:ascii="Calibri" w:hAnsi="Calibri"/>
        </w:rPr>
        <w:t xml:space="preserve">, there should be no issue.  The </w:t>
      </w:r>
      <w:r w:rsidR="009624A9">
        <w:rPr>
          <w:rFonts w:ascii="Calibri" w:hAnsi="Calibri"/>
        </w:rPr>
        <w:t xml:space="preserve">general rule is </w:t>
      </w:r>
      <w:r w:rsidR="00595B80">
        <w:rPr>
          <w:rFonts w:ascii="Calibri" w:hAnsi="Calibri"/>
        </w:rPr>
        <w:t xml:space="preserve">that the rule against perpetuities is simply </w:t>
      </w:r>
      <w:r w:rsidR="009624A9">
        <w:rPr>
          <w:rFonts w:ascii="Calibri" w:hAnsi="Calibri"/>
        </w:rPr>
        <w:t>not</w:t>
      </w:r>
      <w:r w:rsidR="00595B80">
        <w:rPr>
          <w:rFonts w:ascii="Calibri" w:hAnsi="Calibri"/>
        </w:rPr>
        <w:t xml:space="preserve"> a “strong public policy” that would warrant an exception to the general rule stated in Section 107 of the UTC quoted above.</w:t>
      </w:r>
      <w:r w:rsidR="00595B80">
        <w:rPr>
          <w:rStyle w:val="FootnoteReference"/>
          <w:rFonts w:ascii="Calibri" w:hAnsi="Calibri"/>
        </w:rPr>
        <w:footnoteReference w:id="168"/>
      </w:r>
    </w:p>
    <w:p w14:paraId="43FB657B" w14:textId="77777777" w:rsidR="00D35244" w:rsidRDefault="003B114F" w:rsidP="0041372F">
      <w:pPr>
        <w:autoSpaceDE w:val="0"/>
        <w:autoSpaceDN w:val="0"/>
        <w:adjustRightInd w:val="0"/>
        <w:spacing w:line="360" w:lineRule="auto"/>
        <w:ind w:firstLine="720"/>
        <w:rPr>
          <w:rFonts w:ascii="Arial" w:hAnsi="Arial" w:cs="Arial"/>
          <w:b/>
        </w:rPr>
      </w:pPr>
      <w:r>
        <w:rPr>
          <w:rFonts w:ascii="Calibri" w:hAnsi="Calibri"/>
        </w:rPr>
        <w:lastRenderedPageBreak/>
        <w:t>However, there is probably not much to lose should you simply draft the appointment in the alternativ</w:t>
      </w:r>
      <w:r w:rsidR="00A442AD">
        <w:rPr>
          <w:rFonts w:ascii="Calibri" w:hAnsi="Calibri"/>
        </w:rPr>
        <w:t>e</w:t>
      </w:r>
      <w:r w:rsidR="00D03128">
        <w:rPr>
          <w:rFonts w:ascii="Calibri" w:hAnsi="Calibri"/>
        </w:rPr>
        <w:t xml:space="preserve">: “It is my intention that my appointment to the XYZ Delaware Tax Trapping Trust, coupled with this trust’s choice of law, trigger §2041(a)(3).  Should </w:t>
      </w:r>
      <w:r w:rsidR="00A442AD">
        <w:rPr>
          <w:rFonts w:ascii="Calibri" w:hAnsi="Calibri"/>
        </w:rPr>
        <w:t>my</w:t>
      </w:r>
      <w:r w:rsidR="00D03128">
        <w:rPr>
          <w:rFonts w:ascii="Calibri" w:hAnsi="Calibri"/>
        </w:rPr>
        <w:t xml:space="preserve"> trust’s choice of law in this regard be void,</w:t>
      </w:r>
      <w:r w:rsidR="00A442AD">
        <w:rPr>
          <w:rFonts w:ascii="Calibri" w:hAnsi="Calibri"/>
        </w:rPr>
        <w:t xml:space="preserve"> such appointment shall be ineffective, and I hereby appoint in trust under identical terms to the XYZ Delaware Tax Trapping Trust with the following additional paragraph…[insert PEG power]”.</w:t>
      </w:r>
      <w:r w:rsidR="003F0503">
        <w:rPr>
          <w:rFonts w:ascii="Calibri" w:hAnsi="Calibri"/>
          <w:b/>
        </w:rPr>
        <w:br w:type="page"/>
      </w:r>
      <w:r w:rsidR="00E66E09" w:rsidRPr="00EE79CA">
        <w:rPr>
          <w:rFonts w:ascii="Calibri" w:hAnsi="Calibri"/>
          <w:b/>
          <w:sz w:val="28"/>
          <w:szCs w:val="28"/>
        </w:rPr>
        <w:lastRenderedPageBreak/>
        <w:t>IV.</w:t>
      </w:r>
      <w:r w:rsidR="00E66E09" w:rsidRPr="00EE79CA">
        <w:rPr>
          <w:rFonts w:ascii="Calibri" w:hAnsi="Calibri"/>
          <w:b/>
          <w:sz w:val="28"/>
          <w:szCs w:val="28"/>
        </w:rPr>
        <w:tab/>
      </w:r>
      <w:r w:rsidR="00D35244">
        <w:rPr>
          <w:rFonts w:ascii="Arial" w:hAnsi="Arial" w:cs="Arial"/>
          <w:b/>
        </w:rPr>
        <w:t xml:space="preserve">Busting Disclaimer Myths </w:t>
      </w:r>
      <w:r w:rsidR="004F3000">
        <w:rPr>
          <w:rFonts w:ascii="Arial" w:hAnsi="Arial" w:cs="Arial"/>
          <w:b/>
        </w:rPr>
        <w:t>and the Conventional Wisdom on Disclaimers:</w:t>
      </w:r>
    </w:p>
    <w:p w14:paraId="1E70F58E" w14:textId="77777777" w:rsidR="00E66E09" w:rsidRPr="00EE79CA" w:rsidRDefault="00E66E09" w:rsidP="00D35244">
      <w:pPr>
        <w:autoSpaceDE w:val="0"/>
        <w:autoSpaceDN w:val="0"/>
        <w:adjustRightInd w:val="0"/>
        <w:spacing w:line="360" w:lineRule="auto"/>
        <w:ind w:firstLine="720"/>
        <w:rPr>
          <w:rFonts w:ascii="Calibri" w:hAnsi="Calibri"/>
          <w:b/>
          <w:i/>
        </w:rPr>
      </w:pPr>
      <w:r w:rsidRPr="00EE79CA">
        <w:rPr>
          <w:rFonts w:ascii="Arial" w:hAnsi="Arial" w:cs="Arial"/>
          <w:b/>
          <w:i/>
        </w:rPr>
        <w:t>Why OBITs are Superior</w:t>
      </w:r>
      <w:r w:rsidR="00D35244" w:rsidRPr="00EE79CA">
        <w:rPr>
          <w:rFonts w:ascii="Arial" w:hAnsi="Arial" w:cs="Arial"/>
          <w:b/>
          <w:i/>
        </w:rPr>
        <w:t xml:space="preserve"> to Bypass Trusts</w:t>
      </w:r>
      <w:r w:rsidRPr="00EE79CA">
        <w:rPr>
          <w:rFonts w:ascii="Arial" w:hAnsi="Arial" w:cs="Arial"/>
          <w:b/>
          <w:i/>
        </w:rPr>
        <w:t xml:space="preserve"> for Disclaimer</w:t>
      </w:r>
      <w:r w:rsidR="004D2DF7">
        <w:rPr>
          <w:rFonts w:ascii="Arial" w:hAnsi="Arial" w:cs="Arial"/>
          <w:b/>
          <w:i/>
        </w:rPr>
        <w:t>-</w:t>
      </w:r>
      <w:r w:rsidR="00D35244" w:rsidRPr="00EE79CA">
        <w:rPr>
          <w:rFonts w:ascii="Arial" w:hAnsi="Arial" w:cs="Arial"/>
          <w:b/>
          <w:i/>
        </w:rPr>
        <w:t>Based</w:t>
      </w:r>
      <w:r w:rsidRPr="00EE79CA">
        <w:rPr>
          <w:rFonts w:ascii="Arial" w:hAnsi="Arial" w:cs="Arial"/>
          <w:b/>
          <w:i/>
        </w:rPr>
        <w:t xml:space="preserve"> Planning</w:t>
      </w:r>
      <w:r w:rsidRPr="00EE79CA">
        <w:rPr>
          <w:rFonts w:ascii="Calibri" w:hAnsi="Calibri"/>
          <w:b/>
          <w:i/>
        </w:rPr>
        <w:t xml:space="preserve"> </w:t>
      </w:r>
    </w:p>
    <w:p w14:paraId="6E890234" w14:textId="77777777" w:rsidR="009A5199" w:rsidRDefault="009A5199" w:rsidP="00E66E09">
      <w:pPr>
        <w:autoSpaceDE w:val="0"/>
        <w:autoSpaceDN w:val="0"/>
        <w:adjustRightInd w:val="0"/>
        <w:spacing w:line="360" w:lineRule="auto"/>
        <w:ind w:firstLine="720"/>
        <w:jc w:val="both"/>
        <w:rPr>
          <w:rFonts w:ascii="Calibri" w:hAnsi="Calibri" w:cs="Helv"/>
          <w:bCs/>
          <w:color w:val="000000"/>
        </w:rPr>
      </w:pPr>
    </w:p>
    <w:p w14:paraId="192678E2" w14:textId="6BBFB2BE" w:rsidR="009A5199" w:rsidRDefault="009A5199" w:rsidP="00E66E09">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After Congress’ </w:t>
      </w:r>
      <w:r w:rsidR="00D35244">
        <w:rPr>
          <w:rFonts w:ascii="Calibri" w:hAnsi="Calibri" w:cs="Helv"/>
          <w:bCs/>
          <w:color w:val="000000"/>
        </w:rPr>
        <w:t xml:space="preserve">awkward </w:t>
      </w:r>
      <w:r>
        <w:rPr>
          <w:rFonts w:ascii="Calibri" w:hAnsi="Calibri" w:cs="Helv"/>
          <w:bCs/>
          <w:color w:val="000000"/>
        </w:rPr>
        <w:t>dance with estate tax repeal over the last decade, many practitioners and clients have embraced disclaimer planning as the go-to tool for married couples with identical estate plans (</w:t>
      </w:r>
      <w:r w:rsidR="00683D41">
        <w:rPr>
          <w:rFonts w:ascii="Calibri" w:hAnsi="Calibri" w:cs="Helv"/>
          <w:bCs/>
          <w:color w:val="000000"/>
        </w:rPr>
        <w:t>e.g.,</w:t>
      </w:r>
      <w:r>
        <w:rPr>
          <w:rFonts w:ascii="Calibri" w:hAnsi="Calibri" w:cs="Helv"/>
          <w:bCs/>
          <w:color w:val="000000"/>
        </w:rPr>
        <w:t xml:space="preserve"> long-time marriage, </w:t>
      </w:r>
      <w:r w:rsidR="00D35244">
        <w:rPr>
          <w:rFonts w:ascii="Calibri" w:hAnsi="Calibri" w:cs="Helv"/>
          <w:bCs/>
          <w:color w:val="000000"/>
        </w:rPr>
        <w:t>all</w:t>
      </w:r>
      <w:r>
        <w:rPr>
          <w:rFonts w:ascii="Calibri" w:hAnsi="Calibri" w:cs="Helv"/>
          <w:bCs/>
          <w:color w:val="000000"/>
        </w:rPr>
        <w:t xml:space="preserve"> children from </w:t>
      </w:r>
      <w:r w:rsidR="00D35244">
        <w:rPr>
          <w:rFonts w:ascii="Calibri" w:hAnsi="Calibri" w:cs="Helv"/>
          <w:bCs/>
          <w:color w:val="000000"/>
        </w:rPr>
        <w:t>current</w:t>
      </w:r>
      <w:r>
        <w:rPr>
          <w:rFonts w:ascii="Calibri" w:hAnsi="Calibri" w:cs="Helv"/>
          <w:bCs/>
          <w:color w:val="000000"/>
        </w:rPr>
        <w:t xml:space="preserve"> marriage).  </w:t>
      </w:r>
      <w:r w:rsidR="004F3000">
        <w:rPr>
          <w:rFonts w:ascii="Calibri" w:hAnsi="Calibri" w:cs="Helv"/>
          <w:bCs/>
          <w:color w:val="000000"/>
        </w:rPr>
        <w:t>This usually involves</w:t>
      </w:r>
      <w:r>
        <w:rPr>
          <w:rFonts w:ascii="Calibri" w:hAnsi="Calibri" w:cs="Helv"/>
          <w:bCs/>
          <w:color w:val="000000"/>
        </w:rPr>
        <w:t xml:space="preserve"> setting up a bypass trust (and potentially marital trust</w:t>
      </w:r>
      <w:r w:rsidR="00D35244">
        <w:rPr>
          <w:rFonts w:ascii="Calibri" w:hAnsi="Calibri" w:cs="Helv"/>
          <w:bCs/>
          <w:color w:val="000000"/>
        </w:rPr>
        <w:t>, depending on design</w:t>
      </w:r>
      <w:r w:rsidR="007E3826">
        <w:rPr>
          <w:rFonts w:ascii="Calibri" w:hAnsi="Calibri" w:cs="Helv"/>
          <w:bCs/>
          <w:color w:val="000000"/>
        </w:rPr>
        <w:t>, assets</w:t>
      </w:r>
      <w:r w:rsidR="00D35244">
        <w:rPr>
          <w:rFonts w:ascii="Calibri" w:hAnsi="Calibri" w:cs="Helv"/>
          <w:bCs/>
          <w:color w:val="000000"/>
        </w:rPr>
        <w:t xml:space="preserve"> and circumstance</w:t>
      </w:r>
      <w:r>
        <w:rPr>
          <w:rFonts w:ascii="Calibri" w:hAnsi="Calibri" w:cs="Helv"/>
          <w:bCs/>
          <w:color w:val="000000"/>
        </w:rPr>
        <w:t>) that is ONLY funded if the surviving spouse makes a qualified disclaimer of funds that would otherwise be inherited outright.</w:t>
      </w:r>
    </w:p>
    <w:p w14:paraId="73F83078" w14:textId="77777777" w:rsidR="00D35244" w:rsidRDefault="00BD6ED2" w:rsidP="00E66E09">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T</w:t>
      </w:r>
      <w:r w:rsidR="00D35244">
        <w:rPr>
          <w:rFonts w:ascii="Calibri" w:hAnsi="Calibri" w:cs="Helv"/>
          <w:bCs/>
          <w:color w:val="000000"/>
        </w:rPr>
        <w:t xml:space="preserve">here are several drawbacks to relying on disclaimer funding – inadvertent disqualification through acceptance or control, </w:t>
      </w:r>
      <w:r w:rsidR="00816CA8">
        <w:rPr>
          <w:rFonts w:ascii="Calibri" w:hAnsi="Calibri" w:cs="Helv"/>
          <w:bCs/>
          <w:color w:val="000000"/>
        </w:rPr>
        <w:t xml:space="preserve">limited </w:t>
      </w:r>
      <w:r w:rsidR="009E6B3D">
        <w:rPr>
          <w:rFonts w:ascii="Calibri" w:hAnsi="Calibri" w:cs="Helv"/>
          <w:bCs/>
          <w:color w:val="000000"/>
        </w:rPr>
        <w:t>nine-</w:t>
      </w:r>
      <w:r w:rsidR="00D35244">
        <w:rPr>
          <w:rFonts w:ascii="Calibri" w:hAnsi="Calibri" w:cs="Helv"/>
          <w:bCs/>
          <w:color w:val="000000"/>
        </w:rPr>
        <w:t>month window</w:t>
      </w:r>
      <w:r w:rsidR="00816CA8">
        <w:rPr>
          <w:rFonts w:ascii="Calibri" w:hAnsi="Calibri" w:cs="Helv"/>
          <w:bCs/>
          <w:color w:val="000000"/>
        </w:rPr>
        <w:t xml:space="preserve"> (no extensions unless the spouse is under age 21)</w:t>
      </w:r>
      <w:r w:rsidR="00D35244">
        <w:rPr>
          <w:rFonts w:ascii="Calibri" w:hAnsi="Calibri" w:cs="Helv"/>
          <w:bCs/>
          <w:color w:val="000000"/>
        </w:rPr>
        <w:t xml:space="preserve">, uncertainty with certain jointly owned assets, and quite simply, the powerful inertia causing a widow/widower to “go with the flow” – </w:t>
      </w:r>
      <w:r w:rsidR="004F3000">
        <w:rPr>
          <w:rFonts w:ascii="Calibri" w:hAnsi="Calibri" w:cs="Helv"/>
          <w:bCs/>
          <w:color w:val="000000"/>
        </w:rPr>
        <w:t xml:space="preserve">especially </w:t>
      </w:r>
      <w:r w:rsidR="00D35244">
        <w:rPr>
          <w:rFonts w:ascii="Calibri" w:hAnsi="Calibri" w:cs="Helv"/>
          <w:bCs/>
          <w:color w:val="000000"/>
        </w:rPr>
        <w:t xml:space="preserve">when the flow is an outright bequest.  For purposes of this </w:t>
      </w:r>
      <w:r w:rsidR="004F3000">
        <w:rPr>
          <w:rFonts w:ascii="Calibri" w:hAnsi="Calibri" w:cs="Helv"/>
          <w:bCs/>
          <w:color w:val="000000"/>
        </w:rPr>
        <w:t xml:space="preserve">Section, however, I will concentrate on </w:t>
      </w:r>
      <w:r w:rsidR="00DB1EED">
        <w:rPr>
          <w:rFonts w:ascii="Calibri" w:hAnsi="Calibri" w:cs="Helv"/>
          <w:bCs/>
          <w:color w:val="000000"/>
        </w:rPr>
        <w:t xml:space="preserve">disclaimers’ impact on income tax planning – when disclaimers can paradoxically add to basis, sometimes even better than community property states, how “OBIT” clauses can be narrowly tailored to permit better ongoing income tax results and basis increases at the surviving spouse’s death, and how “OBIT” clauses often enable the next generation more tax flexibility as well.  </w:t>
      </w:r>
    </w:p>
    <w:p w14:paraId="1368588B" w14:textId="77777777" w:rsidR="00DB1EED" w:rsidRPr="000F0BC8" w:rsidRDefault="00DB1EED" w:rsidP="000F0BC8">
      <w:pPr>
        <w:pStyle w:val="ListParagraph"/>
        <w:numPr>
          <w:ilvl w:val="0"/>
          <w:numId w:val="20"/>
        </w:numPr>
        <w:autoSpaceDE w:val="0"/>
        <w:autoSpaceDN w:val="0"/>
        <w:adjustRightInd w:val="0"/>
        <w:spacing w:line="360" w:lineRule="auto"/>
        <w:ind w:left="720" w:hanging="720"/>
        <w:jc w:val="both"/>
        <w:rPr>
          <w:rFonts w:ascii="Calibri" w:hAnsi="Calibri" w:cs="Helv"/>
          <w:b/>
          <w:bCs/>
          <w:color w:val="000000"/>
        </w:rPr>
      </w:pPr>
      <w:r w:rsidRPr="000F0BC8">
        <w:rPr>
          <w:rFonts w:ascii="Calibri" w:hAnsi="Calibri" w:cs="Helv"/>
          <w:b/>
          <w:bCs/>
          <w:color w:val="000000"/>
        </w:rPr>
        <w:t>Using Qualified Disclaimers to Maximize Basis at First Death</w:t>
      </w:r>
      <w:r w:rsidR="009E6B3D">
        <w:rPr>
          <w:rStyle w:val="FootnoteReference"/>
          <w:rFonts w:ascii="Calibri" w:hAnsi="Calibri" w:cs="Helv"/>
          <w:b/>
          <w:bCs/>
          <w:color w:val="000000"/>
        </w:rPr>
        <w:footnoteReference w:id="169"/>
      </w:r>
    </w:p>
    <w:p w14:paraId="5EF03DE3" w14:textId="77777777" w:rsidR="00DB1EED" w:rsidRPr="00216B70"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 xml:space="preserve">We don’t normally think of qualified disclaimers in the context of basis planning at the first death.  Assets are either in the estate, or they’re not.  But surprisingly, married couples have a unique and often overlooked opportunity to use qualified disclaimers to increase their basis in some </w:t>
      </w:r>
      <w:r w:rsidR="000F0BC8">
        <w:rPr>
          <w:rFonts w:ascii="Calibri" w:hAnsi="Calibri" w:cs="Helv"/>
          <w:bCs/>
          <w:color w:val="000000"/>
        </w:rPr>
        <w:t xml:space="preserve">very </w:t>
      </w:r>
      <w:r w:rsidRPr="00216B70">
        <w:rPr>
          <w:rFonts w:ascii="Calibri" w:hAnsi="Calibri" w:cs="Helv"/>
          <w:bCs/>
          <w:color w:val="000000"/>
        </w:rPr>
        <w:t>common situations.</w:t>
      </w:r>
    </w:p>
    <w:p w14:paraId="41830641" w14:textId="7B1EC064" w:rsidR="00DB1EED" w:rsidRPr="00216B70"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 xml:space="preserve">Let’s explore the special disclaimer rules for jointly held bank, brokerage and investment accounts through a hypothetical upper-middle class husband and wife, John and </w:t>
      </w:r>
      <w:r w:rsidRPr="00216B70">
        <w:rPr>
          <w:rFonts w:ascii="Calibri" w:hAnsi="Calibri" w:cs="Helv"/>
          <w:bCs/>
          <w:color w:val="000000"/>
        </w:rPr>
        <w:lastRenderedPageBreak/>
        <w:t xml:space="preserve">Mary, both U.S. citizens.  They have each funded a brokerage account worth </w:t>
      </w:r>
      <w:r w:rsidR="005933D9" w:rsidRPr="00216B70">
        <w:rPr>
          <w:rFonts w:ascii="Calibri" w:hAnsi="Calibri" w:cs="Helv"/>
          <w:bCs/>
          <w:color w:val="000000"/>
        </w:rPr>
        <w:t>$2 million and</w:t>
      </w:r>
      <w:r w:rsidRPr="00216B70">
        <w:rPr>
          <w:rFonts w:ascii="Calibri" w:hAnsi="Calibri" w:cs="Helv"/>
          <w:bCs/>
          <w:color w:val="000000"/>
        </w:rPr>
        <w:t xml:space="preserve"> have placed each other on the account as joint tenant with right of survivorship</w:t>
      </w:r>
      <w:r w:rsidR="000F0BC8">
        <w:rPr>
          <w:rFonts w:ascii="Calibri" w:hAnsi="Calibri" w:cs="Helv"/>
          <w:bCs/>
          <w:color w:val="000000"/>
        </w:rPr>
        <w:t xml:space="preserve"> for convenience of access and probate avoidance</w:t>
      </w:r>
      <w:r w:rsidRPr="00216B70">
        <w:rPr>
          <w:rFonts w:ascii="Calibri" w:hAnsi="Calibri" w:cs="Helv"/>
          <w:bCs/>
          <w:color w:val="000000"/>
        </w:rPr>
        <w:t xml:space="preserve">.  No portion is community property. John’s account consists of Fund X with a value of $1.2 million, basis of $800,000, and Fund Y, with a value of $800,000, basis of $1 million (this is not a model portfolio, only for illustration!).  Mary’s account consists of Fund Q with a value of $1.6 million, a basis of $1 million, and Fund Z, with a value of $400,000, basis $500,000.  John dies.  </w:t>
      </w:r>
      <w:r w:rsidR="000F0BC8">
        <w:rPr>
          <w:rFonts w:ascii="Calibri" w:hAnsi="Calibri" w:cs="Helv"/>
          <w:bCs/>
          <w:color w:val="000000"/>
        </w:rPr>
        <w:t xml:space="preserve">See columns 1 and 2 </w:t>
      </w:r>
      <w:r w:rsidR="00E3564C">
        <w:rPr>
          <w:rFonts w:ascii="Calibri" w:hAnsi="Calibri" w:cs="Helv"/>
          <w:bCs/>
          <w:color w:val="000000"/>
        </w:rPr>
        <w:t>in chart below.</w:t>
      </w:r>
    </w:p>
    <w:p w14:paraId="5A93CED1" w14:textId="77777777" w:rsidR="00DB1EED" w:rsidRPr="00216B70"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Under a typical scenario, John’s estate includes one-half of the value of both accounts ($4 million), or $2 million, and the basis of all of the four funds are stepped down or up 50 percent accordingly (Fund X basis increased by $200,000 to $1 million, Fund Y is decreased by $100,000 to $900,000, Fund Q’s basis is increased by $300,000 to $1.3 million, and Fund Z’s basis is decreased by $50,000 to $450,000).</w:t>
      </w:r>
      <w:r w:rsidRPr="00216B70">
        <w:rPr>
          <w:rFonts w:ascii="Calibri" w:hAnsi="Calibri" w:cs="Helv"/>
          <w:bCs/>
          <w:color w:val="000000"/>
          <w:vertAlign w:val="superscript"/>
        </w:rPr>
        <w:footnoteReference w:id="170"/>
      </w:r>
      <w:r w:rsidRPr="00216B70">
        <w:rPr>
          <w:rFonts w:ascii="Calibri" w:hAnsi="Calibri" w:cs="Helv"/>
          <w:bCs/>
          <w:color w:val="000000"/>
        </w:rPr>
        <w:t xml:space="preserve">  This amounts to a total basis increase to Mary of $350,000, with the total basis for the $4 million of assets now $3.65 million.  Should Mary die first, the result to John would be exactly the same.</w:t>
      </w:r>
      <w:r w:rsidR="00E3564C">
        <w:rPr>
          <w:rFonts w:ascii="Calibri" w:hAnsi="Calibri" w:cs="Helv"/>
          <w:bCs/>
          <w:color w:val="000000"/>
        </w:rPr>
        <w:t xml:space="preserve">  See column 3 in chart below.</w:t>
      </w:r>
    </w:p>
    <w:tbl>
      <w:tblPr>
        <w:tblW w:w="9390" w:type="dxa"/>
        <w:tblInd w:w="93" w:type="dxa"/>
        <w:tblLook w:val="04A0" w:firstRow="1" w:lastRow="0" w:firstColumn="1" w:lastColumn="0" w:noHBand="0" w:noVBand="1"/>
      </w:tblPr>
      <w:tblGrid>
        <w:gridCol w:w="1738"/>
        <w:gridCol w:w="1294"/>
        <w:gridCol w:w="1573"/>
        <w:gridCol w:w="1477"/>
        <w:gridCol w:w="1527"/>
        <w:gridCol w:w="1781"/>
      </w:tblGrid>
      <w:tr w:rsidR="00E3564C" w14:paraId="4D6138F5" w14:textId="77777777" w:rsidTr="009E6B3D">
        <w:trPr>
          <w:trHeight w:val="255"/>
        </w:trPr>
        <w:tc>
          <w:tcPr>
            <w:tcW w:w="1738" w:type="dxa"/>
            <w:tcBorders>
              <w:top w:val="nil"/>
              <w:left w:val="nil"/>
              <w:bottom w:val="nil"/>
              <w:right w:val="nil"/>
            </w:tcBorders>
            <w:shd w:val="clear" w:color="auto" w:fill="auto"/>
            <w:noWrap/>
            <w:vAlign w:val="bottom"/>
            <w:hideMark/>
          </w:tcPr>
          <w:p w14:paraId="7A8EED48" w14:textId="77777777" w:rsidR="00E3564C" w:rsidRDefault="00E3564C" w:rsidP="000914A2">
            <w:pPr>
              <w:rPr>
                <w:rFonts w:ascii="Arial" w:hAnsi="Arial" w:cs="Arial"/>
                <w:b/>
                <w:bCs/>
                <w:color w:val="000000"/>
                <w:sz w:val="20"/>
                <w:szCs w:val="20"/>
              </w:rPr>
            </w:pPr>
            <w:r>
              <w:rPr>
                <w:rFonts w:ascii="Arial" w:hAnsi="Arial" w:cs="Arial"/>
                <w:b/>
                <w:bCs/>
                <w:color w:val="000000"/>
                <w:sz w:val="20"/>
                <w:szCs w:val="20"/>
              </w:rPr>
              <w:t>John and Jane's funded</w:t>
            </w:r>
          </w:p>
        </w:tc>
        <w:tc>
          <w:tcPr>
            <w:tcW w:w="1294" w:type="dxa"/>
            <w:tcBorders>
              <w:top w:val="nil"/>
              <w:left w:val="nil"/>
              <w:bottom w:val="nil"/>
              <w:right w:val="nil"/>
            </w:tcBorders>
            <w:shd w:val="clear" w:color="auto" w:fill="auto"/>
            <w:noWrap/>
            <w:vAlign w:val="bottom"/>
            <w:hideMark/>
          </w:tcPr>
          <w:p w14:paraId="5831E05C"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Pre-Mortem</w:t>
            </w:r>
          </w:p>
        </w:tc>
        <w:tc>
          <w:tcPr>
            <w:tcW w:w="1573" w:type="dxa"/>
            <w:tcBorders>
              <w:top w:val="nil"/>
              <w:left w:val="nil"/>
              <w:bottom w:val="nil"/>
              <w:right w:val="nil"/>
            </w:tcBorders>
            <w:shd w:val="clear" w:color="auto" w:fill="auto"/>
            <w:noWrap/>
            <w:vAlign w:val="bottom"/>
            <w:hideMark/>
          </w:tcPr>
          <w:p w14:paraId="0C791758"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Date of John’s Death</w:t>
            </w:r>
          </w:p>
        </w:tc>
        <w:tc>
          <w:tcPr>
            <w:tcW w:w="1477" w:type="dxa"/>
            <w:tcBorders>
              <w:top w:val="nil"/>
              <w:left w:val="nil"/>
              <w:bottom w:val="nil"/>
              <w:right w:val="nil"/>
            </w:tcBorders>
            <w:shd w:val="clear" w:color="auto" w:fill="auto"/>
            <w:noWrap/>
            <w:vAlign w:val="bottom"/>
            <w:hideMark/>
          </w:tcPr>
          <w:p w14:paraId="1C81505B"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 xml:space="preserve">Basis at Death (doing </w:t>
            </w:r>
          </w:p>
        </w:tc>
        <w:tc>
          <w:tcPr>
            <w:tcW w:w="1527" w:type="dxa"/>
            <w:tcBorders>
              <w:top w:val="nil"/>
              <w:left w:val="nil"/>
              <w:bottom w:val="nil"/>
              <w:right w:val="nil"/>
            </w:tcBorders>
            <w:shd w:val="clear" w:color="auto" w:fill="auto"/>
            <w:noWrap/>
            <w:vAlign w:val="bottom"/>
          </w:tcPr>
          <w:p w14:paraId="27F46E2E" w14:textId="77777777" w:rsidR="00023F0D" w:rsidRDefault="00023F0D" w:rsidP="00023F0D">
            <w:pPr>
              <w:jc w:val="right"/>
              <w:rPr>
                <w:rFonts w:ascii="Arial" w:hAnsi="Arial" w:cs="Arial"/>
                <w:b/>
                <w:bCs/>
                <w:color w:val="000000"/>
                <w:sz w:val="20"/>
                <w:szCs w:val="20"/>
              </w:rPr>
            </w:pPr>
          </w:p>
          <w:p w14:paraId="67339A40" w14:textId="77777777" w:rsidR="00E3564C" w:rsidRDefault="00023F0D" w:rsidP="00B43ED3">
            <w:pPr>
              <w:jc w:val="right"/>
              <w:rPr>
                <w:rFonts w:ascii="Arial" w:hAnsi="Arial" w:cs="Arial"/>
                <w:b/>
                <w:bCs/>
                <w:color w:val="000000"/>
                <w:sz w:val="20"/>
                <w:szCs w:val="20"/>
              </w:rPr>
            </w:pPr>
            <w:r>
              <w:rPr>
                <w:rFonts w:ascii="Arial" w:hAnsi="Arial" w:cs="Arial"/>
                <w:b/>
                <w:bCs/>
                <w:color w:val="000000"/>
                <w:sz w:val="20"/>
                <w:szCs w:val="20"/>
              </w:rPr>
              <w:t xml:space="preserve">Basis if </w:t>
            </w:r>
            <w:r w:rsidR="00B43ED3">
              <w:rPr>
                <w:rFonts w:ascii="Arial" w:hAnsi="Arial" w:cs="Arial"/>
                <w:b/>
                <w:bCs/>
                <w:color w:val="000000"/>
                <w:sz w:val="20"/>
                <w:szCs w:val="20"/>
              </w:rPr>
              <w:t>Mary</w:t>
            </w:r>
            <w:r>
              <w:rPr>
                <w:rFonts w:ascii="Arial" w:hAnsi="Arial" w:cs="Arial"/>
                <w:b/>
                <w:bCs/>
                <w:color w:val="000000"/>
                <w:sz w:val="20"/>
                <w:szCs w:val="20"/>
              </w:rPr>
              <w:t xml:space="preserve"> Disclaims</w:t>
            </w:r>
          </w:p>
        </w:tc>
        <w:tc>
          <w:tcPr>
            <w:tcW w:w="1781" w:type="dxa"/>
            <w:tcBorders>
              <w:top w:val="nil"/>
              <w:left w:val="nil"/>
              <w:bottom w:val="nil"/>
              <w:right w:val="nil"/>
            </w:tcBorders>
            <w:shd w:val="clear" w:color="auto" w:fill="auto"/>
            <w:noWrap/>
            <w:vAlign w:val="bottom"/>
          </w:tcPr>
          <w:p w14:paraId="41B1644A" w14:textId="77777777" w:rsidR="00E3564C" w:rsidRDefault="00E3564C" w:rsidP="000914A2">
            <w:pPr>
              <w:jc w:val="right"/>
              <w:rPr>
                <w:rFonts w:ascii="Arial" w:hAnsi="Arial" w:cs="Arial"/>
                <w:b/>
                <w:bCs/>
                <w:color w:val="000000"/>
                <w:sz w:val="20"/>
                <w:szCs w:val="20"/>
              </w:rPr>
            </w:pPr>
          </w:p>
        </w:tc>
      </w:tr>
      <w:tr w:rsidR="00023F0D" w14:paraId="2C02DAA8" w14:textId="77777777" w:rsidTr="009E6B3D">
        <w:trPr>
          <w:trHeight w:val="255"/>
        </w:trPr>
        <w:tc>
          <w:tcPr>
            <w:tcW w:w="1738" w:type="dxa"/>
            <w:tcBorders>
              <w:top w:val="nil"/>
              <w:left w:val="nil"/>
              <w:bottom w:val="nil"/>
              <w:right w:val="nil"/>
            </w:tcBorders>
            <w:shd w:val="clear" w:color="auto" w:fill="auto"/>
            <w:noWrap/>
            <w:vAlign w:val="bottom"/>
            <w:hideMark/>
          </w:tcPr>
          <w:p w14:paraId="25D2F32F" w14:textId="77777777" w:rsidR="00023F0D" w:rsidRDefault="00023F0D" w:rsidP="000914A2">
            <w:pPr>
              <w:rPr>
                <w:rFonts w:ascii="Arial" w:hAnsi="Arial" w:cs="Arial"/>
                <w:b/>
                <w:bCs/>
                <w:color w:val="000000"/>
                <w:sz w:val="20"/>
                <w:szCs w:val="20"/>
              </w:rPr>
            </w:pPr>
            <w:r>
              <w:rPr>
                <w:rFonts w:ascii="Arial" w:hAnsi="Arial" w:cs="Arial"/>
                <w:b/>
                <w:bCs/>
                <w:color w:val="000000"/>
                <w:sz w:val="20"/>
                <w:szCs w:val="20"/>
              </w:rPr>
              <w:t>JTWROS Accts.</w:t>
            </w:r>
          </w:p>
        </w:tc>
        <w:tc>
          <w:tcPr>
            <w:tcW w:w="1294" w:type="dxa"/>
            <w:tcBorders>
              <w:top w:val="nil"/>
              <w:left w:val="nil"/>
              <w:bottom w:val="nil"/>
              <w:right w:val="nil"/>
            </w:tcBorders>
            <w:shd w:val="clear" w:color="auto" w:fill="auto"/>
            <w:noWrap/>
            <w:vAlign w:val="bottom"/>
            <w:hideMark/>
          </w:tcPr>
          <w:p w14:paraId="28C8264C" w14:textId="77777777" w:rsidR="00023F0D" w:rsidRDefault="00023F0D" w:rsidP="000914A2">
            <w:pPr>
              <w:jc w:val="right"/>
              <w:rPr>
                <w:rFonts w:ascii="Arial" w:hAnsi="Arial" w:cs="Arial"/>
                <w:b/>
                <w:bCs/>
                <w:color w:val="000000"/>
                <w:sz w:val="20"/>
                <w:szCs w:val="20"/>
              </w:rPr>
            </w:pPr>
            <w:r>
              <w:rPr>
                <w:rFonts w:ascii="Arial" w:hAnsi="Arial" w:cs="Arial"/>
                <w:b/>
                <w:bCs/>
                <w:color w:val="000000"/>
                <w:sz w:val="20"/>
                <w:szCs w:val="20"/>
              </w:rPr>
              <w:t>Basis</w:t>
            </w:r>
          </w:p>
        </w:tc>
        <w:tc>
          <w:tcPr>
            <w:tcW w:w="1573" w:type="dxa"/>
            <w:tcBorders>
              <w:top w:val="nil"/>
              <w:left w:val="nil"/>
              <w:bottom w:val="nil"/>
              <w:right w:val="nil"/>
            </w:tcBorders>
            <w:shd w:val="clear" w:color="auto" w:fill="auto"/>
            <w:noWrap/>
            <w:vAlign w:val="bottom"/>
            <w:hideMark/>
          </w:tcPr>
          <w:p w14:paraId="2171EB62" w14:textId="77777777" w:rsidR="00023F0D" w:rsidRDefault="00023F0D" w:rsidP="000914A2">
            <w:pPr>
              <w:jc w:val="right"/>
              <w:rPr>
                <w:rFonts w:ascii="Arial" w:hAnsi="Arial" w:cs="Arial"/>
                <w:b/>
                <w:bCs/>
                <w:color w:val="000000"/>
                <w:sz w:val="20"/>
                <w:szCs w:val="20"/>
              </w:rPr>
            </w:pPr>
            <w:r>
              <w:rPr>
                <w:rFonts w:ascii="Arial" w:hAnsi="Arial" w:cs="Arial"/>
                <w:b/>
                <w:bCs/>
                <w:color w:val="000000"/>
                <w:sz w:val="20"/>
                <w:szCs w:val="20"/>
              </w:rPr>
              <w:t>Value</w:t>
            </w:r>
          </w:p>
        </w:tc>
        <w:tc>
          <w:tcPr>
            <w:tcW w:w="1477" w:type="dxa"/>
            <w:tcBorders>
              <w:top w:val="nil"/>
              <w:left w:val="nil"/>
              <w:bottom w:val="nil"/>
              <w:right w:val="nil"/>
            </w:tcBorders>
            <w:shd w:val="clear" w:color="auto" w:fill="auto"/>
            <w:noWrap/>
            <w:vAlign w:val="bottom"/>
            <w:hideMark/>
          </w:tcPr>
          <w:p w14:paraId="2A5FC3CD" w14:textId="77777777" w:rsidR="00023F0D" w:rsidRDefault="00023F0D" w:rsidP="000914A2">
            <w:pPr>
              <w:jc w:val="right"/>
              <w:rPr>
                <w:rFonts w:ascii="Arial" w:hAnsi="Arial" w:cs="Arial"/>
                <w:b/>
                <w:bCs/>
                <w:color w:val="000000"/>
                <w:sz w:val="20"/>
                <w:szCs w:val="20"/>
              </w:rPr>
            </w:pPr>
            <w:r>
              <w:rPr>
                <w:rFonts w:ascii="Arial" w:hAnsi="Arial" w:cs="Arial"/>
                <w:b/>
                <w:bCs/>
                <w:color w:val="000000"/>
                <w:sz w:val="20"/>
                <w:szCs w:val="20"/>
              </w:rPr>
              <w:t>nothing)</w:t>
            </w:r>
          </w:p>
        </w:tc>
        <w:tc>
          <w:tcPr>
            <w:tcW w:w="1527" w:type="dxa"/>
            <w:tcBorders>
              <w:top w:val="nil"/>
              <w:left w:val="nil"/>
              <w:bottom w:val="nil"/>
              <w:right w:val="nil"/>
            </w:tcBorders>
            <w:shd w:val="clear" w:color="auto" w:fill="auto"/>
            <w:noWrap/>
            <w:vAlign w:val="bottom"/>
          </w:tcPr>
          <w:p w14:paraId="36E767F7" w14:textId="77777777" w:rsidR="00023F0D" w:rsidRDefault="00023F0D" w:rsidP="00023F0D">
            <w:pPr>
              <w:jc w:val="right"/>
              <w:rPr>
                <w:rFonts w:ascii="Arial" w:hAnsi="Arial" w:cs="Arial"/>
                <w:b/>
                <w:bCs/>
                <w:color w:val="000000"/>
                <w:sz w:val="20"/>
                <w:szCs w:val="20"/>
              </w:rPr>
            </w:pPr>
            <w:r>
              <w:rPr>
                <w:rFonts w:ascii="Arial" w:hAnsi="Arial" w:cs="Arial"/>
                <w:b/>
                <w:bCs/>
                <w:color w:val="000000"/>
                <w:sz w:val="20"/>
                <w:szCs w:val="20"/>
              </w:rPr>
              <w:t>Fund X</w:t>
            </w:r>
          </w:p>
        </w:tc>
        <w:tc>
          <w:tcPr>
            <w:tcW w:w="1781" w:type="dxa"/>
            <w:tcBorders>
              <w:top w:val="nil"/>
              <w:left w:val="nil"/>
              <w:bottom w:val="nil"/>
              <w:right w:val="nil"/>
            </w:tcBorders>
            <w:shd w:val="clear" w:color="auto" w:fill="auto"/>
            <w:noWrap/>
            <w:vAlign w:val="bottom"/>
          </w:tcPr>
          <w:p w14:paraId="668C360F" w14:textId="77777777" w:rsidR="00023F0D" w:rsidRDefault="00023F0D" w:rsidP="000914A2">
            <w:pPr>
              <w:jc w:val="right"/>
              <w:rPr>
                <w:rFonts w:ascii="Arial" w:hAnsi="Arial" w:cs="Arial"/>
                <w:b/>
                <w:bCs/>
                <w:color w:val="000000"/>
                <w:sz w:val="20"/>
                <w:szCs w:val="20"/>
              </w:rPr>
            </w:pPr>
          </w:p>
        </w:tc>
      </w:tr>
      <w:tr w:rsidR="009E6B3D" w14:paraId="6951545E" w14:textId="77777777" w:rsidTr="009E6B3D">
        <w:trPr>
          <w:trHeight w:val="120"/>
        </w:trPr>
        <w:tc>
          <w:tcPr>
            <w:tcW w:w="9390" w:type="dxa"/>
            <w:gridSpan w:val="6"/>
            <w:tcBorders>
              <w:top w:val="nil"/>
              <w:left w:val="nil"/>
              <w:bottom w:val="nil"/>
              <w:right w:val="nil"/>
            </w:tcBorders>
            <w:shd w:val="clear" w:color="auto" w:fill="auto"/>
            <w:noWrap/>
            <w:vAlign w:val="bottom"/>
            <w:hideMark/>
          </w:tcPr>
          <w:p w14:paraId="048B2684" w14:textId="77777777" w:rsidR="009E6B3D" w:rsidRDefault="009E6B3D" w:rsidP="00E3564C">
            <w:pPr>
              <w:rPr>
                <w:rFonts w:ascii="Arial" w:hAnsi="Arial" w:cs="Arial"/>
                <w:color w:val="000000"/>
                <w:sz w:val="20"/>
                <w:szCs w:val="20"/>
              </w:rPr>
            </w:pPr>
            <w:r>
              <w:rPr>
                <w:rFonts w:ascii="Arial" w:hAnsi="Arial" w:cs="Arial"/>
                <w:color w:val="000000"/>
                <w:sz w:val="20"/>
                <w:szCs w:val="20"/>
              </w:rPr>
              <w:t>---------------------------------------------------------------------------------------------------------------</w:t>
            </w:r>
          </w:p>
        </w:tc>
      </w:tr>
      <w:tr w:rsidR="00023F0D" w14:paraId="1A626F5B" w14:textId="77777777" w:rsidTr="009E6B3D">
        <w:trPr>
          <w:trHeight w:val="255"/>
        </w:trPr>
        <w:tc>
          <w:tcPr>
            <w:tcW w:w="1738" w:type="dxa"/>
            <w:tcBorders>
              <w:top w:val="nil"/>
              <w:left w:val="nil"/>
              <w:bottom w:val="nil"/>
              <w:right w:val="nil"/>
            </w:tcBorders>
            <w:shd w:val="clear" w:color="auto" w:fill="auto"/>
            <w:noWrap/>
            <w:vAlign w:val="bottom"/>
            <w:hideMark/>
          </w:tcPr>
          <w:p w14:paraId="701E7FC0" w14:textId="77777777" w:rsidR="00023F0D" w:rsidRDefault="00023F0D" w:rsidP="000914A2">
            <w:pPr>
              <w:rPr>
                <w:rFonts w:ascii="Arial" w:hAnsi="Arial" w:cs="Arial"/>
                <w:color w:val="000000"/>
                <w:sz w:val="20"/>
                <w:szCs w:val="20"/>
              </w:rPr>
            </w:pPr>
            <w:r>
              <w:rPr>
                <w:rFonts w:ascii="Arial" w:hAnsi="Arial" w:cs="Arial"/>
                <w:color w:val="000000"/>
                <w:sz w:val="20"/>
                <w:szCs w:val="20"/>
              </w:rPr>
              <w:t>Fund Q</w:t>
            </w:r>
          </w:p>
        </w:tc>
        <w:tc>
          <w:tcPr>
            <w:tcW w:w="1294" w:type="dxa"/>
            <w:tcBorders>
              <w:top w:val="nil"/>
              <w:left w:val="nil"/>
              <w:bottom w:val="nil"/>
              <w:right w:val="nil"/>
            </w:tcBorders>
            <w:shd w:val="clear" w:color="auto" w:fill="auto"/>
            <w:noWrap/>
            <w:vAlign w:val="bottom"/>
            <w:hideMark/>
          </w:tcPr>
          <w:p w14:paraId="5D17CE47"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$1,000,000</w:t>
            </w:r>
          </w:p>
        </w:tc>
        <w:tc>
          <w:tcPr>
            <w:tcW w:w="1573" w:type="dxa"/>
            <w:tcBorders>
              <w:top w:val="nil"/>
              <w:left w:val="nil"/>
              <w:bottom w:val="nil"/>
              <w:right w:val="nil"/>
            </w:tcBorders>
            <w:shd w:val="clear" w:color="auto" w:fill="auto"/>
            <w:noWrap/>
            <w:vAlign w:val="bottom"/>
            <w:hideMark/>
          </w:tcPr>
          <w:p w14:paraId="7551586D"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$1,600,000</w:t>
            </w:r>
          </w:p>
        </w:tc>
        <w:tc>
          <w:tcPr>
            <w:tcW w:w="1477" w:type="dxa"/>
            <w:tcBorders>
              <w:top w:val="nil"/>
              <w:left w:val="nil"/>
              <w:bottom w:val="nil"/>
              <w:right w:val="nil"/>
            </w:tcBorders>
            <w:shd w:val="clear" w:color="auto" w:fill="auto"/>
            <w:noWrap/>
            <w:vAlign w:val="bottom"/>
            <w:hideMark/>
          </w:tcPr>
          <w:p w14:paraId="4CBA373F"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$1,300,000</w:t>
            </w:r>
          </w:p>
        </w:tc>
        <w:tc>
          <w:tcPr>
            <w:tcW w:w="1527" w:type="dxa"/>
            <w:tcBorders>
              <w:top w:val="nil"/>
              <w:left w:val="nil"/>
              <w:bottom w:val="nil"/>
              <w:right w:val="nil"/>
            </w:tcBorders>
            <w:shd w:val="clear" w:color="auto" w:fill="auto"/>
            <w:noWrap/>
            <w:vAlign w:val="bottom"/>
          </w:tcPr>
          <w:p w14:paraId="1EE64A39"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$1,300,000</w:t>
            </w:r>
          </w:p>
        </w:tc>
        <w:tc>
          <w:tcPr>
            <w:tcW w:w="1781" w:type="dxa"/>
            <w:tcBorders>
              <w:top w:val="nil"/>
              <w:left w:val="nil"/>
              <w:bottom w:val="nil"/>
              <w:right w:val="nil"/>
            </w:tcBorders>
            <w:shd w:val="clear" w:color="auto" w:fill="auto"/>
            <w:noWrap/>
            <w:vAlign w:val="bottom"/>
          </w:tcPr>
          <w:p w14:paraId="03BA3A7D" w14:textId="77777777" w:rsidR="00023F0D" w:rsidRDefault="00023F0D" w:rsidP="000914A2">
            <w:pPr>
              <w:jc w:val="right"/>
              <w:rPr>
                <w:rFonts w:ascii="Arial" w:hAnsi="Arial" w:cs="Arial"/>
                <w:color w:val="000000"/>
                <w:sz w:val="20"/>
                <w:szCs w:val="20"/>
              </w:rPr>
            </w:pPr>
          </w:p>
        </w:tc>
      </w:tr>
      <w:tr w:rsidR="00023F0D" w14:paraId="19F6BD06" w14:textId="77777777" w:rsidTr="009E6B3D">
        <w:trPr>
          <w:trHeight w:val="255"/>
        </w:trPr>
        <w:tc>
          <w:tcPr>
            <w:tcW w:w="1738" w:type="dxa"/>
            <w:tcBorders>
              <w:top w:val="nil"/>
              <w:left w:val="nil"/>
              <w:bottom w:val="nil"/>
              <w:right w:val="nil"/>
            </w:tcBorders>
            <w:shd w:val="clear" w:color="auto" w:fill="auto"/>
            <w:noWrap/>
            <w:vAlign w:val="bottom"/>
            <w:hideMark/>
          </w:tcPr>
          <w:p w14:paraId="4D56B466" w14:textId="77777777" w:rsidR="00023F0D" w:rsidRDefault="00023F0D" w:rsidP="000914A2">
            <w:pPr>
              <w:rPr>
                <w:rFonts w:ascii="Arial" w:hAnsi="Arial" w:cs="Arial"/>
                <w:color w:val="000000"/>
                <w:sz w:val="20"/>
                <w:szCs w:val="20"/>
              </w:rPr>
            </w:pPr>
            <w:r>
              <w:rPr>
                <w:rFonts w:ascii="Arial" w:hAnsi="Arial" w:cs="Arial"/>
                <w:color w:val="000000"/>
                <w:sz w:val="20"/>
                <w:szCs w:val="20"/>
              </w:rPr>
              <w:t>Fund X</w:t>
            </w:r>
          </w:p>
        </w:tc>
        <w:tc>
          <w:tcPr>
            <w:tcW w:w="1294" w:type="dxa"/>
            <w:tcBorders>
              <w:top w:val="nil"/>
              <w:left w:val="nil"/>
              <w:bottom w:val="nil"/>
              <w:right w:val="nil"/>
            </w:tcBorders>
            <w:shd w:val="clear" w:color="auto" w:fill="auto"/>
            <w:noWrap/>
            <w:vAlign w:val="bottom"/>
            <w:hideMark/>
          </w:tcPr>
          <w:p w14:paraId="12538BB1"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$800,000</w:t>
            </w:r>
          </w:p>
        </w:tc>
        <w:tc>
          <w:tcPr>
            <w:tcW w:w="1573" w:type="dxa"/>
            <w:tcBorders>
              <w:top w:val="nil"/>
              <w:left w:val="nil"/>
              <w:bottom w:val="nil"/>
              <w:right w:val="nil"/>
            </w:tcBorders>
            <w:shd w:val="clear" w:color="auto" w:fill="auto"/>
            <w:noWrap/>
            <w:vAlign w:val="bottom"/>
            <w:hideMark/>
          </w:tcPr>
          <w:p w14:paraId="2A22C897"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$1,200,000</w:t>
            </w:r>
          </w:p>
        </w:tc>
        <w:tc>
          <w:tcPr>
            <w:tcW w:w="1477" w:type="dxa"/>
            <w:tcBorders>
              <w:top w:val="nil"/>
              <w:left w:val="nil"/>
              <w:bottom w:val="nil"/>
              <w:right w:val="nil"/>
            </w:tcBorders>
            <w:shd w:val="clear" w:color="auto" w:fill="auto"/>
            <w:noWrap/>
            <w:vAlign w:val="bottom"/>
            <w:hideMark/>
          </w:tcPr>
          <w:p w14:paraId="137600AE"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$1,000,000</w:t>
            </w:r>
          </w:p>
        </w:tc>
        <w:tc>
          <w:tcPr>
            <w:tcW w:w="1527" w:type="dxa"/>
            <w:tcBorders>
              <w:top w:val="nil"/>
              <w:left w:val="nil"/>
              <w:bottom w:val="nil"/>
              <w:right w:val="nil"/>
            </w:tcBorders>
            <w:shd w:val="clear" w:color="auto" w:fill="auto"/>
            <w:noWrap/>
            <w:vAlign w:val="bottom"/>
          </w:tcPr>
          <w:p w14:paraId="3104D30D"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$1,200,000</w:t>
            </w:r>
          </w:p>
        </w:tc>
        <w:tc>
          <w:tcPr>
            <w:tcW w:w="1781" w:type="dxa"/>
            <w:tcBorders>
              <w:top w:val="nil"/>
              <w:left w:val="nil"/>
              <w:bottom w:val="nil"/>
              <w:right w:val="nil"/>
            </w:tcBorders>
            <w:shd w:val="clear" w:color="auto" w:fill="auto"/>
            <w:noWrap/>
            <w:vAlign w:val="bottom"/>
          </w:tcPr>
          <w:p w14:paraId="21216A46" w14:textId="77777777" w:rsidR="00023F0D" w:rsidRDefault="00023F0D" w:rsidP="000914A2">
            <w:pPr>
              <w:jc w:val="right"/>
              <w:rPr>
                <w:rFonts w:ascii="Arial" w:hAnsi="Arial" w:cs="Arial"/>
                <w:color w:val="000000"/>
                <w:sz w:val="20"/>
                <w:szCs w:val="20"/>
              </w:rPr>
            </w:pPr>
          </w:p>
        </w:tc>
      </w:tr>
      <w:tr w:rsidR="00023F0D" w14:paraId="4DA6A30E" w14:textId="77777777" w:rsidTr="009E6B3D">
        <w:trPr>
          <w:trHeight w:val="255"/>
        </w:trPr>
        <w:tc>
          <w:tcPr>
            <w:tcW w:w="1738" w:type="dxa"/>
            <w:tcBorders>
              <w:top w:val="nil"/>
              <w:left w:val="nil"/>
              <w:bottom w:val="nil"/>
              <w:right w:val="nil"/>
            </w:tcBorders>
            <w:shd w:val="clear" w:color="auto" w:fill="auto"/>
            <w:noWrap/>
            <w:vAlign w:val="bottom"/>
            <w:hideMark/>
          </w:tcPr>
          <w:p w14:paraId="29BE4E7F" w14:textId="77777777" w:rsidR="00023F0D" w:rsidRDefault="00023F0D" w:rsidP="000914A2">
            <w:pPr>
              <w:rPr>
                <w:rFonts w:ascii="Arial" w:hAnsi="Arial" w:cs="Arial"/>
                <w:color w:val="000000"/>
                <w:sz w:val="20"/>
                <w:szCs w:val="20"/>
              </w:rPr>
            </w:pPr>
            <w:r>
              <w:rPr>
                <w:rFonts w:ascii="Arial" w:hAnsi="Arial" w:cs="Arial"/>
                <w:color w:val="000000"/>
                <w:sz w:val="20"/>
                <w:szCs w:val="20"/>
              </w:rPr>
              <w:t>Fund Y</w:t>
            </w:r>
          </w:p>
        </w:tc>
        <w:tc>
          <w:tcPr>
            <w:tcW w:w="1294" w:type="dxa"/>
            <w:tcBorders>
              <w:top w:val="nil"/>
              <w:left w:val="nil"/>
              <w:bottom w:val="nil"/>
              <w:right w:val="nil"/>
            </w:tcBorders>
            <w:shd w:val="clear" w:color="auto" w:fill="auto"/>
            <w:noWrap/>
            <w:vAlign w:val="bottom"/>
            <w:hideMark/>
          </w:tcPr>
          <w:p w14:paraId="04D62446"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$1,000,000</w:t>
            </w:r>
          </w:p>
        </w:tc>
        <w:tc>
          <w:tcPr>
            <w:tcW w:w="1573" w:type="dxa"/>
            <w:tcBorders>
              <w:top w:val="nil"/>
              <w:left w:val="nil"/>
              <w:bottom w:val="nil"/>
              <w:right w:val="nil"/>
            </w:tcBorders>
            <w:shd w:val="clear" w:color="auto" w:fill="auto"/>
            <w:noWrap/>
            <w:vAlign w:val="bottom"/>
            <w:hideMark/>
          </w:tcPr>
          <w:p w14:paraId="263A4582"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$800,000</w:t>
            </w:r>
          </w:p>
        </w:tc>
        <w:tc>
          <w:tcPr>
            <w:tcW w:w="1477" w:type="dxa"/>
            <w:tcBorders>
              <w:top w:val="nil"/>
              <w:left w:val="nil"/>
              <w:bottom w:val="nil"/>
              <w:right w:val="nil"/>
            </w:tcBorders>
            <w:shd w:val="clear" w:color="auto" w:fill="auto"/>
            <w:noWrap/>
            <w:vAlign w:val="bottom"/>
            <w:hideMark/>
          </w:tcPr>
          <w:p w14:paraId="248948EC"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$900,000</w:t>
            </w:r>
          </w:p>
        </w:tc>
        <w:tc>
          <w:tcPr>
            <w:tcW w:w="1527" w:type="dxa"/>
            <w:tcBorders>
              <w:top w:val="nil"/>
              <w:left w:val="nil"/>
              <w:bottom w:val="nil"/>
              <w:right w:val="nil"/>
            </w:tcBorders>
            <w:shd w:val="clear" w:color="auto" w:fill="auto"/>
            <w:noWrap/>
            <w:vAlign w:val="bottom"/>
          </w:tcPr>
          <w:p w14:paraId="41BF3E28"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$900,000</w:t>
            </w:r>
          </w:p>
        </w:tc>
        <w:tc>
          <w:tcPr>
            <w:tcW w:w="1781" w:type="dxa"/>
            <w:tcBorders>
              <w:top w:val="nil"/>
              <w:left w:val="nil"/>
              <w:bottom w:val="nil"/>
              <w:right w:val="nil"/>
            </w:tcBorders>
            <w:shd w:val="clear" w:color="auto" w:fill="auto"/>
            <w:noWrap/>
            <w:vAlign w:val="bottom"/>
          </w:tcPr>
          <w:p w14:paraId="60C055C0" w14:textId="77777777" w:rsidR="00023F0D" w:rsidRDefault="00023F0D" w:rsidP="000914A2">
            <w:pPr>
              <w:jc w:val="right"/>
              <w:rPr>
                <w:rFonts w:ascii="Arial" w:hAnsi="Arial" w:cs="Arial"/>
                <w:color w:val="000000"/>
                <w:sz w:val="20"/>
                <w:szCs w:val="20"/>
              </w:rPr>
            </w:pPr>
          </w:p>
        </w:tc>
      </w:tr>
      <w:tr w:rsidR="00023F0D" w14:paraId="633B552E" w14:textId="77777777" w:rsidTr="009E6B3D">
        <w:trPr>
          <w:trHeight w:val="255"/>
        </w:trPr>
        <w:tc>
          <w:tcPr>
            <w:tcW w:w="1738" w:type="dxa"/>
            <w:tcBorders>
              <w:top w:val="nil"/>
              <w:left w:val="nil"/>
              <w:bottom w:val="nil"/>
              <w:right w:val="nil"/>
            </w:tcBorders>
            <w:shd w:val="clear" w:color="auto" w:fill="auto"/>
            <w:noWrap/>
            <w:vAlign w:val="bottom"/>
            <w:hideMark/>
          </w:tcPr>
          <w:p w14:paraId="0CCA370A" w14:textId="77777777" w:rsidR="00023F0D" w:rsidRDefault="00023F0D" w:rsidP="000914A2">
            <w:pPr>
              <w:rPr>
                <w:rFonts w:ascii="Arial" w:hAnsi="Arial" w:cs="Arial"/>
                <w:color w:val="000000"/>
                <w:sz w:val="20"/>
                <w:szCs w:val="20"/>
              </w:rPr>
            </w:pPr>
            <w:r>
              <w:rPr>
                <w:rFonts w:ascii="Arial" w:hAnsi="Arial" w:cs="Arial"/>
                <w:color w:val="000000"/>
                <w:sz w:val="20"/>
                <w:szCs w:val="20"/>
              </w:rPr>
              <w:t>Fund Z</w:t>
            </w:r>
          </w:p>
        </w:tc>
        <w:tc>
          <w:tcPr>
            <w:tcW w:w="1294" w:type="dxa"/>
            <w:tcBorders>
              <w:top w:val="nil"/>
              <w:left w:val="nil"/>
              <w:bottom w:val="nil"/>
              <w:right w:val="nil"/>
            </w:tcBorders>
            <w:shd w:val="clear" w:color="auto" w:fill="auto"/>
            <w:noWrap/>
            <w:vAlign w:val="bottom"/>
            <w:hideMark/>
          </w:tcPr>
          <w:p w14:paraId="44AE4423"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$500,000</w:t>
            </w:r>
          </w:p>
        </w:tc>
        <w:tc>
          <w:tcPr>
            <w:tcW w:w="1573" w:type="dxa"/>
            <w:tcBorders>
              <w:top w:val="nil"/>
              <w:left w:val="nil"/>
              <w:bottom w:val="nil"/>
              <w:right w:val="nil"/>
            </w:tcBorders>
            <w:shd w:val="clear" w:color="auto" w:fill="auto"/>
            <w:noWrap/>
            <w:vAlign w:val="bottom"/>
            <w:hideMark/>
          </w:tcPr>
          <w:p w14:paraId="6C78D3D2"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$400,000</w:t>
            </w:r>
          </w:p>
        </w:tc>
        <w:tc>
          <w:tcPr>
            <w:tcW w:w="1477" w:type="dxa"/>
            <w:tcBorders>
              <w:top w:val="nil"/>
              <w:left w:val="nil"/>
              <w:bottom w:val="nil"/>
              <w:right w:val="nil"/>
            </w:tcBorders>
            <w:shd w:val="clear" w:color="auto" w:fill="auto"/>
            <w:noWrap/>
            <w:vAlign w:val="bottom"/>
            <w:hideMark/>
          </w:tcPr>
          <w:p w14:paraId="726308B6"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$450,000</w:t>
            </w:r>
          </w:p>
        </w:tc>
        <w:tc>
          <w:tcPr>
            <w:tcW w:w="1527" w:type="dxa"/>
            <w:tcBorders>
              <w:top w:val="nil"/>
              <w:left w:val="nil"/>
              <w:bottom w:val="nil"/>
              <w:right w:val="nil"/>
            </w:tcBorders>
            <w:shd w:val="clear" w:color="auto" w:fill="auto"/>
            <w:noWrap/>
            <w:vAlign w:val="bottom"/>
          </w:tcPr>
          <w:p w14:paraId="5C521DD5"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$450,000</w:t>
            </w:r>
          </w:p>
        </w:tc>
        <w:tc>
          <w:tcPr>
            <w:tcW w:w="1781" w:type="dxa"/>
            <w:tcBorders>
              <w:top w:val="nil"/>
              <w:left w:val="nil"/>
              <w:bottom w:val="nil"/>
              <w:right w:val="nil"/>
            </w:tcBorders>
            <w:shd w:val="clear" w:color="auto" w:fill="auto"/>
            <w:noWrap/>
            <w:vAlign w:val="bottom"/>
          </w:tcPr>
          <w:p w14:paraId="554F6DFD" w14:textId="77777777" w:rsidR="00023F0D" w:rsidRDefault="00023F0D" w:rsidP="000914A2">
            <w:pPr>
              <w:jc w:val="right"/>
              <w:rPr>
                <w:rFonts w:ascii="Arial" w:hAnsi="Arial" w:cs="Arial"/>
                <w:color w:val="000000"/>
                <w:sz w:val="20"/>
                <w:szCs w:val="20"/>
              </w:rPr>
            </w:pPr>
          </w:p>
        </w:tc>
      </w:tr>
      <w:tr w:rsidR="00023F0D" w14:paraId="523ECFEC" w14:textId="77777777" w:rsidTr="009E6B3D">
        <w:trPr>
          <w:trHeight w:val="255"/>
        </w:trPr>
        <w:tc>
          <w:tcPr>
            <w:tcW w:w="1738" w:type="dxa"/>
            <w:tcBorders>
              <w:top w:val="nil"/>
              <w:left w:val="nil"/>
              <w:bottom w:val="nil"/>
              <w:right w:val="nil"/>
            </w:tcBorders>
            <w:shd w:val="clear" w:color="auto" w:fill="auto"/>
            <w:noWrap/>
            <w:vAlign w:val="bottom"/>
            <w:hideMark/>
          </w:tcPr>
          <w:p w14:paraId="763FB07B" w14:textId="77777777" w:rsidR="00023F0D" w:rsidRPr="00E3564C" w:rsidRDefault="00023F0D" w:rsidP="000914A2">
            <w:pPr>
              <w:rPr>
                <w:rFonts w:ascii="Arial" w:hAnsi="Arial" w:cs="Arial"/>
                <w:b/>
                <w:color w:val="000000"/>
                <w:sz w:val="20"/>
                <w:szCs w:val="20"/>
              </w:rPr>
            </w:pPr>
            <w:r w:rsidRPr="00E3564C">
              <w:rPr>
                <w:rFonts w:ascii="Arial" w:hAnsi="Arial" w:cs="Arial"/>
                <w:b/>
                <w:color w:val="000000"/>
                <w:sz w:val="20"/>
                <w:szCs w:val="20"/>
              </w:rPr>
              <w:t>Total</w:t>
            </w:r>
          </w:p>
        </w:tc>
        <w:tc>
          <w:tcPr>
            <w:tcW w:w="1294" w:type="dxa"/>
            <w:tcBorders>
              <w:top w:val="nil"/>
              <w:left w:val="nil"/>
              <w:bottom w:val="nil"/>
              <w:right w:val="nil"/>
            </w:tcBorders>
            <w:shd w:val="clear" w:color="auto" w:fill="auto"/>
            <w:noWrap/>
            <w:vAlign w:val="bottom"/>
            <w:hideMark/>
          </w:tcPr>
          <w:p w14:paraId="046258AC"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$3,300,000</w:t>
            </w:r>
          </w:p>
        </w:tc>
        <w:tc>
          <w:tcPr>
            <w:tcW w:w="1573" w:type="dxa"/>
            <w:tcBorders>
              <w:top w:val="nil"/>
              <w:left w:val="nil"/>
              <w:bottom w:val="nil"/>
              <w:right w:val="nil"/>
            </w:tcBorders>
            <w:shd w:val="clear" w:color="auto" w:fill="auto"/>
            <w:noWrap/>
            <w:vAlign w:val="bottom"/>
            <w:hideMark/>
          </w:tcPr>
          <w:p w14:paraId="4BF066DF" w14:textId="77777777" w:rsidR="00023F0D" w:rsidRDefault="00023F0D" w:rsidP="000914A2">
            <w:pPr>
              <w:jc w:val="right"/>
              <w:rPr>
                <w:rFonts w:ascii="Arial" w:hAnsi="Arial" w:cs="Arial"/>
                <w:color w:val="000000"/>
                <w:sz w:val="20"/>
                <w:szCs w:val="20"/>
              </w:rPr>
            </w:pPr>
            <w:r>
              <w:rPr>
                <w:rFonts w:ascii="Arial" w:hAnsi="Arial" w:cs="Arial"/>
                <w:color w:val="000000"/>
                <w:sz w:val="20"/>
                <w:szCs w:val="20"/>
              </w:rPr>
              <w:t>$4,000,000</w:t>
            </w:r>
          </w:p>
        </w:tc>
        <w:tc>
          <w:tcPr>
            <w:tcW w:w="1477" w:type="dxa"/>
            <w:tcBorders>
              <w:top w:val="nil"/>
              <w:left w:val="nil"/>
              <w:bottom w:val="nil"/>
              <w:right w:val="nil"/>
            </w:tcBorders>
            <w:shd w:val="clear" w:color="auto" w:fill="auto"/>
            <w:noWrap/>
            <w:vAlign w:val="bottom"/>
            <w:hideMark/>
          </w:tcPr>
          <w:p w14:paraId="60A74F2D" w14:textId="77777777" w:rsidR="00023F0D" w:rsidRDefault="00023F0D" w:rsidP="000914A2">
            <w:pPr>
              <w:jc w:val="right"/>
              <w:rPr>
                <w:rFonts w:ascii="Arial" w:hAnsi="Arial" w:cs="Arial"/>
                <w:b/>
                <w:bCs/>
                <w:color w:val="000000"/>
                <w:sz w:val="20"/>
                <w:szCs w:val="20"/>
              </w:rPr>
            </w:pPr>
            <w:r>
              <w:rPr>
                <w:rFonts w:ascii="Arial" w:hAnsi="Arial" w:cs="Arial"/>
                <w:b/>
                <w:bCs/>
                <w:color w:val="000000"/>
                <w:sz w:val="20"/>
                <w:szCs w:val="20"/>
              </w:rPr>
              <w:t>$3,650,000</w:t>
            </w:r>
          </w:p>
        </w:tc>
        <w:tc>
          <w:tcPr>
            <w:tcW w:w="1527" w:type="dxa"/>
            <w:tcBorders>
              <w:top w:val="nil"/>
              <w:left w:val="nil"/>
              <w:bottom w:val="nil"/>
              <w:right w:val="nil"/>
            </w:tcBorders>
            <w:shd w:val="clear" w:color="auto" w:fill="auto"/>
            <w:noWrap/>
            <w:vAlign w:val="bottom"/>
          </w:tcPr>
          <w:p w14:paraId="0D956D35" w14:textId="77777777" w:rsidR="00023F0D" w:rsidRPr="00023F0D" w:rsidRDefault="00023F0D" w:rsidP="000914A2">
            <w:pPr>
              <w:jc w:val="right"/>
              <w:rPr>
                <w:rFonts w:ascii="Arial" w:hAnsi="Arial" w:cs="Arial"/>
                <w:b/>
                <w:bCs/>
                <w:i/>
                <w:color w:val="000000"/>
                <w:sz w:val="20"/>
                <w:szCs w:val="20"/>
              </w:rPr>
            </w:pPr>
            <w:r w:rsidRPr="00023F0D">
              <w:rPr>
                <w:rFonts w:ascii="Arial" w:hAnsi="Arial" w:cs="Arial"/>
                <w:b/>
                <w:bCs/>
                <w:i/>
                <w:color w:val="000000"/>
                <w:sz w:val="20"/>
                <w:szCs w:val="20"/>
              </w:rPr>
              <w:t>$3,850,000</w:t>
            </w:r>
          </w:p>
        </w:tc>
        <w:tc>
          <w:tcPr>
            <w:tcW w:w="1781" w:type="dxa"/>
            <w:tcBorders>
              <w:top w:val="nil"/>
              <w:left w:val="nil"/>
              <w:bottom w:val="nil"/>
              <w:right w:val="nil"/>
            </w:tcBorders>
            <w:shd w:val="clear" w:color="auto" w:fill="auto"/>
            <w:noWrap/>
            <w:vAlign w:val="bottom"/>
          </w:tcPr>
          <w:p w14:paraId="388B4765" w14:textId="77777777" w:rsidR="00023F0D" w:rsidRDefault="00023F0D" w:rsidP="000914A2">
            <w:pPr>
              <w:jc w:val="right"/>
              <w:rPr>
                <w:rFonts w:ascii="Arial" w:hAnsi="Arial" w:cs="Arial"/>
                <w:b/>
                <w:bCs/>
                <w:color w:val="000000"/>
                <w:sz w:val="20"/>
                <w:szCs w:val="20"/>
              </w:rPr>
            </w:pPr>
          </w:p>
        </w:tc>
      </w:tr>
    </w:tbl>
    <w:p w14:paraId="4EBB6F98" w14:textId="77777777" w:rsidR="00E3564C" w:rsidRDefault="00E3564C" w:rsidP="00DB1EED">
      <w:pPr>
        <w:autoSpaceDE w:val="0"/>
        <w:autoSpaceDN w:val="0"/>
        <w:adjustRightInd w:val="0"/>
        <w:spacing w:line="360" w:lineRule="auto"/>
        <w:ind w:firstLine="720"/>
        <w:jc w:val="both"/>
        <w:rPr>
          <w:rFonts w:ascii="Calibri" w:hAnsi="Calibri" w:cs="Helv"/>
          <w:bCs/>
          <w:color w:val="000000"/>
        </w:rPr>
      </w:pPr>
    </w:p>
    <w:p w14:paraId="07B4F26A" w14:textId="77777777" w:rsidR="00DB1EED" w:rsidRPr="00216B70"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 xml:space="preserve">Now let’s contrast if Mary makes a </w:t>
      </w:r>
      <w:r w:rsidRPr="00216B70">
        <w:rPr>
          <w:rFonts w:ascii="Calibri" w:hAnsi="Calibri" w:cs="Helv"/>
          <w:b/>
          <w:bCs/>
          <w:color w:val="000000"/>
        </w:rPr>
        <w:t>qualified disclaimer</w:t>
      </w:r>
      <w:r w:rsidRPr="00216B70">
        <w:rPr>
          <w:rFonts w:ascii="Calibri" w:hAnsi="Calibri" w:cs="Helv"/>
          <w:bCs/>
          <w:color w:val="000000"/>
        </w:rPr>
        <w:t xml:space="preserve"> </w:t>
      </w:r>
      <w:r w:rsidRPr="00216B70">
        <w:rPr>
          <w:rFonts w:ascii="Calibri" w:hAnsi="Calibri" w:cs="Helv"/>
          <w:b/>
          <w:bCs/>
          <w:color w:val="000000"/>
        </w:rPr>
        <w:t>of Fund X</w:t>
      </w:r>
      <w:r w:rsidRPr="00216B70">
        <w:rPr>
          <w:rFonts w:ascii="Calibri" w:hAnsi="Calibri" w:cs="Helv"/>
          <w:bCs/>
          <w:color w:val="000000"/>
        </w:rPr>
        <w:t>.  Despite being a joint account, she is permitted to disclaim up to the entire account, because she made no contributions to it.</w:t>
      </w:r>
      <w:r w:rsidRPr="00216B70">
        <w:rPr>
          <w:rFonts w:ascii="Calibri" w:hAnsi="Calibri" w:cs="Helv"/>
          <w:bCs/>
          <w:color w:val="000000"/>
          <w:vertAlign w:val="superscript"/>
        </w:rPr>
        <w:footnoteReference w:id="171"/>
      </w:r>
      <w:r w:rsidRPr="00216B70">
        <w:rPr>
          <w:rFonts w:ascii="Calibri" w:hAnsi="Calibri" w:cs="Helv"/>
          <w:bCs/>
          <w:color w:val="000000"/>
        </w:rPr>
        <w:t xml:space="preserve"> She cannot disclaim any of Funds Q and Z to which she made all the contributions.</w:t>
      </w:r>
      <w:r w:rsidRPr="00216B70">
        <w:rPr>
          <w:rFonts w:ascii="Calibri" w:hAnsi="Calibri" w:cs="Helv"/>
          <w:bCs/>
          <w:color w:val="000000"/>
          <w:vertAlign w:val="superscript"/>
        </w:rPr>
        <w:footnoteReference w:id="172"/>
      </w:r>
      <w:r w:rsidRPr="00216B70">
        <w:rPr>
          <w:rFonts w:ascii="Calibri" w:hAnsi="Calibri" w:cs="Helv"/>
          <w:bCs/>
          <w:color w:val="000000"/>
        </w:rPr>
        <w:t xml:space="preserve"> She could disclaim Fund Y, but as we shall see, this has no income tax advantage to her.  Upon disclaimer, Fund X is not merely 50 percent included in John’s gross </w:t>
      </w:r>
      <w:r w:rsidRPr="00216B70">
        <w:rPr>
          <w:rFonts w:ascii="Calibri" w:hAnsi="Calibri" w:cs="Helv"/>
          <w:bCs/>
          <w:color w:val="000000"/>
        </w:rPr>
        <w:lastRenderedPageBreak/>
        <w:t xml:space="preserve">estate pursuant to </w:t>
      </w:r>
      <w:r w:rsidR="00023F0D">
        <w:rPr>
          <w:rFonts w:ascii="Calibri" w:hAnsi="Calibri" w:cs="Helv"/>
          <w:bCs/>
          <w:color w:val="000000"/>
        </w:rPr>
        <w:t>IRC §</w:t>
      </w:r>
      <w:r w:rsidRPr="00216B70">
        <w:rPr>
          <w:rFonts w:ascii="Calibri" w:hAnsi="Calibri" w:cs="Helv"/>
          <w:bCs/>
          <w:color w:val="000000"/>
        </w:rPr>
        <w:t xml:space="preserve">2040 for joint accounts.  Because </w:t>
      </w:r>
      <w:r w:rsidR="00023F0D">
        <w:rPr>
          <w:rFonts w:ascii="Calibri" w:hAnsi="Calibri" w:cs="Helv"/>
          <w:bCs/>
          <w:color w:val="000000"/>
        </w:rPr>
        <w:t>IRC §</w:t>
      </w:r>
      <w:r w:rsidRPr="00216B70">
        <w:rPr>
          <w:rFonts w:ascii="Calibri" w:hAnsi="Calibri" w:cs="Helv"/>
          <w:bCs/>
          <w:color w:val="000000"/>
        </w:rPr>
        <w:t xml:space="preserve"> 2518 permitted Mary to disclaim 1</w:t>
      </w:r>
      <w:r w:rsidR="00C76DA0">
        <w:rPr>
          <w:rFonts w:ascii="Calibri" w:hAnsi="Calibri" w:cs="Helv"/>
          <w:bCs/>
          <w:color w:val="000000"/>
        </w:rPr>
        <w:t xml:space="preserve">00% of Fund X, it is 100% </w:t>
      </w:r>
      <w:r w:rsidRPr="00216B70">
        <w:rPr>
          <w:rFonts w:ascii="Calibri" w:hAnsi="Calibri" w:cs="Helv"/>
          <w:bCs/>
          <w:color w:val="000000"/>
        </w:rPr>
        <w:t xml:space="preserve">included in John’s gross estate under </w:t>
      </w:r>
      <w:r w:rsidR="00B43ED3">
        <w:rPr>
          <w:rFonts w:ascii="Calibri" w:hAnsi="Calibri" w:cs="Helv"/>
          <w:bCs/>
          <w:color w:val="000000"/>
        </w:rPr>
        <w:t>IRC §</w:t>
      </w:r>
      <w:r w:rsidRPr="00216B70">
        <w:rPr>
          <w:rFonts w:ascii="Calibri" w:hAnsi="Calibri" w:cs="Helv"/>
          <w:bCs/>
          <w:color w:val="000000"/>
        </w:rPr>
        <w:t>2033.</w:t>
      </w:r>
      <w:r w:rsidRPr="00216B70">
        <w:rPr>
          <w:rFonts w:ascii="Calibri" w:hAnsi="Calibri" w:cs="Helv"/>
          <w:bCs/>
          <w:color w:val="000000"/>
          <w:vertAlign w:val="superscript"/>
        </w:rPr>
        <w:footnoteReference w:id="173"/>
      </w:r>
      <w:r w:rsidRPr="00216B70">
        <w:rPr>
          <w:rFonts w:ascii="Calibri" w:hAnsi="Calibri" w:cs="Helv"/>
          <w:bCs/>
          <w:color w:val="000000"/>
        </w:rPr>
        <w:t xml:space="preserve">  Remember that, a</w:t>
      </w:r>
      <w:r w:rsidR="00C76DA0">
        <w:rPr>
          <w:rFonts w:ascii="Calibri" w:hAnsi="Calibri" w:cs="Helv"/>
          <w:bCs/>
          <w:color w:val="000000"/>
        </w:rPr>
        <w:t>s a surviving spouse, Mary would probably</w:t>
      </w:r>
      <w:r w:rsidRPr="00216B70">
        <w:rPr>
          <w:rFonts w:ascii="Calibri" w:hAnsi="Calibri" w:cs="Helv"/>
          <w:bCs/>
          <w:color w:val="000000"/>
        </w:rPr>
        <w:t xml:space="preserve"> still receive the property outright under the will, or might receive the property in a bypass or marital trust through a pour over will clause.</w:t>
      </w:r>
      <w:r w:rsidRPr="00216B70">
        <w:rPr>
          <w:rFonts w:ascii="Calibri" w:hAnsi="Calibri" w:cs="Helv"/>
          <w:bCs/>
          <w:color w:val="000000"/>
          <w:vertAlign w:val="superscript"/>
        </w:rPr>
        <w:footnoteReference w:id="174"/>
      </w:r>
      <w:r w:rsidRPr="00216B70">
        <w:rPr>
          <w:rFonts w:ascii="Calibri" w:hAnsi="Calibri" w:cs="Helv"/>
          <w:bCs/>
          <w:color w:val="000000"/>
        </w:rPr>
        <w:t xml:space="preserve">    The basis in Fund X is now $1.2 million rather than $1 million – an increased basis of $200,000.  Mary’s total basis in the four funds is $3.85 million</w:t>
      </w:r>
      <w:r w:rsidR="00B43ED3">
        <w:rPr>
          <w:rFonts w:ascii="Calibri" w:hAnsi="Calibri" w:cs="Helv"/>
          <w:bCs/>
          <w:color w:val="000000"/>
        </w:rPr>
        <w:t xml:space="preserve"> (column 4 in chart above)</w:t>
      </w:r>
      <w:r w:rsidRPr="00216B70">
        <w:rPr>
          <w:rFonts w:ascii="Calibri" w:hAnsi="Calibri" w:cs="Helv"/>
          <w:bCs/>
          <w:color w:val="000000"/>
        </w:rPr>
        <w:t>.   Should Mary (or her trust) later sell some or all of the shares of Fund X, this creative use of qualified disclaimers may save over $60,000 in tax ($200,000 additional b</w:t>
      </w:r>
      <w:r w:rsidR="00C76DA0">
        <w:rPr>
          <w:rFonts w:ascii="Calibri" w:hAnsi="Calibri" w:cs="Helv"/>
          <w:bCs/>
          <w:color w:val="000000"/>
        </w:rPr>
        <w:t>asis times 23.8%, plus state – it could be 8% higher if collectibles are in the account, such as a gold ETF</w:t>
      </w:r>
      <w:r w:rsidRPr="00216B70">
        <w:rPr>
          <w:rFonts w:ascii="Calibri" w:hAnsi="Calibri" w:cs="Helv"/>
          <w:bCs/>
          <w:color w:val="000000"/>
        </w:rPr>
        <w:t xml:space="preserve">). </w:t>
      </w:r>
    </w:p>
    <w:p w14:paraId="5B852B06" w14:textId="77777777" w:rsidR="00DB1EED" w:rsidRPr="00216B70"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Any amounts passing to Mary or to a qualifying marital trust can still qualify for the marital deduction and permit the deceased spousal unused exclusion amount to be “ported.”</w:t>
      </w:r>
    </w:p>
    <w:p w14:paraId="1ED06A2F" w14:textId="77777777" w:rsidR="00DB1EED" w:rsidRPr="00216B70"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 xml:space="preserve">Let’s reverse the order of deaths in our example.  Should Mary die first, John can make a qualified disclaimer of Fund Q.  </w:t>
      </w:r>
      <w:r w:rsidR="00B43ED3">
        <w:rPr>
          <w:rFonts w:ascii="Calibri" w:hAnsi="Calibri" w:cs="Helv"/>
          <w:bCs/>
          <w:color w:val="000000"/>
        </w:rPr>
        <w:t>100%</w:t>
      </w:r>
      <w:r w:rsidRPr="00216B70">
        <w:rPr>
          <w:rFonts w:ascii="Calibri" w:hAnsi="Calibri" w:cs="Helv"/>
          <w:bCs/>
          <w:color w:val="000000"/>
        </w:rPr>
        <w:t xml:space="preserve"> of Fund Q would thus be included in Mary’s gross estate.  Therefore</w:t>
      </w:r>
      <w:r w:rsidR="004D2DF7">
        <w:rPr>
          <w:rFonts w:ascii="Calibri" w:hAnsi="Calibri" w:cs="Helv"/>
          <w:bCs/>
          <w:color w:val="000000"/>
        </w:rPr>
        <w:t>,</w:t>
      </w:r>
      <w:r w:rsidRPr="00216B70">
        <w:rPr>
          <w:rFonts w:ascii="Calibri" w:hAnsi="Calibri" w:cs="Helv"/>
          <w:bCs/>
          <w:color w:val="000000"/>
        </w:rPr>
        <w:t xml:space="preserve"> its basis would increase by $600,000 to $1.6 million (an additional </w:t>
      </w:r>
      <w:r w:rsidRPr="00B43ED3">
        <w:rPr>
          <w:rFonts w:ascii="Calibri" w:hAnsi="Calibri" w:cs="Helv"/>
          <w:bCs/>
          <w:i/>
          <w:color w:val="000000"/>
        </w:rPr>
        <w:t>$300,000 more basis</w:t>
      </w:r>
      <w:r w:rsidRPr="00216B70">
        <w:rPr>
          <w:rFonts w:ascii="Calibri" w:hAnsi="Calibri" w:cs="Helv"/>
          <w:bCs/>
          <w:color w:val="000000"/>
        </w:rPr>
        <w:t xml:space="preserve"> than had John done nothing and received the assets under survivorship).  John’s total basis in the four funds would be $3.95 million</w:t>
      </w:r>
      <w:r w:rsidR="00B43ED3">
        <w:rPr>
          <w:rFonts w:ascii="Calibri" w:hAnsi="Calibri" w:cs="Helv"/>
          <w:bCs/>
          <w:color w:val="000000"/>
        </w:rPr>
        <w:t>, not $3.65 million</w:t>
      </w:r>
      <w:r w:rsidR="00C76DA0">
        <w:rPr>
          <w:rFonts w:ascii="Calibri" w:hAnsi="Calibri" w:cs="Helv"/>
          <w:bCs/>
          <w:color w:val="000000"/>
        </w:rPr>
        <w:t xml:space="preserve">.  A disclaimer under this order of death </w:t>
      </w:r>
      <w:r w:rsidRPr="00216B70">
        <w:rPr>
          <w:rFonts w:ascii="Calibri" w:hAnsi="Calibri" w:cs="Helv"/>
          <w:bCs/>
          <w:color w:val="000000"/>
        </w:rPr>
        <w:t>save</w:t>
      </w:r>
      <w:r w:rsidR="00C76DA0">
        <w:rPr>
          <w:rFonts w:ascii="Calibri" w:hAnsi="Calibri" w:cs="Helv"/>
          <w:bCs/>
          <w:color w:val="000000"/>
        </w:rPr>
        <w:t>s</w:t>
      </w:r>
      <w:r w:rsidRPr="00216B70">
        <w:rPr>
          <w:rFonts w:ascii="Calibri" w:hAnsi="Calibri" w:cs="Helv"/>
          <w:bCs/>
          <w:color w:val="000000"/>
        </w:rPr>
        <w:t xml:space="preserve"> even more</w:t>
      </w:r>
      <w:r w:rsidR="00C76DA0">
        <w:rPr>
          <w:rFonts w:ascii="Calibri" w:hAnsi="Calibri" w:cs="Helv"/>
          <w:bCs/>
          <w:color w:val="000000"/>
        </w:rPr>
        <w:t xml:space="preserve"> (adds more basis)</w:t>
      </w:r>
      <w:r w:rsidRPr="00216B70">
        <w:rPr>
          <w:rFonts w:ascii="Calibri" w:hAnsi="Calibri" w:cs="Helv"/>
          <w:bCs/>
          <w:color w:val="000000"/>
        </w:rPr>
        <w:t xml:space="preserve"> than if John had died first</w:t>
      </w:r>
      <w:r w:rsidR="00C76DA0">
        <w:rPr>
          <w:rFonts w:ascii="Calibri" w:hAnsi="Calibri" w:cs="Helv"/>
          <w:bCs/>
          <w:color w:val="000000"/>
        </w:rPr>
        <w:t>.</w:t>
      </w:r>
      <w:r w:rsidRPr="00216B70">
        <w:rPr>
          <w:rFonts w:ascii="Calibri" w:hAnsi="Calibri" w:cs="Helv"/>
          <w:bCs/>
          <w:color w:val="000000"/>
        </w:rPr>
        <w:t xml:space="preserve">  </w:t>
      </w:r>
    </w:p>
    <w:p w14:paraId="3C866138" w14:textId="77777777" w:rsidR="00DB1EED" w:rsidRPr="00216B70"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Note that in these two situations the basis is increased using qualified disclaimers almost as much as it would have been had the acc</w:t>
      </w:r>
      <w:r w:rsidR="00B43ED3">
        <w:rPr>
          <w:rFonts w:ascii="Calibri" w:hAnsi="Calibri" w:cs="Helv"/>
          <w:bCs/>
          <w:color w:val="000000"/>
        </w:rPr>
        <w:t>ounts been community property, and surprisingly in many cases can yield a better result</w:t>
      </w:r>
      <w:r w:rsidRPr="00216B70">
        <w:rPr>
          <w:rFonts w:ascii="Calibri" w:hAnsi="Calibri" w:cs="Helv"/>
          <w:bCs/>
          <w:color w:val="000000"/>
        </w:rPr>
        <w:t xml:space="preserve">.  Imagine John were the breadwinner and provided </w:t>
      </w:r>
      <w:r w:rsidRPr="00B43ED3">
        <w:rPr>
          <w:rFonts w:ascii="Calibri" w:hAnsi="Calibri" w:cs="Helv"/>
          <w:bCs/>
          <w:i/>
          <w:color w:val="000000"/>
        </w:rPr>
        <w:t>all the funding</w:t>
      </w:r>
      <w:r w:rsidRPr="00216B70">
        <w:rPr>
          <w:rFonts w:ascii="Calibri" w:hAnsi="Calibri" w:cs="Helv"/>
          <w:bCs/>
          <w:color w:val="000000"/>
        </w:rPr>
        <w:t xml:space="preserve"> for the above accounts and died first (not an uncommon scenario).  Mary would disclaim Funds X and Q, permitting a full step up in basis to $1.2 million and $1.6 million, yet her keeping Funds Y and Z as joint accounts taxed under </w:t>
      </w:r>
      <w:r w:rsidR="00E3564C">
        <w:rPr>
          <w:rFonts w:ascii="Calibri" w:hAnsi="Calibri" w:cs="Helv"/>
          <w:bCs/>
          <w:color w:val="000000"/>
        </w:rPr>
        <w:t>IRC §</w:t>
      </w:r>
      <w:r w:rsidRPr="00216B70">
        <w:rPr>
          <w:rFonts w:ascii="Calibri" w:hAnsi="Calibri" w:cs="Helv"/>
          <w:bCs/>
          <w:color w:val="000000"/>
        </w:rPr>
        <w:t xml:space="preserve"> 2040 enables the step down in basis for those funds to be limited (new basis $900,000 and $450,000 respectively), leading to a total basis of $4.15 million – </w:t>
      </w:r>
      <w:r w:rsidRPr="00216B70">
        <w:rPr>
          <w:rFonts w:ascii="Calibri" w:hAnsi="Calibri" w:cs="Helv"/>
          <w:bCs/>
          <w:i/>
          <w:color w:val="000000"/>
        </w:rPr>
        <w:t>higher than the fair market value at the date of death</w:t>
      </w:r>
      <w:r w:rsidR="00E3564C">
        <w:rPr>
          <w:rFonts w:ascii="Calibri" w:hAnsi="Calibri" w:cs="Helv"/>
          <w:bCs/>
          <w:i/>
          <w:color w:val="000000"/>
        </w:rPr>
        <w:t>, and higher than what would even be possible in a community property state</w:t>
      </w:r>
      <w:r w:rsidRPr="00216B70">
        <w:rPr>
          <w:rFonts w:ascii="Calibri" w:hAnsi="Calibri" w:cs="Helv"/>
          <w:bCs/>
          <w:color w:val="000000"/>
        </w:rPr>
        <w:t>.</w:t>
      </w:r>
    </w:p>
    <w:tbl>
      <w:tblPr>
        <w:tblW w:w="9390" w:type="dxa"/>
        <w:tblInd w:w="93" w:type="dxa"/>
        <w:tblLook w:val="04A0" w:firstRow="1" w:lastRow="0" w:firstColumn="1" w:lastColumn="0" w:noHBand="0" w:noVBand="1"/>
      </w:tblPr>
      <w:tblGrid>
        <w:gridCol w:w="1905"/>
        <w:gridCol w:w="1217"/>
        <w:gridCol w:w="1573"/>
        <w:gridCol w:w="1477"/>
        <w:gridCol w:w="1527"/>
        <w:gridCol w:w="1781"/>
      </w:tblGrid>
      <w:tr w:rsidR="00E3564C" w14:paraId="71117E84" w14:textId="77777777" w:rsidTr="00B43ED3">
        <w:trPr>
          <w:trHeight w:val="255"/>
        </w:trPr>
        <w:tc>
          <w:tcPr>
            <w:tcW w:w="1905" w:type="dxa"/>
            <w:tcBorders>
              <w:top w:val="nil"/>
              <w:left w:val="nil"/>
              <w:bottom w:val="nil"/>
              <w:right w:val="nil"/>
            </w:tcBorders>
            <w:shd w:val="clear" w:color="auto" w:fill="auto"/>
            <w:noWrap/>
            <w:vAlign w:val="bottom"/>
            <w:hideMark/>
          </w:tcPr>
          <w:p w14:paraId="0A4C7A83" w14:textId="77777777" w:rsidR="00E3564C" w:rsidRDefault="00E3564C" w:rsidP="00B43ED3">
            <w:pPr>
              <w:rPr>
                <w:rFonts w:ascii="Arial" w:hAnsi="Arial" w:cs="Arial"/>
                <w:b/>
                <w:bCs/>
                <w:color w:val="000000"/>
                <w:sz w:val="20"/>
                <w:szCs w:val="20"/>
              </w:rPr>
            </w:pPr>
            <w:r>
              <w:rPr>
                <w:rFonts w:ascii="Arial" w:hAnsi="Arial" w:cs="Arial"/>
                <w:b/>
                <w:bCs/>
                <w:color w:val="000000"/>
                <w:sz w:val="20"/>
                <w:szCs w:val="20"/>
              </w:rPr>
              <w:lastRenderedPageBreak/>
              <w:t xml:space="preserve">John </w:t>
            </w:r>
            <w:r w:rsidR="00B43ED3">
              <w:rPr>
                <w:rFonts w:ascii="Arial" w:hAnsi="Arial" w:cs="Arial"/>
                <w:b/>
                <w:bCs/>
                <w:color w:val="000000"/>
                <w:sz w:val="20"/>
                <w:szCs w:val="20"/>
              </w:rPr>
              <w:t>contributes</w:t>
            </w:r>
            <w:r w:rsidR="00023F0D">
              <w:rPr>
                <w:rFonts w:ascii="Arial" w:hAnsi="Arial" w:cs="Arial"/>
                <w:b/>
                <w:bCs/>
                <w:color w:val="000000"/>
                <w:sz w:val="20"/>
                <w:szCs w:val="20"/>
              </w:rPr>
              <w:t xml:space="preserve"> </w:t>
            </w:r>
            <w:r w:rsidR="00B43ED3">
              <w:rPr>
                <w:rFonts w:ascii="Arial" w:hAnsi="Arial" w:cs="Arial"/>
                <w:b/>
                <w:bCs/>
                <w:color w:val="000000"/>
                <w:sz w:val="20"/>
                <w:szCs w:val="20"/>
              </w:rPr>
              <w:t>100% of funds to</w:t>
            </w:r>
            <w:r>
              <w:rPr>
                <w:rFonts w:ascii="Arial" w:hAnsi="Arial" w:cs="Arial"/>
                <w:b/>
                <w:bCs/>
                <w:color w:val="000000"/>
                <w:sz w:val="20"/>
                <w:szCs w:val="20"/>
              </w:rPr>
              <w:t xml:space="preserve"> </w:t>
            </w:r>
          </w:p>
        </w:tc>
        <w:tc>
          <w:tcPr>
            <w:tcW w:w="1127" w:type="dxa"/>
            <w:tcBorders>
              <w:top w:val="nil"/>
              <w:left w:val="nil"/>
              <w:bottom w:val="nil"/>
              <w:right w:val="nil"/>
            </w:tcBorders>
            <w:shd w:val="clear" w:color="auto" w:fill="auto"/>
            <w:noWrap/>
            <w:vAlign w:val="bottom"/>
            <w:hideMark/>
          </w:tcPr>
          <w:p w14:paraId="3304ACE9"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Pre-Mortem</w:t>
            </w:r>
          </w:p>
        </w:tc>
        <w:tc>
          <w:tcPr>
            <w:tcW w:w="1573" w:type="dxa"/>
            <w:tcBorders>
              <w:top w:val="nil"/>
              <w:left w:val="nil"/>
              <w:bottom w:val="nil"/>
              <w:right w:val="nil"/>
            </w:tcBorders>
            <w:shd w:val="clear" w:color="auto" w:fill="auto"/>
            <w:noWrap/>
            <w:vAlign w:val="bottom"/>
            <w:hideMark/>
          </w:tcPr>
          <w:p w14:paraId="556A3EC2"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Date of John’s Death</w:t>
            </w:r>
          </w:p>
        </w:tc>
        <w:tc>
          <w:tcPr>
            <w:tcW w:w="1477" w:type="dxa"/>
            <w:tcBorders>
              <w:top w:val="nil"/>
              <w:left w:val="nil"/>
              <w:bottom w:val="nil"/>
              <w:right w:val="nil"/>
            </w:tcBorders>
            <w:shd w:val="clear" w:color="auto" w:fill="auto"/>
            <w:noWrap/>
            <w:vAlign w:val="bottom"/>
            <w:hideMark/>
          </w:tcPr>
          <w:p w14:paraId="67F689B1"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 xml:space="preserve">Basis at Death (doing </w:t>
            </w:r>
          </w:p>
        </w:tc>
        <w:tc>
          <w:tcPr>
            <w:tcW w:w="1527" w:type="dxa"/>
            <w:tcBorders>
              <w:top w:val="nil"/>
              <w:left w:val="nil"/>
              <w:bottom w:val="nil"/>
              <w:right w:val="nil"/>
            </w:tcBorders>
            <w:shd w:val="clear" w:color="auto" w:fill="auto"/>
            <w:noWrap/>
            <w:vAlign w:val="bottom"/>
            <w:hideMark/>
          </w:tcPr>
          <w:p w14:paraId="780D36BF"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 xml:space="preserve">Basis if acct had been </w:t>
            </w:r>
          </w:p>
        </w:tc>
        <w:tc>
          <w:tcPr>
            <w:tcW w:w="1781" w:type="dxa"/>
            <w:tcBorders>
              <w:top w:val="nil"/>
              <w:left w:val="nil"/>
              <w:bottom w:val="nil"/>
              <w:right w:val="nil"/>
            </w:tcBorders>
            <w:shd w:val="clear" w:color="auto" w:fill="auto"/>
            <w:noWrap/>
            <w:vAlign w:val="bottom"/>
            <w:hideMark/>
          </w:tcPr>
          <w:p w14:paraId="2DFA295C"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Basis w/qualified</w:t>
            </w:r>
          </w:p>
        </w:tc>
      </w:tr>
      <w:tr w:rsidR="00E3564C" w14:paraId="47F737E6" w14:textId="77777777" w:rsidTr="00B43ED3">
        <w:trPr>
          <w:trHeight w:val="255"/>
        </w:trPr>
        <w:tc>
          <w:tcPr>
            <w:tcW w:w="1905" w:type="dxa"/>
            <w:tcBorders>
              <w:top w:val="nil"/>
              <w:left w:val="nil"/>
              <w:bottom w:val="nil"/>
              <w:right w:val="nil"/>
            </w:tcBorders>
            <w:shd w:val="clear" w:color="auto" w:fill="auto"/>
            <w:noWrap/>
            <w:vAlign w:val="bottom"/>
            <w:hideMark/>
          </w:tcPr>
          <w:p w14:paraId="472F94D3" w14:textId="77777777" w:rsidR="00E3564C" w:rsidRDefault="00E3564C" w:rsidP="000914A2">
            <w:pPr>
              <w:rPr>
                <w:rFonts w:ascii="Arial" w:hAnsi="Arial" w:cs="Arial"/>
                <w:b/>
                <w:bCs/>
                <w:color w:val="000000"/>
                <w:sz w:val="20"/>
                <w:szCs w:val="20"/>
              </w:rPr>
            </w:pPr>
            <w:r>
              <w:rPr>
                <w:rFonts w:ascii="Arial" w:hAnsi="Arial" w:cs="Arial"/>
                <w:b/>
                <w:bCs/>
                <w:color w:val="000000"/>
                <w:sz w:val="20"/>
                <w:szCs w:val="20"/>
              </w:rPr>
              <w:t>JTWROS Accts.</w:t>
            </w:r>
          </w:p>
        </w:tc>
        <w:tc>
          <w:tcPr>
            <w:tcW w:w="1127" w:type="dxa"/>
            <w:tcBorders>
              <w:top w:val="nil"/>
              <w:left w:val="nil"/>
              <w:bottom w:val="nil"/>
              <w:right w:val="nil"/>
            </w:tcBorders>
            <w:shd w:val="clear" w:color="auto" w:fill="auto"/>
            <w:noWrap/>
            <w:vAlign w:val="bottom"/>
            <w:hideMark/>
          </w:tcPr>
          <w:p w14:paraId="076D3AB2"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Basis</w:t>
            </w:r>
          </w:p>
        </w:tc>
        <w:tc>
          <w:tcPr>
            <w:tcW w:w="1573" w:type="dxa"/>
            <w:tcBorders>
              <w:top w:val="nil"/>
              <w:left w:val="nil"/>
              <w:bottom w:val="nil"/>
              <w:right w:val="nil"/>
            </w:tcBorders>
            <w:shd w:val="clear" w:color="auto" w:fill="auto"/>
            <w:noWrap/>
            <w:vAlign w:val="bottom"/>
            <w:hideMark/>
          </w:tcPr>
          <w:p w14:paraId="0471828E"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Value</w:t>
            </w:r>
          </w:p>
        </w:tc>
        <w:tc>
          <w:tcPr>
            <w:tcW w:w="1477" w:type="dxa"/>
            <w:tcBorders>
              <w:top w:val="nil"/>
              <w:left w:val="nil"/>
              <w:bottom w:val="nil"/>
              <w:right w:val="nil"/>
            </w:tcBorders>
            <w:shd w:val="clear" w:color="auto" w:fill="auto"/>
            <w:noWrap/>
            <w:vAlign w:val="bottom"/>
            <w:hideMark/>
          </w:tcPr>
          <w:p w14:paraId="11AA246E"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nothing)</w:t>
            </w:r>
          </w:p>
        </w:tc>
        <w:tc>
          <w:tcPr>
            <w:tcW w:w="1527" w:type="dxa"/>
            <w:tcBorders>
              <w:top w:val="nil"/>
              <w:left w:val="nil"/>
              <w:bottom w:val="nil"/>
              <w:right w:val="nil"/>
            </w:tcBorders>
            <w:shd w:val="clear" w:color="auto" w:fill="auto"/>
            <w:noWrap/>
            <w:vAlign w:val="bottom"/>
            <w:hideMark/>
          </w:tcPr>
          <w:p w14:paraId="47445532"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Comm. Prop.</w:t>
            </w:r>
          </w:p>
        </w:tc>
        <w:tc>
          <w:tcPr>
            <w:tcW w:w="1781" w:type="dxa"/>
            <w:tcBorders>
              <w:top w:val="nil"/>
              <w:left w:val="nil"/>
              <w:bottom w:val="nil"/>
              <w:right w:val="nil"/>
            </w:tcBorders>
            <w:shd w:val="clear" w:color="auto" w:fill="auto"/>
            <w:noWrap/>
            <w:vAlign w:val="bottom"/>
            <w:hideMark/>
          </w:tcPr>
          <w:p w14:paraId="238532B6"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disclaimer</w:t>
            </w:r>
          </w:p>
        </w:tc>
      </w:tr>
      <w:tr w:rsidR="00E3564C" w14:paraId="0F18CF97" w14:textId="77777777" w:rsidTr="000914A2">
        <w:trPr>
          <w:trHeight w:val="120"/>
        </w:trPr>
        <w:tc>
          <w:tcPr>
            <w:tcW w:w="9390" w:type="dxa"/>
            <w:gridSpan w:val="6"/>
            <w:tcBorders>
              <w:top w:val="nil"/>
              <w:left w:val="nil"/>
              <w:bottom w:val="nil"/>
              <w:right w:val="nil"/>
            </w:tcBorders>
            <w:shd w:val="clear" w:color="auto" w:fill="auto"/>
            <w:noWrap/>
            <w:vAlign w:val="bottom"/>
            <w:hideMark/>
          </w:tcPr>
          <w:p w14:paraId="72284CD7" w14:textId="77777777" w:rsidR="00E3564C" w:rsidRDefault="00E3564C" w:rsidP="000914A2">
            <w:pPr>
              <w:rPr>
                <w:rFonts w:ascii="Arial" w:hAnsi="Arial" w:cs="Arial"/>
                <w:color w:val="000000"/>
                <w:sz w:val="20"/>
                <w:szCs w:val="20"/>
              </w:rPr>
            </w:pPr>
            <w:r>
              <w:rPr>
                <w:rFonts w:ascii="Arial" w:hAnsi="Arial" w:cs="Arial"/>
                <w:color w:val="000000"/>
                <w:sz w:val="20"/>
                <w:szCs w:val="20"/>
              </w:rPr>
              <w:t>-----------------------------------------------------------------------------------------------------------------------------------------</w:t>
            </w:r>
          </w:p>
        </w:tc>
      </w:tr>
      <w:tr w:rsidR="00E3564C" w14:paraId="16226ABC" w14:textId="77777777" w:rsidTr="00B43ED3">
        <w:trPr>
          <w:trHeight w:val="255"/>
        </w:trPr>
        <w:tc>
          <w:tcPr>
            <w:tcW w:w="1905" w:type="dxa"/>
            <w:tcBorders>
              <w:top w:val="nil"/>
              <w:left w:val="nil"/>
              <w:bottom w:val="nil"/>
              <w:right w:val="nil"/>
            </w:tcBorders>
            <w:shd w:val="clear" w:color="auto" w:fill="auto"/>
            <w:noWrap/>
            <w:vAlign w:val="bottom"/>
            <w:hideMark/>
          </w:tcPr>
          <w:p w14:paraId="45E09485" w14:textId="77777777" w:rsidR="00E3564C" w:rsidRDefault="00E3564C" w:rsidP="000914A2">
            <w:pPr>
              <w:rPr>
                <w:rFonts w:ascii="Arial" w:hAnsi="Arial" w:cs="Arial"/>
                <w:color w:val="000000"/>
                <w:sz w:val="20"/>
                <w:szCs w:val="20"/>
              </w:rPr>
            </w:pPr>
            <w:r>
              <w:rPr>
                <w:rFonts w:ascii="Arial" w:hAnsi="Arial" w:cs="Arial"/>
                <w:color w:val="000000"/>
                <w:sz w:val="20"/>
                <w:szCs w:val="20"/>
              </w:rPr>
              <w:t>Fund Q</w:t>
            </w:r>
          </w:p>
        </w:tc>
        <w:tc>
          <w:tcPr>
            <w:tcW w:w="1127" w:type="dxa"/>
            <w:tcBorders>
              <w:top w:val="nil"/>
              <w:left w:val="nil"/>
              <w:bottom w:val="nil"/>
              <w:right w:val="nil"/>
            </w:tcBorders>
            <w:shd w:val="clear" w:color="auto" w:fill="auto"/>
            <w:noWrap/>
            <w:vAlign w:val="bottom"/>
            <w:hideMark/>
          </w:tcPr>
          <w:p w14:paraId="53AE82CA"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$1,000,000</w:t>
            </w:r>
          </w:p>
        </w:tc>
        <w:tc>
          <w:tcPr>
            <w:tcW w:w="1573" w:type="dxa"/>
            <w:tcBorders>
              <w:top w:val="nil"/>
              <w:left w:val="nil"/>
              <w:bottom w:val="nil"/>
              <w:right w:val="nil"/>
            </w:tcBorders>
            <w:shd w:val="clear" w:color="auto" w:fill="auto"/>
            <w:noWrap/>
            <w:vAlign w:val="bottom"/>
            <w:hideMark/>
          </w:tcPr>
          <w:p w14:paraId="68DC5C5E"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$1,600,000</w:t>
            </w:r>
          </w:p>
        </w:tc>
        <w:tc>
          <w:tcPr>
            <w:tcW w:w="1477" w:type="dxa"/>
            <w:tcBorders>
              <w:top w:val="nil"/>
              <w:left w:val="nil"/>
              <w:bottom w:val="nil"/>
              <w:right w:val="nil"/>
            </w:tcBorders>
            <w:shd w:val="clear" w:color="auto" w:fill="auto"/>
            <w:noWrap/>
            <w:vAlign w:val="bottom"/>
            <w:hideMark/>
          </w:tcPr>
          <w:p w14:paraId="68D06BF2"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$1,300,000</w:t>
            </w:r>
          </w:p>
        </w:tc>
        <w:tc>
          <w:tcPr>
            <w:tcW w:w="1527" w:type="dxa"/>
            <w:tcBorders>
              <w:top w:val="nil"/>
              <w:left w:val="nil"/>
              <w:bottom w:val="nil"/>
              <w:right w:val="nil"/>
            </w:tcBorders>
            <w:shd w:val="clear" w:color="auto" w:fill="auto"/>
            <w:noWrap/>
            <w:vAlign w:val="bottom"/>
            <w:hideMark/>
          </w:tcPr>
          <w:p w14:paraId="1ECA0F0A"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$1,600,000</w:t>
            </w:r>
          </w:p>
        </w:tc>
        <w:tc>
          <w:tcPr>
            <w:tcW w:w="1781" w:type="dxa"/>
            <w:tcBorders>
              <w:top w:val="nil"/>
              <w:left w:val="nil"/>
              <w:bottom w:val="nil"/>
              <w:right w:val="nil"/>
            </w:tcBorders>
            <w:shd w:val="clear" w:color="auto" w:fill="auto"/>
            <w:noWrap/>
            <w:vAlign w:val="bottom"/>
            <w:hideMark/>
          </w:tcPr>
          <w:p w14:paraId="48AFAA3B"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$1,600,000</w:t>
            </w:r>
          </w:p>
        </w:tc>
      </w:tr>
      <w:tr w:rsidR="00E3564C" w14:paraId="3A130721" w14:textId="77777777" w:rsidTr="00B43ED3">
        <w:trPr>
          <w:trHeight w:val="255"/>
        </w:trPr>
        <w:tc>
          <w:tcPr>
            <w:tcW w:w="1905" w:type="dxa"/>
            <w:tcBorders>
              <w:top w:val="nil"/>
              <w:left w:val="nil"/>
              <w:bottom w:val="nil"/>
              <w:right w:val="nil"/>
            </w:tcBorders>
            <w:shd w:val="clear" w:color="auto" w:fill="auto"/>
            <w:noWrap/>
            <w:vAlign w:val="bottom"/>
            <w:hideMark/>
          </w:tcPr>
          <w:p w14:paraId="416564D8" w14:textId="77777777" w:rsidR="00E3564C" w:rsidRDefault="00E3564C" w:rsidP="000914A2">
            <w:pPr>
              <w:rPr>
                <w:rFonts w:ascii="Arial" w:hAnsi="Arial" w:cs="Arial"/>
                <w:color w:val="000000"/>
                <w:sz w:val="20"/>
                <w:szCs w:val="20"/>
              </w:rPr>
            </w:pPr>
            <w:r>
              <w:rPr>
                <w:rFonts w:ascii="Arial" w:hAnsi="Arial" w:cs="Arial"/>
                <w:color w:val="000000"/>
                <w:sz w:val="20"/>
                <w:szCs w:val="20"/>
              </w:rPr>
              <w:t>Fund X</w:t>
            </w:r>
          </w:p>
        </w:tc>
        <w:tc>
          <w:tcPr>
            <w:tcW w:w="1127" w:type="dxa"/>
            <w:tcBorders>
              <w:top w:val="nil"/>
              <w:left w:val="nil"/>
              <w:bottom w:val="nil"/>
              <w:right w:val="nil"/>
            </w:tcBorders>
            <w:shd w:val="clear" w:color="auto" w:fill="auto"/>
            <w:noWrap/>
            <w:vAlign w:val="bottom"/>
            <w:hideMark/>
          </w:tcPr>
          <w:p w14:paraId="69DA954C"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$800,000</w:t>
            </w:r>
          </w:p>
        </w:tc>
        <w:tc>
          <w:tcPr>
            <w:tcW w:w="1573" w:type="dxa"/>
            <w:tcBorders>
              <w:top w:val="nil"/>
              <w:left w:val="nil"/>
              <w:bottom w:val="nil"/>
              <w:right w:val="nil"/>
            </w:tcBorders>
            <w:shd w:val="clear" w:color="auto" w:fill="auto"/>
            <w:noWrap/>
            <w:vAlign w:val="bottom"/>
            <w:hideMark/>
          </w:tcPr>
          <w:p w14:paraId="019E74DB"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$1,200,000</w:t>
            </w:r>
          </w:p>
        </w:tc>
        <w:tc>
          <w:tcPr>
            <w:tcW w:w="1477" w:type="dxa"/>
            <w:tcBorders>
              <w:top w:val="nil"/>
              <w:left w:val="nil"/>
              <w:bottom w:val="nil"/>
              <w:right w:val="nil"/>
            </w:tcBorders>
            <w:shd w:val="clear" w:color="auto" w:fill="auto"/>
            <w:noWrap/>
            <w:vAlign w:val="bottom"/>
            <w:hideMark/>
          </w:tcPr>
          <w:p w14:paraId="36F5ACC8"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$1,000,000</w:t>
            </w:r>
          </w:p>
        </w:tc>
        <w:tc>
          <w:tcPr>
            <w:tcW w:w="1527" w:type="dxa"/>
            <w:tcBorders>
              <w:top w:val="nil"/>
              <w:left w:val="nil"/>
              <w:bottom w:val="nil"/>
              <w:right w:val="nil"/>
            </w:tcBorders>
            <w:shd w:val="clear" w:color="auto" w:fill="auto"/>
            <w:noWrap/>
            <w:vAlign w:val="bottom"/>
            <w:hideMark/>
          </w:tcPr>
          <w:p w14:paraId="09F2497B"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$1,200,000</w:t>
            </w:r>
          </w:p>
        </w:tc>
        <w:tc>
          <w:tcPr>
            <w:tcW w:w="1781" w:type="dxa"/>
            <w:tcBorders>
              <w:top w:val="nil"/>
              <w:left w:val="nil"/>
              <w:bottom w:val="nil"/>
              <w:right w:val="nil"/>
            </w:tcBorders>
            <w:shd w:val="clear" w:color="auto" w:fill="auto"/>
            <w:noWrap/>
            <w:vAlign w:val="bottom"/>
            <w:hideMark/>
          </w:tcPr>
          <w:p w14:paraId="2EF9A3F0"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$1,200,000</w:t>
            </w:r>
          </w:p>
        </w:tc>
      </w:tr>
      <w:tr w:rsidR="00E3564C" w14:paraId="1ABDE3FB" w14:textId="77777777" w:rsidTr="00B43ED3">
        <w:trPr>
          <w:trHeight w:val="255"/>
        </w:trPr>
        <w:tc>
          <w:tcPr>
            <w:tcW w:w="1905" w:type="dxa"/>
            <w:tcBorders>
              <w:top w:val="nil"/>
              <w:left w:val="nil"/>
              <w:bottom w:val="nil"/>
              <w:right w:val="nil"/>
            </w:tcBorders>
            <w:shd w:val="clear" w:color="auto" w:fill="auto"/>
            <w:noWrap/>
            <w:vAlign w:val="bottom"/>
            <w:hideMark/>
          </w:tcPr>
          <w:p w14:paraId="070547C5" w14:textId="77777777" w:rsidR="00E3564C" w:rsidRDefault="00E3564C" w:rsidP="000914A2">
            <w:pPr>
              <w:rPr>
                <w:rFonts w:ascii="Arial" w:hAnsi="Arial" w:cs="Arial"/>
                <w:color w:val="000000"/>
                <w:sz w:val="20"/>
                <w:szCs w:val="20"/>
              </w:rPr>
            </w:pPr>
            <w:r>
              <w:rPr>
                <w:rFonts w:ascii="Arial" w:hAnsi="Arial" w:cs="Arial"/>
                <w:color w:val="000000"/>
                <w:sz w:val="20"/>
                <w:szCs w:val="20"/>
              </w:rPr>
              <w:t>Fund Y</w:t>
            </w:r>
          </w:p>
        </w:tc>
        <w:tc>
          <w:tcPr>
            <w:tcW w:w="1127" w:type="dxa"/>
            <w:tcBorders>
              <w:top w:val="nil"/>
              <w:left w:val="nil"/>
              <w:bottom w:val="nil"/>
              <w:right w:val="nil"/>
            </w:tcBorders>
            <w:shd w:val="clear" w:color="auto" w:fill="auto"/>
            <w:noWrap/>
            <w:vAlign w:val="bottom"/>
            <w:hideMark/>
          </w:tcPr>
          <w:p w14:paraId="709F0EAE"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$1,000,000</w:t>
            </w:r>
          </w:p>
        </w:tc>
        <w:tc>
          <w:tcPr>
            <w:tcW w:w="1573" w:type="dxa"/>
            <w:tcBorders>
              <w:top w:val="nil"/>
              <w:left w:val="nil"/>
              <w:bottom w:val="nil"/>
              <w:right w:val="nil"/>
            </w:tcBorders>
            <w:shd w:val="clear" w:color="auto" w:fill="auto"/>
            <w:noWrap/>
            <w:vAlign w:val="bottom"/>
            <w:hideMark/>
          </w:tcPr>
          <w:p w14:paraId="2103194E"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$800,000</w:t>
            </w:r>
          </w:p>
        </w:tc>
        <w:tc>
          <w:tcPr>
            <w:tcW w:w="1477" w:type="dxa"/>
            <w:tcBorders>
              <w:top w:val="nil"/>
              <w:left w:val="nil"/>
              <w:bottom w:val="nil"/>
              <w:right w:val="nil"/>
            </w:tcBorders>
            <w:shd w:val="clear" w:color="auto" w:fill="auto"/>
            <w:noWrap/>
            <w:vAlign w:val="bottom"/>
            <w:hideMark/>
          </w:tcPr>
          <w:p w14:paraId="0EEE94FD"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$900,000</w:t>
            </w:r>
          </w:p>
        </w:tc>
        <w:tc>
          <w:tcPr>
            <w:tcW w:w="1527" w:type="dxa"/>
            <w:tcBorders>
              <w:top w:val="nil"/>
              <w:left w:val="nil"/>
              <w:bottom w:val="nil"/>
              <w:right w:val="nil"/>
            </w:tcBorders>
            <w:shd w:val="clear" w:color="auto" w:fill="auto"/>
            <w:noWrap/>
            <w:vAlign w:val="bottom"/>
            <w:hideMark/>
          </w:tcPr>
          <w:p w14:paraId="71D6649B"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$800,000</w:t>
            </w:r>
          </w:p>
        </w:tc>
        <w:tc>
          <w:tcPr>
            <w:tcW w:w="1781" w:type="dxa"/>
            <w:tcBorders>
              <w:top w:val="nil"/>
              <w:left w:val="nil"/>
              <w:bottom w:val="nil"/>
              <w:right w:val="nil"/>
            </w:tcBorders>
            <w:shd w:val="clear" w:color="auto" w:fill="auto"/>
            <w:noWrap/>
            <w:vAlign w:val="bottom"/>
            <w:hideMark/>
          </w:tcPr>
          <w:p w14:paraId="48DE7F13"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$900,000</w:t>
            </w:r>
          </w:p>
        </w:tc>
      </w:tr>
      <w:tr w:rsidR="00E3564C" w14:paraId="1ABCE4C4" w14:textId="77777777" w:rsidTr="00B43ED3">
        <w:trPr>
          <w:trHeight w:val="255"/>
        </w:trPr>
        <w:tc>
          <w:tcPr>
            <w:tcW w:w="1905" w:type="dxa"/>
            <w:tcBorders>
              <w:top w:val="nil"/>
              <w:left w:val="nil"/>
              <w:bottom w:val="nil"/>
              <w:right w:val="nil"/>
            </w:tcBorders>
            <w:shd w:val="clear" w:color="auto" w:fill="auto"/>
            <w:noWrap/>
            <w:vAlign w:val="bottom"/>
            <w:hideMark/>
          </w:tcPr>
          <w:p w14:paraId="01DFD321" w14:textId="77777777" w:rsidR="00E3564C" w:rsidRDefault="00E3564C" w:rsidP="000914A2">
            <w:pPr>
              <w:rPr>
                <w:rFonts w:ascii="Arial" w:hAnsi="Arial" w:cs="Arial"/>
                <w:color w:val="000000"/>
                <w:sz w:val="20"/>
                <w:szCs w:val="20"/>
              </w:rPr>
            </w:pPr>
            <w:r>
              <w:rPr>
                <w:rFonts w:ascii="Arial" w:hAnsi="Arial" w:cs="Arial"/>
                <w:color w:val="000000"/>
                <w:sz w:val="20"/>
                <w:szCs w:val="20"/>
              </w:rPr>
              <w:t>Fund Z</w:t>
            </w:r>
          </w:p>
        </w:tc>
        <w:tc>
          <w:tcPr>
            <w:tcW w:w="1127" w:type="dxa"/>
            <w:tcBorders>
              <w:top w:val="nil"/>
              <w:left w:val="nil"/>
              <w:bottom w:val="nil"/>
              <w:right w:val="nil"/>
            </w:tcBorders>
            <w:shd w:val="clear" w:color="auto" w:fill="auto"/>
            <w:noWrap/>
            <w:vAlign w:val="bottom"/>
            <w:hideMark/>
          </w:tcPr>
          <w:p w14:paraId="02B33C49"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$500,000</w:t>
            </w:r>
          </w:p>
        </w:tc>
        <w:tc>
          <w:tcPr>
            <w:tcW w:w="1573" w:type="dxa"/>
            <w:tcBorders>
              <w:top w:val="nil"/>
              <w:left w:val="nil"/>
              <w:bottom w:val="nil"/>
              <w:right w:val="nil"/>
            </w:tcBorders>
            <w:shd w:val="clear" w:color="auto" w:fill="auto"/>
            <w:noWrap/>
            <w:vAlign w:val="bottom"/>
            <w:hideMark/>
          </w:tcPr>
          <w:p w14:paraId="311C5ED7"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$400,000</w:t>
            </w:r>
          </w:p>
        </w:tc>
        <w:tc>
          <w:tcPr>
            <w:tcW w:w="1477" w:type="dxa"/>
            <w:tcBorders>
              <w:top w:val="nil"/>
              <w:left w:val="nil"/>
              <w:bottom w:val="nil"/>
              <w:right w:val="nil"/>
            </w:tcBorders>
            <w:shd w:val="clear" w:color="auto" w:fill="auto"/>
            <w:noWrap/>
            <w:vAlign w:val="bottom"/>
            <w:hideMark/>
          </w:tcPr>
          <w:p w14:paraId="286F2FED"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$450,000</w:t>
            </w:r>
          </w:p>
        </w:tc>
        <w:tc>
          <w:tcPr>
            <w:tcW w:w="1527" w:type="dxa"/>
            <w:tcBorders>
              <w:top w:val="nil"/>
              <w:left w:val="nil"/>
              <w:bottom w:val="nil"/>
              <w:right w:val="nil"/>
            </w:tcBorders>
            <w:shd w:val="clear" w:color="auto" w:fill="auto"/>
            <w:noWrap/>
            <w:vAlign w:val="bottom"/>
            <w:hideMark/>
          </w:tcPr>
          <w:p w14:paraId="4C8E506B"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$400,000</w:t>
            </w:r>
          </w:p>
        </w:tc>
        <w:tc>
          <w:tcPr>
            <w:tcW w:w="1781" w:type="dxa"/>
            <w:tcBorders>
              <w:top w:val="nil"/>
              <w:left w:val="nil"/>
              <w:bottom w:val="nil"/>
              <w:right w:val="nil"/>
            </w:tcBorders>
            <w:shd w:val="clear" w:color="auto" w:fill="auto"/>
            <w:noWrap/>
            <w:vAlign w:val="bottom"/>
            <w:hideMark/>
          </w:tcPr>
          <w:p w14:paraId="0AAFF0FE"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$450,000</w:t>
            </w:r>
          </w:p>
        </w:tc>
      </w:tr>
      <w:tr w:rsidR="00E3564C" w14:paraId="56695389" w14:textId="77777777" w:rsidTr="00B43ED3">
        <w:trPr>
          <w:trHeight w:val="255"/>
        </w:trPr>
        <w:tc>
          <w:tcPr>
            <w:tcW w:w="1905" w:type="dxa"/>
            <w:tcBorders>
              <w:top w:val="nil"/>
              <w:left w:val="nil"/>
              <w:bottom w:val="nil"/>
              <w:right w:val="nil"/>
            </w:tcBorders>
            <w:shd w:val="clear" w:color="auto" w:fill="auto"/>
            <w:noWrap/>
            <w:vAlign w:val="bottom"/>
            <w:hideMark/>
          </w:tcPr>
          <w:p w14:paraId="5BA0F849" w14:textId="77777777" w:rsidR="00E3564C" w:rsidRPr="00E3564C" w:rsidRDefault="00E3564C" w:rsidP="000914A2">
            <w:pPr>
              <w:rPr>
                <w:rFonts w:ascii="Arial" w:hAnsi="Arial" w:cs="Arial"/>
                <w:b/>
                <w:color w:val="000000"/>
                <w:sz w:val="20"/>
                <w:szCs w:val="20"/>
              </w:rPr>
            </w:pPr>
            <w:r w:rsidRPr="00E3564C">
              <w:rPr>
                <w:rFonts w:ascii="Arial" w:hAnsi="Arial" w:cs="Arial"/>
                <w:b/>
                <w:color w:val="000000"/>
                <w:sz w:val="20"/>
                <w:szCs w:val="20"/>
              </w:rPr>
              <w:t>Total</w:t>
            </w:r>
          </w:p>
        </w:tc>
        <w:tc>
          <w:tcPr>
            <w:tcW w:w="1127" w:type="dxa"/>
            <w:tcBorders>
              <w:top w:val="nil"/>
              <w:left w:val="nil"/>
              <w:bottom w:val="nil"/>
              <w:right w:val="nil"/>
            </w:tcBorders>
            <w:shd w:val="clear" w:color="auto" w:fill="auto"/>
            <w:noWrap/>
            <w:vAlign w:val="bottom"/>
            <w:hideMark/>
          </w:tcPr>
          <w:p w14:paraId="4961F47E" w14:textId="77777777" w:rsidR="00E3564C" w:rsidRDefault="00E3564C" w:rsidP="000914A2">
            <w:pPr>
              <w:jc w:val="right"/>
              <w:rPr>
                <w:rFonts w:ascii="Arial" w:hAnsi="Arial" w:cs="Arial"/>
                <w:color w:val="000000"/>
                <w:sz w:val="20"/>
                <w:szCs w:val="20"/>
              </w:rPr>
            </w:pPr>
            <w:r>
              <w:rPr>
                <w:rFonts w:ascii="Arial" w:hAnsi="Arial" w:cs="Arial"/>
                <w:color w:val="000000"/>
                <w:sz w:val="20"/>
                <w:szCs w:val="20"/>
              </w:rPr>
              <w:t>$3,300,000</w:t>
            </w:r>
          </w:p>
        </w:tc>
        <w:tc>
          <w:tcPr>
            <w:tcW w:w="1573" w:type="dxa"/>
            <w:tcBorders>
              <w:top w:val="nil"/>
              <w:left w:val="nil"/>
              <w:bottom w:val="nil"/>
              <w:right w:val="nil"/>
            </w:tcBorders>
            <w:shd w:val="clear" w:color="auto" w:fill="auto"/>
            <w:noWrap/>
            <w:vAlign w:val="bottom"/>
            <w:hideMark/>
          </w:tcPr>
          <w:p w14:paraId="4DED55CC" w14:textId="77777777" w:rsidR="00E3564C" w:rsidRDefault="00E3564C" w:rsidP="000914A2">
            <w:pPr>
              <w:jc w:val="right"/>
              <w:rPr>
                <w:rFonts w:ascii="Arial" w:hAnsi="Arial" w:cs="Arial"/>
                <w:color w:val="000000"/>
                <w:sz w:val="20"/>
                <w:szCs w:val="20"/>
              </w:rPr>
            </w:pPr>
            <w:r w:rsidRPr="00B43ED3">
              <w:rPr>
                <w:rFonts w:ascii="Arial" w:hAnsi="Arial" w:cs="Arial"/>
                <w:color w:val="000000"/>
                <w:sz w:val="20"/>
                <w:szCs w:val="20"/>
                <w:highlight w:val="yellow"/>
              </w:rPr>
              <w:t>$4,000,000</w:t>
            </w:r>
          </w:p>
        </w:tc>
        <w:tc>
          <w:tcPr>
            <w:tcW w:w="1477" w:type="dxa"/>
            <w:tcBorders>
              <w:top w:val="nil"/>
              <w:left w:val="nil"/>
              <w:bottom w:val="nil"/>
              <w:right w:val="nil"/>
            </w:tcBorders>
            <w:shd w:val="clear" w:color="auto" w:fill="auto"/>
            <w:noWrap/>
            <w:vAlign w:val="bottom"/>
            <w:hideMark/>
          </w:tcPr>
          <w:p w14:paraId="25014CA7" w14:textId="77777777" w:rsidR="00E3564C" w:rsidRDefault="00E3564C" w:rsidP="000914A2">
            <w:pPr>
              <w:jc w:val="right"/>
              <w:rPr>
                <w:rFonts w:ascii="Arial" w:hAnsi="Arial" w:cs="Arial"/>
                <w:b/>
                <w:bCs/>
                <w:color w:val="000000"/>
                <w:sz w:val="20"/>
                <w:szCs w:val="20"/>
              </w:rPr>
            </w:pPr>
            <w:r>
              <w:rPr>
                <w:rFonts w:ascii="Arial" w:hAnsi="Arial" w:cs="Arial"/>
                <w:b/>
                <w:bCs/>
                <w:color w:val="000000"/>
                <w:sz w:val="20"/>
                <w:szCs w:val="20"/>
              </w:rPr>
              <w:t>$3,650,000</w:t>
            </w:r>
          </w:p>
        </w:tc>
        <w:tc>
          <w:tcPr>
            <w:tcW w:w="1527" w:type="dxa"/>
            <w:tcBorders>
              <w:top w:val="nil"/>
              <w:left w:val="nil"/>
              <w:bottom w:val="nil"/>
              <w:right w:val="nil"/>
            </w:tcBorders>
            <w:shd w:val="clear" w:color="auto" w:fill="auto"/>
            <w:noWrap/>
            <w:vAlign w:val="bottom"/>
            <w:hideMark/>
          </w:tcPr>
          <w:p w14:paraId="3DE65878" w14:textId="77777777" w:rsidR="00E3564C" w:rsidRPr="00E3564C" w:rsidRDefault="00E3564C" w:rsidP="000914A2">
            <w:pPr>
              <w:jc w:val="right"/>
              <w:rPr>
                <w:rFonts w:ascii="Arial" w:hAnsi="Arial" w:cs="Arial"/>
                <w:bCs/>
                <w:color w:val="000000"/>
                <w:sz w:val="20"/>
                <w:szCs w:val="20"/>
              </w:rPr>
            </w:pPr>
            <w:r w:rsidRPr="00E3564C">
              <w:rPr>
                <w:rFonts w:ascii="Arial" w:hAnsi="Arial" w:cs="Arial"/>
                <w:bCs/>
                <w:color w:val="000000"/>
                <w:sz w:val="20"/>
                <w:szCs w:val="20"/>
              </w:rPr>
              <w:t>$4,000,000</w:t>
            </w:r>
          </w:p>
        </w:tc>
        <w:tc>
          <w:tcPr>
            <w:tcW w:w="1781" w:type="dxa"/>
            <w:tcBorders>
              <w:top w:val="nil"/>
              <w:left w:val="nil"/>
              <w:bottom w:val="nil"/>
              <w:right w:val="nil"/>
            </w:tcBorders>
            <w:shd w:val="clear" w:color="auto" w:fill="auto"/>
            <w:noWrap/>
            <w:vAlign w:val="bottom"/>
            <w:hideMark/>
          </w:tcPr>
          <w:p w14:paraId="48DCB71B" w14:textId="77777777" w:rsidR="00E3564C" w:rsidRDefault="00E3564C" w:rsidP="000914A2">
            <w:pPr>
              <w:jc w:val="right"/>
              <w:rPr>
                <w:rFonts w:ascii="Arial" w:hAnsi="Arial" w:cs="Arial"/>
                <w:b/>
                <w:bCs/>
                <w:color w:val="000000"/>
                <w:sz w:val="20"/>
                <w:szCs w:val="20"/>
              </w:rPr>
            </w:pPr>
            <w:r w:rsidRPr="00023F0D">
              <w:rPr>
                <w:rFonts w:ascii="Arial" w:hAnsi="Arial" w:cs="Arial"/>
                <w:b/>
                <w:bCs/>
                <w:color w:val="000000"/>
                <w:sz w:val="20"/>
                <w:szCs w:val="20"/>
                <w:highlight w:val="yellow"/>
              </w:rPr>
              <w:t>$4,150,000</w:t>
            </w:r>
          </w:p>
        </w:tc>
      </w:tr>
    </w:tbl>
    <w:p w14:paraId="21B6889C" w14:textId="77777777" w:rsidR="00DB1EED" w:rsidRPr="00216B70"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 xml:space="preserve">This kind of disclaimer could lead to slightly increased probate costs, of course, which will vary state to state, but this may pale in comparison to the state and federal income tax savings through achieving an increased basis.  </w:t>
      </w:r>
    </w:p>
    <w:p w14:paraId="72A39A57" w14:textId="77777777" w:rsidR="00DB1EED" w:rsidRPr="00216B70"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 xml:space="preserve">Note that transfer on death (TOD) accounts do </w:t>
      </w:r>
      <w:r w:rsidRPr="00E3564C">
        <w:rPr>
          <w:rFonts w:ascii="Calibri" w:hAnsi="Calibri" w:cs="Helv"/>
          <w:b/>
          <w:bCs/>
          <w:color w:val="000000"/>
        </w:rPr>
        <w:t>not</w:t>
      </w:r>
      <w:r w:rsidRPr="00216B70">
        <w:rPr>
          <w:rFonts w:ascii="Calibri" w:hAnsi="Calibri" w:cs="Helv"/>
          <w:bCs/>
          <w:color w:val="000000"/>
        </w:rPr>
        <w:t xml:space="preserve"> afford nearly the same tax flexibility.  If John and Mary had used TOD designations, only the $2 million of accounts owned by the decedent would be stepped up, leading to less basis under either order of death scenario.  If John dies first, basis in his accounts is adjusted to $2 million, but Mary’s remains at $1.5 million.  If Mary dies first, basis in her accounts is adjusted to $2 million, but John’s remains at $1.8 million.  Either scenario is worse than our targeted qualified disclaimer results. </w:t>
      </w:r>
      <w:r w:rsidR="00206BB9">
        <w:rPr>
          <w:rFonts w:ascii="Calibri" w:hAnsi="Calibri" w:cs="Helv"/>
          <w:bCs/>
          <w:color w:val="000000"/>
        </w:rPr>
        <w:t xml:space="preserve"> Even if 100% were in John’s name, and </w:t>
      </w:r>
      <w:r w:rsidR="00C76DA0">
        <w:rPr>
          <w:rFonts w:ascii="Calibri" w:hAnsi="Calibri" w:cs="Helv"/>
          <w:bCs/>
          <w:color w:val="000000"/>
        </w:rPr>
        <w:t>he were to die first</w:t>
      </w:r>
      <w:r w:rsidR="00206BB9">
        <w:rPr>
          <w:rFonts w:ascii="Calibri" w:hAnsi="Calibri" w:cs="Helv"/>
          <w:bCs/>
          <w:color w:val="000000"/>
        </w:rPr>
        <w:t xml:space="preserve">, using TOD designations would only result in $4 million in basis, failing to prevent the reduced step down in basis that a targeted qualified disclaimer </w:t>
      </w:r>
      <w:r w:rsidR="00C76DA0">
        <w:rPr>
          <w:rFonts w:ascii="Calibri" w:hAnsi="Calibri" w:cs="Helv"/>
          <w:bCs/>
          <w:color w:val="000000"/>
        </w:rPr>
        <w:t xml:space="preserve">of joint and survivorship accounts </w:t>
      </w:r>
      <w:r w:rsidR="00206BB9">
        <w:rPr>
          <w:rFonts w:ascii="Calibri" w:hAnsi="Calibri" w:cs="Helv"/>
          <w:bCs/>
          <w:color w:val="000000"/>
        </w:rPr>
        <w:t>affords.</w:t>
      </w:r>
    </w:p>
    <w:p w14:paraId="0964FB5D" w14:textId="77777777" w:rsidR="00DB1EED" w:rsidRPr="00216B70"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In our hypotheticals above, we assumed that the funding of the accounts was easily traceable to one spouse or the other.  What if John and Mary had one joint a</w:t>
      </w:r>
      <w:r w:rsidR="00C76DA0">
        <w:rPr>
          <w:rFonts w:ascii="Calibri" w:hAnsi="Calibri" w:cs="Helv"/>
          <w:bCs/>
          <w:color w:val="000000"/>
        </w:rPr>
        <w:t xml:space="preserve">ccount, and John contributed 80% </w:t>
      </w:r>
      <w:r w:rsidRPr="00216B70">
        <w:rPr>
          <w:rFonts w:ascii="Calibri" w:hAnsi="Calibri" w:cs="Helv"/>
          <w:bCs/>
          <w:color w:val="000000"/>
        </w:rPr>
        <w:t>o</w:t>
      </w:r>
      <w:r w:rsidR="00C76DA0">
        <w:rPr>
          <w:rFonts w:ascii="Calibri" w:hAnsi="Calibri" w:cs="Helv"/>
          <w:bCs/>
          <w:color w:val="000000"/>
        </w:rPr>
        <w:t>f the funds, and Mary 20%</w:t>
      </w:r>
      <w:r w:rsidRPr="00216B70">
        <w:rPr>
          <w:rFonts w:ascii="Calibri" w:hAnsi="Calibri" w:cs="Helv"/>
          <w:bCs/>
          <w:color w:val="000000"/>
        </w:rPr>
        <w:t>?  This technique may still yield greater basis increase, more so if the higher contributing spouse dies first.  If John dies first, Mary can only disclaim the portio</w:t>
      </w:r>
      <w:r w:rsidR="00C76DA0">
        <w:rPr>
          <w:rFonts w:ascii="Calibri" w:hAnsi="Calibri" w:cs="Helv"/>
          <w:bCs/>
          <w:color w:val="000000"/>
        </w:rPr>
        <w:t>n attributable to the 80%</w:t>
      </w:r>
      <w:r w:rsidRPr="00216B70">
        <w:rPr>
          <w:rFonts w:ascii="Calibri" w:hAnsi="Calibri" w:cs="Helv"/>
          <w:bCs/>
          <w:color w:val="000000"/>
        </w:rPr>
        <w:t xml:space="preserve"> John contributed, and if Mary dies first, John c</w:t>
      </w:r>
      <w:r w:rsidR="00C76DA0">
        <w:rPr>
          <w:rFonts w:ascii="Calibri" w:hAnsi="Calibri" w:cs="Helv"/>
          <w:bCs/>
          <w:color w:val="000000"/>
        </w:rPr>
        <w:t xml:space="preserve">an only disclaim the 20% </w:t>
      </w:r>
      <w:r w:rsidRPr="00216B70">
        <w:rPr>
          <w:rFonts w:ascii="Calibri" w:hAnsi="Calibri" w:cs="Helv"/>
          <w:bCs/>
          <w:color w:val="000000"/>
        </w:rPr>
        <w:t>that he did not contribute.</w:t>
      </w:r>
      <w:r w:rsidRPr="00216B70">
        <w:rPr>
          <w:rFonts w:ascii="Calibri" w:hAnsi="Calibri" w:cs="Helv"/>
          <w:bCs/>
          <w:color w:val="000000"/>
          <w:vertAlign w:val="superscript"/>
        </w:rPr>
        <w:footnoteReference w:id="175"/>
      </w:r>
      <w:r w:rsidRPr="00216B70">
        <w:rPr>
          <w:rFonts w:ascii="Calibri" w:hAnsi="Calibri" w:cs="Helv"/>
          <w:bCs/>
          <w:color w:val="000000"/>
        </w:rPr>
        <w:t xml:space="preserve">  </w:t>
      </w:r>
    </w:p>
    <w:p w14:paraId="18D379EE" w14:textId="77777777" w:rsidR="00DB1EED" w:rsidRPr="00216B70"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 xml:space="preserve">From a proactive planning standpoint, keeping joint accounts traceable to separate funding yields more post-mortem planning flexibility.  Of course, clients don’t always keep immaculate records, and depending on the level of activity in an account, the burden of </w:t>
      </w:r>
      <w:r w:rsidRPr="00216B70">
        <w:rPr>
          <w:rFonts w:ascii="Calibri" w:hAnsi="Calibri" w:cs="Helv"/>
          <w:bCs/>
          <w:color w:val="000000"/>
        </w:rPr>
        <w:lastRenderedPageBreak/>
        <w:t>proving what level of consideration the disclaimant furnished may be difficult – but perhaps worth it.</w:t>
      </w:r>
      <w:r w:rsidRPr="00216B70">
        <w:rPr>
          <w:rFonts w:ascii="Calibri" w:hAnsi="Calibri" w:cs="Helv"/>
          <w:bCs/>
          <w:color w:val="000000"/>
          <w:vertAlign w:val="superscript"/>
        </w:rPr>
        <w:footnoteReference w:id="176"/>
      </w:r>
    </w:p>
    <w:p w14:paraId="11FD86B0" w14:textId="77777777" w:rsidR="00DB1EED" w:rsidRDefault="00DB1EED" w:rsidP="00DB1EED">
      <w:pPr>
        <w:autoSpaceDE w:val="0"/>
        <w:autoSpaceDN w:val="0"/>
        <w:adjustRightInd w:val="0"/>
        <w:spacing w:line="360" w:lineRule="auto"/>
        <w:ind w:firstLine="720"/>
        <w:jc w:val="both"/>
        <w:rPr>
          <w:rFonts w:ascii="Calibri" w:hAnsi="Calibri" w:cs="Helv"/>
          <w:bCs/>
          <w:color w:val="000000"/>
        </w:rPr>
      </w:pPr>
      <w:r w:rsidRPr="00216B70">
        <w:rPr>
          <w:rFonts w:ascii="Calibri" w:hAnsi="Calibri" w:cs="Helv"/>
          <w:bCs/>
          <w:color w:val="000000"/>
        </w:rPr>
        <w:t>Unfortunately, this kind of disclaimer planning cannot be done with other types of joint tenancies, such as real estate, because these forms of ownership, unlike bank, brokerage and investment accounts, usually result in a completed gift since the donor cannot unilaterally reacquire the property (although the gift may qualify for the marital deduction).</w:t>
      </w:r>
      <w:r w:rsidRPr="00216B70">
        <w:rPr>
          <w:rFonts w:ascii="Calibri" w:hAnsi="Calibri" w:cs="Helv"/>
          <w:bCs/>
          <w:color w:val="000000"/>
          <w:vertAlign w:val="superscript"/>
        </w:rPr>
        <w:footnoteReference w:id="177"/>
      </w:r>
      <w:r w:rsidRPr="00216B70">
        <w:rPr>
          <w:rFonts w:ascii="Calibri" w:hAnsi="Calibri" w:cs="Helv"/>
          <w:bCs/>
          <w:color w:val="000000"/>
        </w:rPr>
        <w:t xml:space="preserve">  One basis opportunity for such assets that practitioners should keep their eye out for, however, is whether the joint tenancy property was established prior to 1977, which may use a consideration-furnished test, or potentially whether it may be traceable to community property.</w:t>
      </w:r>
      <w:r w:rsidRPr="00216B70">
        <w:rPr>
          <w:rFonts w:ascii="Calibri" w:hAnsi="Calibri" w:cs="Helv"/>
          <w:bCs/>
          <w:color w:val="000000"/>
          <w:vertAlign w:val="superscript"/>
        </w:rPr>
        <w:footnoteReference w:id="178"/>
      </w:r>
    </w:p>
    <w:p w14:paraId="04A89741" w14:textId="77777777" w:rsidR="00206BB9" w:rsidRPr="00216B70" w:rsidRDefault="00206BB9" w:rsidP="00DB1EED">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Summing up – pre-mortem planning for basis and immediate post-mortem planning for basis can yield significant income tax benefits for surviving spouses – put this on any pre and post-mortem planning checklist you may use.  It may give surviving spouses an additional income tax incentive to fund their AB trusts at death with disclaimed JTWROS accounts.</w:t>
      </w:r>
    </w:p>
    <w:p w14:paraId="52BF5A06" w14:textId="77777777" w:rsidR="00DB1EED" w:rsidRDefault="00DB1EED" w:rsidP="00DB1EED">
      <w:pPr>
        <w:pStyle w:val="ListParagraph"/>
        <w:autoSpaceDE w:val="0"/>
        <w:autoSpaceDN w:val="0"/>
        <w:adjustRightInd w:val="0"/>
        <w:spacing w:line="360" w:lineRule="auto"/>
        <w:jc w:val="both"/>
        <w:rPr>
          <w:rFonts w:ascii="Calibri" w:hAnsi="Calibri" w:cs="Helv"/>
          <w:b/>
          <w:bCs/>
          <w:color w:val="000000"/>
        </w:rPr>
      </w:pPr>
    </w:p>
    <w:p w14:paraId="11ED87FA" w14:textId="77777777" w:rsidR="00FE339E" w:rsidRPr="00FE339E" w:rsidRDefault="00FE339E" w:rsidP="00180FD1">
      <w:pPr>
        <w:pStyle w:val="ListParagraph"/>
        <w:numPr>
          <w:ilvl w:val="0"/>
          <w:numId w:val="20"/>
        </w:numPr>
        <w:autoSpaceDE w:val="0"/>
        <w:autoSpaceDN w:val="0"/>
        <w:adjustRightInd w:val="0"/>
        <w:spacing w:line="360" w:lineRule="auto"/>
        <w:ind w:left="720" w:hanging="720"/>
        <w:jc w:val="both"/>
        <w:rPr>
          <w:rFonts w:ascii="Calibri" w:hAnsi="Calibri" w:cs="Helv"/>
          <w:b/>
          <w:bCs/>
          <w:color w:val="000000"/>
        </w:rPr>
      </w:pPr>
      <w:r w:rsidRPr="00FE339E">
        <w:rPr>
          <w:rFonts w:ascii="Calibri" w:hAnsi="Calibri" w:cs="Helv"/>
          <w:b/>
          <w:bCs/>
          <w:color w:val="000000"/>
        </w:rPr>
        <w:t>What Types of Powers of Appointment Spouses Can Retain Post-Disclaimer</w:t>
      </w:r>
    </w:p>
    <w:p w14:paraId="60863598" w14:textId="77777777" w:rsidR="004F3000" w:rsidRDefault="004F3000" w:rsidP="00E66E09">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One of the axioms estate planners are </w:t>
      </w:r>
      <w:r w:rsidR="00AB3F40">
        <w:rPr>
          <w:rFonts w:ascii="Calibri" w:hAnsi="Calibri" w:cs="Helv"/>
          <w:bCs/>
          <w:color w:val="000000"/>
        </w:rPr>
        <w:t>continually taught</w:t>
      </w:r>
      <w:r>
        <w:rPr>
          <w:rFonts w:ascii="Calibri" w:hAnsi="Calibri" w:cs="Helv"/>
          <w:bCs/>
          <w:color w:val="000000"/>
        </w:rPr>
        <w:t xml:space="preserve"> is that surviving spouses must disclaim a power of appointment </w:t>
      </w:r>
      <w:r w:rsidR="00BD6ED2">
        <w:rPr>
          <w:rFonts w:ascii="Calibri" w:hAnsi="Calibri" w:cs="Helv"/>
          <w:bCs/>
          <w:color w:val="000000"/>
        </w:rPr>
        <w:t>granted in</w:t>
      </w:r>
      <w:r>
        <w:rPr>
          <w:rFonts w:ascii="Calibri" w:hAnsi="Calibri" w:cs="Helv"/>
          <w:bCs/>
          <w:color w:val="000000"/>
        </w:rPr>
        <w:t xml:space="preserve"> a trust they are disclaiming into.  </w:t>
      </w:r>
      <w:r w:rsidR="00935EAB">
        <w:rPr>
          <w:rFonts w:ascii="Calibri" w:hAnsi="Calibri" w:cs="Helv"/>
          <w:bCs/>
          <w:color w:val="000000"/>
        </w:rPr>
        <w:t>Such a disclaimer</w:t>
      </w:r>
      <w:r w:rsidR="00BD6ED2">
        <w:rPr>
          <w:rFonts w:ascii="Calibri" w:hAnsi="Calibri" w:cs="Helv"/>
          <w:bCs/>
          <w:color w:val="000000"/>
        </w:rPr>
        <w:t xml:space="preserve"> removes a tremendous estate, asset protection and </w:t>
      </w:r>
      <w:r w:rsidR="00BD6ED2" w:rsidRPr="00F344FA">
        <w:rPr>
          <w:rFonts w:ascii="Calibri" w:hAnsi="Calibri" w:cs="Helv"/>
          <w:bCs/>
          <w:i/>
          <w:color w:val="000000"/>
        </w:rPr>
        <w:t>income tax planning tool</w:t>
      </w:r>
      <w:r w:rsidR="00BD6ED2">
        <w:rPr>
          <w:rFonts w:ascii="Calibri" w:hAnsi="Calibri" w:cs="Helv"/>
          <w:bCs/>
          <w:color w:val="000000"/>
        </w:rPr>
        <w:t xml:space="preserve"> from the surviving spouse’s toolbox.  </w:t>
      </w:r>
      <w:r w:rsidR="00935EAB">
        <w:rPr>
          <w:rFonts w:ascii="Calibri" w:hAnsi="Calibri" w:cs="Helv"/>
          <w:b/>
          <w:bCs/>
          <w:color w:val="000000"/>
        </w:rPr>
        <w:t>Moreover</w:t>
      </w:r>
      <w:r w:rsidR="00AB3F40">
        <w:rPr>
          <w:rFonts w:ascii="Calibri" w:hAnsi="Calibri" w:cs="Helv"/>
          <w:b/>
          <w:bCs/>
          <w:color w:val="000000"/>
        </w:rPr>
        <w:t>,</w:t>
      </w:r>
      <w:r w:rsidR="00BD6ED2">
        <w:rPr>
          <w:rFonts w:ascii="Calibri" w:hAnsi="Calibri" w:cs="Helv"/>
          <w:b/>
          <w:bCs/>
          <w:color w:val="000000"/>
        </w:rPr>
        <w:t xml:space="preserve"> this</w:t>
      </w:r>
      <w:r w:rsidR="00AB3F40">
        <w:rPr>
          <w:rFonts w:ascii="Calibri" w:hAnsi="Calibri" w:cs="Helv"/>
          <w:b/>
          <w:bCs/>
          <w:color w:val="000000"/>
        </w:rPr>
        <w:t xml:space="preserve"> general rule</w:t>
      </w:r>
      <w:r w:rsidRPr="004F3000">
        <w:rPr>
          <w:rFonts w:ascii="Calibri" w:hAnsi="Calibri" w:cs="Helv"/>
          <w:b/>
          <w:bCs/>
          <w:color w:val="000000"/>
        </w:rPr>
        <w:t xml:space="preserve"> is wrong</w:t>
      </w:r>
      <w:r>
        <w:rPr>
          <w:rFonts w:ascii="Calibri" w:hAnsi="Calibri" w:cs="Helv"/>
          <w:bCs/>
          <w:color w:val="000000"/>
        </w:rPr>
        <w:t>.</w:t>
      </w:r>
      <w:r w:rsidR="00BD6ED2">
        <w:rPr>
          <w:rFonts w:ascii="Calibri" w:hAnsi="Calibri" w:cs="Helv"/>
          <w:bCs/>
          <w:color w:val="000000"/>
        </w:rPr>
        <w:t xml:space="preserve">  The </w:t>
      </w:r>
      <w:r w:rsidR="00AB3F40">
        <w:rPr>
          <w:rFonts w:ascii="Calibri" w:hAnsi="Calibri" w:cs="Helv"/>
          <w:bCs/>
          <w:color w:val="000000"/>
        </w:rPr>
        <w:t xml:space="preserve">disclaimer </w:t>
      </w:r>
      <w:r w:rsidR="00BD6ED2">
        <w:rPr>
          <w:rFonts w:ascii="Calibri" w:hAnsi="Calibri" w:cs="Helv"/>
          <w:bCs/>
          <w:color w:val="000000"/>
        </w:rPr>
        <w:t xml:space="preserve">regulations </w:t>
      </w:r>
      <w:r w:rsidR="00AB3F40">
        <w:rPr>
          <w:rFonts w:ascii="Calibri" w:hAnsi="Calibri" w:cs="Helv"/>
          <w:bCs/>
          <w:color w:val="000000"/>
        </w:rPr>
        <w:t xml:space="preserve">for </w:t>
      </w:r>
      <w:r w:rsidR="00CE4AF9">
        <w:rPr>
          <w:rFonts w:ascii="Calibri" w:hAnsi="Calibri" w:cs="Helv"/>
          <w:bCs/>
          <w:color w:val="000000"/>
        </w:rPr>
        <w:t xml:space="preserve">surviving </w:t>
      </w:r>
      <w:r w:rsidR="00AB3F40">
        <w:rPr>
          <w:rFonts w:ascii="Calibri" w:hAnsi="Calibri" w:cs="Helv"/>
          <w:bCs/>
          <w:color w:val="000000"/>
        </w:rPr>
        <w:t xml:space="preserve">spouses </w:t>
      </w:r>
      <w:r w:rsidR="00BD6ED2">
        <w:rPr>
          <w:rFonts w:ascii="Calibri" w:hAnsi="Calibri" w:cs="Helv"/>
          <w:bCs/>
          <w:color w:val="000000"/>
        </w:rPr>
        <w:t>are much more nuanced than that:</w:t>
      </w:r>
      <w:r w:rsidR="00AB3F40">
        <w:rPr>
          <w:rStyle w:val="FootnoteReference"/>
          <w:rFonts w:ascii="Calibri" w:hAnsi="Calibri" w:cs="Helv"/>
          <w:bCs/>
          <w:color w:val="000000"/>
        </w:rPr>
        <w:footnoteReference w:id="179"/>
      </w:r>
    </w:p>
    <w:p w14:paraId="2D5B291C" w14:textId="77777777" w:rsidR="00AB3F40" w:rsidRDefault="00AB3F40" w:rsidP="00FE339E">
      <w:pPr>
        <w:autoSpaceDE w:val="0"/>
        <w:autoSpaceDN w:val="0"/>
        <w:adjustRightInd w:val="0"/>
        <w:ind w:left="720"/>
        <w:jc w:val="both"/>
      </w:pPr>
      <w:r>
        <w:t xml:space="preserve">“If the surviving spouse, however, retains the right to direct the beneficial enjoyment of a property in a transfer </w:t>
      </w:r>
      <w:r w:rsidRPr="00C133F2">
        <w:rPr>
          <w:b/>
          <w:i/>
        </w:rPr>
        <w:t>that is not subject to Federal estate and gift tax</w:t>
      </w:r>
      <w:r>
        <w:t xml:space="preserve"> (whether as </w:t>
      </w:r>
      <w:r>
        <w:lastRenderedPageBreak/>
        <w:t>trustee or otherwise), such spouse will be treated as directing the beneficial enjoyment of the disclaimed property</w:t>
      </w:r>
      <w:r w:rsidR="0052168F">
        <w:t xml:space="preserve"> </w:t>
      </w:r>
      <w:r w:rsidR="0052168F" w:rsidRPr="0052168F">
        <w:t>unless such power is limited by an ascertainable standard</w:t>
      </w:r>
      <w:r>
        <w:t xml:space="preserve">.” </w:t>
      </w:r>
    </w:p>
    <w:p w14:paraId="1D44E6E6" w14:textId="77777777" w:rsidR="00FE339E" w:rsidRDefault="00FE339E" w:rsidP="00FE339E">
      <w:pPr>
        <w:autoSpaceDE w:val="0"/>
        <w:autoSpaceDN w:val="0"/>
        <w:adjustRightInd w:val="0"/>
        <w:ind w:left="720"/>
        <w:jc w:val="both"/>
      </w:pPr>
    </w:p>
    <w:p w14:paraId="775AC338" w14:textId="77777777" w:rsidR="00AB3F40" w:rsidRDefault="00AB3F40" w:rsidP="00E66E09">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Thus,</w:t>
      </w:r>
      <w:r w:rsidR="004F3000">
        <w:rPr>
          <w:rFonts w:ascii="Calibri" w:hAnsi="Calibri" w:cs="Helv"/>
          <w:bCs/>
          <w:color w:val="000000"/>
        </w:rPr>
        <w:t xml:space="preserve"> </w:t>
      </w:r>
      <w:r>
        <w:rPr>
          <w:rFonts w:ascii="Calibri" w:hAnsi="Calibri" w:cs="Helv"/>
          <w:bCs/>
          <w:color w:val="000000"/>
        </w:rPr>
        <w:t xml:space="preserve">if the spouse is trustee and retains a discretionary spray power </w:t>
      </w:r>
      <w:r w:rsidR="00EE4FD2">
        <w:rPr>
          <w:rFonts w:ascii="Calibri" w:hAnsi="Calibri" w:cs="Helv"/>
          <w:bCs/>
          <w:color w:val="000000"/>
        </w:rPr>
        <w:t xml:space="preserve">not </w:t>
      </w:r>
      <w:r>
        <w:rPr>
          <w:rFonts w:ascii="Calibri" w:hAnsi="Calibri" w:cs="Helv"/>
          <w:bCs/>
          <w:color w:val="000000"/>
        </w:rPr>
        <w:t>limited by an ascertainable standard, or the right to transfer property by power of appointment that does not trigger estate/gift tax, then the disclaimer would not be qualified.</w:t>
      </w:r>
      <w:r w:rsidR="00385F07">
        <w:rPr>
          <w:rFonts w:ascii="Calibri" w:hAnsi="Calibri" w:cs="Helv"/>
          <w:bCs/>
          <w:color w:val="000000"/>
        </w:rPr>
        <w:t xml:space="preserve">  However, this </w:t>
      </w:r>
      <w:r w:rsidR="00EE4FD2">
        <w:rPr>
          <w:rFonts w:ascii="Calibri" w:hAnsi="Calibri" w:cs="Helv"/>
          <w:bCs/>
          <w:color w:val="000000"/>
        </w:rPr>
        <w:t xml:space="preserve">still </w:t>
      </w:r>
      <w:r w:rsidR="00385F07">
        <w:rPr>
          <w:rFonts w:ascii="Calibri" w:hAnsi="Calibri" w:cs="Helv"/>
          <w:bCs/>
          <w:color w:val="000000"/>
        </w:rPr>
        <w:t>leaves tremendous opportunities for various OBIT powers as discussed in Part III above.</w:t>
      </w:r>
    </w:p>
    <w:p w14:paraId="700027FD" w14:textId="77777777" w:rsidR="000E7F5F" w:rsidRDefault="000E7F5F" w:rsidP="00E66E09">
      <w:pPr>
        <w:autoSpaceDE w:val="0"/>
        <w:autoSpaceDN w:val="0"/>
        <w:adjustRightInd w:val="0"/>
        <w:spacing w:line="360" w:lineRule="auto"/>
        <w:ind w:firstLine="720"/>
        <w:jc w:val="both"/>
        <w:rPr>
          <w:rFonts w:ascii="Calibri" w:hAnsi="Calibri" w:cs="Helv"/>
          <w:bCs/>
          <w:color w:val="000000"/>
        </w:rPr>
      </w:pPr>
      <w:r>
        <w:rPr>
          <w:rFonts w:ascii="Calibri" w:hAnsi="Calibri" w:cs="Helv"/>
          <w:bCs/>
          <w:noProof/>
          <w:color w:val="000000"/>
        </w:rPr>
        <w:drawing>
          <wp:inline distT="0" distB="0" distL="0" distR="0" wp14:anchorId="0379BE99" wp14:editId="7091B050">
            <wp:extent cx="4827181" cy="297002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35349" cy="2975053"/>
                    </a:xfrm>
                    <a:prstGeom prst="rect">
                      <a:avLst/>
                    </a:prstGeom>
                    <a:noFill/>
                  </pic:spPr>
                </pic:pic>
              </a:graphicData>
            </a:graphic>
          </wp:inline>
        </w:drawing>
      </w:r>
    </w:p>
    <w:p w14:paraId="510AFD6F" w14:textId="77777777" w:rsidR="000E7F5F" w:rsidRDefault="000E7F5F" w:rsidP="00E66E09">
      <w:pPr>
        <w:autoSpaceDE w:val="0"/>
        <w:autoSpaceDN w:val="0"/>
        <w:adjustRightInd w:val="0"/>
        <w:spacing w:line="360" w:lineRule="auto"/>
        <w:ind w:firstLine="720"/>
        <w:jc w:val="both"/>
        <w:rPr>
          <w:rFonts w:ascii="Calibri" w:hAnsi="Calibri" w:cs="Helv"/>
          <w:bCs/>
          <w:color w:val="000000"/>
        </w:rPr>
      </w:pPr>
      <w:r>
        <w:rPr>
          <w:rFonts w:ascii="Calibri" w:hAnsi="Calibri" w:cs="Helv"/>
          <w:bCs/>
          <w:noProof/>
          <w:color w:val="000000"/>
        </w:rPr>
        <w:drawing>
          <wp:inline distT="0" distB="0" distL="0" distR="0" wp14:anchorId="2025D326" wp14:editId="66222A66">
            <wp:extent cx="4827181" cy="28637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28587" cy="2864536"/>
                    </a:xfrm>
                    <a:prstGeom prst="rect">
                      <a:avLst/>
                    </a:prstGeom>
                    <a:noFill/>
                  </pic:spPr>
                </pic:pic>
              </a:graphicData>
            </a:graphic>
          </wp:inline>
        </w:drawing>
      </w:r>
    </w:p>
    <w:p w14:paraId="2DA97426" w14:textId="6D7185E5" w:rsidR="00385F07" w:rsidRDefault="00385F07" w:rsidP="00E66E09">
      <w:pPr>
        <w:autoSpaceDE w:val="0"/>
        <w:autoSpaceDN w:val="0"/>
        <w:adjustRightInd w:val="0"/>
        <w:spacing w:line="360" w:lineRule="auto"/>
        <w:ind w:firstLine="720"/>
        <w:jc w:val="both"/>
        <w:rPr>
          <w:rFonts w:ascii="Calibri" w:hAnsi="Calibri"/>
        </w:rPr>
      </w:pPr>
      <w:r>
        <w:rPr>
          <w:rFonts w:ascii="Calibri" w:hAnsi="Calibri" w:cs="Helv"/>
          <w:bCs/>
          <w:color w:val="000000"/>
        </w:rPr>
        <w:t>Thus, a</w:t>
      </w:r>
      <w:r w:rsidR="00E66E09">
        <w:rPr>
          <w:rFonts w:ascii="Calibri" w:hAnsi="Calibri" w:cs="Helv"/>
          <w:bCs/>
          <w:color w:val="000000"/>
        </w:rPr>
        <w:t xml:space="preserve"> GPOA </w:t>
      </w:r>
      <w:r w:rsidR="00E66E09" w:rsidRPr="000E7F5F">
        <w:rPr>
          <w:rFonts w:ascii="Calibri" w:hAnsi="Calibri" w:cs="Helv"/>
          <w:b/>
          <w:bCs/>
          <w:color w:val="000000"/>
        </w:rPr>
        <w:t>can be</w:t>
      </w:r>
      <w:r w:rsidR="00E66E09">
        <w:rPr>
          <w:rFonts w:ascii="Calibri" w:hAnsi="Calibri" w:cs="Helv"/>
          <w:bCs/>
          <w:color w:val="000000"/>
        </w:rPr>
        <w:t xml:space="preserve"> retained by a spouse without tainting a qualified disclaimer</w:t>
      </w:r>
      <w:r>
        <w:rPr>
          <w:rFonts w:ascii="Calibri" w:hAnsi="Calibri" w:cs="Helv"/>
          <w:bCs/>
          <w:color w:val="000000"/>
        </w:rPr>
        <w:t>, because</w:t>
      </w:r>
      <w:r w:rsidR="00E66E09">
        <w:rPr>
          <w:rFonts w:ascii="Calibri" w:hAnsi="Calibri" w:cs="Helv"/>
          <w:bCs/>
          <w:color w:val="000000"/>
        </w:rPr>
        <w:t xml:space="preserve"> </w:t>
      </w:r>
      <w:r w:rsidR="00AB3F40" w:rsidRPr="00AB3F40">
        <w:rPr>
          <w:rFonts w:ascii="Calibri" w:hAnsi="Calibri"/>
        </w:rPr>
        <w:t>GPOA</w:t>
      </w:r>
      <w:r>
        <w:rPr>
          <w:rFonts w:ascii="Calibri" w:hAnsi="Calibri"/>
        </w:rPr>
        <w:t xml:space="preserve"> transfers</w:t>
      </w:r>
      <w:r w:rsidR="00AB3F40" w:rsidRPr="00AB3F40">
        <w:rPr>
          <w:rFonts w:ascii="Calibri" w:hAnsi="Calibri"/>
        </w:rPr>
        <w:t xml:space="preserve"> are of course subject to federal gift and estate tax under IRC §2514</w:t>
      </w:r>
      <w:r w:rsidR="00EE4FD2">
        <w:rPr>
          <w:rFonts w:ascii="Calibri" w:hAnsi="Calibri"/>
        </w:rPr>
        <w:t xml:space="preserve"> or </w:t>
      </w:r>
      <w:r w:rsidR="00EE4FD2">
        <w:rPr>
          <w:rFonts w:ascii="Calibri" w:hAnsi="Calibri"/>
        </w:rPr>
        <w:lastRenderedPageBreak/>
        <w:t>IRC §2041 respectively</w:t>
      </w:r>
      <w:r w:rsidR="00AB3F40" w:rsidRPr="00AB3F40">
        <w:rPr>
          <w:rFonts w:ascii="Calibri" w:hAnsi="Calibri"/>
        </w:rPr>
        <w:t xml:space="preserve">. </w:t>
      </w:r>
      <w:r w:rsidR="00AB3F40">
        <w:rPr>
          <w:rFonts w:ascii="Calibri" w:hAnsi="Calibri"/>
        </w:rPr>
        <w:t xml:space="preserve"> </w:t>
      </w:r>
      <w:r>
        <w:rPr>
          <w:rFonts w:ascii="Calibri" w:hAnsi="Calibri"/>
        </w:rPr>
        <w:t xml:space="preserve">As discussed in Part III, this would </w:t>
      </w:r>
      <w:r w:rsidR="00EE4FD2">
        <w:rPr>
          <w:rFonts w:ascii="Calibri" w:hAnsi="Calibri"/>
        </w:rPr>
        <w:t>ideally</w:t>
      </w:r>
      <w:r>
        <w:rPr>
          <w:rFonts w:ascii="Calibri" w:hAnsi="Calibri"/>
        </w:rPr>
        <w:t xml:space="preserve"> be a formula testamentary GPOA with a cap.   There is no advantage to retaining a </w:t>
      </w:r>
      <w:r w:rsidRPr="008A2FAA">
        <w:rPr>
          <w:rFonts w:ascii="Calibri" w:hAnsi="Calibri"/>
          <w:i/>
        </w:rPr>
        <w:t>lifetime</w:t>
      </w:r>
      <w:r>
        <w:rPr>
          <w:rFonts w:ascii="Calibri" w:hAnsi="Calibri"/>
        </w:rPr>
        <w:t xml:space="preserve"> GPOA</w:t>
      </w:r>
      <w:r w:rsidR="004D69C5">
        <w:rPr>
          <w:rFonts w:ascii="Calibri" w:hAnsi="Calibri"/>
        </w:rPr>
        <w:t xml:space="preserve"> (and a rather severe asset protection </w:t>
      </w:r>
      <w:r w:rsidR="004D69C5" w:rsidRPr="004D69C5">
        <w:rPr>
          <w:rFonts w:ascii="Calibri" w:hAnsi="Calibri"/>
          <w:i/>
        </w:rPr>
        <w:t>disadvantage</w:t>
      </w:r>
      <w:r w:rsidR="004D69C5">
        <w:rPr>
          <w:rFonts w:ascii="Calibri" w:hAnsi="Calibri"/>
        </w:rPr>
        <w:t>)</w:t>
      </w:r>
      <w:r w:rsidR="00D008AA">
        <w:rPr>
          <w:rFonts w:ascii="Calibri" w:hAnsi="Calibri"/>
        </w:rPr>
        <w:t>, unless perhaps it is limited to taxable income and has appropriate</w:t>
      </w:r>
      <w:r w:rsidR="00AF46EA">
        <w:rPr>
          <w:rFonts w:ascii="Calibri" w:hAnsi="Calibri"/>
        </w:rPr>
        <w:t xml:space="preserve"> curbs on it, </w:t>
      </w:r>
      <w:r w:rsidR="004372B8">
        <w:rPr>
          <w:rFonts w:ascii="Calibri" w:hAnsi="Calibri"/>
        </w:rPr>
        <w:t xml:space="preserve">as </w:t>
      </w:r>
      <w:r w:rsidR="00AF46EA">
        <w:rPr>
          <w:rFonts w:ascii="Calibri" w:hAnsi="Calibri"/>
        </w:rPr>
        <w:t>discussed in Part VI</w:t>
      </w:r>
      <w:r w:rsidR="00452C67">
        <w:rPr>
          <w:rFonts w:ascii="Calibri" w:hAnsi="Calibri"/>
        </w:rPr>
        <w:t>I</w:t>
      </w:r>
      <w:r w:rsidR="00AF46EA">
        <w:rPr>
          <w:rFonts w:ascii="Calibri" w:hAnsi="Calibri"/>
        </w:rPr>
        <w:t>I</w:t>
      </w:r>
      <w:r>
        <w:rPr>
          <w:rFonts w:ascii="Calibri" w:hAnsi="Calibri"/>
        </w:rPr>
        <w:t>.</w:t>
      </w:r>
      <w:r w:rsidR="00FE339E" w:rsidRPr="00FE339E">
        <w:t xml:space="preserve"> </w:t>
      </w:r>
      <w:r w:rsidR="008A2FAA">
        <w:t xml:space="preserve"> </w:t>
      </w:r>
      <w:r w:rsidR="00FE339E" w:rsidRPr="00FE339E">
        <w:rPr>
          <w:rFonts w:ascii="Calibri" w:hAnsi="Calibri"/>
        </w:rPr>
        <w:t>Moreover, an LPOA may also be retained, but only if can only be exercised so as to trigger the</w:t>
      </w:r>
      <w:r w:rsidR="00CE4AF9">
        <w:rPr>
          <w:rFonts w:ascii="Calibri" w:hAnsi="Calibri"/>
        </w:rPr>
        <w:t xml:space="preserve"> Delaware</w:t>
      </w:r>
      <w:r w:rsidR="00FE339E" w:rsidRPr="00FE339E">
        <w:rPr>
          <w:rFonts w:ascii="Calibri" w:hAnsi="Calibri"/>
        </w:rPr>
        <w:t xml:space="preserve"> tax trap (IRC §2041(a)(3) or IRC §2514(e)),</w:t>
      </w:r>
      <w:r w:rsidR="004372B8">
        <w:rPr>
          <w:rFonts w:ascii="Calibri" w:hAnsi="Calibri"/>
        </w:rPr>
        <w:t xml:space="preserve"> </w:t>
      </w:r>
      <w:r w:rsidR="00FE339E">
        <w:rPr>
          <w:rFonts w:ascii="Calibri" w:hAnsi="Calibri"/>
        </w:rPr>
        <w:t>or</w:t>
      </w:r>
      <w:r w:rsidR="00FE339E" w:rsidRPr="00FE339E">
        <w:rPr>
          <w:rFonts w:ascii="Calibri" w:hAnsi="Calibri"/>
        </w:rPr>
        <w:t xml:space="preserve"> is limited by an ascertainable standard</w:t>
      </w:r>
      <w:r w:rsidR="00FE339E">
        <w:rPr>
          <w:rFonts w:ascii="Calibri" w:hAnsi="Calibri"/>
        </w:rPr>
        <w:t>.</w:t>
      </w:r>
      <w:r w:rsidR="008A2FAA">
        <w:rPr>
          <w:rFonts w:ascii="Calibri" w:hAnsi="Calibri"/>
        </w:rPr>
        <w:t xml:space="preserve">  More creatively, targeted </w:t>
      </w:r>
      <w:r w:rsidR="008A2FAA" w:rsidRPr="008A2FAA">
        <w:rPr>
          <w:rFonts w:ascii="Calibri" w:hAnsi="Calibri"/>
          <w:i/>
        </w:rPr>
        <w:t>collateral</w:t>
      </w:r>
      <w:r w:rsidR="008A2FAA">
        <w:rPr>
          <w:rFonts w:ascii="Calibri" w:hAnsi="Calibri"/>
        </w:rPr>
        <w:t xml:space="preserve"> LPOAs held by other friendly parties, such as a sibling, could also be included and retained, without this constraint.</w:t>
      </w:r>
    </w:p>
    <w:p w14:paraId="58D9B410" w14:textId="77777777" w:rsidR="00FE339E" w:rsidRPr="00FE339E" w:rsidRDefault="00FE339E" w:rsidP="00180FD1">
      <w:pPr>
        <w:pStyle w:val="ListParagraph"/>
        <w:numPr>
          <w:ilvl w:val="0"/>
          <w:numId w:val="20"/>
        </w:numPr>
        <w:autoSpaceDE w:val="0"/>
        <w:autoSpaceDN w:val="0"/>
        <w:adjustRightInd w:val="0"/>
        <w:spacing w:line="360" w:lineRule="auto"/>
        <w:ind w:left="720" w:hanging="720"/>
        <w:jc w:val="both"/>
        <w:rPr>
          <w:rFonts w:ascii="Calibri" w:hAnsi="Calibri"/>
          <w:b/>
        </w:rPr>
      </w:pPr>
      <w:r w:rsidRPr="00FE339E">
        <w:rPr>
          <w:rFonts w:ascii="Calibri" w:hAnsi="Calibri"/>
          <w:b/>
        </w:rPr>
        <w:t>Keeping Testamentary POAs in QTIPs Post-Disclaimer</w:t>
      </w:r>
    </w:p>
    <w:p w14:paraId="32DDB6FC" w14:textId="77777777" w:rsidR="000E7F5F" w:rsidRPr="00FE339E" w:rsidRDefault="00FE339E" w:rsidP="00FE339E">
      <w:pPr>
        <w:autoSpaceDE w:val="0"/>
        <w:autoSpaceDN w:val="0"/>
        <w:adjustRightInd w:val="0"/>
        <w:spacing w:line="360" w:lineRule="auto"/>
        <w:ind w:firstLine="720"/>
        <w:jc w:val="both"/>
        <w:rPr>
          <w:rFonts w:ascii="Calibri" w:hAnsi="Calibri"/>
        </w:rPr>
      </w:pPr>
      <w:r>
        <w:rPr>
          <w:rFonts w:ascii="Calibri" w:hAnsi="Calibri"/>
        </w:rPr>
        <w:t>Surprising to many, a testamentary</w:t>
      </w:r>
      <w:r w:rsidR="00385F07" w:rsidRPr="00FE339E">
        <w:rPr>
          <w:rFonts w:ascii="Calibri" w:hAnsi="Calibri"/>
        </w:rPr>
        <w:t xml:space="preserve"> LPOA </w:t>
      </w:r>
      <w:r>
        <w:rPr>
          <w:rFonts w:ascii="Calibri" w:hAnsi="Calibri"/>
        </w:rPr>
        <w:t>may be retained in a QTIP, since it</w:t>
      </w:r>
      <w:r w:rsidR="00385F07" w:rsidRPr="00FE339E">
        <w:rPr>
          <w:rFonts w:ascii="Calibri" w:hAnsi="Calibri"/>
        </w:rPr>
        <w:t xml:space="preserve"> would be</w:t>
      </w:r>
      <w:r w:rsidR="00AB3F40" w:rsidRPr="00FE339E">
        <w:rPr>
          <w:rFonts w:ascii="Calibri" w:hAnsi="Calibri"/>
        </w:rPr>
        <w:t xml:space="preserve"> in </w:t>
      </w:r>
      <w:r w:rsidR="00385F07" w:rsidRPr="00FE339E">
        <w:rPr>
          <w:rFonts w:ascii="Calibri" w:hAnsi="Calibri"/>
        </w:rPr>
        <w:t xml:space="preserve">the surviving spouse’s </w:t>
      </w:r>
      <w:r w:rsidR="00AB3F40" w:rsidRPr="00FE339E">
        <w:rPr>
          <w:rFonts w:ascii="Calibri" w:hAnsi="Calibri"/>
        </w:rPr>
        <w:t>estate via IRC §2044 (QTIP).</w:t>
      </w:r>
      <w:r w:rsidR="0057176E">
        <w:rPr>
          <w:rStyle w:val="FootnoteReference"/>
          <w:rFonts w:ascii="Calibri" w:hAnsi="Calibri" w:cs="Helv"/>
          <w:bCs/>
          <w:color w:val="000000"/>
        </w:rPr>
        <w:footnoteReference w:id="180"/>
      </w:r>
      <w:r w:rsidR="0057176E" w:rsidRPr="00FE339E">
        <w:rPr>
          <w:rFonts w:ascii="Calibri" w:hAnsi="Calibri" w:cs="Helv"/>
          <w:bCs/>
          <w:color w:val="000000"/>
        </w:rPr>
        <w:t xml:space="preserve"> </w:t>
      </w:r>
      <w:r w:rsidR="00AB3F40" w:rsidRPr="00FE339E">
        <w:rPr>
          <w:rFonts w:ascii="Calibri" w:hAnsi="Calibri"/>
        </w:rPr>
        <w:t xml:space="preserve">  </w:t>
      </w:r>
      <w:r w:rsidR="000E7F5F" w:rsidRPr="00FE339E">
        <w:rPr>
          <w:rFonts w:ascii="Calibri" w:hAnsi="Calibri"/>
        </w:rPr>
        <w:t xml:space="preserve">The </w:t>
      </w:r>
      <w:r w:rsidR="000E7F5F" w:rsidRPr="00FE339E">
        <w:rPr>
          <w:rFonts w:ascii="Calibri" w:hAnsi="Calibri"/>
          <w:i/>
        </w:rPr>
        <w:t>Lassiter</w:t>
      </w:r>
      <w:r w:rsidR="000E7F5F" w:rsidRPr="00FE339E">
        <w:rPr>
          <w:rFonts w:ascii="Calibri" w:hAnsi="Calibri"/>
        </w:rPr>
        <w:t xml:space="preserve"> holding regarding QTIP trusts surprises many practitioners – it’s rarely discussed in articles, treatises or CLEs, yet it is not a mere PLR so holding, it’s a tax court case.  Be careful, however, to elect QTIP before disclaiming</w:t>
      </w:r>
      <w:r w:rsidR="00314491" w:rsidRPr="00FE339E">
        <w:rPr>
          <w:rFonts w:ascii="Calibri" w:hAnsi="Calibri"/>
        </w:rPr>
        <w:t xml:space="preserve"> into the trust</w:t>
      </w:r>
      <w:r w:rsidR="000E7F5F" w:rsidRPr="00FE339E">
        <w:rPr>
          <w:rFonts w:ascii="Calibri" w:hAnsi="Calibri"/>
        </w:rPr>
        <w:t>, rather than after, even if an additional six months may be permitted (important for Clayton QTIPs)</w:t>
      </w:r>
      <w:r w:rsidR="00314491" w:rsidRPr="00FE339E">
        <w:rPr>
          <w:rFonts w:ascii="Calibri" w:hAnsi="Calibri"/>
        </w:rPr>
        <w:t xml:space="preserve">, or be clear that any ordinary LPOA is also disclaimed from any Bypass or subtrust over which QTIP is </w:t>
      </w:r>
      <w:r w:rsidR="00314491" w:rsidRPr="00FE339E">
        <w:rPr>
          <w:rFonts w:ascii="Calibri" w:hAnsi="Calibri"/>
          <w:b/>
        </w:rPr>
        <w:t>not</w:t>
      </w:r>
      <w:r w:rsidR="00314491" w:rsidRPr="00FE339E">
        <w:rPr>
          <w:rFonts w:ascii="Calibri" w:hAnsi="Calibri"/>
        </w:rPr>
        <w:t xml:space="preserve"> elected</w:t>
      </w:r>
      <w:r w:rsidR="000E7F5F" w:rsidRPr="00FE339E">
        <w:rPr>
          <w:rFonts w:ascii="Calibri" w:hAnsi="Calibri"/>
        </w:rPr>
        <w:t xml:space="preserve">.  </w:t>
      </w:r>
    </w:p>
    <w:p w14:paraId="673C0DC9" w14:textId="18A20D41" w:rsidR="0057176E" w:rsidRDefault="000E7F5F" w:rsidP="00314491">
      <w:pPr>
        <w:autoSpaceDE w:val="0"/>
        <w:autoSpaceDN w:val="0"/>
        <w:adjustRightInd w:val="0"/>
        <w:spacing w:line="360" w:lineRule="auto"/>
        <w:ind w:firstLine="720"/>
        <w:jc w:val="both"/>
        <w:rPr>
          <w:rFonts w:ascii="Calibri" w:hAnsi="Calibri"/>
        </w:rPr>
      </w:pPr>
      <w:r>
        <w:rPr>
          <w:rFonts w:ascii="Calibri" w:hAnsi="Calibri"/>
        </w:rPr>
        <w:t xml:space="preserve"> </w:t>
      </w:r>
      <w:r w:rsidR="00314491">
        <w:rPr>
          <w:rFonts w:ascii="Calibri" w:hAnsi="Calibri"/>
        </w:rPr>
        <w:t>So</w:t>
      </w:r>
      <w:r w:rsidR="00AB3F40" w:rsidRPr="00AB3F40">
        <w:rPr>
          <w:rFonts w:ascii="Calibri" w:hAnsi="Calibri"/>
        </w:rPr>
        <w:t xml:space="preserve">, </w:t>
      </w:r>
      <w:r w:rsidR="00F344FA">
        <w:rPr>
          <w:rFonts w:ascii="Calibri" w:hAnsi="Calibri"/>
        </w:rPr>
        <w:t xml:space="preserve">while it is true that </w:t>
      </w:r>
      <w:r w:rsidR="00AB3F40" w:rsidRPr="00AB3F40">
        <w:rPr>
          <w:rFonts w:ascii="Calibri" w:hAnsi="Calibri"/>
        </w:rPr>
        <w:t xml:space="preserve">a disclaiming spouse must </w:t>
      </w:r>
      <w:r w:rsidR="00772BDB">
        <w:rPr>
          <w:rFonts w:ascii="Calibri" w:hAnsi="Calibri"/>
        </w:rPr>
        <w:t xml:space="preserve">also </w:t>
      </w:r>
      <w:r w:rsidR="00AB3F40" w:rsidRPr="00AB3F40">
        <w:rPr>
          <w:rFonts w:ascii="Calibri" w:hAnsi="Calibri"/>
        </w:rPr>
        <w:t>disclaim</w:t>
      </w:r>
      <w:r w:rsidR="00EE4FD2">
        <w:rPr>
          <w:rFonts w:ascii="Calibri" w:hAnsi="Calibri"/>
        </w:rPr>
        <w:t xml:space="preserve"> </w:t>
      </w:r>
      <w:r w:rsidR="00F344FA">
        <w:rPr>
          <w:rFonts w:ascii="Calibri" w:hAnsi="Calibri"/>
        </w:rPr>
        <w:t xml:space="preserve">ordinary </w:t>
      </w:r>
      <w:r w:rsidR="00AB3F40" w:rsidRPr="00AB3F40">
        <w:rPr>
          <w:rFonts w:ascii="Calibri" w:hAnsi="Calibri"/>
        </w:rPr>
        <w:t>LPOAs</w:t>
      </w:r>
      <w:r w:rsidR="00385F07">
        <w:rPr>
          <w:rFonts w:ascii="Calibri" w:hAnsi="Calibri"/>
        </w:rPr>
        <w:t xml:space="preserve"> in a bypass trust if funded via disclaimer</w:t>
      </w:r>
      <w:r w:rsidR="00F344FA">
        <w:rPr>
          <w:rFonts w:ascii="Calibri" w:hAnsi="Calibri"/>
        </w:rPr>
        <w:t>, a disclaiming spouse</w:t>
      </w:r>
      <w:r w:rsidR="00EE4FD2">
        <w:rPr>
          <w:rFonts w:ascii="Calibri" w:hAnsi="Calibri"/>
        </w:rPr>
        <w:t xml:space="preserve"> may retain narrowly crafted ones</w:t>
      </w:r>
      <w:r w:rsidR="00AB3F40" w:rsidRPr="00AB3F40">
        <w:rPr>
          <w:rFonts w:ascii="Calibri" w:hAnsi="Calibri"/>
        </w:rPr>
        <w:t>.</w:t>
      </w:r>
      <w:r w:rsidR="00EF4B55">
        <w:rPr>
          <w:rStyle w:val="FootnoteReference"/>
          <w:rFonts w:ascii="Calibri" w:hAnsi="Calibri"/>
        </w:rPr>
        <w:footnoteReference w:id="181"/>
      </w:r>
      <w:r w:rsidR="00AB3F40" w:rsidRPr="00AB3F40">
        <w:rPr>
          <w:rFonts w:ascii="Calibri" w:hAnsi="Calibri"/>
        </w:rPr>
        <w:t xml:space="preserve">  </w:t>
      </w:r>
      <w:r w:rsidR="00314491">
        <w:rPr>
          <w:rFonts w:ascii="Calibri" w:hAnsi="Calibri"/>
        </w:rPr>
        <w:t>A</w:t>
      </w:r>
      <w:r w:rsidR="0057176E">
        <w:rPr>
          <w:rFonts w:ascii="Calibri" w:hAnsi="Calibri"/>
        </w:rPr>
        <w:t xml:space="preserve">ppropriately worded “OBIT” LPOAs and GPOAs are </w:t>
      </w:r>
      <w:r w:rsidR="00314491">
        <w:rPr>
          <w:rFonts w:ascii="Calibri" w:hAnsi="Calibri"/>
        </w:rPr>
        <w:t xml:space="preserve">therefore </w:t>
      </w:r>
      <w:r w:rsidR="0057176E">
        <w:rPr>
          <w:rFonts w:ascii="Calibri" w:hAnsi="Calibri"/>
        </w:rPr>
        <w:t>still compatible</w:t>
      </w:r>
      <w:r w:rsidR="00314491">
        <w:rPr>
          <w:rFonts w:ascii="Calibri" w:hAnsi="Calibri"/>
        </w:rPr>
        <w:t xml:space="preserve"> with</w:t>
      </w:r>
      <w:r w:rsidR="0057176E">
        <w:rPr>
          <w:rFonts w:ascii="Calibri" w:hAnsi="Calibri"/>
        </w:rPr>
        <w:t xml:space="preserve"> </w:t>
      </w:r>
      <w:r w:rsidR="00314491">
        <w:rPr>
          <w:rFonts w:ascii="Calibri" w:hAnsi="Calibri"/>
        </w:rPr>
        <w:t>and complementary to</w:t>
      </w:r>
      <w:r w:rsidR="0057176E">
        <w:rPr>
          <w:rFonts w:ascii="Calibri" w:hAnsi="Calibri"/>
        </w:rPr>
        <w:t xml:space="preserve"> disclaimer planning.  Practitioners should consider creative pos</w:t>
      </w:r>
      <w:r w:rsidR="004D69C5">
        <w:rPr>
          <w:rFonts w:ascii="Calibri" w:hAnsi="Calibri"/>
        </w:rPr>
        <w:t xml:space="preserve">t-mortem </w:t>
      </w:r>
      <w:r w:rsidR="004D69C5">
        <w:rPr>
          <w:rFonts w:ascii="Calibri" w:hAnsi="Calibri"/>
        </w:rPr>
        <w:lastRenderedPageBreak/>
        <w:t xml:space="preserve">planning opportunities in this area </w:t>
      </w:r>
      <w:r w:rsidR="0057176E">
        <w:rPr>
          <w:rFonts w:ascii="Calibri" w:hAnsi="Calibri"/>
        </w:rPr>
        <w:t>–</w:t>
      </w:r>
      <w:r w:rsidR="004D69C5">
        <w:rPr>
          <w:rFonts w:ascii="Calibri" w:hAnsi="Calibri"/>
        </w:rPr>
        <w:t xml:space="preserve"> powers might </w:t>
      </w:r>
      <w:r w:rsidR="0057176E">
        <w:rPr>
          <w:rFonts w:ascii="Calibri" w:hAnsi="Calibri"/>
        </w:rPr>
        <w:t>be partially released rather than completely disclaimed, for example</w:t>
      </w:r>
      <w:r w:rsidR="004D69C5">
        <w:rPr>
          <w:rFonts w:ascii="Calibri" w:hAnsi="Calibri"/>
        </w:rPr>
        <w:t xml:space="preserve"> (see sample clauses)</w:t>
      </w:r>
      <w:r w:rsidR="0057176E">
        <w:rPr>
          <w:rFonts w:ascii="Calibri" w:hAnsi="Calibri"/>
        </w:rPr>
        <w:t xml:space="preserve">.  </w:t>
      </w:r>
      <w:r w:rsidR="00CF6DAC" w:rsidRPr="00CF6DAC">
        <w:rPr>
          <w:rFonts w:ascii="Calibri" w:hAnsi="Calibri"/>
          <w:lang w:val="en"/>
        </w:rPr>
        <w:t>Most states should allow a partial release</w:t>
      </w:r>
      <w:r w:rsidR="00CF6DAC">
        <w:rPr>
          <w:rFonts w:ascii="Calibri" w:hAnsi="Calibri"/>
          <w:lang w:val="en"/>
        </w:rPr>
        <w:t>/nonqualified disclaimer</w:t>
      </w:r>
      <w:r w:rsidR="00CF6DAC" w:rsidRPr="00CF6DAC">
        <w:rPr>
          <w:rFonts w:ascii="Calibri" w:hAnsi="Calibri"/>
          <w:lang w:val="en"/>
        </w:rPr>
        <w:t xml:space="preserve"> of a testamentary LPOA unless the document forbids it</w:t>
      </w:r>
      <w:r w:rsidR="00CF6DAC">
        <w:rPr>
          <w:rFonts w:ascii="Calibri" w:hAnsi="Calibri"/>
          <w:lang w:val="en"/>
        </w:rPr>
        <w:t>.</w:t>
      </w:r>
      <w:r w:rsidR="00CF6DAC">
        <w:rPr>
          <w:rStyle w:val="FootnoteReference"/>
          <w:rFonts w:ascii="Calibri" w:hAnsi="Calibri"/>
          <w:lang w:val="en"/>
        </w:rPr>
        <w:footnoteReference w:id="182"/>
      </w:r>
      <w:r w:rsidR="00CF6DAC" w:rsidRPr="00CF6DAC">
        <w:rPr>
          <w:rFonts w:ascii="Calibri" w:hAnsi="Calibri"/>
          <w:lang w:val="en"/>
        </w:rPr>
        <w:t xml:space="preserve"> </w:t>
      </w:r>
    </w:p>
    <w:p w14:paraId="4092F25D" w14:textId="77777777" w:rsidR="0057176E" w:rsidRDefault="00F344FA" w:rsidP="00E66E09">
      <w:pPr>
        <w:autoSpaceDE w:val="0"/>
        <w:autoSpaceDN w:val="0"/>
        <w:adjustRightInd w:val="0"/>
        <w:spacing w:line="360" w:lineRule="auto"/>
        <w:ind w:firstLine="720"/>
        <w:jc w:val="both"/>
        <w:rPr>
          <w:rFonts w:ascii="Calibri" w:hAnsi="Calibri"/>
        </w:rPr>
      </w:pPr>
      <w:r>
        <w:rPr>
          <w:rFonts w:ascii="Calibri" w:hAnsi="Calibri"/>
        </w:rPr>
        <w:t>Retention of LPOAs or</w:t>
      </w:r>
      <w:r w:rsidR="0057176E">
        <w:rPr>
          <w:rFonts w:ascii="Calibri" w:hAnsi="Calibri"/>
        </w:rPr>
        <w:t xml:space="preserve"> </w:t>
      </w:r>
      <w:r w:rsidR="003E29C6">
        <w:rPr>
          <w:rFonts w:ascii="Calibri" w:hAnsi="Calibri"/>
        </w:rPr>
        <w:t xml:space="preserve">formula </w:t>
      </w:r>
      <w:r w:rsidR="0057176E">
        <w:rPr>
          <w:rFonts w:ascii="Calibri" w:hAnsi="Calibri"/>
        </w:rPr>
        <w:t xml:space="preserve">GPOAs not only </w:t>
      </w:r>
      <w:r>
        <w:rPr>
          <w:rFonts w:ascii="Calibri" w:hAnsi="Calibri"/>
        </w:rPr>
        <w:t>permit</w:t>
      </w:r>
      <w:r w:rsidR="0057176E">
        <w:rPr>
          <w:rFonts w:ascii="Calibri" w:hAnsi="Calibri"/>
        </w:rPr>
        <w:t xml:space="preserve"> much better basis increase (and avoiding basis decrease)</w:t>
      </w:r>
      <w:r>
        <w:rPr>
          <w:rFonts w:ascii="Calibri" w:hAnsi="Calibri"/>
        </w:rPr>
        <w:t xml:space="preserve"> at the spouse’s death</w:t>
      </w:r>
      <w:r w:rsidR="0057176E">
        <w:rPr>
          <w:rFonts w:ascii="Calibri" w:hAnsi="Calibri"/>
        </w:rPr>
        <w:t xml:space="preserve">, but they also open up more flexible </w:t>
      </w:r>
      <w:r w:rsidR="0057176E" w:rsidRPr="003D5DE9">
        <w:rPr>
          <w:rFonts w:ascii="Calibri" w:hAnsi="Calibri"/>
          <w:i/>
        </w:rPr>
        <w:t>ongoing income tax</w:t>
      </w:r>
      <w:r w:rsidR="0057176E">
        <w:rPr>
          <w:rFonts w:ascii="Calibri" w:hAnsi="Calibri"/>
        </w:rPr>
        <w:t xml:space="preserve"> planning op</w:t>
      </w:r>
      <w:r w:rsidR="00411626">
        <w:rPr>
          <w:rFonts w:ascii="Calibri" w:hAnsi="Calibri"/>
        </w:rPr>
        <w:t>portunities discussed in Part VIII</w:t>
      </w:r>
      <w:r w:rsidR="0057176E">
        <w:rPr>
          <w:rFonts w:ascii="Calibri" w:hAnsi="Calibri"/>
        </w:rPr>
        <w:t xml:space="preserve"> of this paper.</w:t>
      </w:r>
    </w:p>
    <w:p w14:paraId="6068ABAE" w14:textId="77777777" w:rsidR="0057176E" w:rsidRDefault="0057176E" w:rsidP="00E66E09">
      <w:pPr>
        <w:autoSpaceDE w:val="0"/>
        <w:autoSpaceDN w:val="0"/>
        <w:adjustRightInd w:val="0"/>
        <w:spacing w:line="360" w:lineRule="auto"/>
        <w:ind w:firstLine="720"/>
        <w:jc w:val="both"/>
        <w:rPr>
          <w:rFonts w:ascii="Calibri" w:hAnsi="Calibri"/>
        </w:rPr>
      </w:pPr>
      <w:r>
        <w:rPr>
          <w:rFonts w:ascii="Calibri" w:hAnsi="Calibri"/>
        </w:rPr>
        <w:t>Moreover, even trusts that are not initially planned to be “disclaimer” trusts, may someday be forced to be</w:t>
      </w:r>
      <w:r w:rsidR="00130E6A">
        <w:rPr>
          <w:rFonts w:ascii="Calibri" w:hAnsi="Calibri"/>
        </w:rPr>
        <w:t>, since clients inevitably fail to keep their trust fully funded.  So these techniques should be kept in mind – disclaimer funding does not mean giving up all POA flexibility</w:t>
      </w:r>
      <w:r w:rsidR="00EF4B55">
        <w:rPr>
          <w:rFonts w:ascii="Calibri" w:hAnsi="Calibri"/>
        </w:rPr>
        <w:t xml:space="preserve"> whatsoever – it just requires tailoring it</w:t>
      </w:r>
      <w:r w:rsidR="00130E6A">
        <w:rPr>
          <w:rFonts w:ascii="Calibri" w:hAnsi="Calibri"/>
        </w:rPr>
        <w:t>.</w:t>
      </w:r>
      <w:r w:rsidR="003D5DE9">
        <w:rPr>
          <w:rFonts w:ascii="Calibri" w:hAnsi="Calibri"/>
        </w:rPr>
        <w:t xml:space="preserve">  </w:t>
      </w:r>
    </w:p>
    <w:p w14:paraId="2A8F2082" w14:textId="77777777" w:rsidR="00842C2A" w:rsidRPr="00842C2A" w:rsidRDefault="00B8289A" w:rsidP="00842C2A">
      <w:pPr>
        <w:autoSpaceDE w:val="0"/>
        <w:autoSpaceDN w:val="0"/>
        <w:adjustRightInd w:val="0"/>
        <w:spacing w:line="360" w:lineRule="auto"/>
        <w:jc w:val="both"/>
        <w:rPr>
          <w:rFonts w:ascii="Calibri" w:hAnsi="Calibri" w:cs="Helv"/>
          <w:b/>
          <w:bCs/>
          <w:color w:val="000000"/>
        </w:rPr>
      </w:pPr>
      <w:r>
        <w:rPr>
          <w:rFonts w:ascii="Calibri" w:hAnsi="Calibri"/>
          <w:b/>
        </w:rPr>
        <w:t>d</w:t>
      </w:r>
      <w:r w:rsidR="00842C2A" w:rsidRPr="00842C2A">
        <w:rPr>
          <w:rFonts w:ascii="Calibri" w:hAnsi="Calibri"/>
          <w:b/>
        </w:rPr>
        <w:t>.</w:t>
      </w:r>
      <w:r w:rsidR="00842C2A" w:rsidRPr="00842C2A">
        <w:rPr>
          <w:rFonts w:ascii="Calibri" w:hAnsi="Calibri"/>
          <w:b/>
        </w:rPr>
        <w:tab/>
        <w:t xml:space="preserve">How OBITs </w:t>
      </w:r>
      <w:r>
        <w:rPr>
          <w:rFonts w:ascii="Calibri" w:hAnsi="Calibri"/>
          <w:b/>
        </w:rPr>
        <w:t xml:space="preserve">often </w:t>
      </w:r>
      <w:r w:rsidR="00842C2A" w:rsidRPr="00842C2A">
        <w:rPr>
          <w:rFonts w:ascii="Calibri" w:hAnsi="Calibri"/>
          <w:b/>
        </w:rPr>
        <w:t xml:space="preserve">open up better post-mortem disclaimer planning at </w:t>
      </w:r>
      <w:r w:rsidR="00842C2A" w:rsidRPr="00512F0E">
        <w:rPr>
          <w:rFonts w:ascii="Calibri" w:hAnsi="Calibri"/>
          <w:b/>
          <w:i/>
        </w:rPr>
        <w:t>2</w:t>
      </w:r>
      <w:r w:rsidR="00842C2A" w:rsidRPr="00512F0E">
        <w:rPr>
          <w:rFonts w:ascii="Calibri" w:hAnsi="Calibri"/>
          <w:b/>
          <w:i/>
          <w:vertAlign w:val="superscript"/>
        </w:rPr>
        <w:t>nd</w:t>
      </w:r>
      <w:r w:rsidR="00842C2A" w:rsidRPr="00512F0E">
        <w:rPr>
          <w:rFonts w:ascii="Calibri" w:hAnsi="Calibri"/>
          <w:b/>
          <w:i/>
        </w:rPr>
        <w:t xml:space="preserve"> death</w:t>
      </w:r>
    </w:p>
    <w:p w14:paraId="4FDEDD17" w14:textId="77777777" w:rsidR="00512F0E" w:rsidRDefault="00842C2A" w:rsidP="00842C2A">
      <w:pPr>
        <w:autoSpaceDE w:val="0"/>
        <w:autoSpaceDN w:val="0"/>
        <w:adjustRightInd w:val="0"/>
        <w:spacing w:line="360" w:lineRule="auto"/>
        <w:ind w:firstLine="720"/>
        <w:rPr>
          <w:rFonts w:ascii="Calibri" w:hAnsi="Calibri"/>
        </w:rPr>
      </w:pPr>
      <w:r w:rsidRPr="00842C2A">
        <w:rPr>
          <w:rFonts w:ascii="Calibri" w:hAnsi="Calibri"/>
        </w:rPr>
        <w:t>Not</w:t>
      </w:r>
      <w:r>
        <w:rPr>
          <w:rFonts w:ascii="Calibri" w:hAnsi="Calibri"/>
        </w:rPr>
        <w:t xml:space="preserve"> only do OBITs enable better and more flexible estate planning at the first death, they permit more flexible estate planning at the </w:t>
      </w:r>
      <w:r w:rsidRPr="00842C2A">
        <w:rPr>
          <w:rFonts w:ascii="Calibri" w:hAnsi="Calibri"/>
          <w:i/>
        </w:rPr>
        <w:t>surviving</w:t>
      </w:r>
      <w:r>
        <w:rPr>
          <w:rFonts w:ascii="Calibri" w:hAnsi="Calibri"/>
        </w:rPr>
        <w:t xml:space="preserve"> spouse’s death.</w:t>
      </w:r>
      <w:r w:rsidR="00510AAF">
        <w:rPr>
          <w:rFonts w:ascii="Calibri" w:hAnsi="Calibri"/>
        </w:rPr>
        <w:t xml:space="preserve">  As discussed in Part III, the general rule for qualified disclaimers is that an appointee attaining property from the exercise of a </w:t>
      </w:r>
      <w:r w:rsidR="00510AAF" w:rsidRPr="00510AAF">
        <w:rPr>
          <w:rFonts w:ascii="Calibri" w:hAnsi="Calibri"/>
          <w:b/>
          <w:i/>
        </w:rPr>
        <w:t>limited</w:t>
      </w:r>
      <w:r w:rsidR="00510AAF">
        <w:rPr>
          <w:rFonts w:ascii="Calibri" w:hAnsi="Calibri"/>
        </w:rPr>
        <w:t xml:space="preserve"> power of appointment, even if the assets are in the decedent’s estate as a QTIP trust, must disclaim within nine months of the date of the original creation of the limited power (i.e. the date of gift for intervivos irrevocable trusts, or the date of the settlor’s death for those funded post-mortem).</w:t>
      </w:r>
      <w:r w:rsidR="00510AAF">
        <w:rPr>
          <w:rStyle w:val="FootnoteReference"/>
          <w:rFonts w:ascii="Calibri" w:hAnsi="Calibri"/>
        </w:rPr>
        <w:footnoteReference w:id="183"/>
      </w:r>
      <w:r w:rsidR="00510AAF">
        <w:rPr>
          <w:rFonts w:ascii="Calibri" w:hAnsi="Calibri"/>
        </w:rPr>
        <w:t xml:space="preserve">  By contrast, an appointee or beneficiary who is taker in default of a </w:t>
      </w:r>
      <w:r w:rsidR="00510AAF" w:rsidRPr="00512F0E">
        <w:rPr>
          <w:rFonts w:ascii="Calibri" w:hAnsi="Calibri"/>
          <w:i/>
        </w:rPr>
        <w:t>general</w:t>
      </w:r>
      <w:r w:rsidR="00510AAF">
        <w:rPr>
          <w:rFonts w:ascii="Calibri" w:hAnsi="Calibri"/>
        </w:rPr>
        <w:t xml:space="preserve"> power is afforded an additional 9 month window</w:t>
      </w:r>
      <w:r w:rsidR="00512F0E">
        <w:rPr>
          <w:rFonts w:ascii="Calibri" w:hAnsi="Calibri"/>
        </w:rPr>
        <w:t xml:space="preserve"> after the death of the holder of the testamentary general power of appointment.</w:t>
      </w:r>
    </w:p>
    <w:p w14:paraId="7B7B2735" w14:textId="77777777" w:rsidR="00512F0E" w:rsidRDefault="00512F0E" w:rsidP="00512F0E">
      <w:pPr>
        <w:autoSpaceDE w:val="0"/>
        <w:autoSpaceDN w:val="0"/>
        <w:adjustRightInd w:val="0"/>
        <w:spacing w:line="360" w:lineRule="auto"/>
        <w:ind w:firstLine="720"/>
        <w:rPr>
          <w:rFonts w:ascii="Calibri" w:hAnsi="Calibri"/>
        </w:rPr>
      </w:pPr>
      <w:r>
        <w:rPr>
          <w:rFonts w:ascii="Calibri" w:hAnsi="Calibri"/>
        </w:rPr>
        <w:t xml:space="preserve">Let’s contrast with a brief example.  </w:t>
      </w:r>
      <w:r w:rsidR="00CE4AF9">
        <w:rPr>
          <w:rFonts w:ascii="Calibri" w:hAnsi="Calibri"/>
        </w:rPr>
        <w:t>Husband</w:t>
      </w:r>
      <w:r>
        <w:rPr>
          <w:rFonts w:ascii="Calibri" w:hAnsi="Calibri"/>
        </w:rPr>
        <w:t xml:space="preserve"> establishes QTIP trust or ordinary bypass trust for </w:t>
      </w:r>
      <w:r w:rsidR="00CE4AF9">
        <w:rPr>
          <w:rFonts w:ascii="Calibri" w:hAnsi="Calibri"/>
        </w:rPr>
        <w:t>wife,</w:t>
      </w:r>
      <w:r>
        <w:rPr>
          <w:rFonts w:ascii="Calibri" w:hAnsi="Calibri"/>
        </w:rPr>
        <w:t xml:space="preserve"> then children.  More than 9 months pass, then spouse dies.  </w:t>
      </w:r>
      <w:r w:rsidR="00CE4AF9">
        <w:rPr>
          <w:rFonts w:ascii="Calibri" w:hAnsi="Calibri"/>
        </w:rPr>
        <w:t>Whether she exercises a limited testamentary power of appointment or not, i</w:t>
      </w:r>
      <w:r>
        <w:rPr>
          <w:rFonts w:ascii="Calibri" w:hAnsi="Calibri"/>
        </w:rPr>
        <w:t xml:space="preserve">t is too late for the children to disclaim under §2518.  If they have a taxable estate, creditor problems, pending divorce, state tax liens, would like to shift IRD income to the next generation in a lower tax bracket or to charity or any other </w:t>
      </w:r>
      <w:r w:rsidR="00CE4AF9">
        <w:rPr>
          <w:rFonts w:ascii="Calibri" w:hAnsi="Calibri"/>
        </w:rPr>
        <w:t>circumstance</w:t>
      </w:r>
      <w:r>
        <w:rPr>
          <w:rFonts w:ascii="Calibri" w:hAnsi="Calibri"/>
        </w:rPr>
        <w:t xml:space="preserve"> where a qualified disclaimer might be warranted, they are </w:t>
      </w:r>
      <w:r>
        <w:rPr>
          <w:rFonts w:ascii="Calibri" w:hAnsi="Calibri"/>
        </w:rPr>
        <w:lastRenderedPageBreak/>
        <w:t xml:space="preserve">out of luck – at least, there is no chance the disclaimer will be tax-qualified – as discussed in Part III it may still qualify for some aspects under state law.  </w:t>
      </w:r>
    </w:p>
    <w:p w14:paraId="3E9C0C0C" w14:textId="0179628D" w:rsidR="00C35202" w:rsidRDefault="00512F0E" w:rsidP="00512F0E">
      <w:pPr>
        <w:autoSpaceDE w:val="0"/>
        <w:autoSpaceDN w:val="0"/>
        <w:adjustRightInd w:val="0"/>
        <w:spacing w:line="360" w:lineRule="auto"/>
        <w:ind w:firstLine="720"/>
        <w:rPr>
          <w:rFonts w:ascii="Calibri" w:hAnsi="Calibri"/>
        </w:rPr>
      </w:pPr>
      <w:r>
        <w:rPr>
          <w:rFonts w:ascii="Calibri" w:hAnsi="Calibri"/>
        </w:rPr>
        <w:t>By contrast, if the trust were an OBIT trust</w:t>
      </w:r>
      <w:r w:rsidR="00DF02E2">
        <w:rPr>
          <w:rFonts w:ascii="Calibri" w:hAnsi="Calibri"/>
        </w:rPr>
        <w:t>, to the extent a formula GPOA is triggered</w:t>
      </w:r>
      <w:r>
        <w:rPr>
          <w:rFonts w:ascii="Calibri" w:hAnsi="Calibri"/>
        </w:rPr>
        <w:t xml:space="preserve">, </w:t>
      </w:r>
      <w:r w:rsidR="00DF02E2">
        <w:rPr>
          <w:rFonts w:ascii="Calibri" w:hAnsi="Calibri"/>
        </w:rPr>
        <w:t xml:space="preserve">whether it is exercised or not, </w:t>
      </w:r>
      <w:r>
        <w:rPr>
          <w:rFonts w:ascii="Calibri" w:hAnsi="Calibri"/>
        </w:rPr>
        <w:t>§2518 would permit the beneficiaries</w:t>
      </w:r>
      <w:r w:rsidR="00DF02E2">
        <w:rPr>
          <w:rFonts w:ascii="Calibri" w:hAnsi="Calibri"/>
        </w:rPr>
        <w:t xml:space="preserve"> (whether they are appointees or takers in default)</w:t>
      </w:r>
      <w:r>
        <w:rPr>
          <w:rFonts w:ascii="Calibri" w:hAnsi="Calibri"/>
        </w:rPr>
        <w:t xml:space="preserve"> an additional nine</w:t>
      </w:r>
      <w:r w:rsidR="00DB2B98">
        <w:rPr>
          <w:rFonts w:ascii="Calibri" w:hAnsi="Calibri"/>
        </w:rPr>
        <w:t>-</w:t>
      </w:r>
      <w:r>
        <w:rPr>
          <w:rFonts w:ascii="Calibri" w:hAnsi="Calibri"/>
        </w:rPr>
        <w:t>month window from when the surviving spouse dies, without causing any ill gift/estate/</w:t>
      </w:r>
      <w:r w:rsidR="00DB2B98">
        <w:rPr>
          <w:rFonts w:ascii="Calibri" w:hAnsi="Calibri"/>
        </w:rPr>
        <w:t>GST</w:t>
      </w:r>
      <w:r>
        <w:rPr>
          <w:rFonts w:ascii="Calibri" w:hAnsi="Calibri"/>
        </w:rPr>
        <w:t xml:space="preserve"> tax effects.  </w:t>
      </w:r>
    </w:p>
    <w:p w14:paraId="03870281" w14:textId="77777777" w:rsidR="00C35202" w:rsidRDefault="00C35202" w:rsidP="00512F0E">
      <w:pPr>
        <w:autoSpaceDE w:val="0"/>
        <w:autoSpaceDN w:val="0"/>
        <w:adjustRightInd w:val="0"/>
        <w:spacing w:line="360" w:lineRule="auto"/>
        <w:ind w:firstLine="720"/>
        <w:rPr>
          <w:rFonts w:ascii="Calibri" w:hAnsi="Calibri"/>
        </w:rPr>
      </w:pPr>
      <w:r>
        <w:rPr>
          <w:rFonts w:ascii="Calibri" w:hAnsi="Calibri"/>
        </w:rPr>
        <w:t xml:space="preserve">So, would you prefer a trust design that enables </w:t>
      </w:r>
      <w:r w:rsidR="00DF02E2">
        <w:rPr>
          <w:rFonts w:ascii="Calibri" w:hAnsi="Calibri"/>
        </w:rPr>
        <w:t xml:space="preserve">the next generation to do </w:t>
      </w:r>
      <w:r>
        <w:rPr>
          <w:rFonts w:ascii="Calibri" w:hAnsi="Calibri"/>
        </w:rPr>
        <w:t>disclaimer planning at the surviving spouse’s death, or forbids it?</w:t>
      </w:r>
    </w:p>
    <w:p w14:paraId="6D77AFAE" w14:textId="77777777" w:rsidR="00E66E09" w:rsidRDefault="00E66E09" w:rsidP="00DF02E2">
      <w:pPr>
        <w:autoSpaceDE w:val="0"/>
        <w:autoSpaceDN w:val="0"/>
        <w:adjustRightInd w:val="0"/>
        <w:spacing w:line="360" w:lineRule="auto"/>
        <w:rPr>
          <w:rFonts w:ascii="Calibri" w:hAnsi="Calibri"/>
          <w:b/>
        </w:rPr>
      </w:pPr>
      <w:r>
        <w:rPr>
          <w:rFonts w:ascii="Calibri" w:hAnsi="Calibri"/>
          <w:b/>
        </w:rPr>
        <w:br w:type="page"/>
      </w:r>
      <w:r w:rsidR="00D63814">
        <w:rPr>
          <w:rFonts w:ascii="Calibri" w:hAnsi="Calibri"/>
          <w:b/>
        </w:rPr>
        <w:lastRenderedPageBreak/>
        <w:t>V.</w:t>
      </w:r>
      <w:r w:rsidR="00D63814">
        <w:rPr>
          <w:rFonts w:ascii="Calibri" w:hAnsi="Calibri"/>
          <w:b/>
        </w:rPr>
        <w:tab/>
      </w:r>
      <w:r w:rsidR="00491FB5">
        <w:rPr>
          <w:rFonts w:ascii="Calibri" w:hAnsi="Calibri"/>
          <w:b/>
        </w:rPr>
        <w:t xml:space="preserve">Optimizing Basis Increase at </w:t>
      </w:r>
      <w:r w:rsidR="00491FB5" w:rsidRPr="003527CB">
        <w:rPr>
          <w:rFonts w:ascii="Calibri" w:hAnsi="Calibri"/>
          <w:b/>
          <w:i/>
        </w:rPr>
        <w:t>First</w:t>
      </w:r>
      <w:r w:rsidR="00491FB5">
        <w:rPr>
          <w:rFonts w:ascii="Calibri" w:hAnsi="Calibri"/>
          <w:b/>
        </w:rPr>
        <w:t xml:space="preserve"> Death</w:t>
      </w:r>
      <w:r w:rsidR="008D2343">
        <w:rPr>
          <w:rFonts w:ascii="Calibri" w:hAnsi="Calibri"/>
          <w:b/>
        </w:rPr>
        <w:t xml:space="preserve"> or Other Deaths via Upstream Planning</w:t>
      </w:r>
    </w:p>
    <w:p w14:paraId="239B957B" w14:textId="77777777" w:rsidR="00027E19" w:rsidRDefault="00027E19" w:rsidP="00027E19">
      <w:pPr>
        <w:autoSpaceDE w:val="0"/>
        <w:autoSpaceDN w:val="0"/>
        <w:adjustRightInd w:val="0"/>
        <w:ind w:firstLine="720"/>
        <w:rPr>
          <w:rFonts w:ascii="CenturySchoolbook" w:hAnsi="CenturySchoolbook" w:cs="CenturySchoolbook"/>
          <w:sz w:val="16"/>
          <w:szCs w:val="16"/>
        </w:rPr>
      </w:pPr>
    </w:p>
    <w:p w14:paraId="22C25F7C" w14:textId="77777777" w:rsidR="002E3985" w:rsidRDefault="00666A01" w:rsidP="00180FD1">
      <w:pPr>
        <w:pStyle w:val="ListParagraph"/>
        <w:numPr>
          <w:ilvl w:val="0"/>
          <w:numId w:val="21"/>
        </w:numPr>
        <w:autoSpaceDE w:val="0"/>
        <w:autoSpaceDN w:val="0"/>
        <w:adjustRightInd w:val="0"/>
        <w:ind w:hanging="720"/>
        <w:rPr>
          <w:rFonts w:ascii="Calibri" w:hAnsi="Calibri" w:cs="Helv"/>
          <w:b/>
          <w:bCs/>
          <w:color w:val="000000"/>
        </w:rPr>
      </w:pPr>
      <w:r w:rsidRPr="00AA19AE">
        <w:rPr>
          <w:rFonts w:ascii="Calibri" w:hAnsi="Calibri" w:cs="Helv"/>
          <w:b/>
          <w:bCs/>
          <w:color w:val="000000"/>
        </w:rPr>
        <w:t xml:space="preserve">Community Property Nuances – </w:t>
      </w:r>
      <w:r w:rsidR="002E3985" w:rsidRPr="00AA19AE">
        <w:rPr>
          <w:rFonts w:ascii="Calibri" w:hAnsi="Calibri" w:cs="Helv"/>
          <w:b/>
          <w:bCs/>
          <w:color w:val="000000"/>
        </w:rPr>
        <w:t xml:space="preserve"> </w:t>
      </w:r>
      <w:r w:rsidR="00AA19AE">
        <w:rPr>
          <w:rFonts w:ascii="Calibri" w:hAnsi="Calibri" w:cs="Helv"/>
          <w:b/>
          <w:bCs/>
          <w:color w:val="000000"/>
        </w:rPr>
        <w:t>Transmutation Agreements and IRC §1014(b)(6)</w:t>
      </w:r>
    </w:p>
    <w:p w14:paraId="15D5DCAF" w14:textId="77777777" w:rsidR="00793C4F" w:rsidRPr="00AA19AE" w:rsidRDefault="00793C4F" w:rsidP="00793C4F">
      <w:pPr>
        <w:pStyle w:val="ListParagraph"/>
        <w:autoSpaceDE w:val="0"/>
        <w:autoSpaceDN w:val="0"/>
        <w:adjustRightInd w:val="0"/>
        <w:rPr>
          <w:rFonts w:ascii="Calibri" w:hAnsi="Calibri" w:cs="Helv"/>
          <w:b/>
          <w:bCs/>
          <w:color w:val="000000"/>
        </w:rPr>
      </w:pPr>
    </w:p>
    <w:p w14:paraId="487FE7BC" w14:textId="77777777" w:rsidR="00AA19AE" w:rsidRDefault="00491FB5" w:rsidP="00AA19AE">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Married couples living in community property states automatically receive a new date of death basis for </w:t>
      </w:r>
      <w:r w:rsidR="00987AAC">
        <w:rPr>
          <w:rFonts w:ascii="Calibri" w:hAnsi="Calibri" w:cs="Helv"/>
          <w:bCs/>
          <w:color w:val="000000"/>
        </w:rPr>
        <w:t xml:space="preserve">100% of </w:t>
      </w:r>
      <w:r>
        <w:rPr>
          <w:rFonts w:ascii="Calibri" w:hAnsi="Calibri" w:cs="Helv"/>
          <w:bCs/>
          <w:color w:val="000000"/>
        </w:rPr>
        <w:t xml:space="preserve">community property (which can, of course, mean a step </w:t>
      </w:r>
      <w:r w:rsidRPr="002D71FD">
        <w:rPr>
          <w:rFonts w:ascii="Calibri" w:hAnsi="Calibri" w:cs="Helv"/>
          <w:bCs/>
          <w:i/>
          <w:color w:val="000000"/>
        </w:rPr>
        <w:t>down</w:t>
      </w:r>
      <w:r>
        <w:rPr>
          <w:rFonts w:ascii="Calibri" w:hAnsi="Calibri" w:cs="Helv"/>
          <w:bCs/>
          <w:color w:val="000000"/>
        </w:rPr>
        <w:t xml:space="preserve"> in basis for </w:t>
      </w:r>
      <w:r w:rsidR="002D71FD">
        <w:rPr>
          <w:rFonts w:ascii="Calibri" w:hAnsi="Calibri" w:cs="Helv"/>
          <w:bCs/>
          <w:color w:val="000000"/>
        </w:rPr>
        <w:t xml:space="preserve">100% of such </w:t>
      </w:r>
      <w:r>
        <w:rPr>
          <w:rFonts w:ascii="Calibri" w:hAnsi="Calibri" w:cs="Helv"/>
          <w:bCs/>
          <w:color w:val="000000"/>
        </w:rPr>
        <w:t>property as well).</w:t>
      </w:r>
      <w:r>
        <w:rPr>
          <w:rStyle w:val="FootnoteReference"/>
          <w:rFonts w:ascii="Calibri" w:hAnsi="Calibri" w:cs="Helv"/>
          <w:bCs/>
          <w:color w:val="000000"/>
        </w:rPr>
        <w:footnoteReference w:id="184"/>
      </w:r>
      <w:r>
        <w:rPr>
          <w:rFonts w:ascii="Calibri" w:hAnsi="Calibri" w:cs="Helv"/>
          <w:bCs/>
          <w:color w:val="000000"/>
        </w:rPr>
        <w:t xml:space="preserve">  </w:t>
      </w:r>
      <w:r w:rsidR="002E3985">
        <w:rPr>
          <w:rFonts w:ascii="Calibri" w:hAnsi="Calibri" w:cs="Helv"/>
          <w:bCs/>
          <w:color w:val="000000"/>
        </w:rPr>
        <w:t>Some</w:t>
      </w:r>
      <w:r>
        <w:rPr>
          <w:rFonts w:ascii="Calibri" w:hAnsi="Calibri" w:cs="Helv"/>
          <w:bCs/>
          <w:color w:val="000000"/>
        </w:rPr>
        <w:t xml:space="preserve"> property</w:t>
      </w:r>
      <w:r w:rsidR="00AA19AE">
        <w:rPr>
          <w:rFonts w:ascii="Calibri" w:hAnsi="Calibri" w:cs="Helv"/>
          <w:bCs/>
          <w:color w:val="000000"/>
        </w:rPr>
        <w:t>, however,</w:t>
      </w:r>
      <w:r>
        <w:rPr>
          <w:rFonts w:ascii="Calibri" w:hAnsi="Calibri" w:cs="Helv"/>
          <w:bCs/>
          <w:color w:val="000000"/>
        </w:rPr>
        <w:t xml:space="preserve"> </w:t>
      </w:r>
      <w:r w:rsidR="00AA19AE">
        <w:rPr>
          <w:rFonts w:ascii="Calibri" w:hAnsi="Calibri" w:cs="Helv"/>
          <w:bCs/>
          <w:color w:val="000000"/>
        </w:rPr>
        <w:t xml:space="preserve">perhaps </w:t>
      </w:r>
      <w:r w:rsidR="00FE1AA2">
        <w:rPr>
          <w:rFonts w:ascii="Calibri" w:hAnsi="Calibri" w:cs="Helv"/>
          <w:bCs/>
          <w:color w:val="000000"/>
        </w:rPr>
        <w:t>nearly all</w:t>
      </w:r>
      <w:r w:rsidR="00AA19AE">
        <w:rPr>
          <w:rFonts w:ascii="Calibri" w:hAnsi="Calibri" w:cs="Helv"/>
          <w:bCs/>
          <w:color w:val="000000"/>
        </w:rPr>
        <w:t xml:space="preserve">, </w:t>
      </w:r>
      <w:r>
        <w:rPr>
          <w:rFonts w:ascii="Calibri" w:hAnsi="Calibri" w:cs="Helv"/>
          <w:bCs/>
          <w:color w:val="000000"/>
        </w:rPr>
        <w:t xml:space="preserve">might be </w:t>
      </w:r>
      <w:r w:rsidRPr="00FE1AA2">
        <w:rPr>
          <w:rFonts w:ascii="Calibri" w:hAnsi="Calibri" w:cs="Helv"/>
          <w:bCs/>
          <w:i/>
          <w:color w:val="000000"/>
        </w:rPr>
        <w:t>separate</w:t>
      </w:r>
      <w:r w:rsidR="003A0FA4">
        <w:rPr>
          <w:rFonts w:ascii="Calibri" w:hAnsi="Calibri" w:cs="Helv"/>
          <w:bCs/>
          <w:color w:val="000000"/>
        </w:rPr>
        <w:t xml:space="preserve"> even for those in community property states</w:t>
      </w:r>
      <w:r>
        <w:rPr>
          <w:rFonts w:ascii="Calibri" w:hAnsi="Calibri" w:cs="Helv"/>
          <w:bCs/>
          <w:color w:val="000000"/>
        </w:rPr>
        <w:t xml:space="preserve"> – such as property</w:t>
      </w:r>
      <w:r w:rsidR="003A0FA4">
        <w:rPr>
          <w:rFonts w:ascii="Calibri" w:hAnsi="Calibri" w:cs="Helv"/>
          <w:bCs/>
          <w:color w:val="000000"/>
        </w:rPr>
        <w:t xml:space="preserve"> received by gift/bequest,</w:t>
      </w:r>
      <w:r>
        <w:rPr>
          <w:rFonts w:ascii="Calibri" w:hAnsi="Calibri" w:cs="Helv"/>
          <w:bCs/>
          <w:color w:val="000000"/>
        </w:rPr>
        <w:t xml:space="preserve"> or assets </w:t>
      </w:r>
      <w:r w:rsidR="00666A01">
        <w:rPr>
          <w:rFonts w:ascii="Calibri" w:hAnsi="Calibri" w:cs="Helv"/>
          <w:bCs/>
          <w:color w:val="000000"/>
        </w:rPr>
        <w:t>acquired</w:t>
      </w:r>
      <w:r>
        <w:rPr>
          <w:rFonts w:ascii="Calibri" w:hAnsi="Calibri" w:cs="Helv"/>
          <w:bCs/>
          <w:color w:val="000000"/>
        </w:rPr>
        <w:t xml:space="preserve"> prior to marriage.  Increasing step up in basis at first death for such separate property (</w:t>
      </w:r>
      <w:r w:rsidR="00AA19AE">
        <w:rPr>
          <w:rFonts w:ascii="Calibri" w:hAnsi="Calibri" w:cs="Helv"/>
          <w:bCs/>
          <w:color w:val="000000"/>
        </w:rPr>
        <w:t>and</w:t>
      </w:r>
      <w:r>
        <w:rPr>
          <w:rFonts w:ascii="Calibri" w:hAnsi="Calibri" w:cs="Helv"/>
          <w:bCs/>
          <w:color w:val="000000"/>
        </w:rPr>
        <w:t xml:space="preserve"> avoiding double step downs for community property that has </w:t>
      </w:r>
      <w:r w:rsidR="00AA19AE">
        <w:rPr>
          <w:rFonts w:ascii="Calibri" w:hAnsi="Calibri" w:cs="Helv"/>
          <w:bCs/>
          <w:color w:val="000000"/>
        </w:rPr>
        <w:t>decreased</w:t>
      </w:r>
      <w:r>
        <w:rPr>
          <w:rFonts w:ascii="Calibri" w:hAnsi="Calibri" w:cs="Helv"/>
          <w:bCs/>
          <w:color w:val="000000"/>
        </w:rPr>
        <w:t xml:space="preserve"> in value) may be accomplished through postn</w:t>
      </w:r>
      <w:r w:rsidR="00FE1AA2">
        <w:rPr>
          <w:rFonts w:ascii="Calibri" w:hAnsi="Calibri" w:cs="Helv"/>
          <w:bCs/>
          <w:color w:val="000000"/>
        </w:rPr>
        <w:t xml:space="preserve">uptial transmutation agreements and those </w:t>
      </w:r>
      <w:r w:rsidR="00FE1AA2" w:rsidRPr="00FE1AA2">
        <w:rPr>
          <w:rFonts w:ascii="Calibri" w:hAnsi="Calibri" w:cs="Helv"/>
          <w:bCs/>
          <w:color w:val="000000"/>
        </w:rPr>
        <w:t>valid under state law are also binding on the government for federal tax purposes.</w:t>
      </w:r>
      <w:r w:rsidR="00FE1AA2">
        <w:rPr>
          <w:rStyle w:val="FootnoteReference"/>
          <w:rFonts w:ascii="Calibri" w:hAnsi="Calibri" w:cs="Helv"/>
          <w:bCs/>
          <w:color w:val="000000"/>
        </w:rPr>
        <w:footnoteReference w:id="185"/>
      </w:r>
      <w:r w:rsidR="00FE1AA2" w:rsidRPr="00FE1AA2">
        <w:rPr>
          <w:rFonts w:ascii="Calibri" w:hAnsi="Calibri" w:cs="Helv"/>
          <w:bCs/>
          <w:color w:val="000000"/>
        </w:rPr>
        <w:t xml:space="preserve">  </w:t>
      </w:r>
      <w:r>
        <w:rPr>
          <w:rFonts w:ascii="Calibri" w:hAnsi="Calibri" w:cs="Helv"/>
          <w:bCs/>
          <w:color w:val="000000"/>
        </w:rPr>
        <w:t xml:space="preserve"> </w:t>
      </w:r>
    </w:p>
    <w:p w14:paraId="2A6308AC" w14:textId="77777777" w:rsidR="00AA19AE" w:rsidRDefault="00491FB5"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lastRenderedPageBreak/>
        <w:t>Example</w:t>
      </w:r>
      <w:r w:rsidR="00B862A0">
        <w:rPr>
          <w:rFonts w:ascii="Calibri" w:hAnsi="Calibri" w:cs="Helv"/>
          <w:bCs/>
          <w:color w:val="000000"/>
        </w:rPr>
        <w:t xml:space="preserve"> #1</w:t>
      </w:r>
      <w:r w:rsidR="00EE1B4C">
        <w:rPr>
          <w:rFonts w:ascii="Calibri" w:hAnsi="Calibri" w:cs="Helv"/>
          <w:bCs/>
          <w:color w:val="000000"/>
        </w:rPr>
        <w:t xml:space="preserve"> (community property state)</w:t>
      </w:r>
      <w:r>
        <w:rPr>
          <w:rFonts w:ascii="Calibri" w:hAnsi="Calibri" w:cs="Helv"/>
          <w:bCs/>
          <w:color w:val="000000"/>
        </w:rPr>
        <w:t>: John and Jane are on their second marriage</w:t>
      </w:r>
      <w:r w:rsidR="00666A01">
        <w:rPr>
          <w:rFonts w:ascii="Calibri" w:hAnsi="Calibri" w:cs="Helv"/>
          <w:bCs/>
          <w:color w:val="000000"/>
        </w:rPr>
        <w:t xml:space="preserve"> late in life</w:t>
      </w:r>
      <w:r>
        <w:rPr>
          <w:rFonts w:ascii="Calibri" w:hAnsi="Calibri" w:cs="Helv"/>
          <w:bCs/>
          <w:color w:val="000000"/>
        </w:rPr>
        <w:t xml:space="preserve"> and therefore have significant separate property.  </w:t>
      </w:r>
      <w:r w:rsidR="00EE1B4C">
        <w:rPr>
          <w:rFonts w:ascii="Calibri" w:hAnsi="Calibri" w:cs="Helv"/>
          <w:bCs/>
          <w:color w:val="000000"/>
        </w:rPr>
        <w:t>Residents of</w:t>
      </w:r>
      <w:r>
        <w:rPr>
          <w:rFonts w:ascii="Calibri" w:hAnsi="Calibri" w:cs="Helv"/>
          <w:bCs/>
          <w:color w:val="000000"/>
        </w:rPr>
        <w:t xml:space="preserve"> a community property state, John and Jane might </w:t>
      </w:r>
      <w:r w:rsidR="002E3985">
        <w:rPr>
          <w:rFonts w:ascii="Calibri" w:hAnsi="Calibri" w:cs="Helv"/>
          <w:bCs/>
          <w:color w:val="000000"/>
        </w:rPr>
        <w:t>enter into an agreement</w:t>
      </w:r>
      <w:r>
        <w:rPr>
          <w:rFonts w:ascii="Calibri" w:hAnsi="Calibri" w:cs="Helv"/>
          <w:bCs/>
          <w:color w:val="000000"/>
        </w:rPr>
        <w:t xml:space="preserve"> that $1 million </w:t>
      </w:r>
      <w:r w:rsidR="003A0FA4">
        <w:rPr>
          <w:rFonts w:ascii="Calibri" w:hAnsi="Calibri" w:cs="Helv"/>
          <w:bCs/>
          <w:color w:val="000000"/>
        </w:rPr>
        <w:t xml:space="preserve">each </w:t>
      </w:r>
      <w:r>
        <w:rPr>
          <w:rFonts w:ascii="Calibri" w:hAnsi="Calibri" w:cs="Helv"/>
          <w:bCs/>
          <w:color w:val="000000"/>
        </w:rPr>
        <w:t xml:space="preserve">of their low basis property is </w:t>
      </w:r>
      <w:r w:rsidR="00AA19AE">
        <w:rPr>
          <w:rFonts w:ascii="Calibri" w:hAnsi="Calibri" w:cs="Helv"/>
          <w:bCs/>
          <w:color w:val="000000"/>
        </w:rPr>
        <w:t xml:space="preserve">now </w:t>
      </w:r>
      <w:r>
        <w:rPr>
          <w:rFonts w:ascii="Calibri" w:hAnsi="Calibri" w:cs="Helv"/>
          <w:bCs/>
          <w:color w:val="000000"/>
        </w:rPr>
        <w:t>community property.  Of course, if John’s former separate property value skyrockets to $2 million, and Jane’s stays the same at $1 million, and they are later divorced, this $3 million is 50/50 for divorce purposes</w:t>
      </w:r>
      <w:r w:rsidR="00AA19AE">
        <w:rPr>
          <w:rFonts w:ascii="Calibri" w:hAnsi="Calibri" w:cs="Helv"/>
          <w:bCs/>
          <w:color w:val="000000"/>
        </w:rPr>
        <w:t>, probably divided into two $1.5 million shares rather than $2/$1 million split had they not transmuted the property</w:t>
      </w:r>
      <w:r>
        <w:rPr>
          <w:rFonts w:ascii="Calibri" w:hAnsi="Calibri" w:cs="Helv"/>
          <w:bCs/>
          <w:color w:val="000000"/>
        </w:rPr>
        <w:t xml:space="preserve">.  But many clients could live with this, when considering that if one dies, all $3 million gets a new adjusted basis – a substantial windfall for the widow/widower </w:t>
      </w:r>
      <w:r w:rsidR="000D040D">
        <w:rPr>
          <w:rFonts w:ascii="Calibri" w:hAnsi="Calibri" w:cs="Helv"/>
          <w:bCs/>
          <w:color w:val="000000"/>
        </w:rPr>
        <w:t xml:space="preserve">- </w:t>
      </w:r>
      <w:r>
        <w:rPr>
          <w:rFonts w:ascii="Calibri" w:hAnsi="Calibri" w:cs="Helv"/>
          <w:bCs/>
          <w:color w:val="000000"/>
        </w:rPr>
        <w:t>and potentially other</w:t>
      </w:r>
      <w:r w:rsidR="00FE1AA2">
        <w:rPr>
          <w:rFonts w:ascii="Calibri" w:hAnsi="Calibri" w:cs="Helv"/>
          <w:bCs/>
          <w:color w:val="000000"/>
        </w:rPr>
        <w:t xml:space="preserve"> beneficiaries</w:t>
      </w:r>
      <w:r>
        <w:rPr>
          <w:rFonts w:ascii="Calibri" w:hAnsi="Calibri" w:cs="Helv"/>
          <w:bCs/>
          <w:color w:val="000000"/>
        </w:rPr>
        <w:t xml:space="preserve">. </w:t>
      </w:r>
    </w:p>
    <w:p w14:paraId="34508182" w14:textId="77777777" w:rsidR="004C54C5" w:rsidRDefault="00AA19AE" w:rsidP="00793C4F">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I</w:t>
      </w:r>
      <w:r w:rsidRPr="00AA19AE">
        <w:rPr>
          <w:rFonts w:ascii="Calibri" w:hAnsi="Calibri" w:cs="Helv"/>
          <w:bCs/>
          <w:color w:val="000000"/>
        </w:rPr>
        <w:t>f a couple move</w:t>
      </w:r>
      <w:r w:rsidR="00532176">
        <w:rPr>
          <w:rFonts w:ascii="Calibri" w:hAnsi="Calibri" w:cs="Helv"/>
          <w:bCs/>
          <w:color w:val="000000"/>
        </w:rPr>
        <w:t>s</w:t>
      </w:r>
      <w:r w:rsidRPr="00AA19AE">
        <w:rPr>
          <w:rFonts w:ascii="Calibri" w:hAnsi="Calibri" w:cs="Helv"/>
          <w:bCs/>
          <w:color w:val="000000"/>
        </w:rPr>
        <w:t xml:space="preserve"> from a community property state</w:t>
      </w:r>
      <w:r>
        <w:rPr>
          <w:rFonts w:ascii="Calibri" w:hAnsi="Calibri" w:cs="Helv"/>
          <w:bCs/>
          <w:color w:val="000000"/>
        </w:rPr>
        <w:t xml:space="preserve"> to a non-community property state</w:t>
      </w:r>
      <w:r w:rsidRPr="00AA19AE">
        <w:rPr>
          <w:rFonts w:ascii="Calibri" w:hAnsi="Calibri" w:cs="Helv"/>
          <w:bCs/>
          <w:color w:val="000000"/>
        </w:rPr>
        <w:t xml:space="preserve">, assets acquired as community property </w:t>
      </w:r>
      <w:r w:rsidR="008D4B07">
        <w:rPr>
          <w:rFonts w:ascii="Calibri" w:hAnsi="Calibri" w:cs="Helv"/>
          <w:bCs/>
          <w:color w:val="000000"/>
        </w:rPr>
        <w:t xml:space="preserve">may </w:t>
      </w:r>
      <w:r w:rsidRPr="00AA19AE">
        <w:rPr>
          <w:rFonts w:ascii="Calibri" w:hAnsi="Calibri" w:cs="Helv"/>
          <w:bCs/>
          <w:color w:val="000000"/>
        </w:rPr>
        <w:t>retain that status</w:t>
      </w:r>
      <w:r w:rsidR="00E9059B">
        <w:rPr>
          <w:rFonts w:ascii="Calibri" w:hAnsi="Calibri" w:cs="Helv"/>
          <w:bCs/>
          <w:color w:val="000000"/>
        </w:rPr>
        <w:t>.</w:t>
      </w:r>
      <w:r w:rsidR="00E9059B">
        <w:rPr>
          <w:rStyle w:val="FootnoteReference"/>
          <w:rFonts w:ascii="Calibri" w:hAnsi="Calibri" w:cs="Helv"/>
          <w:bCs/>
          <w:color w:val="000000"/>
        </w:rPr>
        <w:footnoteReference w:id="186"/>
      </w:r>
      <w:r w:rsidR="00FE1AA2">
        <w:rPr>
          <w:rFonts w:ascii="Calibri" w:hAnsi="Calibri" w:cs="Helv"/>
          <w:bCs/>
          <w:color w:val="000000"/>
        </w:rPr>
        <w:t xml:space="preserve">  </w:t>
      </w:r>
    </w:p>
    <w:p w14:paraId="7F9A38FD" w14:textId="77777777" w:rsidR="00532176" w:rsidRDefault="00793C4F" w:rsidP="00793C4F">
      <w:pPr>
        <w:autoSpaceDE w:val="0"/>
        <w:autoSpaceDN w:val="0"/>
        <w:adjustRightInd w:val="0"/>
        <w:spacing w:line="360" w:lineRule="auto"/>
        <w:ind w:firstLine="720"/>
        <w:rPr>
          <w:rFonts w:ascii="Calibri" w:hAnsi="Calibri" w:cs="Helv"/>
          <w:b/>
          <w:bCs/>
          <w:color w:val="000000"/>
        </w:rPr>
      </w:pPr>
      <w:r>
        <w:rPr>
          <w:rFonts w:ascii="Calibri" w:hAnsi="Calibri" w:cs="Helv"/>
          <w:bCs/>
          <w:color w:val="000000"/>
        </w:rPr>
        <w:t xml:space="preserve">Transmuting property to community status is not without drawbacks – not only would transfers </w:t>
      </w:r>
      <w:r w:rsidR="00140552">
        <w:rPr>
          <w:rFonts w:ascii="Calibri" w:hAnsi="Calibri" w:cs="Helv"/>
          <w:bCs/>
          <w:color w:val="000000"/>
        </w:rPr>
        <w:t>decrease</w:t>
      </w:r>
      <w:r w:rsidR="00FE1AA2">
        <w:rPr>
          <w:rFonts w:ascii="Calibri" w:hAnsi="Calibri" w:cs="Helv"/>
          <w:bCs/>
          <w:color w:val="000000"/>
        </w:rPr>
        <w:t xml:space="preserve"> </w:t>
      </w:r>
      <w:r w:rsidR="00140552">
        <w:rPr>
          <w:rFonts w:ascii="Calibri" w:hAnsi="Calibri" w:cs="Helv"/>
          <w:bCs/>
          <w:color w:val="000000"/>
        </w:rPr>
        <w:t xml:space="preserve">testamentary control and </w:t>
      </w:r>
      <w:r>
        <w:rPr>
          <w:rFonts w:ascii="Calibri" w:hAnsi="Calibri" w:cs="Helv"/>
          <w:bCs/>
          <w:color w:val="000000"/>
        </w:rPr>
        <w:t>impact divisions in a divorce, but</w:t>
      </w:r>
      <w:r w:rsidR="00140552">
        <w:rPr>
          <w:rFonts w:ascii="Calibri" w:hAnsi="Calibri" w:cs="Helv"/>
          <w:bCs/>
          <w:color w:val="000000"/>
        </w:rPr>
        <w:t xml:space="preserve"> depending on the state,</w:t>
      </w:r>
      <w:r>
        <w:rPr>
          <w:rFonts w:ascii="Calibri" w:hAnsi="Calibri" w:cs="Helv"/>
          <w:bCs/>
          <w:color w:val="000000"/>
        </w:rPr>
        <w:t xml:space="preserve"> </w:t>
      </w:r>
      <w:r w:rsidR="00140552">
        <w:rPr>
          <w:rFonts w:ascii="Calibri" w:hAnsi="Calibri" w:cs="Helv"/>
          <w:bCs/>
          <w:color w:val="000000"/>
        </w:rPr>
        <w:t xml:space="preserve">there may be restrictions on gifting </w:t>
      </w:r>
      <w:r w:rsidR="00BC73D1">
        <w:rPr>
          <w:rFonts w:ascii="Calibri" w:hAnsi="Calibri" w:cs="Helv"/>
          <w:bCs/>
          <w:color w:val="000000"/>
        </w:rPr>
        <w:t>and/</w:t>
      </w:r>
      <w:r w:rsidR="00140552">
        <w:rPr>
          <w:rFonts w:ascii="Calibri" w:hAnsi="Calibri" w:cs="Helv"/>
          <w:bCs/>
          <w:color w:val="000000"/>
        </w:rPr>
        <w:t xml:space="preserve">or </w:t>
      </w:r>
      <w:r w:rsidR="00871D38">
        <w:rPr>
          <w:rFonts w:ascii="Calibri" w:hAnsi="Calibri" w:cs="Helv"/>
          <w:bCs/>
          <w:color w:val="000000"/>
        </w:rPr>
        <w:t>greater</w:t>
      </w:r>
      <w:r w:rsidR="00140552">
        <w:rPr>
          <w:rFonts w:ascii="Calibri" w:hAnsi="Calibri" w:cs="Helv"/>
          <w:bCs/>
          <w:color w:val="000000"/>
        </w:rPr>
        <w:t xml:space="preserve"> exposure to creditors.</w:t>
      </w:r>
      <w:r w:rsidR="00871D38">
        <w:rPr>
          <w:rStyle w:val="FootnoteReference"/>
          <w:rFonts w:ascii="Calibri" w:hAnsi="Calibri" w:cs="Helv"/>
          <w:bCs/>
          <w:color w:val="000000"/>
        </w:rPr>
        <w:footnoteReference w:id="187"/>
      </w:r>
      <w:r w:rsidR="00140552">
        <w:rPr>
          <w:rFonts w:ascii="Calibri" w:hAnsi="Calibri" w:cs="Helv"/>
          <w:bCs/>
          <w:color w:val="000000"/>
        </w:rPr>
        <w:t xml:space="preserve"> </w:t>
      </w:r>
    </w:p>
    <w:p w14:paraId="5DA070F4" w14:textId="77777777" w:rsidR="00AA19AE" w:rsidRDefault="00A77E0C" w:rsidP="00180FD1">
      <w:pPr>
        <w:pStyle w:val="ListParagraph"/>
        <w:numPr>
          <w:ilvl w:val="0"/>
          <w:numId w:val="21"/>
        </w:numPr>
        <w:autoSpaceDE w:val="0"/>
        <w:autoSpaceDN w:val="0"/>
        <w:adjustRightInd w:val="0"/>
        <w:spacing w:line="360" w:lineRule="auto"/>
        <w:ind w:hanging="720"/>
        <w:rPr>
          <w:rFonts w:ascii="Calibri" w:hAnsi="Calibri" w:cs="Helv"/>
          <w:b/>
          <w:bCs/>
          <w:color w:val="000000"/>
        </w:rPr>
      </w:pPr>
      <w:r>
        <w:rPr>
          <w:rFonts w:ascii="Calibri" w:hAnsi="Calibri" w:cs="Helv"/>
          <w:b/>
          <w:bCs/>
          <w:color w:val="000000"/>
        </w:rPr>
        <w:t>AK/TN</w:t>
      </w:r>
      <w:r w:rsidR="00282C13">
        <w:rPr>
          <w:rFonts w:ascii="Calibri" w:hAnsi="Calibri" w:cs="Helv"/>
          <w:b/>
          <w:bCs/>
          <w:color w:val="000000"/>
        </w:rPr>
        <w:t>/SD</w:t>
      </w:r>
      <w:r>
        <w:rPr>
          <w:rFonts w:ascii="Calibri" w:hAnsi="Calibri" w:cs="Helv"/>
          <w:b/>
          <w:bCs/>
          <w:color w:val="000000"/>
        </w:rPr>
        <w:t xml:space="preserve"> </w:t>
      </w:r>
      <w:r w:rsidR="00AA19AE" w:rsidRPr="00AA19AE">
        <w:rPr>
          <w:rFonts w:ascii="Calibri" w:hAnsi="Calibri" w:cs="Helv"/>
          <w:b/>
          <w:bCs/>
          <w:color w:val="000000"/>
        </w:rPr>
        <w:t xml:space="preserve">Community Property Trusts - Can Residents of Non-CP States </w:t>
      </w:r>
      <w:r w:rsidR="00AA19AE" w:rsidRPr="00532176">
        <w:rPr>
          <w:rFonts w:ascii="Calibri" w:hAnsi="Calibri" w:cs="Helv"/>
          <w:b/>
          <w:bCs/>
          <w:i/>
          <w:color w:val="000000"/>
        </w:rPr>
        <w:t>Elect</w:t>
      </w:r>
      <w:r w:rsidR="00AA19AE" w:rsidRPr="00AA19AE">
        <w:rPr>
          <w:rFonts w:ascii="Calibri" w:hAnsi="Calibri" w:cs="Helv"/>
          <w:b/>
          <w:bCs/>
          <w:color w:val="000000"/>
        </w:rPr>
        <w:t xml:space="preserve"> CP?</w:t>
      </w:r>
    </w:p>
    <w:p w14:paraId="6F1A353A" w14:textId="77777777" w:rsidR="00AF7B01" w:rsidRDefault="00AF7B01" w:rsidP="00F81111">
      <w:pPr>
        <w:autoSpaceDE w:val="0"/>
        <w:autoSpaceDN w:val="0"/>
        <w:adjustRightInd w:val="0"/>
        <w:spacing w:line="360" w:lineRule="auto"/>
        <w:ind w:firstLine="720"/>
        <w:rPr>
          <w:rFonts w:ascii="Calibri" w:hAnsi="Calibri" w:cs="Helv"/>
          <w:bCs/>
          <w:color w:val="000000"/>
        </w:rPr>
      </w:pPr>
      <w:r w:rsidRPr="00AA19AE">
        <w:rPr>
          <w:rFonts w:ascii="Calibri" w:hAnsi="Calibri" w:cs="Helv"/>
          <w:bCs/>
          <w:color w:val="000000"/>
        </w:rPr>
        <w:t>For married couples in separate property states, jointly owned property is usually only entitled to 50% step up (or down).</w:t>
      </w:r>
      <w:r>
        <w:rPr>
          <w:rStyle w:val="FootnoteReference"/>
          <w:rFonts w:ascii="Calibri" w:hAnsi="Calibri" w:cs="Helv"/>
          <w:bCs/>
          <w:color w:val="000000"/>
        </w:rPr>
        <w:footnoteReference w:id="188"/>
      </w:r>
      <w:r w:rsidRPr="00AA19AE">
        <w:rPr>
          <w:rFonts w:ascii="Calibri" w:hAnsi="Calibri" w:cs="Helv"/>
          <w:bCs/>
          <w:color w:val="000000"/>
        </w:rPr>
        <w:t xml:space="preserve">   Those living in separate property states may be able to accomplish the same result as community property state residents through the use of an Alaska or Tennessee </w:t>
      </w:r>
      <w:r w:rsidR="003C7B41">
        <w:rPr>
          <w:rFonts w:ascii="Calibri" w:hAnsi="Calibri" w:cs="Helv"/>
          <w:bCs/>
          <w:color w:val="000000"/>
        </w:rPr>
        <w:t xml:space="preserve">or South Dakota </w:t>
      </w:r>
      <w:r w:rsidRPr="00AA19AE">
        <w:rPr>
          <w:rFonts w:ascii="Calibri" w:hAnsi="Calibri" w:cs="Helv"/>
          <w:bCs/>
          <w:color w:val="000000"/>
        </w:rPr>
        <w:t xml:space="preserve">Community Property Trust, keeping “loss” and/or </w:t>
      </w:r>
      <w:r w:rsidRPr="00AA19AE">
        <w:rPr>
          <w:rFonts w:ascii="Calibri" w:hAnsi="Calibri" w:cs="Helv"/>
          <w:bCs/>
          <w:color w:val="000000"/>
        </w:rPr>
        <w:lastRenderedPageBreak/>
        <w:t>qualified plan or other problematic property out of the trust and transferring only appreciated gain property to the trust to elect into a community property regime.</w:t>
      </w:r>
      <w:r w:rsidR="00A21BB8">
        <w:rPr>
          <w:rStyle w:val="FootnoteReference"/>
          <w:rFonts w:ascii="Calibri" w:hAnsi="Calibri" w:cs="Helv"/>
          <w:bCs/>
          <w:color w:val="000000"/>
        </w:rPr>
        <w:footnoteReference w:id="189"/>
      </w:r>
      <w:r w:rsidRPr="00AA19AE">
        <w:rPr>
          <w:rFonts w:ascii="Calibri" w:hAnsi="Calibri" w:cs="Helv"/>
          <w:bCs/>
          <w:color w:val="000000"/>
        </w:rPr>
        <w:t xml:space="preserve">   </w:t>
      </w:r>
      <w:r>
        <w:rPr>
          <w:rFonts w:ascii="Calibri" w:hAnsi="Calibri" w:cs="Helv"/>
          <w:bCs/>
          <w:color w:val="000000"/>
        </w:rPr>
        <w:t xml:space="preserve">This </w:t>
      </w:r>
      <w:r w:rsidRPr="003A3AD9">
        <w:rPr>
          <w:rFonts w:ascii="Calibri" w:hAnsi="Calibri" w:cs="Helv"/>
          <w:bCs/>
          <w:color w:val="000000"/>
        </w:rPr>
        <w:t>should</w:t>
      </w:r>
      <w:r>
        <w:rPr>
          <w:rFonts w:ascii="Calibri" w:hAnsi="Calibri" w:cs="Helv"/>
          <w:bCs/>
          <w:color w:val="000000"/>
        </w:rPr>
        <w:t xml:space="preserve"> in theo</w:t>
      </w:r>
      <w:r w:rsidR="00F81111">
        <w:rPr>
          <w:rFonts w:ascii="Calibri" w:hAnsi="Calibri" w:cs="Helv"/>
          <w:bCs/>
          <w:color w:val="000000"/>
        </w:rPr>
        <w:t>ry give the same result as to that property as if the couple lived in a community property state</w:t>
      </w:r>
      <w:r>
        <w:rPr>
          <w:rFonts w:ascii="Calibri" w:hAnsi="Calibri" w:cs="Helv"/>
          <w:bCs/>
          <w:color w:val="000000"/>
        </w:rPr>
        <w:t xml:space="preserve">.  </w:t>
      </w:r>
    </w:p>
    <w:p w14:paraId="172F9043" w14:textId="77777777" w:rsidR="00AF7B01" w:rsidRDefault="00AF7B01" w:rsidP="00AF7B01">
      <w:pPr>
        <w:autoSpaceDE w:val="0"/>
        <w:autoSpaceDN w:val="0"/>
        <w:adjustRightInd w:val="0"/>
        <w:spacing w:line="360" w:lineRule="auto"/>
        <w:ind w:firstLine="720"/>
        <w:rPr>
          <w:rFonts w:ascii="Calibri" w:hAnsi="Calibri" w:cs="Helv"/>
          <w:bCs/>
          <w:color w:val="000000"/>
        </w:rPr>
      </w:pPr>
      <w:r w:rsidRPr="00E854DD">
        <w:rPr>
          <w:rFonts w:ascii="Calibri" w:hAnsi="Calibri" w:cs="Helv"/>
          <w:bCs/>
          <w:color w:val="000000"/>
        </w:rPr>
        <w:t xml:space="preserve">The code section that permits the surviving spouse’s portion to be stepped up only applies to “***property which represents the surviving spouse’s one-half share of community property held by the decedent and the surviving spouse under the community property laws of </w:t>
      </w:r>
      <w:r w:rsidRPr="00F81111">
        <w:rPr>
          <w:rFonts w:ascii="Calibri" w:hAnsi="Calibri" w:cs="Helv"/>
          <w:bCs/>
          <w:i/>
          <w:color w:val="000000"/>
        </w:rPr>
        <w:t>any</w:t>
      </w:r>
      <w:r w:rsidRPr="00E854DD">
        <w:rPr>
          <w:rFonts w:ascii="Calibri" w:hAnsi="Calibri" w:cs="Helv"/>
          <w:bCs/>
          <w:color w:val="000000"/>
        </w:rPr>
        <w:t xml:space="preserve"> State”.   Would it still be held by </w:t>
      </w:r>
      <w:r w:rsidR="00505966">
        <w:rPr>
          <w:rFonts w:ascii="Calibri" w:hAnsi="Calibri" w:cs="Helv"/>
          <w:bCs/>
          <w:color w:val="000000"/>
        </w:rPr>
        <w:t>“</w:t>
      </w:r>
      <w:r w:rsidRPr="00E854DD">
        <w:rPr>
          <w:rFonts w:ascii="Calibri" w:hAnsi="Calibri" w:cs="Helv"/>
          <w:bCs/>
          <w:color w:val="000000"/>
        </w:rPr>
        <w:t>the decedent and the surviving spouse</w:t>
      </w:r>
      <w:r w:rsidR="00505966">
        <w:rPr>
          <w:rFonts w:ascii="Calibri" w:hAnsi="Calibri" w:cs="Helv"/>
          <w:bCs/>
          <w:color w:val="000000"/>
        </w:rPr>
        <w:t>”</w:t>
      </w:r>
      <w:r w:rsidRPr="00E854DD">
        <w:rPr>
          <w:rFonts w:ascii="Calibri" w:hAnsi="Calibri" w:cs="Helv"/>
          <w:bCs/>
          <w:color w:val="000000"/>
        </w:rPr>
        <w:t xml:space="preserve"> if titled in trust with an outside trustee?  Yes, at least for revocable living trusts.</w:t>
      </w:r>
      <w:r>
        <w:rPr>
          <w:rStyle w:val="FootnoteReference"/>
          <w:rFonts w:ascii="Calibri" w:hAnsi="Calibri" w:cs="Helv"/>
          <w:bCs/>
          <w:color w:val="000000"/>
        </w:rPr>
        <w:footnoteReference w:id="190"/>
      </w:r>
      <w:r w:rsidRPr="00E854DD">
        <w:rPr>
          <w:rFonts w:ascii="Calibri" w:hAnsi="Calibri" w:cs="Helv"/>
          <w:bCs/>
          <w:color w:val="000000"/>
        </w:rPr>
        <w:t xml:space="preserve">    </w:t>
      </w:r>
    </w:p>
    <w:p w14:paraId="187A6AAE" w14:textId="77777777" w:rsidR="00AF7B01" w:rsidRDefault="00AF7B01" w:rsidP="00AF7B01">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While there is a compelling argument that </w:t>
      </w:r>
      <w:r w:rsidR="00A21BB8">
        <w:rPr>
          <w:rFonts w:ascii="Calibri" w:hAnsi="Calibri" w:cs="Helv"/>
          <w:bCs/>
          <w:color w:val="000000"/>
        </w:rPr>
        <w:t>these</w:t>
      </w:r>
      <w:r>
        <w:rPr>
          <w:rFonts w:ascii="Calibri" w:hAnsi="Calibri" w:cs="Helv"/>
          <w:bCs/>
          <w:color w:val="000000"/>
        </w:rPr>
        <w:t xml:space="preserve"> Community Property Trusts should work equally well, to date this technique has not been tested in the courts or subject to any IRS ruling, even though Alaska’s Community Property Act has been around since 1998.</w:t>
      </w:r>
      <w:r>
        <w:rPr>
          <w:rStyle w:val="FootnoteReference"/>
          <w:rFonts w:ascii="Calibri" w:hAnsi="Calibri" w:cs="Helv"/>
          <w:bCs/>
          <w:color w:val="000000"/>
        </w:rPr>
        <w:footnoteReference w:id="191"/>
      </w:r>
      <w:r>
        <w:rPr>
          <w:rFonts w:ascii="Calibri" w:hAnsi="Calibri" w:cs="Helv"/>
          <w:bCs/>
          <w:color w:val="000000"/>
        </w:rPr>
        <w:t xml:space="preserve">  The only </w:t>
      </w:r>
      <w:r w:rsidR="0055005F">
        <w:rPr>
          <w:rFonts w:ascii="Calibri" w:hAnsi="Calibri" w:cs="Helv"/>
          <w:bCs/>
          <w:color w:val="000000"/>
        </w:rPr>
        <w:t xml:space="preserve">public </w:t>
      </w:r>
      <w:r>
        <w:rPr>
          <w:rFonts w:ascii="Calibri" w:hAnsi="Calibri" w:cs="Helv"/>
          <w:bCs/>
          <w:color w:val="000000"/>
        </w:rPr>
        <w:t>IRS pronouncement recognizes a potential difference for an elective regime, and excepts such a regime from its guidance.</w:t>
      </w:r>
      <w:r>
        <w:rPr>
          <w:rStyle w:val="FootnoteReference"/>
          <w:rFonts w:ascii="Calibri" w:hAnsi="Calibri" w:cs="Helv"/>
          <w:bCs/>
          <w:color w:val="000000"/>
        </w:rPr>
        <w:footnoteReference w:id="192"/>
      </w:r>
      <w:r>
        <w:rPr>
          <w:rFonts w:ascii="Calibri" w:hAnsi="Calibri" w:cs="Helv"/>
          <w:bCs/>
          <w:color w:val="000000"/>
        </w:rPr>
        <w:t xml:space="preserve"> </w:t>
      </w:r>
      <w:r w:rsidR="0055005F">
        <w:rPr>
          <w:rFonts w:ascii="Calibri" w:hAnsi="Calibri" w:cs="Helv"/>
          <w:bCs/>
          <w:color w:val="000000"/>
        </w:rPr>
        <w:t xml:space="preserve"> </w:t>
      </w:r>
      <w:r>
        <w:rPr>
          <w:rFonts w:ascii="Calibri" w:hAnsi="Calibri" w:cs="Helv"/>
          <w:bCs/>
          <w:color w:val="000000"/>
        </w:rPr>
        <w:t>Wisconsin’s statute that defaults to community property but allows a married couple to opt out received a favorable IRS revenue ruling.</w:t>
      </w:r>
      <w:r>
        <w:rPr>
          <w:rStyle w:val="FootnoteReference"/>
          <w:rFonts w:ascii="Calibri" w:hAnsi="Calibri" w:cs="Helv"/>
          <w:bCs/>
          <w:color w:val="000000"/>
        </w:rPr>
        <w:footnoteReference w:id="193"/>
      </w:r>
      <w:r>
        <w:rPr>
          <w:rFonts w:ascii="Calibri" w:hAnsi="Calibri" w:cs="Helv"/>
          <w:bCs/>
          <w:color w:val="000000"/>
        </w:rPr>
        <w:t xml:space="preserve">  There is no such ruling for </w:t>
      </w:r>
      <w:r w:rsidR="00A21BB8">
        <w:rPr>
          <w:rFonts w:ascii="Calibri" w:hAnsi="Calibri" w:cs="Helv"/>
          <w:bCs/>
          <w:color w:val="000000"/>
        </w:rPr>
        <w:t xml:space="preserve">Alaska’s </w:t>
      </w:r>
      <w:r>
        <w:rPr>
          <w:rFonts w:ascii="Calibri" w:hAnsi="Calibri" w:cs="Helv"/>
          <w:bCs/>
          <w:color w:val="000000"/>
        </w:rPr>
        <w:t>elective</w:t>
      </w:r>
      <w:r w:rsidR="00A21BB8">
        <w:rPr>
          <w:rFonts w:ascii="Calibri" w:hAnsi="Calibri" w:cs="Helv"/>
          <w:bCs/>
          <w:color w:val="000000"/>
        </w:rPr>
        <w:t xml:space="preserve"> regime or elective</w:t>
      </w:r>
      <w:r>
        <w:rPr>
          <w:rFonts w:ascii="Calibri" w:hAnsi="Calibri" w:cs="Helv"/>
          <w:bCs/>
          <w:color w:val="000000"/>
        </w:rPr>
        <w:t xml:space="preserve"> community property trusts, however.  </w:t>
      </w:r>
    </w:p>
    <w:p w14:paraId="1CB31D75" w14:textId="77777777" w:rsidR="00AF7B01" w:rsidRDefault="00AF7B01" w:rsidP="00AF7B01">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Moreover, there is a negative Supreme Court case from 1943 that denied the income tax advantages of an earlier Oklahoma elective community property regime</w:t>
      </w:r>
      <w:r w:rsidRPr="00032F7A">
        <w:rPr>
          <w:rFonts w:ascii="Calibri" w:hAnsi="Calibri" w:cs="Helv"/>
          <w:bCs/>
          <w:color w:val="000000"/>
        </w:rPr>
        <w:t xml:space="preserve"> </w:t>
      </w:r>
      <w:r>
        <w:rPr>
          <w:rFonts w:ascii="Calibri" w:hAnsi="Calibri" w:cs="Helv"/>
          <w:bCs/>
          <w:color w:val="000000"/>
        </w:rPr>
        <w:t>for income tax splitting.</w:t>
      </w:r>
      <w:r>
        <w:rPr>
          <w:rStyle w:val="FootnoteReference"/>
          <w:rFonts w:ascii="Calibri" w:hAnsi="Calibri" w:cs="Helv"/>
          <w:bCs/>
          <w:color w:val="000000"/>
        </w:rPr>
        <w:footnoteReference w:id="194"/>
      </w:r>
      <w:r>
        <w:rPr>
          <w:rFonts w:ascii="Calibri" w:hAnsi="Calibri" w:cs="Helv"/>
          <w:bCs/>
          <w:color w:val="000000"/>
        </w:rPr>
        <w:t xml:space="preserve"> Conclusions vary on whether </w:t>
      </w:r>
      <w:r w:rsidRPr="00032F7A">
        <w:rPr>
          <w:rFonts w:ascii="Calibri" w:hAnsi="Calibri" w:cs="Helv"/>
          <w:bCs/>
          <w:i/>
          <w:color w:val="000000"/>
        </w:rPr>
        <w:t>Harmon</w:t>
      </w:r>
      <w:r>
        <w:rPr>
          <w:rFonts w:ascii="Calibri" w:hAnsi="Calibri" w:cs="Helv"/>
          <w:bCs/>
          <w:color w:val="000000"/>
        </w:rPr>
        <w:t xml:space="preserve"> would today control for elective community </w:t>
      </w:r>
      <w:r>
        <w:rPr>
          <w:rFonts w:ascii="Calibri" w:hAnsi="Calibri" w:cs="Helv"/>
          <w:bCs/>
          <w:color w:val="000000"/>
        </w:rPr>
        <w:lastRenderedPageBreak/>
        <w:t>property trusts’ effectiveness for IRC §1014(b)(6), but it’s close enough to be uncertain.</w:t>
      </w:r>
      <w:r>
        <w:rPr>
          <w:rStyle w:val="FootnoteReference"/>
          <w:rFonts w:ascii="Calibri" w:hAnsi="Calibri" w:cs="Helv"/>
          <w:bCs/>
          <w:color w:val="000000"/>
        </w:rPr>
        <w:footnoteReference w:id="195"/>
      </w:r>
      <w:r w:rsidR="0055005F">
        <w:rPr>
          <w:rFonts w:ascii="Calibri" w:hAnsi="Calibri" w:cs="Helv"/>
          <w:bCs/>
          <w:color w:val="000000"/>
        </w:rPr>
        <w:t xml:space="preserve">  In </w:t>
      </w:r>
      <w:r w:rsidR="00DA1A14">
        <w:rPr>
          <w:rFonts w:ascii="Calibri" w:hAnsi="Calibri" w:cs="Helv"/>
          <w:bCs/>
          <w:color w:val="000000"/>
        </w:rPr>
        <w:t>their internal guidance, the IRS</w:t>
      </w:r>
      <w:r w:rsidR="0055005F">
        <w:rPr>
          <w:rFonts w:ascii="Calibri" w:hAnsi="Calibri" w:cs="Helv"/>
          <w:bCs/>
          <w:color w:val="000000"/>
        </w:rPr>
        <w:t xml:space="preserve"> </w:t>
      </w:r>
      <w:r w:rsidR="00DA1A14">
        <w:rPr>
          <w:rFonts w:ascii="Calibri" w:hAnsi="Calibri" w:cs="Helv"/>
          <w:bCs/>
          <w:color w:val="000000"/>
        </w:rPr>
        <w:t xml:space="preserve">seems to </w:t>
      </w:r>
      <w:r w:rsidR="0055005F">
        <w:rPr>
          <w:rFonts w:ascii="Calibri" w:hAnsi="Calibri" w:cs="Helv"/>
          <w:bCs/>
          <w:color w:val="000000"/>
        </w:rPr>
        <w:t xml:space="preserve">take the position that </w:t>
      </w:r>
      <w:r w:rsidR="0055005F" w:rsidRPr="00DA1A14">
        <w:rPr>
          <w:rFonts w:ascii="Calibri" w:hAnsi="Calibri" w:cs="Helv"/>
          <w:bCs/>
          <w:i/>
          <w:color w:val="000000"/>
        </w:rPr>
        <w:t>Harmon</w:t>
      </w:r>
      <w:r w:rsidR="0055005F">
        <w:rPr>
          <w:rFonts w:ascii="Calibri" w:hAnsi="Calibri" w:cs="Helv"/>
          <w:bCs/>
          <w:color w:val="000000"/>
        </w:rPr>
        <w:t xml:space="preserve"> would apply to the AK/TN/SD elective community property regimes.</w:t>
      </w:r>
      <w:r w:rsidR="0055005F">
        <w:rPr>
          <w:rStyle w:val="FootnoteReference"/>
          <w:rFonts w:ascii="Calibri" w:hAnsi="Calibri" w:cs="Helv"/>
          <w:bCs/>
          <w:color w:val="000000"/>
        </w:rPr>
        <w:footnoteReference w:id="196"/>
      </w:r>
    </w:p>
    <w:p w14:paraId="36E5529B" w14:textId="77777777" w:rsidR="00AF7B01" w:rsidRDefault="00AF7B01" w:rsidP="00AF7B01">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Conflict of law principles should permit spouses to choose a state other than their domicile to govern their respective interests in property, and that state’s laws should apply unless the domiciliary state has a strong interest or public policy in applying its own laws instead.</w:t>
      </w:r>
      <w:r>
        <w:rPr>
          <w:rStyle w:val="FootnoteReference"/>
          <w:rFonts w:ascii="Calibri" w:hAnsi="Calibri" w:cs="Helv"/>
          <w:bCs/>
          <w:color w:val="000000"/>
        </w:rPr>
        <w:footnoteReference w:id="197"/>
      </w:r>
      <w:r>
        <w:rPr>
          <w:rFonts w:ascii="Calibri" w:hAnsi="Calibri" w:cs="Helv"/>
          <w:bCs/>
          <w:color w:val="000000"/>
        </w:rPr>
        <w:t xml:space="preserve">  Using an </w:t>
      </w:r>
      <w:r w:rsidR="00F81111">
        <w:rPr>
          <w:rFonts w:ascii="Calibri" w:hAnsi="Calibri" w:cs="Helv"/>
          <w:bCs/>
          <w:color w:val="000000"/>
        </w:rPr>
        <w:t>AK/TN/SD</w:t>
      </w:r>
      <w:r>
        <w:rPr>
          <w:rFonts w:ascii="Calibri" w:hAnsi="Calibri" w:cs="Helv"/>
          <w:bCs/>
          <w:color w:val="000000"/>
        </w:rPr>
        <w:t xml:space="preserve"> trustee to hold legal title and provide various truste</w:t>
      </w:r>
      <w:r w:rsidR="00F81111">
        <w:rPr>
          <w:rFonts w:ascii="Calibri" w:hAnsi="Calibri" w:cs="Helv"/>
          <w:bCs/>
          <w:color w:val="000000"/>
        </w:rPr>
        <w:t xml:space="preserve">e services (even if </w:t>
      </w:r>
      <w:r>
        <w:rPr>
          <w:rFonts w:ascii="Calibri" w:hAnsi="Calibri" w:cs="Helv"/>
          <w:bCs/>
          <w:color w:val="000000"/>
        </w:rPr>
        <w:t xml:space="preserve">limited to investment or custodial services), should strengthen the argument that it is appropriate to apply </w:t>
      </w:r>
      <w:r w:rsidR="00F81111">
        <w:rPr>
          <w:rFonts w:ascii="Calibri" w:hAnsi="Calibri" w:cs="Helv"/>
          <w:bCs/>
          <w:color w:val="000000"/>
        </w:rPr>
        <w:t>that state’s</w:t>
      </w:r>
      <w:r>
        <w:rPr>
          <w:rFonts w:ascii="Calibri" w:hAnsi="Calibri" w:cs="Helv"/>
          <w:bCs/>
          <w:color w:val="000000"/>
        </w:rPr>
        <w:t xml:space="preserve"> law.  That said, most proponents of domestic asset protection trusts did not anticipate the </w:t>
      </w:r>
      <w:r w:rsidRPr="00500DDC">
        <w:rPr>
          <w:rFonts w:ascii="Calibri" w:hAnsi="Calibri" w:cs="Helv"/>
          <w:bCs/>
          <w:i/>
          <w:color w:val="000000"/>
        </w:rPr>
        <w:t>Huber</w:t>
      </w:r>
      <w:r>
        <w:rPr>
          <w:rFonts w:ascii="Calibri" w:hAnsi="Calibri" w:cs="Helv"/>
          <w:bCs/>
          <w:color w:val="000000"/>
        </w:rPr>
        <w:t xml:space="preserve"> decision either, which held that the state of Washington’s public policy against self-settled </w:t>
      </w:r>
      <w:r w:rsidR="00F81111">
        <w:rPr>
          <w:rFonts w:ascii="Calibri" w:hAnsi="Calibri" w:cs="Helv"/>
          <w:bCs/>
          <w:color w:val="000000"/>
        </w:rPr>
        <w:t>DAPTs</w:t>
      </w:r>
      <w:r>
        <w:rPr>
          <w:rFonts w:ascii="Calibri" w:hAnsi="Calibri" w:cs="Helv"/>
          <w:bCs/>
          <w:color w:val="000000"/>
        </w:rPr>
        <w:t xml:space="preserve"> trumped a choice of Alaska law.</w:t>
      </w:r>
      <w:r>
        <w:rPr>
          <w:rStyle w:val="FootnoteReference"/>
          <w:rFonts w:ascii="Calibri" w:hAnsi="Calibri" w:cs="Helv"/>
          <w:bCs/>
          <w:color w:val="000000"/>
        </w:rPr>
        <w:footnoteReference w:id="198"/>
      </w:r>
    </w:p>
    <w:p w14:paraId="06AA6F7D" w14:textId="77777777" w:rsidR="00AF7B01" w:rsidRDefault="00AF7B01" w:rsidP="00AF7B01">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Many couples may not be interested in a solution that requires Alaska or Tennessee </w:t>
      </w:r>
      <w:r w:rsidR="00F81111">
        <w:rPr>
          <w:rFonts w:ascii="Calibri" w:hAnsi="Calibri" w:cs="Helv"/>
          <w:bCs/>
          <w:color w:val="000000"/>
        </w:rPr>
        <w:t xml:space="preserve">or South Dakota </w:t>
      </w:r>
      <w:r>
        <w:rPr>
          <w:rFonts w:ascii="Calibri" w:hAnsi="Calibri" w:cs="Helv"/>
          <w:bCs/>
          <w:color w:val="000000"/>
        </w:rPr>
        <w:t>trustee services with attendant fees and complexity, and the use of additional counsel to execute or amend the trust.  Furthermore, this would not appeal to a spouse who has much more separate property than the other, because of the obvious divorce ramifications</w:t>
      </w:r>
      <w:r w:rsidR="00BD4B14">
        <w:rPr>
          <w:rFonts w:ascii="Calibri" w:hAnsi="Calibri" w:cs="Helv"/>
          <w:bCs/>
          <w:color w:val="000000"/>
        </w:rPr>
        <w:t>, which should be especially concerning if a practitioner is attempting to represent both spouses</w:t>
      </w:r>
      <w:r>
        <w:rPr>
          <w:rFonts w:ascii="Calibri" w:hAnsi="Calibri" w:cs="Helv"/>
          <w:bCs/>
          <w:color w:val="000000"/>
        </w:rPr>
        <w:t xml:space="preserve">.  There may be significant non-tax drawbacks to the arrangement, aside from the uncertainty of the tax result </w:t>
      </w:r>
      <w:r w:rsidR="00F81111">
        <w:rPr>
          <w:rFonts w:ascii="Calibri" w:hAnsi="Calibri" w:cs="Helv"/>
          <w:bCs/>
          <w:color w:val="000000"/>
        </w:rPr>
        <w:t>in light</w:t>
      </w:r>
      <w:r>
        <w:rPr>
          <w:rFonts w:ascii="Calibri" w:hAnsi="Calibri" w:cs="Helv"/>
          <w:bCs/>
          <w:color w:val="000000"/>
        </w:rPr>
        <w:t xml:space="preserve"> of the </w:t>
      </w:r>
      <w:r w:rsidRPr="005F2A8B">
        <w:rPr>
          <w:rFonts w:ascii="Calibri" w:hAnsi="Calibri" w:cs="Helv"/>
          <w:bCs/>
          <w:i/>
          <w:color w:val="000000"/>
        </w:rPr>
        <w:t>Harmon</w:t>
      </w:r>
      <w:r>
        <w:rPr>
          <w:rFonts w:ascii="Calibri" w:hAnsi="Calibri" w:cs="Helv"/>
          <w:bCs/>
          <w:color w:val="000000"/>
        </w:rPr>
        <w:t xml:space="preserve"> decision.</w:t>
      </w:r>
    </w:p>
    <w:p w14:paraId="5383BBD1" w14:textId="77777777" w:rsidR="00BC73D1" w:rsidRDefault="00AF7B01" w:rsidP="003D1C73">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lastRenderedPageBreak/>
        <w:t>Additionally, there is at least one state in the union that has a prohibition on post-nuptial agreements (ergo, a “strong public policy” against them) – Ohio.</w:t>
      </w:r>
      <w:r>
        <w:rPr>
          <w:rStyle w:val="FootnoteReference"/>
          <w:rFonts w:ascii="Calibri" w:hAnsi="Calibri" w:cs="Helv"/>
          <w:bCs/>
          <w:color w:val="000000"/>
        </w:rPr>
        <w:footnoteReference w:id="199"/>
      </w:r>
      <w:r>
        <w:rPr>
          <w:rFonts w:ascii="Calibri" w:hAnsi="Calibri" w:cs="Helv"/>
          <w:bCs/>
          <w:color w:val="000000"/>
        </w:rPr>
        <w:t xml:space="preserve">  Ohio’s statute </w:t>
      </w:r>
      <w:r w:rsidR="00F81111">
        <w:rPr>
          <w:rFonts w:ascii="Calibri" w:hAnsi="Calibri" w:cs="Helv"/>
          <w:bCs/>
          <w:color w:val="000000"/>
        </w:rPr>
        <w:t xml:space="preserve">would probably </w:t>
      </w:r>
      <w:r>
        <w:rPr>
          <w:rFonts w:ascii="Calibri" w:hAnsi="Calibri" w:cs="Helv"/>
          <w:bCs/>
          <w:color w:val="000000"/>
        </w:rPr>
        <w:t>prohibit its residents from using this technique, because such transfers would “alter their legal relations”</w:t>
      </w:r>
      <w:r w:rsidR="00F81111">
        <w:rPr>
          <w:rFonts w:ascii="Calibri" w:hAnsi="Calibri" w:cs="Helv"/>
          <w:bCs/>
          <w:color w:val="000000"/>
        </w:rPr>
        <w:t xml:space="preserve"> and </w:t>
      </w:r>
      <w:r w:rsidR="00BD4B14">
        <w:rPr>
          <w:rFonts w:ascii="Calibri" w:hAnsi="Calibri" w:cs="Helv"/>
          <w:bCs/>
          <w:color w:val="000000"/>
        </w:rPr>
        <w:t>reflect</w:t>
      </w:r>
      <w:r w:rsidR="00F81111">
        <w:rPr>
          <w:rFonts w:ascii="Calibri" w:hAnsi="Calibri" w:cs="Helv"/>
          <w:bCs/>
          <w:color w:val="000000"/>
        </w:rPr>
        <w:t xml:space="preserve"> a strong public policy of the state</w:t>
      </w:r>
      <w:r>
        <w:rPr>
          <w:rFonts w:ascii="Calibri" w:hAnsi="Calibri" w:cs="Helv"/>
          <w:bCs/>
          <w:color w:val="000000"/>
        </w:rPr>
        <w:t>.</w:t>
      </w:r>
      <w:r w:rsidR="00BD4B14">
        <w:rPr>
          <w:rStyle w:val="FootnoteReference"/>
          <w:rFonts w:ascii="Calibri" w:hAnsi="Calibri" w:cs="Helv"/>
          <w:bCs/>
          <w:color w:val="000000"/>
        </w:rPr>
        <w:footnoteReference w:id="200"/>
      </w:r>
      <w:r>
        <w:rPr>
          <w:rFonts w:ascii="Calibri" w:hAnsi="Calibri" w:cs="Helv"/>
          <w:bCs/>
          <w:color w:val="000000"/>
        </w:rPr>
        <w:t xml:space="preserve">  </w:t>
      </w:r>
    </w:p>
    <w:p w14:paraId="4E2CFC9C" w14:textId="77777777" w:rsidR="00F81111" w:rsidRDefault="00BC73D1" w:rsidP="003D1C73">
      <w:pPr>
        <w:autoSpaceDE w:val="0"/>
        <w:autoSpaceDN w:val="0"/>
        <w:adjustRightInd w:val="0"/>
        <w:spacing w:line="360" w:lineRule="auto"/>
        <w:ind w:firstLine="720"/>
        <w:rPr>
          <w:rFonts w:ascii="Calibri" w:hAnsi="Calibri" w:cs="Helv"/>
          <w:b/>
          <w:bCs/>
          <w:color w:val="000000"/>
        </w:rPr>
      </w:pPr>
      <w:r>
        <w:rPr>
          <w:rFonts w:ascii="Calibri" w:hAnsi="Calibri" w:cs="Helv"/>
          <w:bCs/>
          <w:color w:val="000000"/>
        </w:rPr>
        <w:t xml:space="preserve">Also, certain </w:t>
      </w:r>
      <w:r w:rsidRPr="00BC73D1">
        <w:rPr>
          <w:rFonts w:ascii="Calibri" w:hAnsi="Calibri" w:cs="Helv"/>
          <w:bCs/>
          <w:color w:val="000000"/>
        </w:rPr>
        <w:t xml:space="preserve">types of income and liabilities are designated as being the sole property of a spouse under federal law, even though under state law they would otherwise be community property. When this occurs, federal law preempts state law. Thus, IRA withdrawals, self-employment taxes, earned income credits, US savings bonds, railroad retirement benefits, and social security benefits are all deemed to be separate property. </w:t>
      </w:r>
      <w:r w:rsidR="00466630">
        <w:rPr>
          <w:rFonts w:ascii="Calibri" w:hAnsi="Calibri" w:cs="Helv"/>
          <w:bCs/>
          <w:color w:val="000000"/>
        </w:rPr>
        <w:t>For adjustments to basis at death purposes, the main exception to be aware of is US Savings Bonds.</w:t>
      </w:r>
      <w:r w:rsidR="00466630">
        <w:rPr>
          <w:rStyle w:val="FootnoteReference"/>
          <w:rFonts w:ascii="Calibri" w:hAnsi="Calibri" w:cs="Helv"/>
          <w:bCs/>
          <w:color w:val="000000"/>
        </w:rPr>
        <w:footnoteReference w:id="201"/>
      </w:r>
      <w:r w:rsidR="00466630">
        <w:rPr>
          <w:rFonts w:ascii="Calibri" w:hAnsi="Calibri" w:cs="Helv"/>
          <w:bCs/>
          <w:color w:val="000000"/>
        </w:rPr>
        <w:t xml:space="preserve">  </w:t>
      </w:r>
      <w:r w:rsidR="00F81111">
        <w:rPr>
          <w:rFonts w:ascii="Calibri" w:hAnsi="Calibri" w:cs="Helv"/>
          <w:b/>
          <w:bCs/>
          <w:color w:val="000000"/>
        </w:rPr>
        <w:br w:type="page"/>
      </w:r>
    </w:p>
    <w:p w14:paraId="73A7FCBC" w14:textId="77777777" w:rsidR="00AF7B01" w:rsidRDefault="00AF7B01" w:rsidP="00180FD1">
      <w:pPr>
        <w:pStyle w:val="ListParagraph"/>
        <w:numPr>
          <w:ilvl w:val="0"/>
          <w:numId w:val="21"/>
        </w:numPr>
        <w:autoSpaceDE w:val="0"/>
        <w:autoSpaceDN w:val="0"/>
        <w:adjustRightInd w:val="0"/>
        <w:spacing w:line="360" w:lineRule="auto"/>
        <w:ind w:hanging="720"/>
        <w:rPr>
          <w:rFonts w:ascii="Calibri" w:hAnsi="Calibri" w:cs="Helv"/>
          <w:b/>
          <w:bCs/>
          <w:color w:val="000000"/>
        </w:rPr>
      </w:pPr>
      <w:r w:rsidRPr="00AF7B01">
        <w:rPr>
          <w:rFonts w:ascii="Calibri" w:hAnsi="Calibri" w:cs="Helv"/>
          <w:b/>
          <w:bCs/>
          <w:color w:val="000000"/>
        </w:rPr>
        <w:lastRenderedPageBreak/>
        <w:t>The overlooked fractional interest dilemma of community property</w:t>
      </w:r>
    </w:p>
    <w:p w14:paraId="0E979AE8" w14:textId="77777777" w:rsidR="00AF7B01" w:rsidRDefault="00917252" w:rsidP="00917252">
      <w:pPr>
        <w:pStyle w:val="ListParagraph"/>
        <w:autoSpaceDE w:val="0"/>
        <w:autoSpaceDN w:val="0"/>
        <w:adjustRightInd w:val="0"/>
        <w:spacing w:line="360" w:lineRule="auto"/>
        <w:ind w:left="0" w:firstLine="720"/>
        <w:rPr>
          <w:rFonts w:ascii="Calibri" w:hAnsi="Calibri" w:cs="Helv"/>
          <w:bCs/>
          <w:color w:val="000000"/>
        </w:rPr>
      </w:pPr>
      <w:r>
        <w:rPr>
          <w:rFonts w:ascii="Calibri" w:hAnsi="Calibri" w:cs="Helv"/>
          <w:bCs/>
          <w:color w:val="000000"/>
        </w:rPr>
        <w:t>Discussion with attorneys about community property often ends with the conclusion that for income tax purposes, community property is clearly superior for married couples.  But is it</w:t>
      </w:r>
      <w:r w:rsidR="00797C37">
        <w:rPr>
          <w:rFonts w:ascii="Calibri" w:hAnsi="Calibri" w:cs="Helv"/>
          <w:bCs/>
          <w:color w:val="000000"/>
        </w:rPr>
        <w:t xml:space="preserve"> </w:t>
      </w:r>
      <w:r w:rsidR="00797C37" w:rsidRPr="003D1C73">
        <w:rPr>
          <w:rFonts w:ascii="Calibri" w:hAnsi="Calibri" w:cs="Helv"/>
          <w:bCs/>
          <w:i/>
          <w:color w:val="000000"/>
        </w:rPr>
        <w:t>always</w:t>
      </w:r>
      <w:r>
        <w:rPr>
          <w:rFonts w:ascii="Calibri" w:hAnsi="Calibri" w:cs="Helv"/>
          <w:bCs/>
          <w:color w:val="000000"/>
        </w:rPr>
        <w:t xml:space="preserve">?  Let’s </w:t>
      </w:r>
      <w:r w:rsidR="00EF2626">
        <w:rPr>
          <w:rFonts w:ascii="Calibri" w:hAnsi="Calibri" w:cs="Helv"/>
          <w:bCs/>
          <w:color w:val="000000"/>
        </w:rPr>
        <w:t>explore</w:t>
      </w:r>
      <w:r>
        <w:rPr>
          <w:rFonts w:ascii="Calibri" w:hAnsi="Calibri" w:cs="Helv"/>
          <w:bCs/>
          <w:color w:val="000000"/>
        </w:rPr>
        <w:t xml:space="preserve"> </w:t>
      </w:r>
      <w:r w:rsidR="00B027C3">
        <w:rPr>
          <w:rFonts w:ascii="Calibri" w:hAnsi="Calibri" w:cs="Helv"/>
          <w:bCs/>
          <w:color w:val="000000"/>
        </w:rPr>
        <w:t>a few examples</w:t>
      </w:r>
      <w:r w:rsidR="00C31E3F">
        <w:rPr>
          <w:rFonts w:ascii="Calibri" w:hAnsi="Calibri" w:cs="Helv"/>
          <w:bCs/>
          <w:color w:val="000000"/>
        </w:rPr>
        <w:t xml:space="preserve"> that may be reminiscent of the </w:t>
      </w:r>
      <w:r w:rsidR="00C31E3F" w:rsidRPr="00C31E3F">
        <w:rPr>
          <w:rFonts w:ascii="Calibri" w:hAnsi="Calibri" w:cs="Helv"/>
          <w:bCs/>
          <w:i/>
          <w:color w:val="000000"/>
        </w:rPr>
        <w:t>Nowell</w:t>
      </w:r>
      <w:r w:rsidR="00C31E3F">
        <w:rPr>
          <w:rFonts w:ascii="Calibri" w:hAnsi="Calibri" w:cs="Helv"/>
          <w:bCs/>
          <w:color w:val="000000"/>
        </w:rPr>
        <w:t xml:space="preserve">, </w:t>
      </w:r>
      <w:r w:rsidR="00C31E3F" w:rsidRPr="00C31E3F">
        <w:rPr>
          <w:rFonts w:ascii="Calibri" w:hAnsi="Calibri" w:cs="Helv"/>
          <w:bCs/>
          <w:i/>
          <w:color w:val="000000"/>
        </w:rPr>
        <w:t>Lopes</w:t>
      </w:r>
      <w:r w:rsidR="00C31E3F">
        <w:rPr>
          <w:rFonts w:ascii="Calibri" w:hAnsi="Calibri" w:cs="Helv"/>
          <w:bCs/>
          <w:color w:val="000000"/>
        </w:rPr>
        <w:t xml:space="preserve"> and </w:t>
      </w:r>
      <w:r w:rsidR="00C31E3F" w:rsidRPr="00C31E3F">
        <w:rPr>
          <w:rFonts w:ascii="Calibri" w:hAnsi="Calibri" w:cs="Helv"/>
          <w:bCs/>
          <w:i/>
          <w:color w:val="000000"/>
        </w:rPr>
        <w:t>Mellinger</w:t>
      </w:r>
      <w:r w:rsidR="00C31E3F">
        <w:rPr>
          <w:rFonts w:ascii="Calibri" w:hAnsi="Calibri" w:cs="Helv"/>
          <w:bCs/>
          <w:color w:val="000000"/>
        </w:rPr>
        <w:t xml:space="preserve"> cases</w:t>
      </w:r>
      <w:r w:rsidR="00EF2626" w:rsidRPr="00EF2626">
        <w:rPr>
          <w:rFonts w:ascii="Calibri" w:hAnsi="Calibri" w:cs="Helv"/>
          <w:bCs/>
          <w:color w:val="000000"/>
        </w:rPr>
        <w:t xml:space="preserve"> </w:t>
      </w:r>
      <w:r w:rsidR="00EF2626">
        <w:rPr>
          <w:rFonts w:ascii="Calibri" w:hAnsi="Calibri" w:cs="Helv"/>
          <w:bCs/>
          <w:color w:val="000000"/>
        </w:rPr>
        <w:t>discussed in Part II.d. above</w:t>
      </w:r>
      <w:r w:rsidR="00797C37">
        <w:rPr>
          <w:rFonts w:ascii="Calibri" w:hAnsi="Calibri" w:cs="Helv"/>
          <w:bCs/>
          <w:color w:val="000000"/>
        </w:rPr>
        <w:t>:</w:t>
      </w:r>
    </w:p>
    <w:p w14:paraId="691E6B41" w14:textId="77777777" w:rsidR="008667A3" w:rsidRPr="00EF148B" w:rsidRDefault="008667A3" w:rsidP="00EF148B">
      <w:pPr>
        <w:pStyle w:val="ListParagraph"/>
        <w:numPr>
          <w:ilvl w:val="0"/>
          <w:numId w:val="35"/>
        </w:numPr>
        <w:autoSpaceDE w:val="0"/>
        <w:autoSpaceDN w:val="0"/>
        <w:adjustRightInd w:val="0"/>
        <w:spacing w:line="360" w:lineRule="auto"/>
        <w:rPr>
          <w:rFonts w:ascii="Calibri" w:hAnsi="Calibri" w:cs="Helv"/>
          <w:bCs/>
          <w:color w:val="000000"/>
        </w:rPr>
      </w:pPr>
      <w:r w:rsidRPr="00EF148B">
        <w:rPr>
          <w:rFonts w:ascii="Calibri" w:hAnsi="Calibri" w:cs="Helv"/>
          <w:bCs/>
          <w:color w:val="000000"/>
        </w:rPr>
        <w:t>John owns 100% real estate as separate prop</w:t>
      </w:r>
      <w:r w:rsidR="00B027C3" w:rsidRPr="00EF148B">
        <w:rPr>
          <w:rFonts w:ascii="Calibri" w:hAnsi="Calibri" w:cs="Helv"/>
          <w:bCs/>
          <w:color w:val="000000"/>
        </w:rPr>
        <w:t xml:space="preserve">erty.  </w:t>
      </w:r>
      <w:r w:rsidR="00EF148B" w:rsidRPr="00EF148B">
        <w:rPr>
          <w:rFonts w:ascii="Calibri" w:hAnsi="Calibri" w:cs="Helv"/>
          <w:bCs/>
          <w:color w:val="000000"/>
        </w:rPr>
        <w:t>He dies</w:t>
      </w:r>
      <w:r w:rsidR="00B027C3" w:rsidRPr="00EF148B">
        <w:rPr>
          <w:rFonts w:ascii="Calibri" w:hAnsi="Calibri" w:cs="Helv"/>
          <w:bCs/>
          <w:color w:val="000000"/>
        </w:rPr>
        <w:t>.  Basis is full FMV as of date of death.</w:t>
      </w:r>
    </w:p>
    <w:p w14:paraId="4F058690" w14:textId="77777777" w:rsidR="008667A3" w:rsidRPr="00EF148B" w:rsidRDefault="008667A3" w:rsidP="00EF148B">
      <w:pPr>
        <w:pStyle w:val="ListParagraph"/>
        <w:numPr>
          <w:ilvl w:val="0"/>
          <w:numId w:val="35"/>
        </w:numPr>
        <w:autoSpaceDE w:val="0"/>
        <w:autoSpaceDN w:val="0"/>
        <w:adjustRightInd w:val="0"/>
        <w:spacing w:line="360" w:lineRule="auto"/>
        <w:rPr>
          <w:rFonts w:ascii="Calibri" w:hAnsi="Calibri" w:cs="Helv"/>
          <w:bCs/>
          <w:color w:val="000000"/>
        </w:rPr>
      </w:pPr>
      <w:r w:rsidRPr="00EF148B">
        <w:rPr>
          <w:rFonts w:ascii="Calibri" w:hAnsi="Calibri" w:cs="Helv"/>
          <w:bCs/>
          <w:color w:val="000000"/>
        </w:rPr>
        <w:t xml:space="preserve">John owns same as community property.  </w:t>
      </w:r>
      <w:r w:rsidR="00EF148B" w:rsidRPr="00EF148B">
        <w:rPr>
          <w:rFonts w:ascii="Calibri" w:hAnsi="Calibri" w:cs="Helv"/>
          <w:bCs/>
          <w:color w:val="000000"/>
        </w:rPr>
        <w:t>He d</w:t>
      </w:r>
      <w:r w:rsidRPr="00EF148B">
        <w:rPr>
          <w:rFonts w:ascii="Calibri" w:hAnsi="Calibri" w:cs="Helv"/>
          <w:bCs/>
          <w:color w:val="000000"/>
        </w:rPr>
        <w:t xml:space="preserve">ies.  Basis is </w:t>
      </w:r>
      <w:r w:rsidRPr="00EF148B">
        <w:rPr>
          <w:rFonts w:ascii="Calibri" w:hAnsi="Calibri" w:cs="Helv"/>
          <w:bCs/>
          <w:i/>
          <w:color w:val="000000"/>
        </w:rPr>
        <w:t>discounted</w:t>
      </w:r>
      <w:r w:rsidR="00EF148B">
        <w:rPr>
          <w:rFonts w:ascii="Calibri" w:hAnsi="Calibri" w:cs="Helv"/>
          <w:bCs/>
          <w:color w:val="000000"/>
        </w:rPr>
        <w:t xml:space="preserve"> as if two 50% TIC interests.</w:t>
      </w:r>
    </w:p>
    <w:p w14:paraId="22081602" w14:textId="77777777" w:rsidR="00797C37" w:rsidRPr="00EF148B" w:rsidRDefault="00797C37" w:rsidP="00EF148B">
      <w:pPr>
        <w:pStyle w:val="ListParagraph"/>
        <w:numPr>
          <w:ilvl w:val="0"/>
          <w:numId w:val="35"/>
        </w:numPr>
        <w:autoSpaceDE w:val="0"/>
        <w:autoSpaceDN w:val="0"/>
        <w:adjustRightInd w:val="0"/>
        <w:spacing w:line="360" w:lineRule="auto"/>
        <w:rPr>
          <w:rFonts w:ascii="Calibri" w:hAnsi="Calibri" w:cs="Helv"/>
          <w:bCs/>
          <w:color w:val="000000"/>
        </w:rPr>
      </w:pPr>
      <w:r w:rsidRPr="00EF148B">
        <w:rPr>
          <w:rFonts w:ascii="Calibri" w:hAnsi="Calibri" w:cs="Helv"/>
          <w:bCs/>
          <w:color w:val="000000"/>
        </w:rPr>
        <w:t xml:space="preserve">John owns </w:t>
      </w:r>
      <w:r w:rsidR="00B027C3" w:rsidRPr="00EF148B">
        <w:rPr>
          <w:rFonts w:ascii="Calibri" w:hAnsi="Calibri" w:cs="Helv"/>
          <w:bCs/>
          <w:color w:val="000000"/>
        </w:rPr>
        <w:t>100% LLC</w:t>
      </w:r>
      <w:r w:rsidR="00C31E3F" w:rsidRPr="00EF148B">
        <w:rPr>
          <w:rFonts w:ascii="Calibri" w:hAnsi="Calibri" w:cs="Helv"/>
          <w:bCs/>
          <w:color w:val="000000"/>
        </w:rPr>
        <w:t>, separate property</w:t>
      </w:r>
      <w:r w:rsidRPr="00EF148B">
        <w:rPr>
          <w:rFonts w:ascii="Calibri" w:hAnsi="Calibri" w:cs="Helv"/>
          <w:bCs/>
          <w:color w:val="000000"/>
        </w:rPr>
        <w:t xml:space="preserve">. </w:t>
      </w:r>
      <w:r w:rsidR="00EF148B" w:rsidRPr="00EF148B">
        <w:rPr>
          <w:rFonts w:ascii="Calibri" w:hAnsi="Calibri" w:cs="Helv"/>
          <w:bCs/>
          <w:color w:val="000000"/>
        </w:rPr>
        <w:t>He d</w:t>
      </w:r>
      <w:r w:rsidRPr="00EF148B">
        <w:rPr>
          <w:rFonts w:ascii="Calibri" w:hAnsi="Calibri" w:cs="Helv"/>
          <w:bCs/>
          <w:color w:val="000000"/>
        </w:rPr>
        <w:t>ies</w:t>
      </w:r>
      <w:r w:rsidR="00B027C3" w:rsidRPr="00EF148B">
        <w:rPr>
          <w:rFonts w:ascii="Calibri" w:hAnsi="Calibri" w:cs="Helv"/>
          <w:bCs/>
          <w:color w:val="000000"/>
        </w:rPr>
        <w:t>. Basis is undiscounted FMV as of date of death</w:t>
      </w:r>
      <w:r w:rsidRPr="00EF148B">
        <w:rPr>
          <w:rFonts w:ascii="Calibri" w:hAnsi="Calibri" w:cs="Helv"/>
          <w:bCs/>
          <w:color w:val="000000"/>
        </w:rPr>
        <w:t>.</w:t>
      </w:r>
    </w:p>
    <w:p w14:paraId="2B412072" w14:textId="77777777" w:rsidR="00797C37" w:rsidRPr="00EF148B" w:rsidRDefault="00797C37" w:rsidP="00EF148B">
      <w:pPr>
        <w:pStyle w:val="ListParagraph"/>
        <w:numPr>
          <w:ilvl w:val="0"/>
          <w:numId w:val="35"/>
        </w:numPr>
        <w:autoSpaceDE w:val="0"/>
        <w:autoSpaceDN w:val="0"/>
        <w:adjustRightInd w:val="0"/>
        <w:spacing w:line="360" w:lineRule="auto"/>
        <w:rPr>
          <w:rFonts w:ascii="Calibri" w:hAnsi="Calibri" w:cs="Helv"/>
          <w:bCs/>
          <w:color w:val="000000"/>
        </w:rPr>
      </w:pPr>
      <w:r w:rsidRPr="00EF148B">
        <w:rPr>
          <w:rFonts w:ascii="Calibri" w:hAnsi="Calibri" w:cs="Helv"/>
          <w:bCs/>
          <w:color w:val="000000"/>
        </w:rPr>
        <w:t xml:space="preserve">John owns </w:t>
      </w:r>
      <w:r w:rsidR="00943076" w:rsidRPr="00EF148B">
        <w:rPr>
          <w:rFonts w:ascii="Calibri" w:hAnsi="Calibri" w:cs="Helv"/>
          <w:bCs/>
          <w:color w:val="000000"/>
        </w:rPr>
        <w:t xml:space="preserve">same LLC, but as community property. </w:t>
      </w:r>
      <w:r w:rsidR="00EF148B">
        <w:rPr>
          <w:rFonts w:ascii="Calibri" w:hAnsi="Calibri" w:cs="Helv"/>
          <w:bCs/>
          <w:color w:val="000000"/>
        </w:rPr>
        <w:t>He d</w:t>
      </w:r>
      <w:r w:rsidR="00943076" w:rsidRPr="00EF148B">
        <w:rPr>
          <w:rFonts w:ascii="Calibri" w:hAnsi="Calibri" w:cs="Helv"/>
          <w:bCs/>
          <w:color w:val="000000"/>
        </w:rPr>
        <w:t>ies.  50% share valued w/</w:t>
      </w:r>
      <w:r w:rsidR="00943076" w:rsidRPr="00EF148B">
        <w:rPr>
          <w:rFonts w:ascii="Calibri" w:hAnsi="Calibri" w:cs="Helv"/>
          <w:bCs/>
          <w:i/>
          <w:color w:val="000000"/>
        </w:rPr>
        <w:t>discount</w:t>
      </w:r>
      <w:r w:rsidR="00943076" w:rsidRPr="00EF148B">
        <w:rPr>
          <w:rFonts w:ascii="Calibri" w:hAnsi="Calibri" w:cs="Helv"/>
          <w:bCs/>
          <w:color w:val="000000"/>
        </w:rPr>
        <w:t xml:space="preserve">- </w:t>
      </w:r>
      <w:r w:rsidR="00EF2626">
        <w:rPr>
          <w:rFonts w:ascii="Calibri" w:hAnsi="Calibri" w:cs="Helv"/>
          <w:bCs/>
          <w:color w:val="000000"/>
        </w:rPr>
        <w:t>perhaps 15-30</w:t>
      </w:r>
      <w:r w:rsidR="00B027C3" w:rsidRPr="00EF148B">
        <w:rPr>
          <w:rFonts w:ascii="Calibri" w:hAnsi="Calibri" w:cs="Helv"/>
          <w:bCs/>
          <w:color w:val="000000"/>
        </w:rPr>
        <w:t>%</w:t>
      </w:r>
      <w:r w:rsidR="00943076" w:rsidRPr="00EF148B">
        <w:rPr>
          <w:rFonts w:ascii="Calibri" w:hAnsi="Calibri" w:cs="Helv"/>
          <w:bCs/>
          <w:color w:val="000000"/>
        </w:rPr>
        <w:t>?</w:t>
      </w:r>
    </w:p>
    <w:p w14:paraId="7C868775" w14:textId="77777777" w:rsidR="00943076" w:rsidRDefault="00943076" w:rsidP="00EF148B">
      <w:pPr>
        <w:pStyle w:val="ListParagraph"/>
        <w:numPr>
          <w:ilvl w:val="0"/>
          <w:numId w:val="35"/>
        </w:numPr>
        <w:autoSpaceDE w:val="0"/>
        <w:autoSpaceDN w:val="0"/>
        <w:adjustRightInd w:val="0"/>
        <w:spacing w:line="360" w:lineRule="auto"/>
        <w:rPr>
          <w:rFonts w:ascii="Calibri" w:hAnsi="Calibri" w:cs="Helv"/>
          <w:bCs/>
          <w:color w:val="000000"/>
        </w:rPr>
      </w:pPr>
      <w:r w:rsidRPr="00EF148B">
        <w:rPr>
          <w:rFonts w:ascii="Calibri" w:hAnsi="Calibri" w:cs="Helv"/>
          <w:bCs/>
          <w:color w:val="000000"/>
        </w:rPr>
        <w:t xml:space="preserve">Same as above, but John </w:t>
      </w:r>
      <w:r w:rsidR="00EF148B">
        <w:rPr>
          <w:rFonts w:ascii="Calibri" w:hAnsi="Calibri" w:cs="Helv"/>
          <w:bCs/>
          <w:color w:val="000000"/>
        </w:rPr>
        <w:t xml:space="preserve">only </w:t>
      </w:r>
      <w:r w:rsidRPr="00EF148B">
        <w:rPr>
          <w:rFonts w:ascii="Calibri" w:hAnsi="Calibri" w:cs="Helv"/>
          <w:bCs/>
          <w:color w:val="000000"/>
        </w:rPr>
        <w:t xml:space="preserve">owns 80% of LLC and dies.  </w:t>
      </w:r>
      <w:r w:rsidR="00EF148B">
        <w:rPr>
          <w:rFonts w:ascii="Calibri" w:hAnsi="Calibri" w:cs="Helv"/>
          <w:bCs/>
          <w:color w:val="000000"/>
        </w:rPr>
        <w:t xml:space="preserve">His </w:t>
      </w:r>
      <w:r w:rsidRPr="00EF148B">
        <w:rPr>
          <w:rFonts w:ascii="Calibri" w:hAnsi="Calibri" w:cs="Helv"/>
          <w:bCs/>
          <w:color w:val="000000"/>
        </w:rPr>
        <w:t xml:space="preserve">40% </w:t>
      </w:r>
      <w:r w:rsidR="00B027C3" w:rsidRPr="00EF148B">
        <w:rPr>
          <w:rFonts w:ascii="Calibri" w:hAnsi="Calibri" w:cs="Helv"/>
          <w:bCs/>
          <w:color w:val="000000"/>
        </w:rPr>
        <w:t xml:space="preserve">is </w:t>
      </w:r>
      <w:r w:rsidRPr="00EF148B">
        <w:rPr>
          <w:rFonts w:ascii="Calibri" w:hAnsi="Calibri" w:cs="Helv"/>
          <w:bCs/>
          <w:i/>
          <w:color w:val="000000"/>
        </w:rPr>
        <w:t>discounted</w:t>
      </w:r>
      <w:r w:rsidRPr="00EF148B">
        <w:rPr>
          <w:rFonts w:ascii="Calibri" w:hAnsi="Calibri" w:cs="Helv"/>
          <w:bCs/>
          <w:color w:val="000000"/>
        </w:rPr>
        <w:t xml:space="preserve"> even further</w:t>
      </w:r>
      <w:r w:rsidR="00B027C3" w:rsidRPr="00EF148B">
        <w:rPr>
          <w:rFonts w:ascii="Calibri" w:hAnsi="Calibri" w:cs="Helv"/>
          <w:bCs/>
          <w:color w:val="000000"/>
        </w:rPr>
        <w:t xml:space="preserve">- </w:t>
      </w:r>
      <w:r w:rsidR="00EF2626">
        <w:rPr>
          <w:rFonts w:ascii="Calibri" w:hAnsi="Calibri" w:cs="Helv"/>
          <w:bCs/>
          <w:color w:val="000000"/>
        </w:rPr>
        <w:t>perhaps 20-4</w:t>
      </w:r>
      <w:r w:rsidR="00B027C3" w:rsidRPr="00EF148B">
        <w:rPr>
          <w:rFonts w:ascii="Calibri" w:hAnsi="Calibri" w:cs="Helv"/>
          <w:bCs/>
          <w:color w:val="000000"/>
        </w:rPr>
        <w:t>5%</w:t>
      </w:r>
      <w:r w:rsidRPr="00EF148B">
        <w:rPr>
          <w:rFonts w:ascii="Calibri" w:hAnsi="Calibri" w:cs="Helv"/>
          <w:bCs/>
          <w:color w:val="000000"/>
        </w:rPr>
        <w:t>?</w:t>
      </w:r>
    </w:p>
    <w:p w14:paraId="50078FBC" w14:textId="77777777" w:rsidR="00EF2626" w:rsidRDefault="00EF2626" w:rsidP="00EF2626">
      <w:pPr>
        <w:autoSpaceDE w:val="0"/>
        <w:autoSpaceDN w:val="0"/>
        <w:adjustRightInd w:val="0"/>
        <w:spacing w:line="360" w:lineRule="auto"/>
        <w:ind w:left="90" w:firstLine="630"/>
        <w:rPr>
          <w:rFonts w:ascii="Calibri" w:hAnsi="Calibri" w:cs="Helv"/>
          <w:bCs/>
          <w:color w:val="000000"/>
        </w:rPr>
      </w:pPr>
      <w:r>
        <w:rPr>
          <w:rFonts w:ascii="Calibri" w:hAnsi="Calibri" w:cs="Helv"/>
          <w:bCs/>
          <w:color w:val="000000"/>
        </w:rPr>
        <w:t xml:space="preserve">The rule that most practitioners think of whereby you simply take the full value of a property and divide by two for estate tax (and therefore basis) purposes requires a </w:t>
      </w:r>
      <w:r w:rsidRPr="00A648F1">
        <w:rPr>
          <w:rFonts w:ascii="Calibri" w:hAnsi="Calibri" w:cs="Helv"/>
          <w:bCs/>
          <w:i/>
          <w:color w:val="000000"/>
        </w:rPr>
        <w:t>right of survivorship</w:t>
      </w:r>
      <w:r>
        <w:rPr>
          <w:rFonts w:ascii="Calibri" w:hAnsi="Calibri" w:cs="Helv"/>
          <w:bCs/>
          <w:color w:val="000000"/>
        </w:rPr>
        <w:t xml:space="preserve">: </w:t>
      </w:r>
    </w:p>
    <w:p w14:paraId="4D21FF6E" w14:textId="77777777" w:rsidR="00EF2626" w:rsidRPr="00EF2626" w:rsidRDefault="00EF2626" w:rsidP="00EF2626">
      <w:pPr>
        <w:autoSpaceDE w:val="0"/>
        <w:autoSpaceDN w:val="0"/>
        <w:adjustRightInd w:val="0"/>
        <w:ind w:left="720"/>
        <w:rPr>
          <w:rFonts w:ascii="Calibri" w:hAnsi="Calibri" w:cs="Helv"/>
          <w:b/>
          <w:bCs/>
          <w:color w:val="000000"/>
        </w:rPr>
      </w:pPr>
      <w:r w:rsidRPr="00EF2626">
        <w:rPr>
          <w:rFonts w:ascii="Calibri" w:hAnsi="Calibri" w:cs="Helv"/>
          <w:b/>
          <w:bCs/>
          <w:color w:val="000000"/>
        </w:rPr>
        <w:t>(b) Certain joint interests of husband and wife</w:t>
      </w:r>
    </w:p>
    <w:p w14:paraId="2C50FA86" w14:textId="77777777" w:rsidR="00EF2626" w:rsidRPr="00EF2626" w:rsidRDefault="00EF2626" w:rsidP="00EF2626">
      <w:pPr>
        <w:autoSpaceDE w:val="0"/>
        <w:autoSpaceDN w:val="0"/>
        <w:adjustRightInd w:val="0"/>
        <w:ind w:left="720"/>
        <w:rPr>
          <w:rFonts w:ascii="Calibri" w:hAnsi="Calibri" w:cs="Helv"/>
          <w:bCs/>
          <w:color w:val="000000"/>
        </w:rPr>
      </w:pPr>
      <w:r w:rsidRPr="00EF2626">
        <w:rPr>
          <w:rFonts w:ascii="Calibri" w:hAnsi="Calibri" w:cs="Helv"/>
          <w:bCs/>
          <w:color w:val="000000"/>
        </w:rPr>
        <w:t>(1) Interests of spouse excluded from gross estate</w:t>
      </w:r>
    </w:p>
    <w:p w14:paraId="39A7BF2C" w14:textId="77777777" w:rsidR="00EF2626" w:rsidRPr="00EF2626" w:rsidRDefault="00EF2626" w:rsidP="00EF2626">
      <w:pPr>
        <w:autoSpaceDE w:val="0"/>
        <w:autoSpaceDN w:val="0"/>
        <w:adjustRightInd w:val="0"/>
        <w:ind w:left="720"/>
        <w:rPr>
          <w:rFonts w:ascii="Calibri" w:hAnsi="Calibri" w:cs="Helv"/>
          <w:bCs/>
          <w:color w:val="000000"/>
        </w:rPr>
      </w:pPr>
      <w:r w:rsidRPr="00EF2626">
        <w:rPr>
          <w:rFonts w:ascii="Calibri" w:hAnsi="Calibri" w:cs="Helv"/>
          <w:bCs/>
          <w:color w:val="000000"/>
        </w:rPr>
        <w:t>Notwithstanding subsection (a), in the case of any qualified joint interest, the value included in the gross estate with respect to such interest by reason of this section is one-half of the value of such qualified joint interest.</w:t>
      </w:r>
    </w:p>
    <w:p w14:paraId="735DC250" w14:textId="77777777" w:rsidR="00EF2626" w:rsidRPr="00EF2626" w:rsidRDefault="00EF2626" w:rsidP="00EF2626">
      <w:pPr>
        <w:autoSpaceDE w:val="0"/>
        <w:autoSpaceDN w:val="0"/>
        <w:adjustRightInd w:val="0"/>
        <w:ind w:left="720"/>
        <w:rPr>
          <w:rFonts w:ascii="Calibri" w:hAnsi="Calibri" w:cs="Helv"/>
          <w:bCs/>
          <w:color w:val="000000"/>
        </w:rPr>
      </w:pPr>
    </w:p>
    <w:p w14:paraId="6EF47444" w14:textId="77777777" w:rsidR="00EF2626" w:rsidRPr="00EF2626" w:rsidRDefault="00EF2626" w:rsidP="00EF2626">
      <w:pPr>
        <w:autoSpaceDE w:val="0"/>
        <w:autoSpaceDN w:val="0"/>
        <w:adjustRightInd w:val="0"/>
        <w:ind w:left="720"/>
        <w:rPr>
          <w:rFonts w:ascii="Calibri" w:hAnsi="Calibri" w:cs="Helv"/>
          <w:bCs/>
          <w:color w:val="000000"/>
        </w:rPr>
      </w:pPr>
      <w:r w:rsidRPr="00EF2626">
        <w:rPr>
          <w:rFonts w:ascii="Calibri" w:hAnsi="Calibri" w:cs="Helv"/>
          <w:bCs/>
          <w:color w:val="000000"/>
        </w:rPr>
        <w:t>(2) Qualified joint interest defined</w:t>
      </w:r>
      <w:r>
        <w:rPr>
          <w:rFonts w:ascii="Calibri" w:hAnsi="Calibri" w:cs="Helv"/>
          <w:bCs/>
          <w:color w:val="000000"/>
        </w:rPr>
        <w:t xml:space="preserve">.  </w:t>
      </w:r>
      <w:r w:rsidRPr="00EF2626">
        <w:rPr>
          <w:rFonts w:ascii="Calibri" w:hAnsi="Calibri" w:cs="Helv"/>
          <w:bCs/>
          <w:color w:val="000000"/>
        </w:rPr>
        <w:t>For purposes of paragraph (1), the term “qualified joint interest” means any interest in property held by the decedent and the decedent’s spouse as—</w:t>
      </w:r>
    </w:p>
    <w:p w14:paraId="331D42A0" w14:textId="77777777" w:rsidR="00EF2626" w:rsidRPr="00EF2626" w:rsidRDefault="00EF2626" w:rsidP="00EF2626">
      <w:pPr>
        <w:autoSpaceDE w:val="0"/>
        <w:autoSpaceDN w:val="0"/>
        <w:adjustRightInd w:val="0"/>
        <w:ind w:left="1440"/>
        <w:rPr>
          <w:rFonts w:ascii="Calibri" w:hAnsi="Calibri" w:cs="Helv"/>
          <w:bCs/>
          <w:color w:val="000000"/>
        </w:rPr>
      </w:pPr>
      <w:r w:rsidRPr="00EF2626">
        <w:rPr>
          <w:rFonts w:ascii="Calibri" w:hAnsi="Calibri" w:cs="Helv"/>
          <w:bCs/>
          <w:color w:val="000000"/>
        </w:rPr>
        <w:t>(A) tenants by the entirety, or</w:t>
      </w:r>
    </w:p>
    <w:p w14:paraId="0491B996" w14:textId="77777777" w:rsidR="00EF2626" w:rsidRDefault="00EF2626" w:rsidP="00EF2626">
      <w:pPr>
        <w:autoSpaceDE w:val="0"/>
        <w:autoSpaceDN w:val="0"/>
        <w:adjustRightInd w:val="0"/>
        <w:ind w:left="1440"/>
        <w:rPr>
          <w:rFonts w:ascii="Calibri" w:hAnsi="Calibri" w:cs="Helv"/>
          <w:bCs/>
          <w:color w:val="000000"/>
        </w:rPr>
      </w:pPr>
      <w:r w:rsidRPr="00EF2626">
        <w:rPr>
          <w:rFonts w:ascii="Calibri" w:hAnsi="Calibri" w:cs="Helv"/>
          <w:bCs/>
          <w:color w:val="000000"/>
        </w:rPr>
        <w:t>(B) joint tenants with right of survivorship, but only if the decedent and the spouse of the decedent are the only joint tenants.</w:t>
      </w:r>
      <w:r>
        <w:rPr>
          <w:rStyle w:val="FootnoteReference"/>
          <w:rFonts w:ascii="Calibri" w:hAnsi="Calibri" w:cs="Helv"/>
          <w:bCs/>
          <w:color w:val="000000"/>
        </w:rPr>
        <w:footnoteReference w:id="202"/>
      </w:r>
    </w:p>
    <w:p w14:paraId="64D71C8C" w14:textId="77777777" w:rsidR="00EF2626" w:rsidRPr="00EF2626" w:rsidRDefault="00EF2626" w:rsidP="00EF2626">
      <w:pPr>
        <w:autoSpaceDE w:val="0"/>
        <w:autoSpaceDN w:val="0"/>
        <w:adjustRightInd w:val="0"/>
        <w:ind w:left="720"/>
        <w:rPr>
          <w:rFonts w:ascii="Calibri" w:hAnsi="Calibri" w:cs="Helv"/>
          <w:bCs/>
          <w:color w:val="000000"/>
        </w:rPr>
      </w:pPr>
    </w:p>
    <w:p w14:paraId="2B6F0246" w14:textId="77777777" w:rsidR="00AF7B01" w:rsidRPr="00943076" w:rsidRDefault="00943076" w:rsidP="00943076">
      <w:pPr>
        <w:pStyle w:val="ListParagraph"/>
        <w:autoSpaceDE w:val="0"/>
        <w:autoSpaceDN w:val="0"/>
        <w:adjustRightInd w:val="0"/>
        <w:spacing w:line="360" w:lineRule="auto"/>
        <w:ind w:left="0" w:firstLine="720"/>
        <w:rPr>
          <w:rFonts w:ascii="Calibri" w:hAnsi="Calibri" w:cs="Helv"/>
          <w:bCs/>
          <w:color w:val="000000"/>
        </w:rPr>
      </w:pPr>
      <w:r w:rsidRPr="00943076">
        <w:rPr>
          <w:rFonts w:ascii="Calibri" w:hAnsi="Calibri" w:cs="Helv"/>
          <w:bCs/>
          <w:color w:val="000000"/>
        </w:rPr>
        <w:lastRenderedPageBreak/>
        <w:t xml:space="preserve">This discounting </w:t>
      </w:r>
      <w:r w:rsidR="00EF2626">
        <w:rPr>
          <w:rFonts w:ascii="Calibri" w:hAnsi="Calibri" w:cs="Helv"/>
          <w:bCs/>
          <w:color w:val="000000"/>
        </w:rPr>
        <w:t xml:space="preserve">of community property </w:t>
      </w:r>
      <w:r w:rsidRPr="00943076">
        <w:rPr>
          <w:rFonts w:ascii="Calibri" w:hAnsi="Calibri" w:cs="Helv"/>
          <w:bCs/>
          <w:color w:val="000000"/>
        </w:rPr>
        <w:t>surprises people</w:t>
      </w:r>
      <w:r w:rsidR="00EF148B">
        <w:rPr>
          <w:rFonts w:ascii="Calibri" w:hAnsi="Calibri" w:cs="Helv"/>
          <w:bCs/>
          <w:color w:val="000000"/>
        </w:rPr>
        <w:t xml:space="preserve"> (it is contrary to guidance in IRS Publication 555 on page 8</w:t>
      </w:r>
      <w:r w:rsidR="00BA7735">
        <w:rPr>
          <w:rFonts w:ascii="Calibri" w:hAnsi="Calibri" w:cs="Helv"/>
          <w:bCs/>
          <w:color w:val="000000"/>
        </w:rPr>
        <w:t>, but that</w:t>
      </w:r>
      <w:r w:rsidR="00BC73D1">
        <w:rPr>
          <w:rFonts w:ascii="Calibri" w:hAnsi="Calibri" w:cs="Helv"/>
          <w:bCs/>
          <w:color w:val="000000"/>
        </w:rPr>
        <w:t xml:space="preserve"> publication</w:t>
      </w:r>
      <w:r w:rsidR="00BA7735">
        <w:rPr>
          <w:rFonts w:ascii="Calibri" w:hAnsi="Calibri" w:cs="Helv"/>
          <w:bCs/>
          <w:color w:val="000000"/>
        </w:rPr>
        <w:t xml:space="preserve"> is not</w:t>
      </w:r>
      <w:r w:rsidR="00BC73D1">
        <w:rPr>
          <w:rFonts w:ascii="Calibri" w:hAnsi="Calibri" w:cs="Helv"/>
          <w:bCs/>
          <w:color w:val="000000"/>
        </w:rPr>
        <w:t xml:space="preserve"> citable</w:t>
      </w:r>
      <w:r w:rsidR="00BA7735">
        <w:rPr>
          <w:rFonts w:ascii="Calibri" w:hAnsi="Calibri" w:cs="Helv"/>
          <w:bCs/>
          <w:color w:val="000000"/>
        </w:rPr>
        <w:t xml:space="preserve"> authority</w:t>
      </w:r>
      <w:r w:rsidR="00EF148B">
        <w:rPr>
          <w:rFonts w:ascii="Calibri" w:hAnsi="Calibri" w:cs="Helv"/>
          <w:bCs/>
          <w:color w:val="000000"/>
        </w:rPr>
        <w:t>)</w:t>
      </w:r>
      <w:r w:rsidR="005F2F5B">
        <w:rPr>
          <w:rFonts w:ascii="Calibri" w:hAnsi="Calibri" w:cs="Helv"/>
          <w:bCs/>
          <w:color w:val="000000"/>
        </w:rPr>
        <w:t>.  However</w:t>
      </w:r>
      <w:r w:rsidRPr="00943076">
        <w:rPr>
          <w:rFonts w:ascii="Calibri" w:hAnsi="Calibri" w:cs="Helv"/>
          <w:bCs/>
          <w:color w:val="000000"/>
        </w:rPr>
        <w:t xml:space="preserve">, there is </w:t>
      </w:r>
      <w:r w:rsidR="008667A3">
        <w:rPr>
          <w:rFonts w:ascii="Calibri" w:hAnsi="Calibri" w:cs="Helv"/>
          <w:bCs/>
          <w:color w:val="000000"/>
        </w:rPr>
        <w:t xml:space="preserve">clear controlling </w:t>
      </w:r>
      <w:r w:rsidRPr="00943076">
        <w:rPr>
          <w:rFonts w:ascii="Calibri" w:hAnsi="Calibri" w:cs="Helv"/>
          <w:bCs/>
          <w:color w:val="000000"/>
        </w:rPr>
        <w:t xml:space="preserve">authority in the two main circuits that deal </w:t>
      </w:r>
      <w:r w:rsidR="008667A3">
        <w:rPr>
          <w:rFonts w:ascii="Calibri" w:hAnsi="Calibri" w:cs="Helv"/>
          <w:bCs/>
          <w:color w:val="000000"/>
        </w:rPr>
        <w:t xml:space="preserve">the most </w:t>
      </w:r>
      <w:r w:rsidRPr="00943076">
        <w:rPr>
          <w:rFonts w:ascii="Calibri" w:hAnsi="Calibri" w:cs="Helv"/>
          <w:bCs/>
          <w:color w:val="000000"/>
        </w:rPr>
        <w:t>with community property, and in the tax court</w:t>
      </w:r>
      <w:r w:rsidR="008667A3">
        <w:rPr>
          <w:rFonts w:ascii="Calibri" w:hAnsi="Calibri" w:cs="Helv"/>
          <w:bCs/>
          <w:color w:val="000000"/>
        </w:rPr>
        <w:t>, and the above examples are simply drawn from those cases</w:t>
      </w:r>
      <w:r w:rsidRPr="00943076">
        <w:rPr>
          <w:rFonts w:ascii="Calibri" w:hAnsi="Calibri" w:cs="Helv"/>
          <w:bCs/>
          <w:color w:val="000000"/>
        </w:rPr>
        <w:t>:</w:t>
      </w:r>
    </w:p>
    <w:p w14:paraId="5CB701FB" w14:textId="77777777" w:rsidR="00943076" w:rsidRDefault="00943076" w:rsidP="00B027C3">
      <w:pPr>
        <w:pStyle w:val="ListParagraph"/>
        <w:autoSpaceDE w:val="0"/>
        <w:autoSpaceDN w:val="0"/>
        <w:adjustRightInd w:val="0"/>
        <w:spacing w:line="360" w:lineRule="auto"/>
        <w:ind w:left="0" w:firstLine="720"/>
        <w:rPr>
          <w:rFonts w:ascii="Calibri" w:hAnsi="Calibri" w:cs="Helv"/>
          <w:bCs/>
          <w:color w:val="000000"/>
        </w:rPr>
      </w:pPr>
      <w:r w:rsidRPr="00943076">
        <w:rPr>
          <w:rFonts w:ascii="Calibri" w:hAnsi="Calibri" w:cs="Helv"/>
          <w:bCs/>
          <w:color w:val="000000"/>
        </w:rPr>
        <w:t xml:space="preserve">In </w:t>
      </w:r>
      <w:r w:rsidRPr="00943076">
        <w:rPr>
          <w:rFonts w:ascii="Calibri" w:hAnsi="Calibri" w:cs="Helv"/>
          <w:bCs/>
          <w:i/>
          <w:color w:val="000000"/>
        </w:rPr>
        <w:t>Propstra</w:t>
      </w:r>
      <w:r w:rsidR="004D2DF7">
        <w:rPr>
          <w:rFonts w:ascii="Calibri" w:hAnsi="Calibri" w:cs="Helv"/>
          <w:bCs/>
          <w:color w:val="000000"/>
        </w:rPr>
        <w:t>, a decedent’s one-</w:t>
      </w:r>
      <w:r w:rsidRPr="00943076">
        <w:rPr>
          <w:rFonts w:ascii="Calibri" w:hAnsi="Calibri" w:cs="Helv"/>
          <w:bCs/>
          <w:color w:val="000000"/>
        </w:rPr>
        <w:t xml:space="preserve">half share of </w:t>
      </w:r>
      <w:r>
        <w:rPr>
          <w:rFonts w:ascii="Calibri" w:hAnsi="Calibri" w:cs="Helv"/>
          <w:bCs/>
          <w:color w:val="000000"/>
        </w:rPr>
        <w:t xml:space="preserve">naked real estate held as </w:t>
      </w:r>
      <w:r w:rsidR="007B6E6B">
        <w:rPr>
          <w:rFonts w:ascii="Calibri" w:hAnsi="Calibri" w:cs="Helv"/>
          <w:bCs/>
          <w:color w:val="000000"/>
        </w:rPr>
        <w:t xml:space="preserve">Arizona </w:t>
      </w:r>
      <w:r w:rsidRPr="00943076">
        <w:rPr>
          <w:rFonts w:ascii="Calibri" w:hAnsi="Calibri" w:cs="Helv"/>
          <w:bCs/>
          <w:color w:val="000000"/>
        </w:rPr>
        <w:t>community property was held to be</w:t>
      </w:r>
      <w:r>
        <w:rPr>
          <w:rFonts w:ascii="Calibri" w:hAnsi="Calibri" w:cs="Helv"/>
          <w:bCs/>
          <w:color w:val="000000"/>
        </w:rPr>
        <w:t xml:space="preserve"> </w:t>
      </w:r>
      <w:r w:rsidR="008667A3">
        <w:rPr>
          <w:rFonts w:ascii="Calibri" w:hAnsi="Calibri" w:cs="Helv"/>
          <w:bCs/>
          <w:color w:val="000000"/>
        </w:rPr>
        <w:t>required to be valued at a</w:t>
      </w:r>
      <w:r>
        <w:rPr>
          <w:rFonts w:ascii="Calibri" w:hAnsi="Calibri" w:cs="Helv"/>
          <w:bCs/>
          <w:color w:val="000000"/>
        </w:rPr>
        <w:t xml:space="preserve"> 15% discount.</w:t>
      </w:r>
      <w:r>
        <w:rPr>
          <w:rStyle w:val="FootnoteReference"/>
          <w:rFonts w:ascii="Calibri" w:hAnsi="Calibri" w:cs="Helv"/>
          <w:bCs/>
          <w:color w:val="000000"/>
        </w:rPr>
        <w:footnoteReference w:id="203"/>
      </w:r>
    </w:p>
    <w:p w14:paraId="24AFAB5B" w14:textId="77777777" w:rsidR="00943076" w:rsidRDefault="00943076" w:rsidP="00B027C3">
      <w:pPr>
        <w:pStyle w:val="ListParagraph"/>
        <w:autoSpaceDE w:val="0"/>
        <w:autoSpaceDN w:val="0"/>
        <w:adjustRightInd w:val="0"/>
        <w:spacing w:line="360" w:lineRule="auto"/>
        <w:ind w:left="0" w:firstLine="720"/>
        <w:rPr>
          <w:rFonts w:ascii="Calibri" w:hAnsi="Calibri" w:cs="Helv"/>
          <w:bCs/>
          <w:color w:val="000000"/>
        </w:rPr>
      </w:pPr>
      <w:r>
        <w:rPr>
          <w:rFonts w:ascii="Calibri" w:hAnsi="Calibri" w:cs="Helv"/>
          <w:bCs/>
          <w:color w:val="000000"/>
        </w:rPr>
        <w:t xml:space="preserve">In </w:t>
      </w:r>
      <w:r w:rsidR="008667A3" w:rsidRPr="00D275BC">
        <w:rPr>
          <w:rFonts w:ascii="Calibri" w:hAnsi="Calibri" w:cs="Helv"/>
          <w:bCs/>
          <w:i/>
          <w:color w:val="000000"/>
        </w:rPr>
        <w:t>Lee</w:t>
      </w:r>
      <w:r w:rsidR="008667A3">
        <w:rPr>
          <w:rFonts w:ascii="Calibri" w:hAnsi="Calibri" w:cs="Helv"/>
          <w:bCs/>
          <w:color w:val="000000"/>
        </w:rPr>
        <w:t>, a decedent’s share of 80% of a closely held corporation held as community property was held to be required to be valued as a non-controlling 40% minority interest, and her share of 100% owned as community property was required to be valued as a 50% share, and discounted accordingly.</w:t>
      </w:r>
      <w:r w:rsidR="008667A3">
        <w:rPr>
          <w:rStyle w:val="FootnoteReference"/>
          <w:rFonts w:ascii="Calibri" w:hAnsi="Calibri" w:cs="Helv"/>
          <w:bCs/>
          <w:color w:val="000000"/>
        </w:rPr>
        <w:footnoteReference w:id="204"/>
      </w:r>
      <w:r w:rsidR="008667A3">
        <w:rPr>
          <w:rFonts w:ascii="Calibri" w:hAnsi="Calibri" w:cs="Helv"/>
          <w:bCs/>
          <w:color w:val="000000"/>
        </w:rPr>
        <w:t xml:space="preserve"> </w:t>
      </w:r>
    </w:p>
    <w:p w14:paraId="74B36B9F" w14:textId="77777777" w:rsidR="00D03C64" w:rsidRDefault="00B027C3" w:rsidP="00B027C3">
      <w:pPr>
        <w:pStyle w:val="ListParagraph"/>
        <w:autoSpaceDE w:val="0"/>
        <w:autoSpaceDN w:val="0"/>
        <w:adjustRightInd w:val="0"/>
        <w:spacing w:line="360" w:lineRule="auto"/>
        <w:ind w:left="0" w:firstLine="720"/>
        <w:rPr>
          <w:rFonts w:ascii="Calibri" w:hAnsi="Calibri" w:cs="Helv"/>
          <w:bCs/>
          <w:color w:val="000000"/>
        </w:rPr>
      </w:pPr>
      <w:r>
        <w:rPr>
          <w:rFonts w:ascii="Calibri" w:hAnsi="Calibri" w:cs="Helv"/>
          <w:bCs/>
          <w:color w:val="000000"/>
        </w:rPr>
        <w:t xml:space="preserve">In </w:t>
      </w:r>
      <w:r w:rsidRPr="00B027C3">
        <w:rPr>
          <w:rFonts w:ascii="Calibri" w:hAnsi="Calibri" w:cs="Helv"/>
          <w:bCs/>
          <w:i/>
          <w:color w:val="000000"/>
        </w:rPr>
        <w:t>Bright</w:t>
      </w:r>
      <w:r>
        <w:rPr>
          <w:rFonts w:ascii="Calibri" w:hAnsi="Calibri" w:cs="Helv"/>
          <w:bCs/>
          <w:color w:val="000000"/>
        </w:rPr>
        <w:t xml:space="preserve">, a 55% share owned as </w:t>
      </w:r>
      <w:r w:rsidR="007B6E6B">
        <w:rPr>
          <w:rFonts w:ascii="Calibri" w:hAnsi="Calibri" w:cs="Helv"/>
          <w:bCs/>
          <w:color w:val="000000"/>
        </w:rPr>
        <w:t xml:space="preserve">Texas </w:t>
      </w:r>
      <w:r>
        <w:rPr>
          <w:rFonts w:ascii="Calibri" w:hAnsi="Calibri" w:cs="Helv"/>
          <w:bCs/>
          <w:color w:val="000000"/>
        </w:rPr>
        <w:t>community property was required to be valued for estate</w:t>
      </w:r>
      <w:r w:rsidR="00C31E3F">
        <w:rPr>
          <w:rFonts w:ascii="Calibri" w:hAnsi="Calibri" w:cs="Helv"/>
          <w:bCs/>
          <w:color w:val="000000"/>
        </w:rPr>
        <w:t xml:space="preserve"> tax</w:t>
      </w:r>
      <w:r w:rsidR="005F2F5B">
        <w:rPr>
          <w:rFonts w:ascii="Calibri" w:hAnsi="Calibri" w:cs="Helv"/>
          <w:bCs/>
          <w:color w:val="000000"/>
        </w:rPr>
        <w:t>/basis</w:t>
      </w:r>
      <w:r>
        <w:rPr>
          <w:rFonts w:ascii="Calibri" w:hAnsi="Calibri" w:cs="Helv"/>
          <w:bCs/>
          <w:color w:val="000000"/>
        </w:rPr>
        <w:t xml:space="preserve"> purposes as two 27 ½% interests.</w:t>
      </w:r>
      <w:r>
        <w:rPr>
          <w:rStyle w:val="FootnoteReference"/>
          <w:rFonts w:ascii="Calibri" w:hAnsi="Calibri" w:cs="Helv"/>
          <w:bCs/>
          <w:color w:val="000000"/>
        </w:rPr>
        <w:footnoteReference w:id="205"/>
      </w:r>
      <w:r>
        <w:rPr>
          <w:rFonts w:ascii="Calibri" w:hAnsi="Calibri" w:cs="Helv"/>
          <w:bCs/>
          <w:color w:val="000000"/>
        </w:rPr>
        <w:t xml:space="preserve"> </w:t>
      </w:r>
    </w:p>
    <w:p w14:paraId="5B580FAE" w14:textId="77777777" w:rsidR="00EF2626" w:rsidRDefault="00B027C3" w:rsidP="00B027C3">
      <w:pPr>
        <w:pStyle w:val="ListParagraph"/>
        <w:autoSpaceDE w:val="0"/>
        <w:autoSpaceDN w:val="0"/>
        <w:adjustRightInd w:val="0"/>
        <w:spacing w:line="360" w:lineRule="auto"/>
        <w:ind w:left="0" w:firstLine="720"/>
        <w:rPr>
          <w:rFonts w:ascii="Calibri" w:hAnsi="Calibri" w:cs="Helv"/>
          <w:bCs/>
          <w:color w:val="000000"/>
        </w:rPr>
      </w:pPr>
      <w:r>
        <w:rPr>
          <w:rFonts w:ascii="Calibri" w:hAnsi="Calibri" w:cs="Helv"/>
          <w:bCs/>
          <w:color w:val="000000"/>
        </w:rPr>
        <w:t xml:space="preserve">These cases are all discussed in Rev. Rul. 93-12, albeit in the context of gift </w:t>
      </w:r>
      <w:r w:rsidR="00C31E3F">
        <w:rPr>
          <w:rFonts w:ascii="Calibri" w:hAnsi="Calibri" w:cs="Helv"/>
          <w:bCs/>
          <w:color w:val="000000"/>
        </w:rPr>
        <w:t xml:space="preserve">tax valuation </w:t>
      </w:r>
      <w:r>
        <w:rPr>
          <w:rFonts w:ascii="Calibri" w:hAnsi="Calibri" w:cs="Helv"/>
          <w:bCs/>
          <w:color w:val="000000"/>
        </w:rPr>
        <w:t>rather than estate tax, but the central lesson</w:t>
      </w:r>
      <w:r w:rsidR="00C31E3F">
        <w:rPr>
          <w:rFonts w:ascii="Calibri" w:hAnsi="Calibri" w:cs="Helv"/>
          <w:bCs/>
          <w:color w:val="000000"/>
        </w:rPr>
        <w:t xml:space="preserve"> is that the advantage of community property step ups is severely muted, and can easily lead to </w:t>
      </w:r>
      <w:r w:rsidR="00D03C64">
        <w:rPr>
          <w:rFonts w:ascii="Calibri" w:hAnsi="Calibri" w:cs="Helv"/>
          <w:bCs/>
          <w:color w:val="000000"/>
        </w:rPr>
        <w:t xml:space="preserve">double </w:t>
      </w:r>
      <w:r w:rsidR="00C31E3F">
        <w:rPr>
          <w:rFonts w:ascii="Calibri" w:hAnsi="Calibri" w:cs="Helv"/>
          <w:bCs/>
          <w:color w:val="000000"/>
        </w:rPr>
        <w:t xml:space="preserve">step </w:t>
      </w:r>
      <w:r w:rsidR="00C31E3F" w:rsidRPr="00C31E3F">
        <w:rPr>
          <w:rFonts w:ascii="Calibri" w:hAnsi="Calibri" w:cs="Helv"/>
          <w:b/>
          <w:bCs/>
          <w:i/>
          <w:color w:val="000000"/>
        </w:rPr>
        <w:t>downs</w:t>
      </w:r>
      <w:r w:rsidR="00C31E3F">
        <w:rPr>
          <w:rFonts w:ascii="Calibri" w:hAnsi="Calibri" w:cs="Helv"/>
          <w:bCs/>
          <w:i/>
          <w:color w:val="000000"/>
        </w:rPr>
        <w:t xml:space="preserve"> </w:t>
      </w:r>
      <w:r w:rsidR="00C31E3F" w:rsidRPr="00C31E3F">
        <w:rPr>
          <w:rFonts w:ascii="Calibri" w:hAnsi="Calibri" w:cs="Helv"/>
          <w:bCs/>
          <w:color w:val="000000"/>
        </w:rPr>
        <w:t>in basis</w:t>
      </w:r>
      <w:r w:rsidR="00C31E3F">
        <w:rPr>
          <w:rFonts w:ascii="Calibri" w:hAnsi="Calibri" w:cs="Helv"/>
          <w:bCs/>
          <w:color w:val="000000"/>
        </w:rPr>
        <w:t>, when dealing in real estate or closely held entities, if not careful.</w:t>
      </w:r>
      <w:r w:rsidR="007B6E6B">
        <w:rPr>
          <w:rFonts w:ascii="Calibri" w:hAnsi="Calibri" w:cs="Helv"/>
          <w:bCs/>
          <w:color w:val="000000"/>
        </w:rPr>
        <w:t xml:space="preserve">  Imagine your client invests $1 million in a 90% share of an LLC held as community property, only to find out the basis is REDUCED by 30-40% when </w:t>
      </w:r>
      <w:r w:rsidR="00D03C64">
        <w:rPr>
          <w:rFonts w:ascii="Calibri" w:hAnsi="Calibri" w:cs="Helv"/>
          <w:bCs/>
          <w:color w:val="000000"/>
        </w:rPr>
        <w:t>her</w:t>
      </w:r>
      <w:r w:rsidR="007B6E6B">
        <w:rPr>
          <w:rFonts w:ascii="Calibri" w:hAnsi="Calibri" w:cs="Helv"/>
          <w:bCs/>
          <w:color w:val="000000"/>
        </w:rPr>
        <w:t xml:space="preserve"> spouse dies shortly thereafter.</w:t>
      </w:r>
      <w:r w:rsidR="00EF148B">
        <w:rPr>
          <w:rFonts w:ascii="Calibri" w:hAnsi="Calibri" w:cs="Helv"/>
          <w:bCs/>
          <w:color w:val="000000"/>
        </w:rPr>
        <w:t xml:space="preserve">  </w:t>
      </w:r>
      <w:r w:rsidR="00D03C64">
        <w:rPr>
          <w:rFonts w:ascii="Calibri" w:hAnsi="Calibri" w:cs="Helv"/>
          <w:bCs/>
          <w:color w:val="000000"/>
        </w:rPr>
        <w:t>This may include reductions in inside basis as well as outside basis.</w:t>
      </w:r>
      <w:r w:rsidR="00D03C64">
        <w:rPr>
          <w:rStyle w:val="FootnoteReference"/>
          <w:rFonts w:ascii="Calibri" w:hAnsi="Calibri" w:cs="Helv"/>
          <w:bCs/>
          <w:color w:val="000000"/>
        </w:rPr>
        <w:footnoteReference w:id="206"/>
      </w:r>
    </w:p>
    <w:p w14:paraId="2C8BF967" w14:textId="77777777" w:rsidR="00B027C3" w:rsidRDefault="002C1088" w:rsidP="00B027C3">
      <w:pPr>
        <w:pStyle w:val="ListParagraph"/>
        <w:autoSpaceDE w:val="0"/>
        <w:autoSpaceDN w:val="0"/>
        <w:adjustRightInd w:val="0"/>
        <w:spacing w:line="360" w:lineRule="auto"/>
        <w:ind w:left="0" w:firstLine="720"/>
        <w:rPr>
          <w:rFonts w:ascii="Calibri" w:hAnsi="Calibri" w:cs="Helv"/>
          <w:bCs/>
          <w:color w:val="000000"/>
        </w:rPr>
      </w:pPr>
      <w:r>
        <w:rPr>
          <w:rFonts w:ascii="Calibri" w:hAnsi="Calibri" w:cs="Helv"/>
          <w:bCs/>
          <w:color w:val="000000"/>
        </w:rPr>
        <w:lastRenderedPageBreak/>
        <w:t>Most of the</w:t>
      </w:r>
      <w:r w:rsidR="00EF2626">
        <w:rPr>
          <w:rFonts w:ascii="Calibri" w:hAnsi="Calibri" w:cs="Helv"/>
          <w:bCs/>
          <w:color w:val="000000"/>
        </w:rPr>
        <w:t xml:space="preserve"> </w:t>
      </w:r>
      <w:r w:rsidR="00485034">
        <w:rPr>
          <w:rFonts w:ascii="Calibri" w:hAnsi="Calibri" w:cs="Helv"/>
          <w:bCs/>
          <w:color w:val="000000"/>
        </w:rPr>
        <w:t xml:space="preserve">community property </w:t>
      </w:r>
      <w:r w:rsidR="00EF148B">
        <w:rPr>
          <w:rFonts w:ascii="Calibri" w:hAnsi="Calibri" w:cs="Helv"/>
          <w:bCs/>
          <w:color w:val="000000"/>
        </w:rPr>
        <w:t xml:space="preserve">states </w:t>
      </w:r>
      <w:r w:rsidR="00C44BA6">
        <w:rPr>
          <w:rFonts w:ascii="Calibri" w:hAnsi="Calibri" w:cs="Helv"/>
          <w:bCs/>
          <w:color w:val="000000"/>
        </w:rPr>
        <w:t>now</w:t>
      </w:r>
      <w:r w:rsidR="00485034">
        <w:rPr>
          <w:rFonts w:ascii="Calibri" w:hAnsi="Calibri" w:cs="Helv"/>
          <w:bCs/>
          <w:color w:val="000000"/>
        </w:rPr>
        <w:t xml:space="preserve"> </w:t>
      </w:r>
      <w:r w:rsidR="00EF148B">
        <w:rPr>
          <w:rFonts w:ascii="Calibri" w:hAnsi="Calibri" w:cs="Helv"/>
          <w:bCs/>
          <w:color w:val="000000"/>
        </w:rPr>
        <w:t xml:space="preserve">allow community property </w:t>
      </w:r>
      <w:r w:rsidR="00EF148B" w:rsidRPr="00EF148B">
        <w:rPr>
          <w:rFonts w:ascii="Calibri" w:hAnsi="Calibri" w:cs="Helv"/>
          <w:bCs/>
          <w:i/>
          <w:color w:val="000000"/>
        </w:rPr>
        <w:t>with right of survivorship</w:t>
      </w:r>
      <w:r w:rsidR="00EF148B">
        <w:rPr>
          <w:rFonts w:ascii="Calibri" w:hAnsi="Calibri" w:cs="Helv"/>
          <w:bCs/>
          <w:color w:val="000000"/>
        </w:rPr>
        <w:t>.</w:t>
      </w:r>
      <w:r w:rsidR="00EF2626">
        <w:rPr>
          <w:rStyle w:val="FootnoteReference"/>
          <w:rFonts w:ascii="Calibri" w:hAnsi="Calibri" w:cs="Helv"/>
          <w:bCs/>
          <w:color w:val="000000"/>
        </w:rPr>
        <w:footnoteReference w:id="207"/>
      </w:r>
      <w:r w:rsidR="00485034">
        <w:rPr>
          <w:rFonts w:ascii="Calibri" w:hAnsi="Calibri" w:cs="Helv"/>
          <w:bCs/>
          <w:color w:val="000000"/>
        </w:rPr>
        <w:t xml:space="preserve">  </w:t>
      </w:r>
      <w:r w:rsidR="00DB649A">
        <w:rPr>
          <w:rFonts w:ascii="Calibri" w:hAnsi="Calibri" w:cs="Helv"/>
          <w:bCs/>
          <w:color w:val="000000"/>
        </w:rPr>
        <w:t>The IRS will follow state law in this regard.</w:t>
      </w:r>
      <w:r w:rsidR="00DB649A">
        <w:rPr>
          <w:rStyle w:val="FootnoteReference"/>
          <w:rFonts w:ascii="Calibri" w:hAnsi="Calibri" w:cs="Helv"/>
          <w:bCs/>
          <w:color w:val="000000"/>
        </w:rPr>
        <w:footnoteReference w:id="208"/>
      </w:r>
      <w:r w:rsidR="00DB649A">
        <w:rPr>
          <w:rFonts w:ascii="Calibri" w:hAnsi="Calibri" w:cs="Helv"/>
          <w:bCs/>
          <w:color w:val="000000"/>
        </w:rPr>
        <w:t xml:space="preserve">  </w:t>
      </w:r>
      <w:r w:rsidR="00FF2E61">
        <w:rPr>
          <w:rFonts w:ascii="Calibri" w:hAnsi="Calibri" w:cs="Helv"/>
          <w:bCs/>
          <w:color w:val="000000"/>
        </w:rPr>
        <w:t>However,</w:t>
      </w:r>
      <w:r w:rsidR="00485034">
        <w:rPr>
          <w:rFonts w:ascii="Calibri" w:hAnsi="Calibri" w:cs="Helv"/>
          <w:bCs/>
          <w:color w:val="000000"/>
        </w:rPr>
        <w:t xml:space="preserve"> as a general rule this form is disfavored and may require </w:t>
      </w:r>
      <w:r>
        <w:rPr>
          <w:rFonts w:ascii="Calibri" w:hAnsi="Calibri" w:cs="Helv"/>
          <w:bCs/>
          <w:color w:val="000000"/>
        </w:rPr>
        <w:t xml:space="preserve">express </w:t>
      </w:r>
      <w:r w:rsidR="00485034">
        <w:rPr>
          <w:rFonts w:ascii="Calibri" w:hAnsi="Calibri" w:cs="Helv"/>
          <w:bCs/>
          <w:color w:val="000000"/>
        </w:rPr>
        <w:t>specific written agreements to be effective</w:t>
      </w:r>
      <w:r w:rsidR="006012A0">
        <w:rPr>
          <w:rFonts w:ascii="Calibri" w:hAnsi="Calibri" w:cs="Helv"/>
          <w:bCs/>
          <w:color w:val="000000"/>
        </w:rPr>
        <w:t>, not just an abbreviation on a bank or brokerage account agreement</w:t>
      </w:r>
      <w:r w:rsidR="00485034">
        <w:rPr>
          <w:rFonts w:ascii="Calibri" w:hAnsi="Calibri" w:cs="Helv"/>
          <w:bCs/>
          <w:color w:val="000000"/>
        </w:rPr>
        <w:t>.</w:t>
      </w:r>
      <w:r w:rsidR="006012A0">
        <w:rPr>
          <w:rStyle w:val="FootnoteReference"/>
          <w:rFonts w:ascii="Calibri" w:hAnsi="Calibri" w:cs="Helv"/>
          <w:bCs/>
          <w:color w:val="000000"/>
        </w:rPr>
        <w:footnoteReference w:id="209"/>
      </w:r>
      <w:r w:rsidR="00DB649A">
        <w:rPr>
          <w:rFonts w:ascii="Calibri" w:hAnsi="Calibri" w:cs="Helv"/>
          <w:bCs/>
          <w:color w:val="000000"/>
        </w:rPr>
        <w:t xml:space="preserve">  In some states, the two forms may be mutually exclusive.</w:t>
      </w:r>
    </w:p>
    <w:p w14:paraId="4F0EA416" w14:textId="69B098BC" w:rsidR="005F2F5B" w:rsidRPr="00943076" w:rsidRDefault="005F2F5B" w:rsidP="00B027C3">
      <w:pPr>
        <w:pStyle w:val="ListParagraph"/>
        <w:autoSpaceDE w:val="0"/>
        <w:autoSpaceDN w:val="0"/>
        <w:adjustRightInd w:val="0"/>
        <w:spacing w:line="360" w:lineRule="auto"/>
        <w:ind w:left="0" w:firstLine="720"/>
        <w:rPr>
          <w:rFonts w:ascii="Calibri" w:hAnsi="Calibri" w:cs="Helv"/>
          <w:bCs/>
          <w:color w:val="000000"/>
        </w:rPr>
      </w:pPr>
      <w:r>
        <w:rPr>
          <w:rFonts w:ascii="Calibri" w:hAnsi="Calibri" w:cs="Helv"/>
          <w:bCs/>
          <w:color w:val="000000"/>
        </w:rPr>
        <w:t>Most articles on community property trusts ignore this feature of discounting that would apply to many appreciated assets that would be common candidates for transfer, such as real estate, art or closely held business interests.  That does not mean they should never be used, just that this should be factored into planning and compared to other solutions discussed herein.</w:t>
      </w:r>
      <w:r w:rsidR="00C44BA6">
        <w:rPr>
          <w:rFonts w:ascii="Calibri" w:hAnsi="Calibri" w:cs="Helv"/>
          <w:bCs/>
          <w:color w:val="000000"/>
        </w:rPr>
        <w:t xml:space="preserve">  One solution to the above issue would be to mimic a joint with right of survivorship account within the trust (</w:t>
      </w:r>
      <w:r w:rsidR="005933D9">
        <w:rPr>
          <w:rFonts w:ascii="Calibri" w:hAnsi="Calibri" w:cs="Helv"/>
          <w:bCs/>
          <w:color w:val="000000"/>
        </w:rPr>
        <w:t>i.e.,</w:t>
      </w:r>
      <w:r w:rsidR="00C44BA6">
        <w:rPr>
          <w:rFonts w:ascii="Calibri" w:hAnsi="Calibri" w:cs="Helv"/>
          <w:bCs/>
          <w:color w:val="000000"/>
        </w:rPr>
        <w:t xml:space="preserve"> if the trust pays outright or grants the surviving spouse the right to unilaterally withdraw the assets).</w:t>
      </w:r>
    </w:p>
    <w:p w14:paraId="7FB9C6B7" w14:textId="77777777" w:rsidR="004D2DF7" w:rsidRDefault="004D2DF7" w:rsidP="004D2DF7">
      <w:pPr>
        <w:rPr>
          <w:rFonts w:ascii="Calibri" w:hAnsi="Calibri" w:cs="Helv"/>
          <w:b/>
          <w:bCs/>
          <w:color w:val="000000"/>
        </w:rPr>
      </w:pPr>
    </w:p>
    <w:p w14:paraId="15095BCF" w14:textId="77777777" w:rsidR="004D2DF7" w:rsidRDefault="004D2DF7" w:rsidP="004D2DF7">
      <w:pPr>
        <w:rPr>
          <w:rFonts w:ascii="Calibri" w:hAnsi="Calibri" w:cs="Helv"/>
          <w:b/>
          <w:bCs/>
          <w:color w:val="000000"/>
        </w:rPr>
      </w:pPr>
      <w:r w:rsidRPr="004D2DF7">
        <w:rPr>
          <w:rFonts w:ascii="Calibri" w:hAnsi="Calibri" w:cs="Helv"/>
          <w:b/>
          <w:bCs/>
          <w:color w:val="000000"/>
        </w:rPr>
        <w:t>The Devastating Effect of Unwanted Discounts on 50% Interests</w:t>
      </w:r>
      <w:r>
        <w:rPr>
          <w:rFonts w:ascii="Calibri" w:hAnsi="Calibri" w:cs="Helv"/>
          <w:b/>
          <w:bCs/>
          <w:color w:val="000000"/>
        </w:rPr>
        <w:t xml:space="preserve"> </w:t>
      </w:r>
      <w:r w:rsidRPr="00D629FE">
        <w:rPr>
          <w:rFonts w:ascii="Calibri" w:hAnsi="Calibri" w:cs="Helv"/>
          <w:b/>
          <w:bCs/>
          <w:i/>
          <w:color w:val="000000"/>
        </w:rPr>
        <w:t>Without</w:t>
      </w:r>
      <w:r>
        <w:rPr>
          <w:rFonts w:ascii="Calibri" w:hAnsi="Calibri" w:cs="Helv"/>
          <w:b/>
          <w:bCs/>
          <w:color w:val="000000"/>
        </w:rPr>
        <w:t xml:space="preserve"> Survivorship</w:t>
      </w:r>
    </w:p>
    <w:p w14:paraId="2313DB75" w14:textId="77777777" w:rsidR="004D2DF7" w:rsidRDefault="004D2DF7" w:rsidP="004D2DF7">
      <w:pPr>
        <w:rPr>
          <w:rFonts w:ascii="Calibri" w:hAnsi="Calibri" w:cs="Helv"/>
          <w:b/>
          <w:bCs/>
          <w:color w:val="000000"/>
        </w:rPr>
      </w:pPr>
    </w:p>
    <w:p w14:paraId="4BD6E761" w14:textId="77777777" w:rsidR="004D2DF7" w:rsidRPr="004D2DF7" w:rsidRDefault="004D2DF7" w:rsidP="004D2DF7">
      <w:pPr>
        <w:rPr>
          <w:rFonts w:ascii="Calibri" w:hAnsi="Calibri" w:cs="Helv"/>
          <w:b/>
          <w:bCs/>
          <w:color w:val="000000"/>
        </w:rPr>
      </w:pPr>
      <w:r w:rsidRPr="004D2DF7">
        <w:rPr>
          <w:rFonts w:ascii="Calibri" w:hAnsi="Calibri" w:cs="Helv"/>
          <w:b/>
          <w:bCs/>
          <w:color w:val="000000"/>
        </w:rPr>
        <w:t>Case</w:t>
      </w:r>
      <w:r w:rsidRPr="004D2DF7">
        <w:rPr>
          <w:rFonts w:ascii="Calibri" w:hAnsi="Calibri" w:cs="Helv"/>
          <w:b/>
          <w:bCs/>
          <w:color w:val="000000"/>
        </w:rPr>
        <w:tab/>
      </w:r>
      <w:r w:rsidRPr="004D2DF7">
        <w:rPr>
          <w:rFonts w:ascii="Calibri" w:hAnsi="Calibri" w:cs="Helv"/>
          <w:b/>
          <w:bCs/>
          <w:color w:val="000000"/>
        </w:rPr>
        <w:tab/>
      </w:r>
      <w:r w:rsidRPr="004D2DF7">
        <w:rPr>
          <w:rFonts w:ascii="Calibri" w:hAnsi="Calibri" w:cs="Helv"/>
          <w:b/>
          <w:bCs/>
          <w:color w:val="000000"/>
        </w:rPr>
        <w:tab/>
      </w:r>
      <w:r w:rsidRPr="004D2DF7">
        <w:rPr>
          <w:rFonts w:ascii="Calibri" w:hAnsi="Calibri" w:cs="Helv"/>
          <w:b/>
          <w:bCs/>
          <w:color w:val="000000"/>
        </w:rPr>
        <w:tab/>
      </w:r>
      <w:r w:rsidRPr="004D2DF7">
        <w:rPr>
          <w:rFonts w:ascii="Calibri" w:hAnsi="Calibri" w:cs="Helv"/>
          <w:b/>
          <w:bCs/>
          <w:color w:val="000000"/>
        </w:rPr>
        <w:tab/>
      </w:r>
      <w:r w:rsidRPr="004D2DF7">
        <w:rPr>
          <w:rFonts w:ascii="Calibri" w:hAnsi="Calibri" w:cs="Helv"/>
          <w:b/>
          <w:bCs/>
          <w:color w:val="000000"/>
        </w:rPr>
        <w:tab/>
      </w:r>
      <w:r w:rsidRPr="004D2DF7">
        <w:rPr>
          <w:rFonts w:ascii="Calibri" w:hAnsi="Calibri" w:cs="Helv"/>
          <w:b/>
          <w:bCs/>
          <w:color w:val="000000"/>
        </w:rPr>
        <w:tab/>
      </w:r>
      <w:r w:rsidRPr="004D2DF7">
        <w:rPr>
          <w:rFonts w:ascii="Calibri" w:hAnsi="Calibri" w:cs="Helv"/>
          <w:b/>
          <w:bCs/>
          <w:color w:val="000000"/>
        </w:rPr>
        <w:tab/>
        <w:t>TIC, CP Share</w:t>
      </w:r>
      <w:r w:rsidRPr="004D2DF7">
        <w:rPr>
          <w:rFonts w:ascii="Calibri" w:hAnsi="Calibri" w:cs="Helv"/>
          <w:b/>
          <w:bCs/>
          <w:color w:val="000000"/>
        </w:rPr>
        <w:tab/>
      </w:r>
      <w:r w:rsidRPr="004D2DF7">
        <w:rPr>
          <w:rFonts w:ascii="Calibri" w:hAnsi="Calibri" w:cs="Helv"/>
          <w:b/>
          <w:bCs/>
          <w:color w:val="000000"/>
        </w:rPr>
        <w:tab/>
        <w:t>Discount</w:t>
      </w:r>
    </w:p>
    <w:p w14:paraId="0E773FD8" w14:textId="77777777" w:rsidR="004D2DF7" w:rsidRPr="004D2DF7" w:rsidRDefault="00000000" w:rsidP="004D2DF7">
      <w:pPr>
        <w:rPr>
          <w:rFonts w:ascii="Calibri" w:hAnsi="Calibri" w:cs="Helv"/>
          <w:b/>
          <w:bCs/>
          <w:color w:val="000000"/>
        </w:rPr>
      </w:pPr>
      <w:hyperlink r:id="rId23" w:history="1">
        <w:r w:rsidR="004D2DF7" w:rsidRPr="004D2DF7">
          <w:rPr>
            <w:rStyle w:val="Hyperlink"/>
            <w:rFonts w:ascii="Calibri" w:hAnsi="Calibri" w:cs="Helv"/>
            <w:b/>
            <w:bCs/>
            <w:i/>
          </w:rPr>
          <w:t>Propstra v. United States</w:t>
        </w:r>
        <w:r w:rsidR="004D2DF7" w:rsidRPr="004D2DF7">
          <w:rPr>
            <w:rStyle w:val="Hyperlink"/>
            <w:rFonts w:ascii="Calibri" w:hAnsi="Calibri" w:cs="Helv"/>
            <w:b/>
            <w:bCs/>
          </w:rPr>
          <w:t>, 680 F.2d 1248 (9th Cir. 1982)</w:t>
        </w:r>
      </w:hyperlink>
      <w:r w:rsidR="004D2DF7" w:rsidRPr="004D2DF7">
        <w:rPr>
          <w:rFonts w:ascii="Calibri" w:hAnsi="Calibri" w:cs="Helv"/>
          <w:b/>
          <w:bCs/>
          <w:i/>
          <w:color w:val="000000"/>
        </w:rPr>
        <w:tab/>
      </w:r>
      <w:r w:rsidR="004D2DF7" w:rsidRPr="004D2DF7">
        <w:rPr>
          <w:rFonts w:ascii="Calibri" w:hAnsi="Calibri" w:cs="Helv"/>
          <w:b/>
          <w:bCs/>
          <w:i/>
          <w:color w:val="000000"/>
        </w:rPr>
        <w:tab/>
      </w:r>
      <w:r w:rsidR="004D2DF7" w:rsidRPr="004D2DF7">
        <w:rPr>
          <w:rFonts w:ascii="Calibri" w:hAnsi="Calibri" w:cs="Helv"/>
          <w:b/>
          <w:bCs/>
          <w:color w:val="000000"/>
        </w:rPr>
        <w:t>50%</w:t>
      </w:r>
      <w:r w:rsidR="004D2DF7" w:rsidRPr="004D2DF7">
        <w:rPr>
          <w:rFonts w:ascii="Calibri" w:hAnsi="Calibri" w:cs="Helv"/>
          <w:b/>
          <w:bCs/>
          <w:color w:val="000000"/>
        </w:rPr>
        <w:tab/>
      </w:r>
      <w:r w:rsidR="004D2DF7" w:rsidRPr="004D2DF7">
        <w:rPr>
          <w:rFonts w:ascii="Calibri" w:hAnsi="Calibri" w:cs="Helv"/>
          <w:b/>
          <w:bCs/>
          <w:color w:val="000000"/>
        </w:rPr>
        <w:tab/>
        <w:t>15.0%</w:t>
      </w:r>
    </w:p>
    <w:p w14:paraId="0FD8FF83" w14:textId="77777777" w:rsidR="004D2DF7" w:rsidRPr="004D2DF7" w:rsidRDefault="00000000" w:rsidP="004D2DF7">
      <w:pPr>
        <w:rPr>
          <w:rFonts w:ascii="Calibri" w:hAnsi="Calibri" w:cs="Helv"/>
          <w:b/>
          <w:bCs/>
          <w:color w:val="000000"/>
        </w:rPr>
      </w:pPr>
      <w:hyperlink r:id="rId24" w:history="1">
        <w:r w:rsidR="004D2DF7" w:rsidRPr="004D2DF7">
          <w:rPr>
            <w:rStyle w:val="Hyperlink"/>
            <w:rFonts w:ascii="Calibri" w:hAnsi="Calibri" w:cs="Helv"/>
            <w:b/>
            <w:bCs/>
            <w:i/>
          </w:rPr>
          <w:t>Estate of George W. Youle v. Comm’r</w:t>
        </w:r>
        <w:r w:rsidR="004D2DF7" w:rsidRPr="004D2DF7">
          <w:rPr>
            <w:rStyle w:val="Hyperlink"/>
            <w:rFonts w:ascii="Calibri" w:hAnsi="Calibri" w:cs="Helv"/>
            <w:b/>
            <w:bCs/>
          </w:rPr>
          <w:t>, T.C. Memo 1989-138</w:t>
        </w:r>
      </w:hyperlink>
      <w:r w:rsidR="004D2DF7" w:rsidRPr="004D2DF7">
        <w:rPr>
          <w:rFonts w:ascii="Calibri" w:hAnsi="Calibri" w:cs="Helv"/>
          <w:b/>
          <w:bCs/>
          <w:color w:val="000000"/>
        </w:rPr>
        <w:tab/>
        <w:t>50%</w:t>
      </w:r>
      <w:r w:rsidR="004D2DF7" w:rsidRPr="004D2DF7">
        <w:rPr>
          <w:rFonts w:ascii="Calibri" w:hAnsi="Calibri" w:cs="Helv"/>
          <w:b/>
          <w:bCs/>
          <w:color w:val="000000"/>
        </w:rPr>
        <w:tab/>
      </w:r>
      <w:r w:rsidR="004D2DF7" w:rsidRPr="004D2DF7">
        <w:rPr>
          <w:rFonts w:ascii="Calibri" w:hAnsi="Calibri" w:cs="Helv"/>
          <w:b/>
          <w:bCs/>
          <w:color w:val="000000"/>
        </w:rPr>
        <w:tab/>
        <w:t>12.59%</w:t>
      </w:r>
    </w:p>
    <w:p w14:paraId="12CF075B" w14:textId="77777777" w:rsidR="004D2DF7" w:rsidRPr="004D2DF7" w:rsidRDefault="00000000" w:rsidP="004D2DF7">
      <w:pPr>
        <w:rPr>
          <w:rFonts w:ascii="Calibri" w:hAnsi="Calibri" w:cs="Helv"/>
          <w:b/>
          <w:bCs/>
          <w:color w:val="000000"/>
        </w:rPr>
      </w:pPr>
      <w:hyperlink r:id="rId25" w:history="1">
        <w:r w:rsidR="004D2DF7" w:rsidRPr="004D2DF7">
          <w:rPr>
            <w:rStyle w:val="Hyperlink"/>
            <w:rFonts w:ascii="Calibri" w:hAnsi="Calibri" w:cs="Helv"/>
            <w:b/>
            <w:bCs/>
            <w:i/>
          </w:rPr>
          <w:t>Estate of Alto B. Cervin v. Comm’r</w:t>
        </w:r>
        <w:r w:rsidR="004D2DF7" w:rsidRPr="004D2DF7">
          <w:rPr>
            <w:rStyle w:val="Hyperlink"/>
            <w:rFonts w:ascii="Calibri" w:hAnsi="Calibri" w:cs="Helv"/>
            <w:b/>
            <w:bCs/>
          </w:rPr>
          <w:t>, T.C. Memo 1994-550</w:t>
        </w:r>
      </w:hyperlink>
      <w:r w:rsidR="004D2DF7" w:rsidRPr="004D2DF7">
        <w:rPr>
          <w:rFonts w:ascii="Calibri" w:hAnsi="Calibri" w:cs="Helv"/>
          <w:b/>
          <w:bCs/>
          <w:color w:val="000000"/>
        </w:rPr>
        <w:tab/>
      </w:r>
      <w:r w:rsidR="004D2DF7" w:rsidRPr="004D2DF7">
        <w:rPr>
          <w:rFonts w:ascii="Calibri" w:hAnsi="Calibri" w:cs="Helv"/>
          <w:b/>
          <w:bCs/>
          <w:color w:val="000000"/>
        </w:rPr>
        <w:tab/>
        <w:t>50%</w:t>
      </w:r>
      <w:r w:rsidR="004D2DF7" w:rsidRPr="004D2DF7">
        <w:rPr>
          <w:rFonts w:ascii="Calibri" w:hAnsi="Calibri" w:cs="Helv"/>
          <w:b/>
          <w:bCs/>
          <w:color w:val="000000"/>
        </w:rPr>
        <w:tab/>
      </w:r>
      <w:r w:rsidR="004D2DF7" w:rsidRPr="004D2DF7">
        <w:rPr>
          <w:rFonts w:ascii="Calibri" w:hAnsi="Calibri" w:cs="Helv"/>
          <w:b/>
          <w:bCs/>
          <w:color w:val="000000"/>
        </w:rPr>
        <w:tab/>
        <w:t>20.0%</w:t>
      </w:r>
    </w:p>
    <w:p w14:paraId="2B59DB77" w14:textId="77777777" w:rsidR="004D2DF7" w:rsidRPr="004D2DF7" w:rsidRDefault="00000000" w:rsidP="004D2DF7">
      <w:pPr>
        <w:rPr>
          <w:rFonts w:ascii="Calibri" w:hAnsi="Calibri" w:cs="Helv"/>
          <w:b/>
          <w:bCs/>
          <w:color w:val="000000"/>
        </w:rPr>
      </w:pPr>
      <w:hyperlink r:id="rId26" w:history="1">
        <w:r w:rsidR="004D2DF7" w:rsidRPr="004D2DF7">
          <w:rPr>
            <w:rStyle w:val="Hyperlink"/>
            <w:rFonts w:ascii="Calibri" w:hAnsi="Calibri" w:cs="Helv"/>
            <w:b/>
            <w:bCs/>
            <w:i/>
          </w:rPr>
          <w:t>Williams v. Commissioner</w:t>
        </w:r>
        <w:r w:rsidR="004D2DF7" w:rsidRPr="004D2DF7">
          <w:rPr>
            <w:rStyle w:val="Hyperlink"/>
            <w:rFonts w:ascii="Calibri" w:hAnsi="Calibri" w:cs="Helv"/>
            <w:b/>
            <w:bCs/>
          </w:rPr>
          <w:t>, T.C. Memo 1998-59</w:t>
        </w:r>
      </w:hyperlink>
      <w:r w:rsidR="004D2DF7" w:rsidRPr="004D2DF7">
        <w:rPr>
          <w:rFonts w:ascii="Calibri" w:hAnsi="Calibri" w:cs="Helv"/>
          <w:b/>
          <w:bCs/>
          <w:color w:val="000000"/>
        </w:rPr>
        <w:tab/>
      </w:r>
      <w:r w:rsidR="004D2DF7" w:rsidRPr="004D2DF7">
        <w:rPr>
          <w:rFonts w:ascii="Calibri" w:hAnsi="Calibri" w:cs="Helv"/>
          <w:b/>
          <w:bCs/>
          <w:color w:val="000000"/>
        </w:rPr>
        <w:tab/>
      </w:r>
      <w:r w:rsidR="004D2DF7" w:rsidRPr="004D2DF7">
        <w:rPr>
          <w:rFonts w:ascii="Calibri" w:hAnsi="Calibri" w:cs="Helv"/>
          <w:b/>
          <w:bCs/>
          <w:color w:val="000000"/>
        </w:rPr>
        <w:tab/>
        <w:t>50%</w:t>
      </w:r>
      <w:r w:rsidR="004D2DF7" w:rsidRPr="004D2DF7">
        <w:rPr>
          <w:rFonts w:ascii="Calibri" w:hAnsi="Calibri" w:cs="Helv"/>
          <w:b/>
          <w:bCs/>
          <w:color w:val="000000"/>
        </w:rPr>
        <w:tab/>
      </w:r>
      <w:r w:rsidR="004D2DF7" w:rsidRPr="004D2DF7">
        <w:rPr>
          <w:rFonts w:ascii="Calibri" w:hAnsi="Calibri" w:cs="Helv"/>
          <w:b/>
          <w:bCs/>
          <w:color w:val="000000"/>
        </w:rPr>
        <w:tab/>
        <w:t>44%</w:t>
      </w:r>
    </w:p>
    <w:p w14:paraId="314540EB" w14:textId="77777777" w:rsidR="004D2DF7" w:rsidRPr="004D2DF7" w:rsidRDefault="00000000" w:rsidP="004D2DF7">
      <w:pPr>
        <w:rPr>
          <w:rFonts w:ascii="Calibri" w:hAnsi="Calibri" w:cs="Helv"/>
          <w:b/>
          <w:bCs/>
          <w:color w:val="000000"/>
        </w:rPr>
      </w:pPr>
      <w:hyperlink r:id="rId27" w:history="1">
        <w:r w:rsidR="004D2DF7" w:rsidRPr="004D2DF7">
          <w:rPr>
            <w:rStyle w:val="Hyperlink"/>
            <w:rFonts w:ascii="Calibri" w:hAnsi="Calibri" w:cs="Helv"/>
            <w:b/>
            <w:bCs/>
            <w:i/>
          </w:rPr>
          <w:t>Estate of Brocato v. Comm’r</w:t>
        </w:r>
        <w:r w:rsidR="004D2DF7" w:rsidRPr="004D2DF7">
          <w:rPr>
            <w:rStyle w:val="Hyperlink"/>
            <w:rFonts w:ascii="Calibri" w:hAnsi="Calibri" w:cs="Helv"/>
            <w:b/>
            <w:bCs/>
          </w:rPr>
          <w:t>, T.C. Memo 1999-424</w:t>
        </w:r>
      </w:hyperlink>
      <w:r w:rsidR="004D2DF7" w:rsidRPr="004D2DF7">
        <w:rPr>
          <w:rFonts w:ascii="Calibri" w:hAnsi="Calibri" w:cs="Helv"/>
          <w:b/>
          <w:bCs/>
          <w:color w:val="000000"/>
        </w:rPr>
        <w:tab/>
      </w:r>
      <w:r w:rsidR="004D2DF7" w:rsidRPr="004D2DF7">
        <w:rPr>
          <w:rFonts w:ascii="Calibri" w:hAnsi="Calibri" w:cs="Helv"/>
          <w:b/>
          <w:bCs/>
          <w:color w:val="000000"/>
        </w:rPr>
        <w:tab/>
      </w:r>
      <w:r w:rsidR="004D2DF7" w:rsidRPr="004D2DF7">
        <w:rPr>
          <w:rFonts w:ascii="Calibri" w:hAnsi="Calibri" w:cs="Helv"/>
          <w:b/>
          <w:bCs/>
          <w:color w:val="000000"/>
        </w:rPr>
        <w:tab/>
        <w:t>50%</w:t>
      </w:r>
      <w:r w:rsidR="004D2DF7" w:rsidRPr="004D2DF7">
        <w:rPr>
          <w:rFonts w:ascii="Calibri" w:hAnsi="Calibri" w:cs="Helv"/>
          <w:b/>
          <w:bCs/>
          <w:color w:val="000000"/>
        </w:rPr>
        <w:tab/>
      </w:r>
      <w:r w:rsidR="004D2DF7" w:rsidRPr="004D2DF7">
        <w:rPr>
          <w:rFonts w:ascii="Calibri" w:hAnsi="Calibri" w:cs="Helv"/>
          <w:b/>
          <w:bCs/>
          <w:color w:val="000000"/>
        </w:rPr>
        <w:tab/>
        <w:t>20%</w:t>
      </w:r>
    </w:p>
    <w:p w14:paraId="48D8454C" w14:textId="77777777" w:rsidR="004D2DF7" w:rsidRPr="004D2DF7" w:rsidRDefault="00000000" w:rsidP="004D2DF7">
      <w:pPr>
        <w:rPr>
          <w:rFonts w:ascii="Calibri" w:hAnsi="Calibri" w:cs="Helv"/>
          <w:b/>
          <w:bCs/>
          <w:color w:val="000000"/>
        </w:rPr>
      </w:pPr>
      <w:hyperlink r:id="rId28" w:history="1">
        <w:r w:rsidR="004D2DF7" w:rsidRPr="004D2DF7">
          <w:rPr>
            <w:rStyle w:val="Hyperlink"/>
            <w:rFonts w:ascii="Calibri" w:hAnsi="Calibri" w:cs="Helv"/>
            <w:b/>
            <w:bCs/>
            <w:i/>
          </w:rPr>
          <w:t>Estate of Eileen K. Stevens v. Comm’r</w:t>
        </w:r>
        <w:r w:rsidR="004D2DF7" w:rsidRPr="004D2DF7">
          <w:rPr>
            <w:rStyle w:val="Hyperlink"/>
            <w:rFonts w:ascii="Calibri" w:hAnsi="Calibri" w:cs="Helv"/>
            <w:b/>
            <w:bCs/>
          </w:rPr>
          <w:t>, T.C. Memo 2000-53</w:t>
        </w:r>
      </w:hyperlink>
      <w:r w:rsidR="004D2DF7" w:rsidRPr="004D2DF7">
        <w:rPr>
          <w:rFonts w:ascii="Calibri" w:hAnsi="Calibri" w:cs="Helv"/>
          <w:b/>
          <w:bCs/>
          <w:color w:val="000000"/>
        </w:rPr>
        <w:tab/>
      </w:r>
      <w:r w:rsidR="004D2DF7" w:rsidRPr="004D2DF7">
        <w:rPr>
          <w:rFonts w:ascii="Calibri" w:hAnsi="Calibri" w:cs="Helv"/>
          <w:b/>
          <w:bCs/>
          <w:color w:val="000000"/>
        </w:rPr>
        <w:tab/>
        <w:t>50%</w:t>
      </w:r>
      <w:r w:rsidR="004D2DF7" w:rsidRPr="004D2DF7">
        <w:rPr>
          <w:rFonts w:ascii="Calibri" w:hAnsi="Calibri" w:cs="Helv"/>
          <w:b/>
          <w:bCs/>
          <w:color w:val="000000"/>
        </w:rPr>
        <w:tab/>
      </w:r>
      <w:r w:rsidR="004D2DF7" w:rsidRPr="004D2DF7">
        <w:rPr>
          <w:rFonts w:ascii="Calibri" w:hAnsi="Calibri" w:cs="Helv"/>
          <w:b/>
          <w:bCs/>
          <w:color w:val="000000"/>
        </w:rPr>
        <w:tab/>
        <w:t>25%</w:t>
      </w:r>
    </w:p>
    <w:p w14:paraId="2BE74ADA" w14:textId="77777777" w:rsidR="004D2DF7" w:rsidRPr="004D2DF7" w:rsidRDefault="00000000" w:rsidP="004D2DF7">
      <w:pPr>
        <w:rPr>
          <w:rFonts w:ascii="Calibri" w:hAnsi="Calibri" w:cs="Helv"/>
          <w:b/>
          <w:bCs/>
          <w:color w:val="000000"/>
        </w:rPr>
      </w:pPr>
      <w:hyperlink r:id="rId29" w:history="1">
        <w:r w:rsidR="004D2DF7" w:rsidRPr="004D2DF7">
          <w:rPr>
            <w:rStyle w:val="Hyperlink"/>
            <w:rFonts w:ascii="Calibri" w:hAnsi="Calibri" w:cs="Helv"/>
            <w:b/>
            <w:bCs/>
            <w:i/>
          </w:rPr>
          <w:t>Ludwick v. Commissioner</w:t>
        </w:r>
        <w:r w:rsidR="004D2DF7" w:rsidRPr="004D2DF7">
          <w:rPr>
            <w:rStyle w:val="Hyperlink"/>
            <w:rFonts w:ascii="Calibri" w:hAnsi="Calibri" w:cs="Helv"/>
            <w:b/>
            <w:bCs/>
          </w:rPr>
          <w:t>, T.C. Memo 2010-104</w:t>
        </w:r>
      </w:hyperlink>
      <w:r w:rsidR="004D2DF7" w:rsidRPr="004D2DF7">
        <w:rPr>
          <w:rFonts w:ascii="Calibri" w:hAnsi="Calibri" w:cs="Helv"/>
          <w:b/>
          <w:bCs/>
          <w:color w:val="000000"/>
        </w:rPr>
        <w:t xml:space="preserve"> </w:t>
      </w:r>
      <w:r w:rsidR="004D2DF7" w:rsidRPr="004D2DF7">
        <w:rPr>
          <w:rFonts w:ascii="Calibri" w:hAnsi="Calibri" w:cs="Helv"/>
          <w:b/>
          <w:bCs/>
          <w:color w:val="000000"/>
        </w:rPr>
        <w:tab/>
      </w:r>
      <w:r w:rsidR="004D2DF7" w:rsidRPr="004D2DF7">
        <w:rPr>
          <w:rFonts w:ascii="Calibri" w:hAnsi="Calibri" w:cs="Helv"/>
          <w:b/>
          <w:bCs/>
          <w:color w:val="000000"/>
        </w:rPr>
        <w:tab/>
      </w:r>
      <w:r w:rsidR="004D2DF7" w:rsidRPr="004D2DF7">
        <w:rPr>
          <w:rFonts w:ascii="Calibri" w:hAnsi="Calibri" w:cs="Helv"/>
          <w:b/>
          <w:bCs/>
          <w:color w:val="000000"/>
        </w:rPr>
        <w:tab/>
        <w:t>50%</w:t>
      </w:r>
      <w:r w:rsidR="004D2DF7" w:rsidRPr="004D2DF7">
        <w:rPr>
          <w:rFonts w:ascii="Calibri" w:hAnsi="Calibri" w:cs="Helv"/>
          <w:b/>
          <w:bCs/>
          <w:color w:val="000000"/>
        </w:rPr>
        <w:tab/>
      </w:r>
      <w:r w:rsidR="004D2DF7" w:rsidRPr="004D2DF7">
        <w:rPr>
          <w:rFonts w:ascii="Calibri" w:hAnsi="Calibri" w:cs="Helv"/>
          <w:b/>
          <w:bCs/>
          <w:color w:val="000000"/>
        </w:rPr>
        <w:tab/>
        <w:t>17.2%</w:t>
      </w:r>
    </w:p>
    <w:p w14:paraId="632F69A8" w14:textId="77777777" w:rsidR="004D2DF7" w:rsidRDefault="004D2DF7" w:rsidP="004D2DF7">
      <w:pPr>
        <w:rPr>
          <w:rFonts w:ascii="Calibri" w:hAnsi="Calibri" w:cs="Helv"/>
          <w:b/>
          <w:bCs/>
          <w:color w:val="000000"/>
        </w:rPr>
      </w:pPr>
    </w:p>
    <w:p w14:paraId="2CF5316B" w14:textId="77777777" w:rsidR="004D2DF7" w:rsidRPr="004D2DF7" w:rsidRDefault="004D2DF7" w:rsidP="004D2DF7">
      <w:pPr>
        <w:rPr>
          <w:rFonts w:ascii="Calibri" w:hAnsi="Calibri" w:cs="Helv"/>
          <w:b/>
          <w:bCs/>
          <w:color w:val="000000"/>
        </w:rPr>
      </w:pPr>
      <w:r w:rsidRPr="004D2DF7">
        <w:rPr>
          <w:rFonts w:ascii="Calibri" w:hAnsi="Calibri" w:cs="Helv"/>
          <w:b/>
          <w:bCs/>
          <w:color w:val="000000"/>
        </w:rPr>
        <w:t>Simple rounded average of the discount in the above cases:</w:t>
      </w:r>
      <w:r w:rsidRPr="004D2DF7">
        <w:rPr>
          <w:rFonts w:ascii="Calibri" w:hAnsi="Calibri" w:cs="Helv"/>
          <w:b/>
          <w:bCs/>
          <w:color w:val="000000"/>
        </w:rPr>
        <w:tab/>
      </w:r>
      <w:r w:rsidRPr="004D2DF7">
        <w:rPr>
          <w:rFonts w:ascii="Calibri" w:hAnsi="Calibri" w:cs="Helv"/>
          <w:b/>
          <w:bCs/>
          <w:color w:val="000000"/>
        </w:rPr>
        <w:tab/>
      </w:r>
      <w:r w:rsidRPr="004D2DF7">
        <w:rPr>
          <w:rFonts w:ascii="Calibri" w:hAnsi="Calibri" w:cs="Helv"/>
          <w:b/>
          <w:bCs/>
          <w:color w:val="000000"/>
        </w:rPr>
        <w:tab/>
        <w:t>22.0%</w:t>
      </w:r>
    </w:p>
    <w:p w14:paraId="5575921D" w14:textId="77777777" w:rsidR="004D2DF7" w:rsidRDefault="004D2DF7" w:rsidP="004D2DF7">
      <w:pPr>
        <w:rPr>
          <w:rFonts w:ascii="Calibri" w:hAnsi="Calibri" w:cs="Helv"/>
          <w:b/>
          <w:bCs/>
          <w:color w:val="000000"/>
        </w:rPr>
      </w:pPr>
    </w:p>
    <w:p w14:paraId="1A733DE0" w14:textId="77777777" w:rsidR="004D2DF7" w:rsidRPr="004D2DF7" w:rsidRDefault="004D2DF7" w:rsidP="004D2DF7">
      <w:pPr>
        <w:rPr>
          <w:rFonts w:ascii="Calibri" w:hAnsi="Calibri" w:cs="Helv"/>
          <w:b/>
          <w:bCs/>
          <w:color w:val="000000"/>
        </w:rPr>
      </w:pPr>
      <w:r w:rsidRPr="004D2DF7">
        <w:rPr>
          <w:rFonts w:ascii="Calibri" w:hAnsi="Calibri" w:cs="Helv"/>
          <w:b/>
          <w:bCs/>
          <w:color w:val="000000"/>
        </w:rPr>
        <w:t xml:space="preserve">Amount of discount had these been </w:t>
      </w:r>
      <w:r w:rsidRPr="00D629FE">
        <w:rPr>
          <w:rFonts w:ascii="Calibri" w:hAnsi="Calibri" w:cs="Helv"/>
          <w:b/>
          <w:bCs/>
          <w:i/>
          <w:color w:val="000000"/>
        </w:rPr>
        <w:t>JTWROS</w:t>
      </w:r>
      <w:r w:rsidRPr="004D2DF7">
        <w:rPr>
          <w:rFonts w:ascii="Calibri" w:hAnsi="Calibri" w:cs="Helv"/>
          <w:b/>
          <w:bCs/>
          <w:color w:val="000000"/>
        </w:rPr>
        <w:t xml:space="preserve"> w/spouse:</w:t>
      </w:r>
      <w:r w:rsidRPr="004D2DF7">
        <w:rPr>
          <w:rFonts w:ascii="Calibri" w:hAnsi="Calibri" w:cs="Helv"/>
          <w:b/>
          <w:bCs/>
          <w:color w:val="000000"/>
        </w:rPr>
        <w:tab/>
      </w:r>
      <w:r w:rsidRPr="004D2DF7">
        <w:rPr>
          <w:rFonts w:ascii="Calibri" w:hAnsi="Calibri" w:cs="Helv"/>
          <w:b/>
          <w:bCs/>
          <w:color w:val="000000"/>
        </w:rPr>
        <w:tab/>
      </w:r>
      <w:r w:rsidRPr="004D2DF7">
        <w:rPr>
          <w:rFonts w:ascii="Calibri" w:hAnsi="Calibri" w:cs="Helv"/>
          <w:b/>
          <w:bCs/>
          <w:color w:val="000000"/>
        </w:rPr>
        <w:tab/>
      </w:r>
      <w:r w:rsidRPr="004D2DF7">
        <w:rPr>
          <w:rFonts w:ascii="Calibri" w:hAnsi="Calibri" w:cs="Helv"/>
          <w:b/>
          <w:bCs/>
          <w:color w:val="000000"/>
        </w:rPr>
        <w:tab/>
        <w:t>0.0%</w:t>
      </w:r>
    </w:p>
    <w:p w14:paraId="52197DF6" w14:textId="77777777" w:rsidR="00EF2626" w:rsidRDefault="00EF2626">
      <w:pPr>
        <w:rPr>
          <w:rFonts w:ascii="Calibri" w:hAnsi="Calibri" w:cs="Helv"/>
          <w:b/>
          <w:bCs/>
          <w:color w:val="000000"/>
        </w:rPr>
      </w:pPr>
      <w:r>
        <w:rPr>
          <w:rFonts w:ascii="Calibri" w:hAnsi="Calibri" w:cs="Helv"/>
          <w:b/>
          <w:bCs/>
          <w:color w:val="000000"/>
        </w:rPr>
        <w:br w:type="page"/>
      </w:r>
    </w:p>
    <w:p w14:paraId="37021A10" w14:textId="77777777" w:rsidR="004D5974" w:rsidRDefault="00F66FA1" w:rsidP="00E24059">
      <w:pPr>
        <w:pStyle w:val="ListParagraph"/>
        <w:numPr>
          <w:ilvl w:val="0"/>
          <w:numId w:val="21"/>
        </w:numPr>
        <w:autoSpaceDE w:val="0"/>
        <w:autoSpaceDN w:val="0"/>
        <w:adjustRightInd w:val="0"/>
        <w:spacing w:line="300" w:lineRule="exact"/>
        <w:ind w:hanging="720"/>
        <w:rPr>
          <w:rFonts w:ascii="Calibri" w:hAnsi="Calibri" w:cs="Helv"/>
          <w:b/>
          <w:bCs/>
          <w:color w:val="000000"/>
        </w:rPr>
      </w:pPr>
      <w:r w:rsidRPr="000D040D">
        <w:rPr>
          <w:rFonts w:ascii="Calibri" w:hAnsi="Calibri" w:cs="Helv"/>
          <w:b/>
          <w:bCs/>
          <w:color w:val="000000"/>
        </w:rPr>
        <w:lastRenderedPageBreak/>
        <w:t>Attaining Additional Basis at First Death</w:t>
      </w:r>
      <w:r w:rsidR="002B44EA" w:rsidRPr="000D040D">
        <w:rPr>
          <w:rFonts w:ascii="Calibri" w:hAnsi="Calibri" w:cs="Helv"/>
          <w:b/>
          <w:bCs/>
          <w:color w:val="000000"/>
        </w:rPr>
        <w:t xml:space="preserve"> – Integrating Optimal Basis Techniques</w:t>
      </w:r>
    </w:p>
    <w:p w14:paraId="66AEAD87" w14:textId="77777777" w:rsidR="00A77E0C" w:rsidRDefault="00A77E0C" w:rsidP="00E24059">
      <w:pPr>
        <w:pStyle w:val="ListParagraph"/>
        <w:autoSpaceDE w:val="0"/>
        <w:autoSpaceDN w:val="0"/>
        <w:adjustRightInd w:val="0"/>
        <w:spacing w:line="300" w:lineRule="exact"/>
        <w:rPr>
          <w:rFonts w:ascii="Calibri" w:hAnsi="Calibri" w:cs="Helv"/>
          <w:b/>
          <w:bCs/>
          <w:color w:val="000000"/>
        </w:rPr>
      </w:pPr>
      <w:r>
        <w:rPr>
          <w:rFonts w:ascii="Calibri" w:hAnsi="Calibri" w:cs="Helv"/>
          <w:b/>
          <w:bCs/>
          <w:color w:val="000000"/>
        </w:rPr>
        <w:t>(Including Joint GPOA or “Joint Exemption Step Up Trusts” – aka JESTs)</w:t>
      </w:r>
    </w:p>
    <w:p w14:paraId="56440C74" w14:textId="77777777" w:rsidR="00E24059" w:rsidRPr="000D040D" w:rsidRDefault="00E24059" w:rsidP="00E24059">
      <w:pPr>
        <w:pStyle w:val="ListParagraph"/>
        <w:autoSpaceDE w:val="0"/>
        <w:autoSpaceDN w:val="0"/>
        <w:adjustRightInd w:val="0"/>
        <w:spacing w:line="300" w:lineRule="exact"/>
        <w:rPr>
          <w:rFonts w:ascii="Calibri" w:hAnsi="Calibri" w:cs="Helv"/>
          <w:b/>
          <w:bCs/>
          <w:color w:val="000000"/>
        </w:rPr>
      </w:pPr>
    </w:p>
    <w:p w14:paraId="0B9E9403" w14:textId="77777777" w:rsidR="0011629D" w:rsidRDefault="002B44EA" w:rsidP="004D5974">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The so-called “joint GPOA” (f</w:t>
      </w:r>
      <w:r w:rsidR="00BA7735">
        <w:rPr>
          <w:rFonts w:ascii="Calibri" w:hAnsi="Calibri" w:cs="Helv"/>
          <w:bCs/>
          <w:color w:val="000000"/>
        </w:rPr>
        <w:t>.</w:t>
      </w:r>
      <w:r w:rsidR="00491FB5">
        <w:rPr>
          <w:rFonts w:ascii="Calibri" w:hAnsi="Calibri" w:cs="Helv"/>
          <w:bCs/>
          <w:color w:val="000000"/>
        </w:rPr>
        <w:t>k</w:t>
      </w:r>
      <w:r w:rsidR="00BA7735">
        <w:rPr>
          <w:rFonts w:ascii="Calibri" w:hAnsi="Calibri" w:cs="Helv"/>
          <w:bCs/>
          <w:color w:val="000000"/>
        </w:rPr>
        <w:t>.</w:t>
      </w:r>
      <w:r w:rsidR="00491FB5">
        <w:rPr>
          <w:rFonts w:ascii="Calibri" w:hAnsi="Calibri" w:cs="Helv"/>
          <w:bCs/>
          <w:color w:val="000000"/>
        </w:rPr>
        <w:t>a</w:t>
      </w:r>
      <w:r w:rsidR="00BA7735">
        <w:rPr>
          <w:rFonts w:ascii="Calibri" w:hAnsi="Calibri" w:cs="Helv"/>
          <w:bCs/>
          <w:color w:val="000000"/>
        </w:rPr>
        <w:t>.</w:t>
      </w:r>
      <w:r w:rsidR="00491FB5">
        <w:rPr>
          <w:rFonts w:ascii="Calibri" w:hAnsi="Calibri" w:cs="Helv"/>
          <w:bCs/>
          <w:color w:val="000000"/>
        </w:rPr>
        <w:t xml:space="preserve"> poorer spouse funding technique) trust proposed by some to use in separate property states could be </w:t>
      </w:r>
      <w:r w:rsidR="005F2A8B">
        <w:rPr>
          <w:rFonts w:ascii="Calibri" w:hAnsi="Calibri" w:cs="Helv"/>
          <w:bCs/>
          <w:color w:val="000000"/>
        </w:rPr>
        <w:t xml:space="preserve">a more viable solution.  However, it could also be </w:t>
      </w:r>
      <w:r w:rsidR="00491FB5">
        <w:rPr>
          <w:rFonts w:ascii="Calibri" w:hAnsi="Calibri" w:cs="Helv"/>
          <w:bCs/>
          <w:color w:val="000000"/>
        </w:rPr>
        <w:t xml:space="preserve">a disaster, because IRC §1014(e) </w:t>
      </w:r>
      <w:r w:rsidR="0024797E">
        <w:rPr>
          <w:rFonts w:ascii="Calibri" w:hAnsi="Calibri" w:cs="Helv"/>
          <w:bCs/>
          <w:color w:val="000000"/>
        </w:rPr>
        <w:t>may</w:t>
      </w:r>
      <w:r w:rsidR="00491FB5">
        <w:rPr>
          <w:rFonts w:ascii="Calibri" w:hAnsi="Calibri" w:cs="Helv"/>
          <w:bCs/>
          <w:color w:val="000000"/>
        </w:rPr>
        <w:t xml:space="preserve"> require a step down, but deny a step up.</w:t>
      </w:r>
      <w:r w:rsidR="00491FB5">
        <w:rPr>
          <w:rStyle w:val="FootnoteReference"/>
          <w:rFonts w:ascii="Calibri" w:hAnsi="Calibri" w:cs="Helv"/>
          <w:bCs/>
          <w:color w:val="000000"/>
        </w:rPr>
        <w:footnoteReference w:id="210"/>
      </w:r>
      <w:r w:rsidR="00491FB5">
        <w:rPr>
          <w:rFonts w:ascii="Calibri" w:hAnsi="Calibri" w:cs="Helv"/>
          <w:bCs/>
          <w:color w:val="000000"/>
        </w:rPr>
        <w:t xml:space="preserve">  </w:t>
      </w:r>
      <w:r w:rsidR="00956D25">
        <w:rPr>
          <w:rFonts w:ascii="Calibri" w:hAnsi="Calibri" w:cs="Helv"/>
          <w:bCs/>
          <w:color w:val="000000"/>
        </w:rPr>
        <w:t xml:space="preserve">Moreover, it may use up twice the gift/estate tax exclusion for no good reason.  </w:t>
      </w:r>
      <w:r w:rsidR="00027E19">
        <w:rPr>
          <w:rFonts w:ascii="Calibri" w:hAnsi="Calibri" w:cs="Helv"/>
          <w:bCs/>
          <w:color w:val="000000"/>
        </w:rPr>
        <w:t xml:space="preserve">With these caveats, it should still be considered.  </w:t>
      </w:r>
      <w:r w:rsidR="00956D25">
        <w:rPr>
          <w:rFonts w:ascii="Calibri" w:hAnsi="Calibri" w:cs="Helv"/>
          <w:bCs/>
          <w:color w:val="000000"/>
        </w:rPr>
        <w:t>This section will discuss</w:t>
      </w:r>
      <w:r w:rsidR="005C455C">
        <w:rPr>
          <w:rFonts w:ascii="Calibri" w:hAnsi="Calibri" w:cs="Helv"/>
          <w:bCs/>
          <w:color w:val="000000"/>
        </w:rPr>
        <w:t xml:space="preserve"> ways to avoid these results and tweak for optimal basis increase results, and ensure the </w:t>
      </w:r>
      <w:r w:rsidR="005C455C" w:rsidRPr="00027E19">
        <w:rPr>
          <w:rFonts w:ascii="Calibri" w:hAnsi="Calibri" w:cs="Helv"/>
          <w:bCs/>
          <w:color w:val="000000"/>
        </w:rPr>
        <w:t>best chance</w:t>
      </w:r>
      <w:r w:rsidR="005C455C">
        <w:rPr>
          <w:rFonts w:ascii="Calibri" w:hAnsi="Calibri" w:cs="Helv"/>
          <w:bCs/>
          <w:color w:val="000000"/>
        </w:rPr>
        <w:t xml:space="preserve"> for obtaining step ups in basis for both spouse’s assets at first death, even in a non-community property state.</w:t>
      </w:r>
    </w:p>
    <w:p w14:paraId="023F43BF" w14:textId="77777777" w:rsidR="000E7ECF" w:rsidRDefault="00272ECA" w:rsidP="004D5974">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First, h</w:t>
      </w:r>
      <w:r w:rsidR="0011629D">
        <w:rPr>
          <w:rFonts w:ascii="Calibri" w:hAnsi="Calibri" w:cs="Helv"/>
          <w:bCs/>
          <w:color w:val="000000"/>
        </w:rPr>
        <w:t>ow does this structure typically work in the PLRs and articles discussing them?  Let’s say H has $2 million of property and W has $2 million.</w:t>
      </w:r>
      <w:r w:rsidR="0011629D">
        <w:rPr>
          <w:rStyle w:val="FootnoteReference"/>
          <w:rFonts w:ascii="Calibri" w:hAnsi="Calibri" w:cs="Helv"/>
          <w:bCs/>
          <w:color w:val="000000"/>
        </w:rPr>
        <w:footnoteReference w:id="211"/>
      </w:r>
      <w:r w:rsidR="0011629D">
        <w:rPr>
          <w:rFonts w:ascii="Calibri" w:hAnsi="Calibri" w:cs="Helv"/>
          <w:bCs/>
          <w:color w:val="000000"/>
        </w:rPr>
        <w:t xml:space="preserve"> </w:t>
      </w:r>
      <w:r>
        <w:rPr>
          <w:rFonts w:ascii="Calibri" w:hAnsi="Calibri" w:cs="Helv"/>
          <w:bCs/>
          <w:color w:val="000000"/>
        </w:rPr>
        <w:t xml:space="preserve"> Copying PLR 2006-04028, H puts his $2 million into his revocable living trust, W puts her $2 million into her revocable living trust</w:t>
      </w:r>
      <w:r w:rsidR="004A21A5">
        <w:rPr>
          <w:rFonts w:ascii="Calibri" w:hAnsi="Calibri" w:cs="Helv"/>
          <w:bCs/>
          <w:color w:val="000000"/>
        </w:rPr>
        <w:t>.</w:t>
      </w:r>
      <w:r w:rsidR="00A338AE">
        <w:rPr>
          <w:rStyle w:val="FootnoteReference"/>
          <w:rFonts w:ascii="Calibri" w:hAnsi="Calibri" w:cs="Helv"/>
          <w:bCs/>
          <w:color w:val="000000"/>
        </w:rPr>
        <w:footnoteReference w:id="212"/>
      </w:r>
      <w:r w:rsidR="004A21A5">
        <w:rPr>
          <w:rFonts w:ascii="Calibri" w:hAnsi="Calibri" w:cs="Helv"/>
          <w:bCs/>
          <w:color w:val="000000"/>
        </w:rPr>
        <w:t xml:space="preserve">  E</w:t>
      </w:r>
      <w:r>
        <w:rPr>
          <w:rFonts w:ascii="Calibri" w:hAnsi="Calibri" w:cs="Helv"/>
          <w:bCs/>
          <w:color w:val="000000"/>
        </w:rPr>
        <w:t xml:space="preserve">ach </w:t>
      </w:r>
      <w:r w:rsidR="004A21A5">
        <w:rPr>
          <w:rFonts w:ascii="Calibri" w:hAnsi="Calibri" w:cs="Helv"/>
          <w:bCs/>
          <w:color w:val="000000"/>
        </w:rPr>
        <w:t xml:space="preserve">trust </w:t>
      </w:r>
      <w:r>
        <w:rPr>
          <w:rFonts w:ascii="Calibri" w:hAnsi="Calibri" w:cs="Helv"/>
          <w:bCs/>
          <w:color w:val="000000"/>
        </w:rPr>
        <w:t xml:space="preserve">grants the </w:t>
      </w:r>
      <w:r w:rsidR="00A338AE">
        <w:rPr>
          <w:rFonts w:ascii="Calibri" w:hAnsi="Calibri" w:cs="Helv"/>
          <w:bCs/>
          <w:color w:val="000000"/>
        </w:rPr>
        <w:t>non-grantor spouse</w:t>
      </w:r>
      <w:r>
        <w:rPr>
          <w:rFonts w:ascii="Calibri" w:hAnsi="Calibri" w:cs="Helv"/>
          <w:bCs/>
          <w:color w:val="000000"/>
        </w:rPr>
        <w:t xml:space="preserve"> a </w:t>
      </w:r>
      <w:r w:rsidR="00001E71">
        <w:rPr>
          <w:rFonts w:ascii="Calibri" w:hAnsi="Calibri" w:cs="Helv"/>
          <w:bCs/>
          <w:color w:val="000000"/>
        </w:rPr>
        <w:t>GPOA</w:t>
      </w:r>
      <w:r w:rsidR="000E7ECF">
        <w:rPr>
          <w:rFonts w:ascii="Calibri" w:hAnsi="Calibri" w:cs="Helv"/>
          <w:bCs/>
          <w:color w:val="000000"/>
        </w:rPr>
        <w:t xml:space="preserve"> up to their remaining applicable exclusion amount</w:t>
      </w:r>
      <w:r w:rsidR="00956D25">
        <w:rPr>
          <w:rFonts w:ascii="Calibri" w:hAnsi="Calibri" w:cs="Helv"/>
          <w:bCs/>
          <w:color w:val="000000"/>
        </w:rPr>
        <w:t xml:space="preserve"> (some GPOAs in the PLRs are presently exercisable, some testamentary)</w:t>
      </w:r>
      <w:r w:rsidR="00E24059">
        <w:rPr>
          <w:rFonts w:ascii="Calibri" w:hAnsi="Calibri" w:cs="Helv"/>
          <w:bCs/>
          <w:color w:val="000000"/>
        </w:rPr>
        <w:t>.</w:t>
      </w:r>
      <w:r w:rsidR="00AA6783">
        <w:rPr>
          <w:rStyle w:val="FootnoteReference"/>
          <w:rFonts w:ascii="Calibri" w:hAnsi="Calibri" w:cs="Helv"/>
          <w:bCs/>
          <w:color w:val="000000"/>
        </w:rPr>
        <w:footnoteReference w:id="213"/>
      </w:r>
      <w:r>
        <w:rPr>
          <w:rFonts w:ascii="Calibri" w:hAnsi="Calibri" w:cs="Helv"/>
          <w:bCs/>
          <w:color w:val="000000"/>
        </w:rPr>
        <w:t xml:space="preserve">  Thus, if H dies, H can not only control disposition of his $2 million, but W’s </w:t>
      </w:r>
      <w:r>
        <w:rPr>
          <w:rFonts w:ascii="Calibri" w:hAnsi="Calibri" w:cs="Helv"/>
          <w:bCs/>
          <w:color w:val="000000"/>
        </w:rPr>
        <w:lastRenderedPageBreak/>
        <w:t>$2 million in trust as well</w:t>
      </w:r>
      <w:r w:rsidR="00A338AE">
        <w:rPr>
          <w:rFonts w:ascii="Calibri" w:hAnsi="Calibri" w:cs="Helv"/>
          <w:bCs/>
          <w:color w:val="000000"/>
        </w:rPr>
        <w:t xml:space="preserve"> (and vice versa)</w:t>
      </w:r>
      <w:r>
        <w:rPr>
          <w:rFonts w:ascii="Calibri" w:hAnsi="Calibri" w:cs="Helv"/>
          <w:bCs/>
          <w:color w:val="000000"/>
        </w:rPr>
        <w:t>.</w:t>
      </w:r>
      <w:r w:rsidR="004A21A5">
        <w:rPr>
          <w:rFonts w:ascii="Calibri" w:hAnsi="Calibri" w:cs="Helv"/>
          <w:bCs/>
          <w:color w:val="000000"/>
        </w:rPr>
        <w:t xml:space="preserve">  Mimicking the PLR, H amends his Will to appoint </w:t>
      </w:r>
      <w:r w:rsidR="00A338AE">
        <w:rPr>
          <w:rFonts w:ascii="Calibri" w:hAnsi="Calibri" w:cs="Helv"/>
          <w:bCs/>
          <w:color w:val="000000"/>
        </w:rPr>
        <w:t>W’s trust assets to his own trust at his death.  Should H die, all $4 million goes into his trust</w:t>
      </w:r>
      <w:r w:rsidR="000E7ECF">
        <w:rPr>
          <w:rFonts w:ascii="Calibri" w:hAnsi="Calibri" w:cs="Helv"/>
          <w:bCs/>
          <w:color w:val="000000"/>
        </w:rPr>
        <w:t>.</w:t>
      </w:r>
    </w:p>
    <w:p w14:paraId="2B597FDF" w14:textId="77777777" w:rsidR="00001E71" w:rsidRDefault="000E7ECF" w:rsidP="004D5974">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What everyone agrees on, including the IRS:</w:t>
      </w:r>
      <w:r w:rsidR="00A338AE">
        <w:rPr>
          <w:rFonts w:ascii="Calibri" w:hAnsi="Calibri" w:cs="Helv"/>
          <w:bCs/>
          <w:color w:val="000000"/>
        </w:rPr>
        <w:t xml:space="preserve"> </w:t>
      </w:r>
      <w:r>
        <w:rPr>
          <w:rFonts w:ascii="Calibri" w:hAnsi="Calibri" w:cs="Helv"/>
          <w:bCs/>
          <w:color w:val="000000"/>
        </w:rPr>
        <w:t>at H’s death, W’s $2 million trust is included in H’s estate</w:t>
      </w:r>
      <w:r w:rsidR="00001E71">
        <w:rPr>
          <w:rFonts w:ascii="Calibri" w:hAnsi="Calibri" w:cs="Helv"/>
          <w:bCs/>
          <w:color w:val="000000"/>
        </w:rPr>
        <w:t xml:space="preserve"> because of the GPOA</w:t>
      </w:r>
      <w:r>
        <w:rPr>
          <w:rFonts w:ascii="Calibri" w:hAnsi="Calibri" w:cs="Helv"/>
          <w:bCs/>
          <w:color w:val="000000"/>
        </w:rPr>
        <w:t xml:space="preserve">.  </w:t>
      </w:r>
      <w:r w:rsidR="00A338AE">
        <w:rPr>
          <w:rFonts w:ascii="Calibri" w:hAnsi="Calibri" w:cs="Helv"/>
          <w:bCs/>
          <w:color w:val="000000"/>
        </w:rPr>
        <w:t xml:space="preserve">W is deemed to have made a taxable gift by allowing </w:t>
      </w:r>
      <w:r>
        <w:rPr>
          <w:rFonts w:ascii="Calibri" w:hAnsi="Calibri" w:cs="Helv"/>
          <w:bCs/>
          <w:color w:val="000000"/>
        </w:rPr>
        <w:t>H to appoint her $2 million to H’s trust for her.</w:t>
      </w:r>
      <w:r w:rsidR="00F15F4C">
        <w:rPr>
          <w:rFonts w:ascii="Calibri" w:hAnsi="Calibri" w:cs="Helv"/>
          <w:bCs/>
          <w:color w:val="000000"/>
        </w:rPr>
        <w:t xml:space="preserve">  </w:t>
      </w:r>
      <w:r w:rsidR="00001E71">
        <w:rPr>
          <w:rFonts w:ascii="Calibri" w:hAnsi="Calibri" w:cs="Helv"/>
          <w:bCs/>
          <w:color w:val="000000"/>
        </w:rPr>
        <w:t xml:space="preserve">What everyone does not agree on: how the gift of the $2 million in W’s trust transferred via H’s GPOA is treated (does it qualify for the marital deduction? </w:t>
      </w:r>
      <w:r w:rsidR="00C26F91">
        <w:rPr>
          <w:rFonts w:ascii="Calibri" w:hAnsi="Calibri" w:cs="Helv"/>
          <w:bCs/>
          <w:color w:val="000000"/>
        </w:rPr>
        <w:t xml:space="preserve"> </w:t>
      </w:r>
      <w:r w:rsidR="00001E71">
        <w:rPr>
          <w:rFonts w:ascii="Calibri" w:hAnsi="Calibri" w:cs="Helv"/>
          <w:bCs/>
          <w:color w:val="000000"/>
        </w:rPr>
        <w:t xml:space="preserve">If not, </w:t>
      </w:r>
      <w:r w:rsidR="00A21A7D">
        <w:rPr>
          <w:rFonts w:ascii="Calibri" w:hAnsi="Calibri" w:cs="Helv"/>
          <w:bCs/>
          <w:color w:val="000000"/>
        </w:rPr>
        <w:t xml:space="preserve">is </w:t>
      </w:r>
      <w:r w:rsidR="00001E71">
        <w:rPr>
          <w:rFonts w:ascii="Calibri" w:hAnsi="Calibri" w:cs="Helv"/>
          <w:bCs/>
          <w:color w:val="000000"/>
        </w:rPr>
        <w:t>it partially a gift to oneself?)</w:t>
      </w:r>
      <w:r w:rsidR="00CA3648">
        <w:rPr>
          <w:rFonts w:ascii="Calibri" w:hAnsi="Calibri" w:cs="Helv"/>
          <w:bCs/>
          <w:color w:val="000000"/>
        </w:rPr>
        <w:t xml:space="preserve"> and whether an adjustment </w:t>
      </w:r>
      <w:r w:rsidR="00001E71">
        <w:rPr>
          <w:rFonts w:ascii="Calibri" w:hAnsi="Calibri" w:cs="Helv"/>
          <w:bCs/>
          <w:color w:val="000000"/>
        </w:rPr>
        <w:t xml:space="preserve">in basis is </w:t>
      </w:r>
      <w:r w:rsidR="00F15F4C">
        <w:rPr>
          <w:rFonts w:ascii="Calibri" w:hAnsi="Calibri" w:cs="Helv"/>
          <w:bCs/>
          <w:color w:val="000000"/>
        </w:rPr>
        <w:t>denied</w:t>
      </w:r>
      <w:r w:rsidR="00001E71">
        <w:rPr>
          <w:rFonts w:ascii="Calibri" w:hAnsi="Calibri" w:cs="Helv"/>
          <w:bCs/>
          <w:color w:val="000000"/>
        </w:rPr>
        <w:t>.</w:t>
      </w:r>
      <w:r w:rsidR="00956D25">
        <w:rPr>
          <w:rFonts w:ascii="Calibri" w:hAnsi="Calibri" w:cs="Helv"/>
          <w:bCs/>
          <w:color w:val="000000"/>
        </w:rPr>
        <w:t xml:space="preserve">  In addition to </w:t>
      </w:r>
      <w:r w:rsidR="005F2A8B">
        <w:rPr>
          <w:rFonts w:ascii="Calibri" w:hAnsi="Calibri" w:cs="Helv"/>
          <w:bCs/>
          <w:color w:val="000000"/>
        </w:rPr>
        <w:t>t</w:t>
      </w:r>
      <w:r w:rsidR="00956D25">
        <w:rPr>
          <w:rFonts w:ascii="Calibri" w:hAnsi="Calibri" w:cs="Helv"/>
          <w:bCs/>
          <w:color w:val="000000"/>
        </w:rPr>
        <w:t xml:space="preserve">hese two main issues, there are </w:t>
      </w:r>
      <w:r w:rsidR="00F66FA1">
        <w:rPr>
          <w:rFonts w:ascii="Calibri" w:hAnsi="Calibri" w:cs="Helv"/>
          <w:bCs/>
          <w:color w:val="000000"/>
        </w:rPr>
        <w:t xml:space="preserve">also </w:t>
      </w:r>
      <w:r w:rsidR="00956D25">
        <w:rPr>
          <w:rFonts w:ascii="Calibri" w:hAnsi="Calibri" w:cs="Helv"/>
          <w:bCs/>
          <w:color w:val="000000"/>
        </w:rPr>
        <w:t xml:space="preserve">potential issues with </w:t>
      </w:r>
      <w:r w:rsidR="009B1133">
        <w:rPr>
          <w:rFonts w:ascii="Calibri" w:hAnsi="Calibri" w:cs="Helv"/>
          <w:bCs/>
          <w:color w:val="000000"/>
        </w:rPr>
        <w:t xml:space="preserve">the </w:t>
      </w:r>
      <w:r w:rsidR="00956D25">
        <w:rPr>
          <w:rFonts w:ascii="Calibri" w:hAnsi="Calibri" w:cs="Helv"/>
          <w:bCs/>
          <w:color w:val="000000"/>
        </w:rPr>
        <w:t>step transaction</w:t>
      </w:r>
      <w:r w:rsidR="009B1133">
        <w:rPr>
          <w:rFonts w:ascii="Calibri" w:hAnsi="Calibri" w:cs="Helv"/>
          <w:bCs/>
          <w:color w:val="000000"/>
        </w:rPr>
        <w:t xml:space="preserve"> doctrine</w:t>
      </w:r>
      <w:r w:rsidR="00956D25">
        <w:rPr>
          <w:rFonts w:ascii="Calibri" w:hAnsi="Calibri" w:cs="Helv"/>
          <w:bCs/>
          <w:color w:val="000000"/>
        </w:rPr>
        <w:t xml:space="preserve">, </w:t>
      </w:r>
      <w:r w:rsidR="00F66FA1">
        <w:rPr>
          <w:rFonts w:ascii="Calibri" w:hAnsi="Calibri" w:cs="Helv"/>
          <w:bCs/>
          <w:color w:val="000000"/>
        </w:rPr>
        <w:t>reciprocal trusts</w:t>
      </w:r>
      <w:r w:rsidR="009B1133">
        <w:rPr>
          <w:rFonts w:ascii="Calibri" w:hAnsi="Calibri" w:cs="Helv"/>
          <w:bCs/>
          <w:color w:val="000000"/>
        </w:rPr>
        <w:t xml:space="preserve"> and</w:t>
      </w:r>
      <w:r w:rsidR="00F66FA1">
        <w:rPr>
          <w:rFonts w:ascii="Calibri" w:hAnsi="Calibri" w:cs="Helv"/>
          <w:bCs/>
          <w:color w:val="000000"/>
        </w:rPr>
        <w:t xml:space="preserve"> state law creditor protection</w:t>
      </w:r>
      <w:r w:rsidR="00956D25">
        <w:rPr>
          <w:rFonts w:ascii="Calibri" w:hAnsi="Calibri" w:cs="Helv"/>
          <w:bCs/>
          <w:color w:val="000000"/>
        </w:rPr>
        <w:t xml:space="preserve"> issues</w:t>
      </w:r>
      <w:r w:rsidR="00F66FA1">
        <w:rPr>
          <w:rFonts w:ascii="Calibri" w:hAnsi="Calibri" w:cs="Helv"/>
          <w:bCs/>
          <w:color w:val="000000"/>
        </w:rPr>
        <w:t>.</w:t>
      </w:r>
    </w:p>
    <w:p w14:paraId="238B4982" w14:textId="77777777" w:rsidR="000D040D" w:rsidRPr="000D040D" w:rsidRDefault="000D040D" w:rsidP="00180FD1">
      <w:pPr>
        <w:pStyle w:val="ListParagraph"/>
        <w:numPr>
          <w:ilvl w:val="0"/>
          <w:numId w:val="21"/>
        </w:numPr>
        <w:autoSpaceDE w:val="0"/>
        <w:autoSpaceDN w:val="0"/>
        <w:adjustRightInd w:val="0"/>
        <w:spacing w:line="360" w:lineRule="auto"/>
        <w:ind w:hanging="720"/>
        <w:rPr>
          <w:rFonts w:ascii="Calibri" w:hAnsi="Calibri" w:cs="Helv"/>
          <w:b/>
          <w:bCs/>
          <w:color w:val="000000"/>
        </w:rPr>
      </w:pPr>
      <w:r w:rsidRPr="000D040D">
        <w:rPr>
          <w:rFonts w:ascii="Calibri" w:hAnsi="Calibri" w:cs="Helv"/>
          <w:b/>
          <w:bCs/>
          <w:color w:val="000000"/>
        </w:rPr>
        <w:t>Marital Deduction under §2523 for Gifts to Spouse Complete at Death</w:t>
      </w:r>
    </w:p>
    <w:p w14:paraId="318FBC3F" w14:textId="77777777" w:rsidR="00712BD5" w:rsidRDefault="00001E71" w:rsidP="00001E71">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All of the PLRs </w:t>
      </w:r>
      <w:r w:rsidR="00666A01">
        <w:rPr>
          <w:rFonts w:ascii="Calibri" w:hAnsi="Calibri" w:cs="Helv"/>
          <w:bCs/>
          <w:color w:val="000000"/>
        </w:rPr>
        <w:t xml:space="preserve">and TAM </w:t>
      </w:r>
      <w:r>
        <w:rPr>
          <w:rFonts w:ascii="Calibri" w:hAnsi="Calibri" w:cs="Helv"/>
          <w:bCs/>
          <w:color w:val="000000"/>
        </w:rPr>
        <w:t xml:space="preserve">accept the premise that the $2 million gift qualifies for the marital deduction, even though the donee spouse would </w:t>
      </w:r>
      <w:r w:rsidR="00712BD5">
        <w:rPr>
          <w:rFonts w:ascii="Calibri" w:hAnsi="Calibri" w:cs="Helv"/>
          <w:bCs/>
          <w:color w:val="000000"/>
        </w:rPr>
        <w:t xml:space="preserve">arguably </w:t>
      </w:r>
      <w:r>
        <w:rPr>
          <w:rFonts w:ascii="Calibri" w:hAnsi="Calibri" w:cs="Helv"/>
          <w:bCs/>
          <w:color w:val="000000"/>
        </w:rPr>
        <w:t>be dead – the GPOA becomes effective, and the relinquishment of control by W</w:t>
      </w:r>
      <w:r w:rsidR="00CA3648">
        <w:rPr>
          <w:rFonts w:ascii="Calibri" w:hAnsi="Calibri" w:cs="Helv"/>
          <w:bCs/>
          <w:color w:val="000000"/>
        </w:rPr>
        <w:t xml:space="preserve"> to complete the gift</w:t>
      </w:r>
      <w:r w:rsidR="00BB05EE">
        <w:rPr>
          <w:rFonts w:ascii="Calibri" w:hAnsi="Calibri" w:cs="Helv"/>
          <w:bCs/>
          <w:color w:val="000000"/>
        </w:rPr>
        <w:t>,</w:t>
      </w:r>
      <w:r w:rsidR="00712BD5">
        <w:rPr>
          <w:rFonts w:ascii="Calibri" w:hAnsi="Calibri" w:cs="Helv"/>
          <w:bCs/>
          <w:color w:val="000000"/>
        </w:rPr>
        <w:t xml:space="preserve"> at death.  Those rulings</w:t>
      </w:r>
      <w:r>
        <w:rPr>
          <w:rFonts w:ascii="Calibri" w:hAnsi="Calibri" w:cs="Helv"/>
          <w:bCs/>
          <w:color w:val="000000"/>
        </w:rPr>
        <w:t xml:space="preserve"> were quite favor</w:t>
      </w:r>
      <w:r w:rsidR="00BB05EE">
        <w:rPr>
          <w:rFonts w:ascii="Calibri" w:hAnsi="Calibri" w:cs="Helv"/>
          <w:bCs/>
          <w:color w:val="000000"/>
        </w:rPr>
        <w:t>able to taxpayers - arguably</w:t>
      </w:r>
      <w:r>
        <w:rPr>
          <w:rFonts w:ascii="Calibri" w:hAnsi="Calibri" w:cs="Helv"/>
          <w:bCs/>
          <w:color w:val="000000"/>
        </w:rPr>
        <w:t xml:space="preserve"> IRC §2523 would not allow the deduction.</w:t>
      </w:r>
      <w:r w:rsidR="00712BD5">
        <w:rPr>
          <w:rStyle w:val="FootnoteReference"/>
          <w:rFonts w:ascii="Calibri" w:hAnsi="Calibri" w:cs="Helv"/>
          <w:bCs/>
          <w:color w:val="000000"/>
        </w:rPr>
        <w:footnoteReference w:id="214"/>
      </w:r>
      <w:r>
        <w:rPr>
          <w:rFonts w:ascii="Calibri" w:hAnsi="Calibri" w:cs="Helv"/>
          <w:bCs/>
          <w:color w:val="000000"/>
        </w:rPr>
        <w:t xml:space="preserve">  </w:t>
      </w:r>
    </w:p>
    <w:p w14:paraId="09FBB0BE" w14:textId="77777777" w:rsidR="00001E71" w:rsidRDefault="009B1133" w:rsidP="00001E71">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However, the marital deduction</w:t>
      </w:r>
      <w:r w:rsidR="00001E71">
        <w:rPr>
          <w:rFonts w:ascii="Calibri" w:hAnsi="Calibri" w:cs="Helv"/>
          <w:bCs/>
          <w:color w:val="000000"/>
        </w:rPr>
        <w:t xml:space="preserve"> is </w:t>
      </w:r>
      <w:r>
        <w:rPr>
          <w:rFonts w:ascii="Calibri" w:hAnsi="Calibri" w:cs="Helv"/>
          <w:bCs/>
          <w:color w:val="000000"/>
        </w:rPr>
        <w:t xml:space="preserve">now </w:t>
      </w:r>
      <w:r w:rsidR="00001E71">
        <w:rPr>
          <w:rFonts w:ascii="Calibri" w:hAnsi="Calibri" w:cs="Helv"/>
          <w:bCs/>
          <w:color w:val="000000"/>
        </w:rPr>
        <w:t>completely moot for many clients, whose combined estates may be under one spouse’s applicable exclusion amount, especially when augmented by portability.</w:t>
      </w:r>
      <w:r w:rsidR="00BB05EE">
        <w:rPr>
          <w:rFonts w:ascii="Calibri" w:hAnsi="Calibri" w:cs="Helv"/>
          <w:bCs/>
          <w:color w:val="000000"/>
        </w:rPr>
        <w:t xml:space="preserve">  In our example </w:t>
      </w:r>
      <w:r w:rsidR="00D929D7">
        <w:rPr>
          <w:rFonts w:ascii="Calibri" w:hAnsi="Calibri" w:cs="Helv"/>
          <w:bCs/>
          <w:color w:val="000000"/>
        </w:rPr>
        <w:t>above</w:t>
      </w:r>
      <w:r w:rsidR="00BB05EE">
        <w:rPr>
          <w:rFonts w:ascii="Calibri" w:hAnsi="Calibri" w:cs="Helv"/>
          <w:bCs/>
          <w:color w:val="000000"/>
        </w:rPr>
        <w:t xml:space="preserve">, using 2013 values, </w:t>
      </w:r>
      <w:r w:rsidR="00F66FA1">
        <w:rPr>
          <w:rFonts w:ascii="Calibri" w:hAnsi="Calibri" w:cs="Helv"/>
          <w:bCs/>
          <w:color w:val="000000"/>
        </w:rPr>
        <w:t xml:space="preserve">denying the §2523 deduction </w:t>
      </w:r>
      <w:r w:rsidR="00BB05EE">
        <w:rPr>
          <w:rFonts w:ascii="Calibri" w:hAnsi="Calibri" w:cs="Helv"/>
          <w:bCs/>
          <w:color w:val="000000"/>
        </w:rPr>
        <w:t xml:space="preserve">would </w:t>
      </w:r>
      <w:r w:rsidR="00F66FA1">
        <w:rPr>
          <w:rFonts w:ascii="Calibri" w:hAnsi="Calibri" w:cs="Helv"/>
          <w:bCs/>
          <w:color w:val="000000"/>
        </w:rPr>
        <w:t xml:space="preserve">cause W to </w:t>
      </w:r>
      <w:r w:rsidR="00BB05EE">
        <w:rPr>
          <w:rFonts w:ascii="Calibri" w:hAnsi="Calibri" w:cs="Helv"/>
          <w:bCs/>
          <w:color w:val="000000"/>
        </w:rPr>
        <w:t xml:space="preserve">have $3.25 million </w:t>
      </w:r>
      <w:r w:rsidR="00F66FA1">
        <w:rPr>
          <w:rFonts w:ascii="Calibri" w:hAnsi="Calibri" w:cs="Helv"/>
          <w:bCs/>
          <w:color w:val="000000"/>
        </w:rPr>
        <w:t>basic exclusion amount</w:t>
      </w:r>
      <w:r w:rsidR="00BB05EE">
        <w:rPr>
          <w:rFonts w:ascii="Calibri" w:hAnsi="Calibri" w:cs="Helv"/>
          <w:bCs/>
          <w:color w:val="000000"/>
        </w:rPr>
        <w:t xml:space="preserve"> instead of $5.25 </w:t>
      </w:r>
      <w:r w:rsidR="00BB05EE">
        <w:rPr>
          <w:rFonts w:ascii="Calibri" w:hAnsi="Calibri" w:cs="Helv"/>
          <w:bCs/>
          <w:color w:val="000000"/>
        </w:rPr>
        <w:lastRenderedPageBreak/>
        <w:t>million (</w:t>
      </w:r>
      <w:r w:rsidR="00A21A7D">
        <w:rPr>
          <w:rFonts w:ascii="Calibri" w:hAnsi="Calibri" w:cs="Helv"/>
          <w:bCs/>
          <w:color w:val="000000"/>
        </w:rPr>
        <w:t>due to $2 million gift not qualifying for the marital deduction</w:t>
      </w:r>
      <w:r w:rsidR="00BB05EE">
        <w:rPr>
          <w:rFonts w:ascii="Calibri" w:hAnsi="Calibri" w:cs="Helv"/>
          <w:bCs/>
          <w:color w:val="000000"/>
        </w:rPr>
        <w:t>)</w:t>
      </w:r>
      <w:r w:rsidR="004966BF">
        <w:rPr>
          <w:rFonts w:ascii="Calibri" w:hAnsi="Calibri" w:cs="Helv"/>
          <w:bCs/>
          <w:color w:val="000000"/>
        </w:rPr>
        <w:t>.  Her DSUE from H’s estate would be either $5.25 million (if H’s own $2million and GPOA appointment went to his wife or a marital deduction trust), or $1.25 million (if none of H’s $4 million qualified for marital deduction)</w:t>
      </w:r>
      <w:r w:rsidR="00D929D7">
        <w:rPr>
          <w:rFonts w:ascii="Calibri" w:hAnsi="Calibri" w:cs="Helv"/>
          <w:bCs/>
          <w:color w:val="000000"/>
        </w:rPr>
        <w:t>, or in between for other dispositions, partial QTIP elections, etc</w:t>
      </w:r>
      <w:r w:rsidR="004966BF">
        <w:rPr>
          <w:rFonts w:ascii="Calibri" w:hAnsi="Calibri" w:cs="Helv"/>
          <w:bCs/>
          <w:color w:val="000000"/>
        </w:rPr>
        <w:t>.  This still gives</w:t>
      </w:r>
      <w:r w:rsidR="00BB05EE">
        <w:rPr>
          <w:rFonts w:ascii="Calibri" w:hAnsi="Calibri" w:cs="Helv"/>
          <w:bCs/>
          <w:color w:val="000000"/>
        </w:rPr>
        <w:t xml:space="preserve"> her </w:t>
      </w:r>
      <w:r w:rsidR="00D929D7">
        <w:rPr>
          <w:rFonts w:ascii="Calibri" w:hAnsi="Calibri" w:cs="Helv"/>
          <w:bCs/>
          <w:color w:val="000000"/>
        </w:rPr>
        <w:t>between</w:t>
      </w:r>
      <w:r w:rsidR="004966BF">
        <w:rPr>
          <w:rFonts w:ascii="Calibri" w:hAnsi="Calibri" w:cs="Helv"/>
          <w:bCs/>
          <w:color w:val="000000"/>
        </w:rPr>
        <w:t xml:space="preserve"> $4</w:t>
      </w:r>
      <w:r w:rsidR="00F66FA1">
        <w:rPr>
          <w:rFonts w:ascii="Calibri" w:hAnsi="Calibri" w:cs="Helv"/>
          <w:bCs/>
          <w:color w:val="000000"/>
        </w:rPr>
        <w:t xml:space="preserve">.5 million </w:t>
      </w:r>
      <w:r w:rsidR="00D929D7">
        <w:rPr>
          <w:rFonts w:ascii="Calibri" w:hAnsi="Calibri" w:cs="Helv"/>
          <w:bCs/>
          <w:color w:val="000000"/>
        </w:rPr>
        <w:t>and</w:t>
      </w:r>
      <w:r w:rsidR="00F66FA1">
        <w:rPr>
          <w:rFonts w:ascii="Calibri" w:hAnsi="Calibri" w:cs="Helv"/>
          <w:bCs/>
          <w:color w:val="000000"/>
        </w:rPr>
        <w:t xml:space="preserve"> </w:t>
      </w:r>
      <w:r w:rsidR="00BB05EE">
        <w:rPr>
          <w:rFonts w:ascii="Calibri" w:hAnsi="Calibri" w:cs="Helv"/>
          <w:bCs/>
          <w:color w:val="000000"/>
        </w:rPr>
        <w:t>$8.5 million AEA</w:t>
      </w:r>
      <w:r w:rsidR="00F66FA1">
        <w:rPr>
          <w:rFonts w:ascii="Calibri" w:hAnsi="Calibri" w:cs="Helv"/>
          <w:bCs/>
          <w:color w:val="000000"/>
        </w:rPr>
        <w:t xml:space="preserve"> </w:t>
      </w:r>
      <w:r w:rsidR="00BB05EE">
        <w:rPr>
          <w:rFonts w:ascii="Calibri" w:hAnsi="Calibri" w:cs="Helv"/>
          <w:bCs/>
          <w:color w:val="000000"/>
        </w:rPr>
        <w:t xml:space="preserve"> – </w:t>
      </w:r>
      <w:r w:rsidR="00F66FA1">
        <w:rPr>
          <w:rFonts w:ascii="Calibri" w:hAnsi="Calibri" w:cs="Helv"/>
          <w:bCs/>
          <w:color w:val="000000"/>
        </w:rPr>
        <w:t xml:space="preserve">either way, </w:t>
      </w:r>
      <w:r w:rsidR="00BB05EE">
        <w:rPr>
          <w:rFonts w:ascii="Calibri" w:hAnsi="Calibri" w:cs="Helv"/>
          <w:bCs/>
          <w:color w:val="000000"/>
        </w:rPr>
        <w:t xml:space="preserve">she </w:t>
      </w:r>
      <w:r w:rsidR="00F66FA1">
        <w:rPr>
          <w:rFonts w:ascii="Calibri" w:hAnsi="Calibri" w:cs="Helv"/>
          <w:bCs/>
          <w:color w:val="000000"/>
        </w:rPr>
        <w:t>is nowhere near having a federal</w:t>
      </w:r>
      <w:r w:rsidR="00CA3648">
        <w:rPr>
          <w:rFonts w:ascii="Calibri" w:hAnsi="Calibri" w:cs="Helv"/>
          <w:bCs/>
          <w:color w:val="000000"/>
        </w:rPr>
        <w:t xml:space="preserve"> estate tax issue</w:t>
      </w:r>
      <w:r w:rsidR="00CA0B59">
        <w:rPr>
          <w:rFonts w:ascii="Calibri" w:hAnsi="Calibri" w:cs="Helv"/>
          <w:bCs/>
          <w:color w:val="000000"/>
        </w:rPr>
        <w:t xml:space="preserve"> by the loss of $2 million </w:t>
      </w:r>
      <w:r w:rsidR="00A21A7D">
        <w:rPr>
          <w:rFonts w:ascii="Calibri" w:hAnsi="Calibri" w:cs="Helv"/>
          <w:bCs/>
          <w:color w:val="000000"/>
        </w:rPr>
        <w:t>gift/estate tax exclusion</w:t>
      </w:r>
      <w:r w:rsidR="00CA0B59">
        <w:rPr>
          <w:rFonts w:ascii="Calibri" w:hAnsi="Calibri" w:cs="Helv"/>
          <w:bCs/>
          <w:color w:val="000000"/>
        </w:rPr>
        <w:t xml:space="preserve"> (if it is that much, see below)!</w:t>
      </w:r>
      <w:r w:rsidR="00CA3648">
        <w:rPr>
          <w:rFonts w:ascii="Calibri" w:hAnsi="Calibri" w:cs="Helv"/>
          <w:bCs/>
          <w:color w:val="000000"/>
        </w:rPr>
        <w:t xml:space="preserve">  </w:t>
      </w:r>
      <w:r w:rsidR="001B56C8">
        <w:rPr>
          <w:rFonts w:ascii="Calibri" w:hAnsi="Calibri" w:cs="Helv"/>
          <w:bCs/>
          <w:color w:val="000000"/>
        </w:rPr>
        <w:t>Even this effect</w:t>
      </w:r>
      <w:r w:rsidR="00CA3648">
        <w:rPr>
          <w:rFonts w:ascii="Calibri" w:hAnsi="Calibri" w:cs="Helv"/>
          <w:bCs/>
          <w:color w:val="000000"/>
        </w:rPr>
        <w:t xml:space="preserve"> can be mitigated with techniques discussed below.</w:t>
      </w:r>
    </w:p>
    <w:p w14:paraId="17B8154F" w14:textId="77777777" w:rsidR="00BB05EE" w:rsidRDefault="00BB05EE" w:rsidP="00001E71">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The smart play by W may be </w:t>
      </w:r>
      <w:r w:rsidR="001B56C8">
        <w:rPr>
          <w:rFonts w:ascii="Calibri" w:hAnsi="Calibri" w:cs="Helv"/>
          <w:bCs/>
          <w:color w:val="000000"/>
        </w:rPr>
        <w:t xml:space="preserve">(if the value merits) </w:t>
      </w:r>
      <w:r>
        <w:rPr>
          <w:rFonts w:ascii="Calibri" w:hAnsi="Calibri" w:cs="Helv"/>
          <w:bCs/>
          <w:color w:val="000000"/>
        </w:rPr>
        <w:t xml:space="preserve">to at least try to claim the </w:t>
      </w:r>
      <w:r w:rsidR="001B56C8">
        <w:rPr>
          <w:rFonts w:ascii="Calibri" w:hAnsi="Calibri" w:cs="Helv"/>
          <w:bCs/>
          <w:color w:val="000000"/>
        </w:rPr>
        <w:t xml:space="preserve">deduction </w:t>
      </w:r>
      <w:r w:rsidR="00597A1A">
        <w:rPr>
          <w:rFonts w:ascii="Calibri" w:hAnsi="Calibri" w:cs="Helv"/>
          <w:bCs/>
          <w:color w:val="000000"/>
        </w:rPr>
        <w:t>on her Form 709 gift tax return</w:t>
      </w:r>
      <w:r>
        <w:rPr>
          <w:rFonts w:ascii="Calibri" w:hAnsi="Calibri" w:cs="Helv"/>
          <w:bCs/>
          <w:color w:val="000000"/>
        </w:rPr>
        <w:t xml:space="preserve"> and attach all relevant information – at least there </w:t>
      </w:r>
      <w:r w:rsidR="00CA3648">
        <w:rPr>
          <w:rFonts w:ascii="Calibri" w:hAnsi="Calibri" w:cs="Helv"/>
          <w:bCs/>
          <w:color w:val="000000"/>
        </w:rPr>
        <w:t xml:space="preserve">is a </w:t>
      </w:r>
      <w:r w:rsidR="00A77E0C">
        <w:rPr>
          <w:rFonts w:ascii="Calibri" w:hAnsi="Calibri" w:cs="Helv"/>
          <w:bCs/>
          <w:color w:val="000000"/>
        </w:rPr>
        <w:t xml:space="preserve">colorable </w:t>
      </w:r>
      <w:r w:rsidR="00CA3648">
        <w:rPr>
          <w:rFonts w:ascii="Calibri" w:hAnsi="Calibri" w:cs="Helv"/>
          <w:bCs/>
          <w:color w:val="000000"/>
        </w:rPr>
        <w:t>argument and several</w:t>
      </w:r>
      <w:r>
        <w:rPr>
          <w:rFonts w:ascii="Calibri" w:hAnsi="Calibri" w:cs="Helv"/>
          <w:bCs/>
          <w:color w:val="000000"/>
        </w:rPr>
        <w:t xml:space="preserve"> PLRs.</w:t>
      </w:r>
      <w:r w:rsidR="001B56C8">
        <w:rPr>
          <w:rFonts w:ascii="Calibri" w:hAnsi="Calibri" w:cs="Helv"/>
          <w:bCs/>
          <w:color w:val="000000"/>
        </w:rPr>
        <w:t xml:space="preserve">  </w:t>
      </w:r>
      <w:r w:rsidR="00666A01">
        <w:rPr>
          <w:rFonts w:ascii="Calibri" w:hAnsi="Calibri" w:cs="Helv"/>
          <w:bCs/>
          <w:color w:val="000000"/>
        </w:rPr>
        <w:t xml:space="preserve">After all, as discussed in Parts I and II, treasury regulations accept </w:t>
      </w:r>
      <w:r w:rsidR="00612E7B">
        <w:rPr>
          <w:rFonts w:ascii="Calibri" w:hAnsi="Calibri" w:cs="Helv"/>
          <w:bCs/>
          <w:color w:val="000000"/>
        </w:rPr>
        <w:t>the fiction of surviving spouses in qualifying for the marital estate tax deduction in simultaneous death scenarios</w:t>
      </w:r>
      <w:r w:rsidR="00A21A7D">
        <w:rPr>
          <w:rFonts w:ascii="Calibri" w:hAnsi="Calibri" w:cs="Helv"/>
          <w:bCs/>
          <w:color w:val="000000"/>
        </w:rPr>
        <w:t>, and there are cases that suggest the gift at the moment of death is to a surviving spouse</w:t>
      </w:r>
      <w:r w:rsidR="00612E7B">
        <w:rPr>
          <w:rFonts w:ascii="Calibri" w:hAnsi="Calibri" w:cs="Helv"/>
          <w:bCs/>
          <w:color w:val="000000"/>
        </w:rPr>
        <w:t>.</w:t>
      </w:r>
      <w:r w:rsidR="00612E7B">
        <w:rPr>
          <w:rStyle w:val="FootnoteReference"/>
          <w:rFonts w:ascii="Calibri" w:hAnsi="Calibri" w:cs="Helv"/>
          <w:bCs/>
          <w:color w:val="000000"/>
        </w:rPr>
        <w:footnoteReference w:id="215"/>
      </w:r>
      <w:r w:rsidR="00666A01">
        <w:rPr>
          <w:rFonts w:ascii="Calibri" w:hAnsi="Calibri" w:cs="Helv"/>
          <w:bCs/>
          <w:color w:val="000000"/>
        </w:rPr>
        <w:t xml:space="preserve"> </w:t>
      </w:r>
    </w:p>
    <w:p w14:paraId="4B85B7DF" w14:textId="77777777" w:rsidR="00EB5289" w:rsidRDefault="00CA0B59" w:rsidP="00001E71">
      <w:pPr>
        <w:autoSpaceDE w:val="0"/>
        <w:autoSpaceDN w:val="0"/>
        <w:adjustRightInd w:val="0"/>
        <w:spacing w:line="360" w:lineRule="auto"/>
        <w:ind w:firstLine="720"/>
        <w:rPr>
          <w:rFonts w:ascii="Calibri" w:hAnsi="Calibri" w:cs="Arial"/>
          <w:color w:val="333333"/>
        </w:rPr>
      </w:pPr>
      <w:r>
        <w:rPr>
          <w:rFonts w:ascii="Calibri" w:hAnsi="Calibri" w:cs="Helv"/>
          <w:bCs/>
          <w:color w:val="000000"/>
        </w:rPr>
        <w:t>Furthermore, if IRC §2523 does not apply, who is the gift to</w:t>
      </w:r>
      <w:r w:rsidR="002C1D6A">
        <w:rPr>
          <w:rFonts w:ascii="Calibri" w:hAnsi="Calibri" w:cs="Helv"/>
          <w:bCs/>
          <w:color w:val="000000"/>
        </w:rPr>
        <w:t xml:space="preserve"> if not to the spouse</w:t>
      </w:r>
      <w:r>
        <w:rPr>
          <w:rFonts w:ascii="Calibri" w:hAnsi="Calibri" w:cs="Helv"/>
          <w:bCs/>
          <w:color w:val="000000"/>
        </w:rPr>
        <w:t>, and how much is taxable?  This is never addressed in articles on this subject, but it may be quite important.</w:t>
      </w:r>
      <w:r w:rsidR="001B56C8">
        <w:rPr>
          <w:rFonts w:ascii="Calibri" w:hAnsi="Calibri" w:cs="Helv"/>
          <w:bCs/>
          <w:color w:val="000000"/>
        </w:rPr>
        <w:t xml:space="preserve">  If you cannot gift to a </w:t>
      </w:r>
      <w:r w:rsidR="007125E0">
        <w:rPr>
          <w:rFonts w:ascii="Calibri" w:hAnsi="Calibri" w:cs="Helv"/>
          <w:bCs/>
          <w:color w:val="000000"/>
        </w:rPr>
        <w:t>corpse</w:t>
      </w:r>
      <w:r w:rsidR="001B56C8">
        <w:rPr>
          <w:rFonts w:ascii="Calibri" w:hAnsi="Calibri" w:cs="Helv"/>
          <w:bCs/>
          <w:color w:val="000000"/>
        </w:rPr>
        <w:t xml:space="preserve"> (here, W gifting to her dead H), then the gift must be to H’s estate</w:t>
      </w:r>
      <w:r w:rsidR="002C1D6A">
        <w:rPr>
          <w:rFonts w:ascii="Calibri" w:hAnsi="Calibri" w:cs="Helv"/>
          <w:bCs/>
          <w:color w:val="000000"/>
        </w:rPr>
        <w:t xml:space="preserve"> or appointees</w:t>
      </w:r>
      <w:r w:rsidR="001B56C8">
        <w:rPr>
          <w:rFonts w:ascii="Calibri" w:hAnsi="Calibri" w:cs="Helv"/>
          <w:bCs/>
          <w:color w:val="000000"/>
        </w:rPr>
        <w:t xml:space="preserve">, who are – you guessed it – W and children!  If W makes a $2 million gift to a corporation or LLC in which she is 40% owner, </w:t>
      </w:r>
      <w:r w:rsidR="002C1D6A">
        <w:rPr>
          <w:rFonts w:ascii="Calibri" w:hAnsi="Calibri" w:cs="Helv"/>
          <w:bCs/>
          <w:color w:val="000000"/>
        </w:rPr>
        <w:t xml:space="preserve">the IRS looks through to the company owners as donees - </w:t>
      </w:r>
      <w:r w:rsidR="001B56C8">
        <w:rPr>
          <w:rFonts w:ascii="Calibri" w:hAnsi="Calibri" w:cs="Helv"/>
          <w:bCs/>
          <w:color w:val="000000"/>
        </w:rPr>
        <w:t>it is not a gift of $2 million, it is a gift of 60% of $2 million - $1.2 million</w:t>
      </w:r>
      <w:r w:rsidR="00D939F2">
        <w:rPr>
          <w:rFonts w:ascii="Calibri" w:hAnsi="Calibri" w:cs="Helv"/>
          <w:bCs/>
          <w:color w:val="000000"/>
        </w:rPr>
        <w:t>.</w:t>
      </w:r>
      <w:r w:rsidR="00D939F2">
        <w:rPr>
          <w:rStyle w:val="FootnoteReference"/>
          <w:rFonts w:ascii="Calibri" w:hAnsi="Calibri" w:cs="Helv"/>
          <w:bCs/>
          <w:color w:val="000000"/>
        </w:rPr>
        <w:footnoteReference w:id="216"/>
      </w:r>
      <w:r w:rsidR="00D939F2">
        <w:rPr>
          <w:rFonts w:ascii="Calibri" w:hAnsi="Calibri" w:cs="Helv"/>
          <w:bCs/>
          <w:color w:val="000000"/>
        </w:rPr>
        <w:t xml:space="preserve"> I</w:t>
      </w:r>
      <w:r w:rsidR="00A77D44">
        <w:rPr>
          <w:rFonts w:ascii="Calibri" w:hAnsi="Calibri" w:cs="Helv"/>
          <w:bCs/>
          <w:color w:val="000000"/>
        </w:rPr>
        <w:t>f a spouse or charity owns portions of the 60% it may be deductible for gift tax</w:t>
      </w:r>
      <w:r w:rsidR="001B56C8">
        <w:rPr>
          <w:rFonts w:ascii="Calibri" w:hAnsi="Calibri" w:cs="Helv"/>
          <w:bCs/>
          <w:color w:val="000000"/>
        </w:rPr>
        <w:t>.</w:t>
      </w:r>
      <w:r w:rsidR="002C1D6A">
        <w:rPr>
          <w:rStyle w:val="FootnoteReference"/>
          <w:rFonts w:ascii="Calibri" w:hAnsi="Calibri" w:cs="Helv"/>
          <w:bCs/>
          <w:color w:val="000000"/>
        </w:rPr>
        <w:footnoteReference w:id="217"/>
      </w:r>
      <w:r w:rsidR="001B56C8">
        <w:rPr>
          <w:rFonts w:ascii="Calibri" w:hAnsi="Calibri" w:cs="Helv"/>
          <w:bCs/>
          <w:color w:val="000000"/>
        </w:rPr>
        <w:t xml:space="preserve"> </w:t>
      </w:r>
      <w:r w:rsidR="002C1D6A">
        <w:rPr>
          <w:rFonts w:ascii="Calibri" w:hAnsi="Calibri" w:cs="Helv"/>
          <w:bCs/>
          <w:color w:val="000000"/>
        </w:rPr>
        <w:t xml:space="preserve"> If you gift to a probate estate, the gift is really to the </w:t>
      </w:r>
      <w:r w:rsidR="002C3D5E">
        <w:rPr>
          <w:rFonts w:ascii="Calibri" w:hAnsi="Calibri" w:cs="Helv"/>
          <w:bCs/>
          <w:color w:val="000000"/>
        </w:rPr>
        <w:t>beneficiaries</w:t>
      </w:r>
      <w:r w:rsidR="002C1D6A">
        <w:rPr>
          <w:rFonts w:ascii="Calibri" w:hAnsi="Calibri" w:cs="Helv"/>
          <w:bCs/>
          <w:color w:val="000000"/>
        </w:rPr>
        <w:t xml:space="preserve"> of that estate.  </w:t>
      </w:r>
      <w:r w:rsidR="001B56C8">
        <w:rPr>
          <w:rFonts w:ascii="Calibri" w:hAnsi="Calibri" w:cs="Helv"/>
          <w:bCs/>
          <w:color w:val="000000"/>
        </w:rPr>
        <w:t xml:space="preserve"> </w:t>
      </w:r>
      <w:r w:rsidR="00F97B21">
        <w:rPr>
          <w:rFonts w:ascii="Calibri" w:hAnsi="Calibri" w:cs="Helv"/>
          <w:bCs/>
          <w:color w:val="000000"/>
        </w:rPr>
        <w:t>If W inherits 100%</w:t>
      </w:r>
      <w:r w:rsidR="007125E0">
        <w:rPr>
          <w:rFonts w:ascii="Calibri" w:hAnsi="Calibri" w:cs="Helv"/>
          <w:bCs/>
          <w:color w:val="000000"/>
        </w:rPr>
        <w:t xml:space="preserve"> of H’s estate</w:t>
      </w:r>
      <w:r w:rsidR="00F97B21">
        <w:rPr>
          <w:rFonts w:ascii="Calibri" w:hAnsi="Calibri" w:cs="Helv"/>
          <w:bCs/>
          <w:color w:val="000000"/>
        </w:rPr>
        <w:t>, then the gift is to herself, and not taxable.  But, presumably</w:t>
      </w:r>
      <w:r w:rsidR="001B56C8">
        <w:rPr>
          <w:rFonts w:ascii="Calibri" w:hAnsi="Calibri" w:cs="Helv"/>
          <w:bCs/>
          <w:color w:val="000000"/>
        </w:rPr>
        <w:t xml:space="preserve">, </w:t>
      </w:r>
      <w:r w:rsidR="00A77D44">
        <w:rPr>
          <w:rFonts w:ascii="Calibri" w:hAnsi="Calibri" w:cs="Helv"/>
          <w:bCs/>
          <w:color w:val="000000"/>
        </w:rPr>
        <w:t>H’s estate</w:t>
      </w:r>
      <w:r w:rsidR="00F97B21">
        <w:rPr>
          <w:rFonts w:ascii="Calibri" w:hAnsi="Calibri" w:cs="Helv"/>
          <w:bCs/>
          <w:color w:val="000000"/>
        </w:rPr>
        <w:t xml:space="preserve"> would</w:t>
      </w:r>
      <w:r w:rsidR="00A77D44">
        <w:rPr>
          <w:rFonts w:ascii="Calibri" w:hAnsi="Calibri" w:cs="Helv"/>
          <w:bCs/>
          <w:color w:val="000000"/>
        </w:rPr>
        <w:t xml:space="preserve"> pour into a trust</w:t>
      </w:r>
      <w:r w:rsidR="001B56C8">
        <w:rPr>
          <w:rFonts w:ascii="Calibri" w:hAnsi="Calibri" w:cs="Helv"/>
          <w:bCs/>
          <w:color w:val="000000"/>
        </w:rPr>
        <w:t xml:space="preserve"> in which </w:t>
      </w:r>
      <w:r w:rsidR="00F97B21">
        <w:rPr>
          <w:rFonts w:ascii="Calibri" w:hAnsi="Calibri" w:cs="Helv"/>
          <w:bCs/>
          <w:color w:val="000000"/>
        </w:rPr>
        <w:t>W has</w:t>
      </w:r>
      <w:r w:rsidR="001B56C8">
        <w:rPr>
          <w:rFonts w:ascii="Calibri" w:hAnsi="Calibri" w:cs="Helv"/>
          <w:bCs/>
          <w:color w:val="000000"/>
        </w:rPr>
        <w:t xml:space="preserve"> a lifetime interest plus HEMS</w:t>
      </w:r>
      <w:r w:rsidR="00F97B21">
        <w:rPr>
          <w:rFonts w:ascii="Calibri" w:hAnsi="Calibri" w:cs="Helv"/>
          <w:bCs/>
          <w:color w:val="000000"/>
        </w:rPr>
        <w:t>.  If</w:t>
      </w:r>
      <w:r w:rsidR="001B56C8">
        <w:rPr>
          <w:rFonts w:ascii="Calibri" w:hAnsi="Calibri" w:cs="Helv"/>
          <w:bCs/>
          <w:color w:val="000000"/>
        </w:rPr>
        <w:t xml:space="preserve"> </w:t>
      </w:r>
      <w:r w:rsidR="00A77D44">
        <w:rPr>
          <w:rFonts w:ascii="Calibri" w:hAnsi="Calibri" w:cs="Helv"/>
          <w:bCs/>
          <w:color w:val="000000"/>
        </w:rPr>
        <w:t xml:space="preserve">her share </w:t>
      </w:r>
      <w:r w:rsidR="001B56C8">
        <w:rPr>
          <w:rFonts w:ascii="Calibri" w:hAnsi="Calibri" w:cs="Helv"/>
          <w:bCs/>
          <w:color w:val="000000"/>
        </w:rPr>
        <w:t>might be valued at 40%, shouldn’t the result be similar</w:t>
      </w:r>
      <w:r w:rsidR="007125E0">
        <w:rPr>
          <w:rFonts w:ascii="Calibri" w:hAnsi="Calibri" w:cs="Helv"/>
          <w:bCs/>
          <w:color w:val="000000"/>
        </w:rPr>
        <w:t xml:space="preserve"> to the corporation donee example</w:t>
      </w:r>
      <w:r w:rsidR="001B56C8">
        <w:rPr>
          <w:rFonts w:ascii="Calibri" w:hAnsi="Calibri" w:cs="Helv"/>
          <w:bCs/>
          <w:color w:val="000000"/>
        </w:rPr>
        <w:t xml:space="preserve">?  </w:t>
      </w:r>
      <w:r w:rsidR="007125E0">
        <w:rPr>
          <w:rFonts w:ascii="Calibri" w:hAnsi="Calibri" w:cs="Helv"/>
          <w:bCs/>
          <w:color w:val="000000"/>
        </w:rPr>
        <w:t xml:space="preserve">This is easy </w:t>
      </w:r>
      <w:r w:rsidR="007125E0">
        <w:rPr>
          <w:rFonts w:ascii="Calibri" w:hAnsi="Calibri" w:cs="Helv"/>
          <w:bCs/>
          <w:color w:val="000000"/>
        </w:rPr>
        <w:lastRenderedPageBreak/>
        <w:t>to</w:t>
      </w:r>
      <w:r w:rsidR="00F97B21">
        <w:rPr>
          <w:rFonts w:ascii="Calibri" w:hAnsi="Calibri" w:cs="Helv"/>
          <w:bCs/>
          <w:color w:val="000000"/>
        </w:rPr>
        <w:t xml:space="preserve"> value with a simple net income or unitrust, but if there are spray provisions, LPOAs, etc</w:t>
      </w:r>
      <w:r w:rsidR="004D41CD">
        <w:rPr>
          <w:rFonts w:ascii="Calibri" w:hAnsi="Calibri" w:cs="Helv"/>
          <w:bCs/>
          <w:color w:val="000000"/>
        </w:rPr>
        <w:t>.</w:t>
      </w:r>
      <w:r w:rsidR="00F97B21">
        <w:rPr>
          <w:rFonts w:ascii="Calibri" w:hAnsi="Calibri" w:cs="Helv"/>
          <w:bCs/>
          <w:color w:val="000000"/>
        </w:rPr>
        <w:t xml:space="preserve">, keep in mind that </w:t>
      </w:r>
      <w:r w:rsidR="00F97B21" w:rsidRPr="00F97B21">
        <w:rPr>
          <w:rFonts w:ascii="Calibri" w:hAnsi="Calibri" w:cs="Helv"/>
          <w:bCs/>
          <w:color w:val="000000"/>
        </w:rPr>
        <w:t>“</w:t>
      </w:r>
      <w:r w:rsidR="00F97B21" w:rsidRPr="00F97B21">
        <w:rPr>
          <w:rFonts w:ascii="Calibri" w:hAnsi="Calibri" w:cs="Arial"/>
          <w:color w:val="333333"/>
        </w:rPr>
        <w:t>if the donor's retained interest is not susceptible of measurement on the basis of generally accepted valuation principles, the gift tax is applicable to the entire value of the property subject to the gift.</w:t>
      </w:r>
      <w:r w:rsidR="00F97B21">
        <w:rPr>
          <w:rFonts w:ascii="Calibri" w:hAnsi="Calibri" w:cs="Arial"/>
          <w:color w:val="333333"/>
        </w:rPr>
        <w:t>”</w:t>
      </w:r>
      <w:r w:rsidR="00F97B21">
        <w:rPr>
          <w:rStyle w:val="FootnoteReference"/>
          <w:rFonts w:ascii="Calibri" w:hAnsi="Calibri" w:cs="Arial"/>
          <w:color w:val="333333"/>
        </w:rPr>
        <w:footnoteReference w:id="218"/>
      </w:r>
      <w:r w:rsidR="00F97B21">
        <w:rPr>
          <w:rFonts w:ascii="Calibri" w:hAnsi="Calibri" w:cs="Arial"/>
          <w:color w:val="333333"/>
        </w:rPr>
        <w:t xml:space="preserve">  </w:t>
      </w:r>
      <w:r w:rsidR="007125E0">
        <w:rPr>
          <w:rFonts w:ascii="Calibri" w:hAnsi="Calibri" w:cs="Arial"/>
          <w:color w:val="333333"/>
        </w:rPr>
        <w:t xml:space="preserve"> </w:t>
      </w:r>
    </w:p>
    <w:p w14:paraId="3AADC1EB" w14:textId="77777777" w:rsidR="00CA0B59" w:rsidRDefault="007125E0" w:rsidP="00001E71">
      <w:pPr>
        <w:autoSpaceDE w:val="0"/>
        <w:autoSpaceDN w:val="0"/>
        <w:adjustRightInd w:val="0"/>
        <w:spacing w:line="360" w:lineRule="auto"/>
        <w:ind w:firstLine="720"/>
        <w:rPr>
          <w:rFonts w:ascii="Calibri" w:hAnsi="Calibri" w:cs="Helv"/>
          <w:bCs/>
          <w:color w:val="000000"/>
        </w:rPr>
      </w:pPr>
      <w:r>
        <w:rPr>
          <w:rFonts w:ascii="Calibri" w:hAnsi="Calibri" w:cs="Arial"/>
          <w:color w:val="333333"/>
        </w:rPr>
        <w:t xml:space="preserve">More confusingly, I mentioned above that the true donees would logically be “H’s estate OR appointees” – what if those are not the same? </w:t>
      </w:r>
      <w:r w:rsidR="00EB5289">
        <w:rPr>
          <w:rFonts w:ascii="Calibri" w:hAnsi="Calibri" w:cs="Arial"/>
          <w:color w:val="333333"/>
        </w:rPr>
        <w:t xml:space="preserve"> Arguably, W’s gift would be to H’s estate, not the appointees, because it was H’s intervening decision to use his GPOA to appoint to the appointees.  Thus, if W were H’s heir at law and/or sole residuary beneficiary outright under his Will, there would be no </w:t>
      </w:r>
      <w:r w:rsidR="009354DE">
        <w:rPr>
          <w:rFonts w:ascii="Calibri" w:hAnsi="Calibri" w:cs="Arial"/>
          <w:color w:val="333333"/>
        </w:rPr>
        <w:t xml:space="preserve">taxable </w:t>
      </w:r>
      <w:r w:rsidR="00EB5289">
        <w:rPr>
          <w:rFonts w:ascii="Calibri" w:hAnsi="Calibri" w:cs="Arial"/>
          <w:color w:val="333333"/>
        </w:rPr>
        <w:t xml:space="preserve">gift (because W would be gifting to herself), and yet, H may have appointed those assets elsewhere, to a trust that may or may not include W. </w:t>
      </w:r>
      <w:r w:rsidR="00F97B21">
        <w:rPr>
          <w:rFonts w:ascii="Verdana" w:hAnsi="Verdana"/>
          <w:color w:val="333333"/>
          <w:sz w:val="14"/>
          <w:szCs w:val="14"/>
        </w:rPr>
        <w:t xml:space="preserve"> </w:t>
      </w:r>
      <w:r>
        <w:rPr>
          <w:rFonts w:ascii="Calibri" w:hAnsi="Calibri" w:cs="Helv"/>
          <w:bCs/>
          <w:color w:val="000000"/>
        </w:rPr>
        <w:t xml:space="preserve">This </w:t>
      </w:r>
      <w:r w:rsidR="00EB5289">
        <w:rPr>
          <w:rFonts w:ascii="Calibri" w:hAnsi="Calibri" w:cs="Helv"/>
          <w:bCs/>
          <w:color w:val="000000"/>
        </w:rPr>
        <w:t xml:space="preserve">leads us to the more important </w:t>
      </w:r>
      <w:r w:rsidR="001B56C8">
        <w:rPr>
          <w:rFonts w:ascii="Calibri" w:hAnsi="Calibri" w:cs="Helv"/>
          <w:bCs/>
          <w:color w:val="000000"/>
        </w:rPr>
        <w:t xml:space="preserve">subtopic </w:t>
      </w:r>
      <w:r w:rsidR="009354DE">
        <w:rPr>
          <w:rFonts w:ascii="Calibri" w:hAnsi="Calibri" w:cs="Helv"/>
          <w:bCs/>
          <w:color w:val="000000"/>
        </w:rPr>
        <w:t>of how the step up in basis works, after which we will address ways to integrate the two statutes into planning and use savings clauses to prevent estates from the potential negative interpretations</w:t>
      </w:r>
      <w:r w:rsidR="001B56C8">
        <w:rPr>
          <w:rFonts w:ascii="Calibri" w:hAnsi="Calibri" w:cs="Helv"/>
          <w:bCs/>
          <w:color w:val="000000"/>
        </w:rPr>
        <w:t>.</w:t>
      </w:r>
    </w:p>
    <w:p w14:paraId="36F52B4A" w14:textId="77777777" w:rsidR="000D040D" w:rsidRPr="00900346" w:rsidRDefault="00BB05EE" w:rsidP="00180FD1">
      <w:pPr>
        <w:pStyle w:val="ListParagraph"/>
        <w:numPr>
          <w:ilvl w:val="0"/>
          <w:numId w:val="21"/>
        </w:numPr>
        <w:autoSpaceDE w:val="0"/>
        <w:autoSpaceDN w:val="0"/>
        <w:adjustRightInd w:val="0"/>
        <w:spacing w:line="360" w:lineRule="auto"/>
        <w:ind w:hanging="720"/>
        <w:rPr>
          <w:rFonts w:ascii="Calibri" w:hAnsi="Calibri" w:cs="Helv"/>
          <w:bCs/>
          <w:color w:val="000000"/>
        </w:rPr>
      </w:pPr>
      <w:r w:rsidRPr="00900346">
        <w:rPr>
          <w:rFonts w:ascii="Calibri" w:hAnsi="Calibri" w:cs="Helv"/>
          <w:b/>
          <w:bCs/>
          <w:color w:val="000000"/>
        </w:rPr>
        <w:t>In</w:t>
      </w:r>
      <w:r w:rsidR="00AF2467" w:rsidRPr="00900346">
        <w:rPr>
          <w:rFonts w:ascii="Calibri" w:hAnsi="Calibri" w:cs="Helv"/>
          <w:b/>
          <w:bCs/>
          <w:color w:val="000000"/>
        </w:rPr>
        <w:t>to the Wind of IRC §1014(e) – Tacking to In</w:t>
      </w:r>
      <w:r w:rsidRPr="00900346">
        <w:rPr>
          <w:rFonts w:ascii="Calibri" w:hAnsi="Calibri" w:cs="Helv"/>
          <w:b/>
          <w:bCs/>
          <w:color w:val="000000"/>
        </w:rPr>
        <w:t>creas</w:t>
      </w:r>
      <w:r w:rsidR="00AF2467" w:rsidRPr="00900346">
        <w:rPr>
          <w:rFonts w:ascii="Calibri" w:hAnsi="Calibri" w:cs="Helv"/>
          <w:b/>
          <w:bCs/>
          <w:color w:val="000000"/>
        </w:rPr>
        <w:t>e</w:t>
      </w:r>
      <w:r w:rsidRPr="00900346">
        <w:rPr>
          <w:rFonts w:ascii="Calibri" w:hAnsi="Calibri" w:cs="Helv"/>
          <w:b/>
          <w:bCs/>
          <w:color w:val="000000"/>
        </w:rPr>
        <w:t xml:space="preserve"> Basis</w:t>
      </w:r>
      <w:r w:rsidR="000D040D" w:rsidRPr="00900346">
        <w:rPr>
          <w:rFonts w:ascii="Calibri" w:hAnsi="Calibri" w:cs="Helv"/>
          <w:b/>
          <w:bCs/>
          <w:color w:val="000000"/>
        </w:rPr>
        <w:t xml:space="preserve"> Despite the One Year Rule</w:t>
      </w:r>
      <w:r w:rsidRPr="00900346">
        <w:rPr>
          <w:rFonts w:ascii="Calibri" w:hAnsi="Calibri" w:cs="Helv"/>
          <w:bCs/>
          <w:color w:val="000000"/>
        </w:rPr>
        <w:t xml:space="preserve">  </w:t>
      </w:r>
    </w:p>
    <w:p w14:paraId="768A8454" w14:textId="77777777" w:rsidR="00CA0B59" w:rsidRDefault="00001E71" w:rsidP="000D040D">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Some of the PLRs referenced below,</w:t>
      </w:r>
      <w:r w:rsidR="000E7ECF">
        <w:rPr>
          <w:rFonts w:ascii="Calibri" w:hAnsi="Calibri" w:cs="Helv"/>
          <w:bCs/>
          <w:color w:val="000000"/>
        </w:rPr>
        <w:t xml:space="preserve"> like PLR 2006-04028</w:t>
      </w:r>
      <w:r w:rsidR="00CA3648">
        <w:rPr>
          <w:rFonts w:ascii="Calibri" w:hAnsi="Calibri" w:cs="Helv"/>
          <w:bCs/>
          <w:color w:val="000000"/>
        </w:rPr>
        <w:t xml:space="preserve"> and PLR 2004-03094</w:t>
      </w:r>
      <w:r w:rsidR="00FD1C1B">
        <w:rPr>
          <w:rFonts w:ascii="Calibri" w:hAnsi="Calibri" w:cs="Helv"/>
          <w:bCs/>
          <w:color w:val="000000"/>
        </w:rPr>
        <w:t xml:space="preserve"> (coincidentally both of which have formula powers of appointment)</w:t>
      </w:r>
      <w:r w:rsidR="000E7ECF">
        <w:rPr>
          <w:rFonts w:ascii="Calibri" w:hAnsi="Calibri" w:cs="Helv"/>
          <w:bCs/>
          <w:color w:val="000000"/>
        </w:rPr>
        <w:t>, do not even address IRC § 1014(e).</w:t>
      </w:r>
      <w:r w:rsidR="00BB05EE">
        <w:rPr>
          <w:rFonts w:ascii="Calibri" w:hAnsi="Calibri" w:cs="Helv"/>
          <w:bCs/>
          <w:color w:val="000000"/>
        </w:rPr>
        <w:t xml:space="preserve">  </w:t>
      </w:r>
      <w:r w:rsidR="00CA3648">
        <w:rPr>
          <w:rFonts w:ascii="Calibri" w:hAnsi="Calibri" w:cs="Helv"/>
          <w:bCs/>
          <w:color w:val="000000"/>
        </w:rPr>
        <w:t>PLR</w:t>
      </w:r>
      <w:r w:rsidR="00CA0B59">
        <w:rPr>
          <w:rFonts w:ascii="Calibri" w:hAnsi="Calibri" w:cs="Helv"/>
          <w:bCs/>
          <w:color w:val="000000"/>
        </w:rPr>
        <w:t>s</w:t>
      </w:r>
      <w:r w:rsidR="00CA3648">
        <w:rPr>
          <w:rFonts w:ascii="Calibri" w:hAnsi="Calibri" w:cs="Helv"/>
          <w:bCs/>
          <w:color w:val="000000"/>
        </w:rPr>
        <w:t xml:space="preserve"> 200</w:t>
      </w:r>
      <w:r w:rsidR="00CA0B59">
        <w:rPr>
          <w:rFonts w:ascii="Calibri" w:hAnsi="Calibri" w:cs="Helv"/>
          <w:bCs/>
          <w:color w:val="000000"/>
        </w:rPr>
        <w:t>2-10051 and 2001-01021</w:t>
      </w:r>
      <w:r w:rsidR="00021EF1">
        <w:rPr>
          <w:rFonts w:ascii="Calibri" w:hAnsi="Calibri" w:cs="Helv"/>
          <w:bCs/>
          <w:color w:val="000000"/>
        </w:rPr>
        <w:t xml:space="preserve"> and TAM 9308002</w:t>
      </w:r>
      <w:r w:rsidR="00CA0B59">
        <w:rPr>
          <w:rFonts w:ascii="Calibri" w:hAnsi="Calibri" w:cs="Helv"/>
          <w:bCs/>
          <w:color w:val="000000"/>
        </w:rPr>
        <w:t xml:space="preserve"> </w:t>
      </w:r>
      <w:r w:rsidR="00310E58">
        <w:rPr>
          <w:rFonts w:ascii="Calibri" w:hAnsi="Calibri" w:cs="Helv"/>
          <w:bCs/>
          <w:color w:val="000000"/>
        </w:rPr>
        <w:t xml:space="preserve">under similar facts </w:t>
      </w:r>
      <w:r w:rsidR="00AF2467">
        <w:rPr>
          <w:rFonts w:ascii="Calibri" w:hAnsi="Calibri" w:cs="Helv"/>
          <w:bCs/>
          <w:color w:val="000000"/>
        </w:rPr>
        <w:t xml:space="preserve">did address this issue, and </w:t>
      </w:r>
      <w:r w:rsidR="00CA3648">
        <w:rPr>
          <w:rFonts w:ascii="Calibri" w:hAnsi="Calibri" w:cs="Helv"/>
          <w:bCs/>
          <w:color w:val="000000"/>
        </w:rPr>
        <w:t>would deny the step up.</w:t>
      </w:r>
      <w:r w:rsidR="00AF2467">
        <w:rPr>
          <w:rStyle w:val="FootnoteReference"/>
          <w:rFonts w:ascii="Calibri" w:hAnsi="Calibri" w:cs="Helv"/>
          <w:bCs/>
          <w:color w:val="000000"/>
        </w:rPr>
        <w:footnoteReference w:id="219"/>
      </w:r>
      <w:r w:rsidR="00CA3648">
        <w:rPr>
          <w:rFonts w:ascii="Calibri" w:hAnsi="Calibri" w:cs="Helv"/>
          <w:bCs/>
          <w:color w:val="000000"/>
        </w:rPr>
        <w:t xml:space="preserve">  </w:t>
      </w:r>
      <w:r w:rsidR="00CA0B59">
        <w:rPr>
          <w:rFonts w:ascii="Calibri" w:hAnsi="Calibri" w:cs="Helv"/>
          <w:bCs/>
          <w:color w:val="000000"/>
        </w:rPr>
        <w:t xml:space="preserve">Or would </w:t>
      </w:r>
      <w:r w:rsidR="00021EF1">
        <w:rPr>
          <w:rFonts w:ascii="Calibri" w:hAnsi="Calibri" w:cs="Helv"/>
          <w:bCs/>
          <w:color w:val="000000"/>
        </w:rPr>
        <w:t>they</w:t>
      </w:r>
      <w:r w:rsidR="00CA0B59">
        <w:rPr>
          <w:rFonts w:ascii="Calibri" w:hAnsi="Calibri" w:cs="Helv"/>
          <w:bCs/>
          <w:color w:val="000000"/>
        </w:rPr>
        <w:t>?</w:t>
      </w:r>
      <w:r w:rsidR="00EB5289">
        <w:rPr>
          <w:rFonts w:ascii="Calibri" w:hAnsi="Calibri" w:cs="Helv"/>
          <w:bCs/>
          <w:color w:val="000000"/>
        </w:rPr>
        <w:t xml:space="preserve">  The</w:t>
      </w:r>
      <w:r w:rsidR="00FD73C0">
        <w:rPr>
          <w:rFonts w:ascii="Calibri" w:hAnsi="Calibri" w:cs="Helv"/>
          <w:bCs/>
          <w:color w:val="000000"/>
        </w:rPr>
        <w:t xml:space="preserve"> PLRs</w:t>
      </w:r>
      <w:r w:rsidR="00EB5289">
        <w:rPr>
          <w:rFonts w:ascii="Calibri" w:hAnsi="Calibri" w:cs="Helv"/>
          <w:bCs/>
          <w:color w:val="000000"/>
        </w:rPr>
        <w:t xml:space="preserve"> merely say that “Section 1014(e) will apply” – they do not say how and to what extent.</w:t>
      </w:r>
      <w:r w:rsidR="00FD73C0">
        <w:rPr>
          <w:rFonts w:ascii="Calibri" w:hAnsi="Calibri" w:cs="Helv"/>
          <w:bCs/>
          <w:color w:val="000000"/>
        </w:rPr>
        <w:t xml:space="preserve">  And the TAM addressed an outright to spouse scenario rather than a typical trust bequest.</w:t>
      </w:r>
    </w:p>
    <w:p w14:paraId="12F31AE6" w14:textId="77777777" w:rsidR="002770BE" w:rsidRDefault="00FD73C0" w:rsidP="004D5974">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lastRenderedPageBreak/>
        <w:t>Here is §1014(e)</w:t>
      </w:r>
      <w:r w:rsidR="002770BE">
        <w:rPr>
          <w:rFonts w:ascii="Calibri" w:hAnsi="Calibri" w:cs="Helv"/>
          <w:bCs/>
          <w:color w:val="000000"/>
        </w:rPr>
        <w:t xml:space="preserve"> in its entirety for better understanding:</w:t>
      </w:r>
    </w:p>
    <w:p w14:paraId="135BB323" w14:textId="77777777" w:rsidR="002770BE" w:rsidRDefault="002770BE" w:rsidP="00FD73C0">
      <w:pPr>
        <w:autoSpaceDE w:val="0"/>
        <w:autoSpaceDN w:val="0"/>
        <w:adjustRightInd w:val="0"/>
        <w:spacing w:line="240" w:lineRule="atLeast"/>
        <w:ind w:left="360"/>
        <w:rPr>
          <w:rFonts w:ascii="Verdana" w:hAnsi="Verdana"/>
          <w:color w:val="333333"/>
          <w:sz w:val="18"/>
          <w:szCs w:val="18"/>
        </w:rPr>
      </w:pPr>
      <w:bookmarkStart w:id="3" w:name="TOC"/>
      <w:r>
        <w:rPr>
          <w:rFonts w:ascii="Verdana" w:hAnsi="Verdana"/>
          <w:color w:val="333333"/>
          <w:sz w:val="18"/>
          <w:szCs w:val="18"/>
        </w:rPr>
        <w:t>“</w:t>
      </w:r>
      <w:r w:rsidRPr="002770BE">
        <w:rPr>
          <w:rFonts w:ascii="Verdana" w:hAnsi="Verdana"/>
          <w:color w:val="333333"/>
          <w:sz w:val="18"/>
          <w:szCs w:val="18"/>
        </w:rPr>
        <w:t>(e) Appreciated property acquired by decedent by gift within 1 year of death.</w:t>
      </w:r>
      <w:r w:rsidRPr="002770BE">
        <w:rPr>
          <w:rFonts w:ascii="Verdana" w:hAnsi="Verdana"/>
          <w:color w:val="333333"/>
          <w:sz w:val="18"/>
          <w:szCs w:val="18"/>
        </w:rPr>
        <w:br/>
        <w:t xml:space="preserve">   (1) In general. In the case of a decedent dying after December 31, 1981, </w:t>
      </w:r>
      <w:r w:rsidRPr="009C07B1">
        <w:rPr>
          <w:rFonts w:ascii="Verdana" w:hAnsi="Verdana"/>
          <w:b/>
          <w:color w:val="333333"/>
          <w:sz w:val="18"/>
          <w:szCs w:val="18"/>
        </w:rPr>
        <w:t>if--</w:t>
      </w:r>
      <w:r w:rsidRPr="009C07B1">
        <w:rPr>
          <w:rFonts w:ascii="Verdana" w:hAnsi="Verdana"/>
          <w:b/>
          <w:color w:val="333333"/>
          <w:sz w:val="18"/>
          <w:szCs w:val="18"/>
        </w:rPr>
        <w:br/>
        <w:t xml:space="preserve">      (A) appreciated property was acquired </w:t>
      </w:r>
      <w:r w:rsidRPr="00507225">
        <w:rPr>
          <w:rFonts w:ascii="Verdana" w:hAnsi="Verdana"/>
          <w:b/>
          <w:i/>
          <w:color w:val="333333"/>
          <w:sz w:val="18"/>
          <w:szCs w:val="18"/>
        </w:rPr>
        <w:t>by the decedent</w:t>
      </w:r>
      <w:r w:rsidRPr="009C07B1">
        <w:rPr>
          <w:rFonts w:ascii="Verdana" w:hAnsi="Verdana"/>
          <w:b/>
          <w:color w:val="333333"/>
          <w:sz w:val="18"/>
          <w:szCs w:val="18"/>
        </w:rPr>
        <w:t xml:space="preserve"> by gift during the 1-year period ending on the date of the decedent's death, and</w:t>
      </w:r>
      <w:r w:rsidRPr="009C07B1">
        <w:rPr>
          <w:rFonts w:ascii="Verdana" w:hAnsi="Verdana"/>
          <w:b/>
          <w:color w:val="333333"/>
          <w:sz w:val="18"/>
          <w:szCs w:val="18"/>
        </w:rPr>
        <w:br/>
        <w:t xml:space="preserve">      (B) such property is acquired </w:t>
      </w:r>
      <w:r w:rsidRPr="00507225">
        <w:rPr>
          <w:rFonts w:ascii="Verdana" w:hAnsi="Verdana"/>
          <w:b/>
          <w:i/>
          <w:color w:val="333333"/>
          <w:sz w:val="18"/>
          <w:szCs w:val="18"/>
        </w:rPr>
        <w:t>from the decedent</w:t>
      </w:r>
      <w:r w:rsidRPr="009C07B1">
        <w:rPr>
          <w:rFonts w:ascii="Verdana" w:hAnsi="Verdana"/>
          <w:b/>
          <w:color w:val="333333"/>
          <w:sz w:val="18"/>
          <w:szCs w:val="18"/>
        </w:rPr>
        <w:t xml:space="preserve"> by (or passes from the decedent to) the donor of such property (or the spouse of such donor),</w:t>
      </w:r>
      <w:r w:rsidRPr="009C07B1">
        <w:rPr>
          <w:rFonts w:ascii="Verdana" w:hAnsi="Verdana"/>
          <w:b/>
          <w:color w:val="333333"/>
          <w:sz w:val="18"/>
          <w:szCs w:val="18"/>
        </w:rPr>
        <w:br/>
        <w:t>   the basis of such property in the hands of such donor (or spouse) shall be the adjusted basis of such property in the hands of the decedent immediately before the death of the decedent.</w:t>
      </w:r>
      <w:r w:rsidRPr="002770BE">
        <w:rPr>
          <w:rFonts w:ascii="Verdana" w:hAnsi="Verdana"/>
          <w:color w:val="333333"/>
          <w:sz w:val="18"/>
          <w:szCs w:val="18"/>
        </w:rPr>
        <w:br/>
        <w:t>   (2) Definitions. For purposes of paragraph (1)--</w:t>
      </w:r>
      <w:r w:rsidRPr="002770BE">
        <w:rPr>
          <w:rFonts w:ascii="Verdana" w:hAnsi="Verdana"/>
          <w:color w:val="333333"/>
          <w:sz w:val="18"/>
          <w:szCs w:val="18"/>
        </w:rPr>
        <w:br/>
        <w:t>      (A) Appreciated property. The term "appreciated property" means any property if the fair market value of such property on the day it was transferred to the decedent by gift exceeds its adjusted basis.</w:t>
      </w:r>
      <w:r w:rsidRPr="002770BE">
        <w:rPr>
          <w:rFonts w:ascii="Verdana" w:hAnsi="Verdana"/>
          <w:color w:val="333333"/>
          <w:sz w:val="18"/>
          <w:szCs w:val="18"/>
        </w:rPr>
        <w:br/>
        <w:t xml:space="preserve">      (B) Treatment of certain property sold by estate. In the case of any appreciated property described in subparagraph (A) of paragraph (1) sold by the estate of the decedent or by a trust of which the decedent was the grantor, </w:t>
      </w:r>
      <w:r w:rsidRPr="009C07B1">
        <w:rPr>
          <w:rFonts w:ascii="Verdana" w:hAnsi="Verdana"/>
          <w:b/>
          <w:color w:val="333333"/>
          <w:sz w:val="18"/>
          <w:szCs w:val="18"/>
        </w:rPr>
        <w:t>rules similar to the rules of paragraph (1) shall apply to the extent the donor of such property (or the spouse of such donor) is entitled to the proceeds from such sale</w:t>
      </w:r>
      <w:r w:rsidRPr="002770BE">
        <w:rPr>
          <w:rFonts w:ascii="Verdana" w:hAnsi="Verdana"/>
          <w:color w:val="333333"/>
          <w:sz w:val="18"/>
          <w:szCs w:val="18"/>
        </w:rPr>
        <w:t>.</w:t>
      </w:r>
      <w:bookmarkEnd w:id="3"/>
    </w:p>
    <w:p w14:paraId="3FF4076D" w14:textId="77777777" w:rsidR="002770BE" w:rsidRPr="002770BE" w:rsidRDefault="002770BE" w:rsidP="002770BE">
      <w:pPr>
        <w:autoSpaceDE w:val="0"/>
        <w:autoSpaceDN w:val="0"/>
        <w:adjustRightInd w:val="0"/>
        <w:ind w:left="720"/>
        <w:rPr>
          <w:rFonts w:ascii="Calibri" w:hAnsi="Calibri" w:cs="Helv"/>
          <w:bCs/>
          <w:color w:val="000000"/>
          <w:sz w:val="18"/>
          <w:szCs w:val="18"/>
        </w:rPr>
      </w:pPr>
    </w:p>
    <w:p w14:paraId="0FCDC5E7" w14:textId="77777777" w:rsidR="0024797E" w:rsidRDefault="007628C9" w:rsidP="004D5974">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Did H “acquire the property by gift”?  Arguably, H </w:t>
      </w:r>
      <w:r w:rsidR="00AC627C">
        <w:rPr>
          <w:rFonts w:ascii="Calibri" w:hAnsi="Calibri" w:cs="Helv"/>
          <w:bCs/>
          <w:color w:val="000000"/>
        </w:rPr>
        <w:t>never received the property</w:t>
      </w:r>
      <w:r>
        <w:rPr>
          <w:rFonts w:ascii="Calibri" w:hAnsi="Calibri" w:cs="Helv"/>
          <w:bCs/>
          <w:color w:val="000000"/>
        </w:rPr>
        <w:t xml:space="preserve"> – for the same good reasons that argue </w:t>
      </w:r>
      <w:r w:rsidRPr="009C07B1">
        <w:rPr>
          <w:rFonts w:ascii="Calibri" w:hAnsi="Calibri" w:cs="Helv"/>
          <w:bCs/>
          <w:i/>
          <w:color w:val="000000"/>
        </w:rPr>
        <w:t>against</w:t>
      </w:r>
      <w:r>
        <w:rPr>
          <w:rFonts w:ascii="Calibri" w:hAnsi="Calibri" w:cs="Helv"/>
          <w:bCs/>
          <w:color w:val="000000"/>
        </w:rPr>
        <w:t xml:space="preserve"> the marital gift tax deduction under IRC §2523 – he was dead at the time of the completed gift, so how can a </w:t>
      </w:r>
      <w:r w:rsidRPr="007223CB">
        <w:rPr>
          <w:rFonts w:ascii="Calibri" w:hAnsi="Calibri" w:cs="Helv"/>
          <w:bCs/>
          <w:i/>
          <w:color w:val="000000"/>
        </w:rPr>
        <w:t>corpse</w:t>
      </w:r>
      <w:r>
        <w:rPr>
          <w:rFonts w:ascii="Calibri" w:hAnsi="Calibri" w:cs="Helv"/>
          <w:bCs/>
          <w:color w:val="000000"/>
        </w:rPr>
        <w:t xml:space="preserve"> </w:t>
      </w:r>
      <w:r w:rsidR="00AC627C">
        <w:rPr>
          <w:rFonts w:ascii="Calibri" w:hAnsi="Calibri" w:cs="Helv"/>
          <w:bCs/>
          <w:color w:val="000000"/>
        </w:rPr>
        <w:t xml:space="preserve">receive a </w:t>
      </w:r>
      <w:r>
        <w:rPr>
          <w:rFonts w:ascii="Calibri" w:hAnsi="Calibri" w:cs="Helv"/>
          <w:bCs/>
          <w:color w:val="000000"/>
        </w:rPr>
        <w:t xml:space="preserve">gift?  </w:t>
      </w:r>
      <w:r w:rsidR="00AC627C">
        <w:rPr>
          <w:rFonts w:ascii="Calibri" w:hAnsi="Calibri" w:cs="Helv"/>
          <w:bCs/>
          <w:color w:val="000000"/>
        </w:rPr>
        <w:t>Quite simply, the property was never</w:t>
      </w:r>
      <w:r w:rsidR="009354DE">
        <w:rPr>
          <w:rFonts w:ascii="Calibri" w:hAnsi="Calibri" w:cs="Helv"/>
          <w:bCs/>
          <w:color w:val="000000"/>
        </w:rPr>
        <w:t xml:space="preserve"> “ac</w:t>
      </w:r>
      <w:r w:rsidR="00AC627C">
        <w:rPr>
          <w:rFonts w:ascii="Calibri" w:hAnsi="Calibri" w:cs="Helv"/>
          <w:bCs/>
          <w:color w:val="000000"/>
        </w:rPr>
        <w:t>quired by the decedent by gift”.</w:t>
      </w:r>
      <w:r w:rsidR="009354DE">
        <w:rPr>
          <w:rFonts w:ascii="Calibri" w:hAnsi="Calibri" w:cs="Helv"/>
          <w:bCs/>
          <w:color w:val="000000"/>
        </w:rPr>
        <w:t xml:space="preserve">  </w:t>
      </w:r>
      <w:r w:rsidR="00E34C4A">
        <w:rPr>
          <w:rFonts w:ascii="Calibri" w:hAnsi="Calibri" w:cs="Helv"/>
          <w:bCs/>
          <w:color w:val="000000"/>
        </w:rPr>
        <w:t>Although Congress is not required to be consistent or even logical, t</w:t>
      </w:r>
      <w:r>
        <w:rPr>
          <w:rFonts w:ascii="Calibri" w:hAnsi="Calibri" w:cs="Helv"/>
          <w:bCs/>
          <w:color w:val="000000"/>
        </w:rPr>
        <w:t xml:space="preserve">he </w:t>
      </w:r>
      <w:r w:rsidR="00E34C4A">
        <w:rPr>
          <w:rFonts w:ascii="Calibri" w:hAnsi="Calibri" w:cs="Helv"/>
          <w:bCs/>
          <w:color w:val="000000"/>
        </w:rPr>
        <w:t>interpretation of these two sections</w:t>
      </w:r>
      <w:r>
        <w:rPr>
          <w:rFonts w:ascii="Calibri" w:hAnsi="Calibri" w:cs="Helv"/>
          <w:bCs/>
          <w:color w:val="000000"/>
        </w:rPr>
        <w:t xml:space="preserve"> </w:t>
      </w:r>
      <w:r w:rsidR="00E34C4A">
        <w:rPr>
          <w:rFonts w:ascii="Calibri" w:hAnsi="Calibri" w:cs="Helv"/>
          <w:bCs/>
          <w:color w:val="000000"/>
        </w:rPr>
        <w:t>should</w:t>
      </w:r>
      <w:r>
        <w:rPr>
          <w:rFonts w:ascii="Calibri" w:hAnsi="Calibri" w:cs="Helv"/>
          <w:bCs/>
          <w:color w:val="000000"/>
        </w:rPr>
        <w:t xml:space="preserve"> be consistent </w:t>
      </w:r>
      <w:r w:rsidR="0024797E">
        <w:rPr>
          <w:rFonts w:ascii="Calibri" w:hAnsi="Calibri" w:cs="Helv"/>
          <w:bCs/>
          <w:color w:val="000000"/>
        </w:rPr>
        <w:t>regarding</w:t>
      </w:r>
      <w:r>
        <w:rPr>
          <w:rFonts w:ascii="Calibri" w:hAnsi="Calibri" w:cs="Helv"/>
          <w:bCs/>
          <w:color w:val="000000"/>
        </w:rPr>
        <w:t xml:space="preserve"> </w:t>
      </w:r>
      <w:r w:rsidR="00E34C4A">
        <w:rPr>
          <w:rFonts w:ascii="Calibri" w:hAnsi="Calibri" w:cs="Helv"/>
          <w:bCs/>
          <w:color w:val="000000"/>
        </w:rPr>
        <w:t>the tax treatment of a transfer occurring at death</w:t>
      </w:r>
      <w:r>
        <w:rPr>
          <w:rFonts w:ascii="Calibri" w:hAnsi="Calibri" w:cs="Helv"/>
          <w:bCs/>
          <w:color w:val="000000"/>
        </w:rPr>
        <w:t xml:space="preserve">.  </w:t>
      </w:r>
      <w:r w:rsidR="0024797E">
        <w:rPr>
          <w:rFonts w:ascii="Calibri" w:hAnsi="Calibri" w:cs="Helv"/>
          <w:bCs/>
          <w:color w:val="000000"/>
        </w:rPr>
        <w:t xml:space="preserve">Either </w:t>
      </w:r>
      <w:r w:rsidR="009354DE">
        <w:rPr>
          <w:rFonts w:ascii="Calibri" w:hAnsi="Calibri" w:cs="Helv"/>
          <w:bCs/>
          <w:color w:val="000000"/>
        </w:rPr>
        <w:t>a court should deem</w:t>
      </w:r>
      <w:r w:rsidR="0024797E">
        <w:rPr>
          <w:rFonts w:ascii="Calibri" w:hAnsi="Calibri" w:cs="Helv"/>
          <w:bCs/>
          <w:color w:val="000000"/>
        </w:rPr>
        <w:t xml:space="preserve"> the recipient alive at the moment of transfer, in which case §2523 AND §1014(e) apply, or, you deem the recipient dead at the moment of transfer, in which case </w:t>
      </w:r>
      <w:r w:rsidR="00EF1533">
        <w:rPr>
          <w:rFonts w:ascii="Calibri" w:hAnsi="Calibri" w:cs="Helv"/>
          <w:bCs/>
          <w:color w:val="000000"/>
        </w:rPr>
        <w:t>NEITHER</w:t>
      </w:r>
      <w:r w:rsidR="0024797E">
        <w:rPr>
          <w:rFonts w:ascii="Calibri" w:hAnsi="Calibri" w:cs="Helv"/>
          <w:bCs/>
          <w:color w:val="000000"/>
        </w:rPr>
        <w:t xml:space="preserve"> §2523 NOR §1014(e) apply.</w:t>
      </w:r>
    </w:p>
    <w:p w14:paraId="642DF892" w14:textId="77777777" w:rsidR="00491FB5" w:rsidRDefault="0024797E" w:rsidP="004D5974">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While some practitioners scathingly dismissed the former interpretation as a “gift to a corpse”,</w:t>
      </w:r>
      <w:r w:rsidR="00AC627C">
        <w:rPr>
          <w:rFonts w:ascii="Calibri" w:hAnsi="Calibri" w:cs="Helv"/>
          <w:bCs/>
          <w:color w:val="000000"/>
        </w:rPr>
        <w:t xml:space="preserve"> it is just as logical to say that you cannot have a “gift to a corpse” for §1014(e).  T</w:t>
      </w:r>
      <w:r>
        <w:rPr>
          <w:rFonts w:ascii="Calibri" w:hAnsi="Calibri" w:cs="Helv"/>
          <w:bCs/>
          <w:color w:val="000000"/>
        </w:rPr>
        <w:t>he IRS may ultimately have been quite savvy to have allowed th</w:t>
      </w:r>
      <w:r w:rsidR="00AC627C">
        <w:rPr>
          <w:rFonts w:ascii="Calibri" w:hAnsi="Calibri" w:cs="Helv"/>
          <w:bCs/>
          <w:color w:val="000000"/>
        </w:rPr>
        <w:t>e former</w:t>
      </w:r>
      <w:r>
        <w:rPr>
          <w:rFonts w:ascii="Calibri" w:hAnsi="Calibri" w:cs="Helv"/>
          <w:bCs/>
          <w:color w:val="000000"/>
        </w:rPr>
        <w:t xml:space="preserve"> interpretation, in that consistency would assure that</w:t>
      </w:r>
      <w:r w:rsidR="007628C9">
        <w:rPr>
          <w:rFonts w:ascii="Calibri" w:hAnsi="Calibri" w:cs="Helv"/>
          <w:bCs/>
          <w:color w:val="000000"/>
        </w:rPr>
        <w:t xml:space="preserve"> </w:t>
      </w:r>
      <w:r w:rsidR="00E34C4A">
        <w:rPr>
          <w:rFonts w:ascii="Calibri" w:hAnsi="Calibri" w:cs="Helv"/>
          <w:bCs/>
          <w:color w:val="000000"/>
        </w:rPr>
        <w:t>§</w:t>
      </w:r>
      <w:r w:rsidR="007628C9">
        <w:rPr>
          <w:rFonts w:ascii="Calibri" w:hAnsi="Calibri" w:cs="Helv"/>
          <w:bCs/>
          <w:color w:val="000000"/>
        </w:rPr>
        <w:t xml:space="preserve">1014(e) </w:t>
      </w:r>
      <w:r>
        <w:rPr>
          <w:rFonts w:ascii="Calibri" w:hAnsi="Calibri" w:cs="Helv"/>
          <w:bCs/>
          <w:color w:val="000000"/>
        </w:rPr>
        <w:t xml:space="preserve">also applies, and that </w:t>
      </w:r>
      <w:r w:rsidR="009354DE">
        <w:rPr>
          <w:rFonts w:ascii="Calibri" w:hAnsi="Calibri" w:cs="Helv"/>
          <w:bCs/>
          <w:color w:val="000000"/>
        </w:rPr>
        <w:t xml:space="preserve">interpretation </w:t>
      </w:r>
      <w:r>
        <w:rPr>
          <w:rFonts w:ascii="Calibri" w:hAnsi="Calibri" w:cs="Helv"/>
          <w:bCs/>
          <w:color w:val="000000"/>
        </w:rPr>
        <w:t xml:space="preserve">may </w:t>
      </w:r>
      <w:r w:rsidR="009354DE">
        <w:rPr>
          <w:rFonts w:ascii="Calibri" w:hAnsi="Calibri" w:cs="Helv"/>
          <w:bCs/>
          <w:color w:val="000000"/>
        </w:rPr>
        <w:t xml:space="preserve">ultimately </w:t>
      </w:r>
      <w:r>
        <w:rPr>
          <w:rFonts w:ascii="Calibri" w:hAnsi="Calibri" w:cs="Helv"/>
          <w:bCs/>
          <w:color w:val="000000"/>
        </w:rPr>
        <w:t>be more valuable to the federal fisc</w:t>
      </w:r>
      <w:r w:rsidR="007628C9">
        <w:rPr>
          <w:rFonts w:ascii="Calibri" w:hAnsi="Calibri" w:cs="Helv"/>
          <w:bCs/>
          <w:color w:val="000000"/>
        </w:rPr>
        <w:t>.</w:t>
      </w:r>
    </w:p>
    <w:p w14:paraId="52A5E815" w14:textId="77777777" w:rsidR="00E85F63" w:rsidRDefault="007628C9" w:rsidP="00E85F63">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Let’s assume H did </w:t>
      </w:r>
      <w:r w:rsidR="009C07B1">
        <w:rPr>
          <w:rFonts w:ascii="Calibri" w:hAnsi="Calibri" w:cs="Helv"/>
          <w:bCs/>
          <w:color w:val="000000"/>
        </w:rPr>
        <w:t>“</w:t>
      </w:r>
      <w:r>
        <w:rPr>
          <w:rFonts w:ascii="Calibri" w:hAnsi="Calibri" w:cs="Helv"/>
          <w:bCs/>
          <w:color w:val="000000"/>
        </w:rPr>
        <w:t>acquire</w:t>
      </w:r>
      <w:r w:rsidR="009C07B1">
        <w:rPr>
          <w:rFonts w:ascii="Calibri" w:hAnsi="Calibri" w:cs="Helv"/>
          <w:bCs/>
          <w:color w:val="000000"/>
        </w:rPr>
        <w:t>”</w:t>
      </w:r>
      <w:r>
        <w:rPr>
          <w:rFonts w:ascii="Calibri" w:hAnsi="Calibri" w:cs="Helv"/>
          <w:bCs/>
          <w:color w:val="000000"/>
        </w:rPr>
        <w:t xml:space="preserve"> the $2 million </w:t>
      </w:r>
      <w:r w:rsidR="009C07B1">
        <w:rPr>
          <w:rFonts w:ascii="Calibri" w:hAnsi="Calibri" w:cs="Helv"/>
          <w:bCs/>
          <w:color w:val="000000"/>
        </w:rPr>
        <w:t>“</w:t>
      </w:r>
      <w:r>
        <w:rPr>
          <w:rFonts w:ascii="Calibri" w:hAnsi="Calibri" w:cs="Helv"/>
          <w:bCs/>
          <w:color w:val="000000"/>
        </w:rPr>
        <w:t>by gift</w:t>
      </w:r>
      <w:r w:rsidR="009C07B1">
        <w:rPr>
          <w:rFonts w:ascii="Calibri" w:hAnsi="Calibri" w:cs="Helv"/>
          <w:bCs/>
          <w:color w:val="000000"/>
        </w:rPr>
        <w:t>”</w:t>
      </w:r>
      <w:r w:rsidR="00BD2EE4">
        <w:rPr>
          <w:rFonts w:ascii="Calibri" w:hAnsi="Calibri" w:cs="Helv"/>
          <w:bCs/>
          <w:color w:val="000000"/>
        </w:rPr>
        <w:t xml:space="preserve"> prior to death (consistent with the IRS’ §2523 rulings in the four PLRs/TAM)</w:t>
      </w:r>
      <w:r>
        <w:rPr>
          <w:rFonts w:ascii="Calibri" w:hAnsi="Calibri" w:cs="Helv"/>
          <w:bCs/>
          <w:color w:val="000000"/>
        </w:rPr>
        <w:t xml:space="preserve"> and address the second prong</w:t>
      </w:r>
      <w:r w:rsidR="00AC627C">
        <w:rPr>
          <w:rFonts w:ascii="Calibri" w:hAnsi="Calibri" w:cs="Helv"/>
          <w:bCs/>
          <w:color w:val="000000"/>
        </w:rPr>
        <w:t xml:space="preserve"> of §1014(e)</w:t>
      </w:r>
      <w:r>
        <w:rPr>
          <w:rFonts w:ascii="Calibri" w:hAnsi="Calibri" w:cs="Helv"/>
          <w:bCs/>
          <w:color w:val="000000"/>
        </w:rPr>
        <w:t>.</w:t>
      </w:r>
      <w:r w:rsidR="00737D24">
        <w:rPr>
          <w:rFonts w:ascii="Calibri" w:hAnsi="Calibri" w:cs="Helv"/>
          <w:bCs/>
          <w:color w:val="000000"/>
        </w:rPr>
        <w:t xml:space="preserve">  Is it “acquired by the donor”?</w:t>
      </w:r>
      <w:r w:rsidR="00ED7300">
        <w:rPr>
          <w:rFonts w:ascii="Calibri" w:hAnsi="Calibri" w:cs="Helv"/>
          <w:bCs/>
          <w:color w:val="000000"/>
        </w:rPr>
        <w:t xml:space="preserve">  The simple answer in our case is “no”, it is acquired by a trust in which the donor is a ben</w:t>
      </w:r>
      <w:r w:rsidR="00BD2EE4">
        <w:rPr>
          <w:rFonts w:ascii="Calibri" w:hAnsi="Calibri" w:cs="Helv"/>
          <w:bCs/>
          <w:color w:val="000000"/>
        </w:rPr>
        <w:t>eficiary.  But trusts are simply</w:t>
      </w:r>
      <w:r w:rsidR="00ED7300">
        <w:rPr>
          <w:rFonts w:ascii="Calibri" w:hAnsi="Calibri" w:cs="Helv"/>
          <w:bCs/>
          <w:color w:val="000000"/>
        </w:rPr>
        <w:t xml:space="preserve"> legal fictions dividing legal and </w:t>
      </w:r>
      <w:r w:rsidR="00ED7300">
        <w:rPr>
          <w:rFonts w:ascii="Calibri" w:hAnsi="Calibri" w:cs="Helv"/>
          <w:bCs/>
          <w:color w:val="000000"/>
        </w:rPr>
        <w:lastRenderedPageBreak/>
        <w:t xml:space="preserve">equitable title, obviously W is acquiring part of the equitable title.    In addition, PLRs </w:t>
      </w:r>
      <w:r w:rsidR="00BD2EE4">
        <w:rPr>
          <w:rFonts w:ascii="Calibri" w:hAnsi="Calibri" w:cs="Helv"/>
          <w:bCs/>
          <w:color w:val="000000"/>
        </w:rPr>
        <w:t xml:space="preserve">2001-01021 and 2002-10051 </w:t>
      </w:r>
      <w:r w:rsidR="00ED7300">
        <w:rPr>
          <w:rFonts w:ascii="Calibri" w:hAnsi="Calibri" w:cs="Helv"/>
          <w:bCs/>
          <w:color w:val="000000"/>
        </w:rPr>
        <w:t xml:space="preserve">cite the Congressional record – </w:t>
      </w:r>
      <w:r w:rsidR="00BD2EE4">
        <w:rPr>
          <w:rFonts w:ascii="Calibri" w:hAnsi="Calibri" w:cs="Helv"/>
          <w:bCs/>
          <w:color w:val="000000"/>
        </w:rPr>
        <w:t>§1014(e)</w:t>
      </w:r>
      <w:r w:rsidR="00ED7300">
        <w:rPr>
          <w:rFonts w:ascii="Calibri" w:hAnsi="Calibri" w:cs="Helv"/>
          <w:bCs/>
          <w:color w:val="000000"/>
        </w:rPr>
        <w:t xml:space="preserve"> should apply to property “acquired by the donor…indirectly”.  </w:t>
      </w:r>
      <w:r w:rsidR="00E85F63">
        <w:rPr>
          <w:rFonts w:ascii="Calibri" w:hAnsi="Calibri" w:cs="Helv"/>
          <w:bCs/>
          <w:color w:val="000000"/>
        </w:rPr>
        <w:t>One recent prominent</w:t>
      </w:r>
      <w:r w:rsidR="00E85F63" w:rsidRPr="00E85F63">
        <w:rPr>
          <w:rFonts w:ascii="Calibri" w:hAnsi="Calibri" w:cs="Helv"/>
          <w:bCs/>
          <w:color w:val="000000"/>
        </w:rPr>
        <w:t xml:space="preserve"> tax court case </w:t>
      </w:r>
      <w:r w:rsidR="00E85F63">
        <w:rPr>
          <w:rFonts w:ascii="Calibri" w:hAnsi="Calibri" w:cs="Helv"/>
          <w:bCs/>
          <w:color w:val="000000"/>
        </w:rPr>
        <w:t>ruling</w:t>
      </w:r>
      <w:r w:rsidR="00E85F63" w:rsidRPr="00E85F63">
        <w:rPr>
          <w:rFonts w:ascii="Calibri" w:hAnsi="Calibri" w:cs="Helv"/>
          <w:bCs/>
          <w:color w:val="000000"/>
        </w:rPr>
        <w:t xml:space="preserve"> </w:t>
      </w:r>
      <w:r w:rsidR="00E85F63">
        <w:rPr>
          <w:rFonts w:ascii="Calibri" w:hAnsi="Calibri" w:cs="Helv"/>
          <w:bCs/>
          <w:color w:val="000000"/>
        </w:rPr>
        <w:t>appears</w:t>
      </w:r>
      <w:r w:rsidR="00E85F63" w:rsidRPr="00E85F63">
        <w:rPr>
          <w:rFonts w:ascii="Calibri" w:hAnsi="Calibri" w:cs="Helv"/>
          <w:bCs/>
          <w:color w:val="000000"/>
        </w:rPr>
        <w:t xml:space="preserve"> to </w:t>
      </w:r>
      <w:r w:rsidR="00E85F63">
        <w:rPr>
          <w:rFonts w:ascii="Calibri" w:hAnsi="Calibri" w:cs="Helv"/>
          <w:bCs/>
          <w:color w:val="000000"/>
        </w:rPr>
        <w:t>indicate that a trust back to a donor/spouse within one year should not trigger IRC §1014(e), or at least that the IRS and tax court are ignoring the issue.</w:t>
      </w:r>
      <w:r w:rsidR="00E85F63">
        <w:rPr>
          <w:rStyle w:val="FootnoteReference"/>
          <w:rFonts w:ascii="Calibri" w:hAnsi="Calibri" w:cs="Helv"/>
          <w:bCs/>
          <w:color w:val="000000"/>
        </w:rPr>
        <w:footnoteReference w:id="220"/>
      </w:r>
    </w:p>
    <w:p w14:paraId="496D4B97" w14:textId="03192CC4" w:rsidR="009C4A29" w:rsidRDefault="00E85F63" w:rsidP="007C3995">
      <w:pPr>
        <w:autoSpaceDE w:val="0"/>
        <w:autoSpaceDN w:val="0"/>
        <w:adjustRightInd w:val="0"/>
        <w:spacing w:line="360" w:lineRule="auto"/>
        <w:ind w:firstLine="720"/>
        <w:rPr>
          <w:rFonts w:ascii="Calibri" w:hAnsi="Calibri" w:cs="Helv"/>
          <w:bCs/>
          <w:color w:val="000000"/>
        </w:rPr>
      </w:pPr>
      <w:r w:rsidRPr="00E85F63">
        <w:rPr>
          <w:rFonts w:ascii="Calibri" w:hAnsi="Calibri" w:cs="Helv"/>
          <w:bCs/>
          <w:color w:val="000000"/>
        </w:rPr>
        <w:t xml:space="preserve"> </w:t>
      </w:r>
      <w:r>
        <w:rPr>
          <w:rFonts w:ascii="Calibri" w:hAnsi="Calibri" w:cs="Helv"/>
          <w:bCs/>
          <w:color w:val="000000"/>
        </w:rPr>
        <w:t>IRC §10</w:t>
      </w:r>
      <w:r w:rsidR="00AD06BE">
        <w:rPr>
          <w:rFonts w:ascii="Calibri" w:hAnsi="Calibri" w:cs="Helv"/>
          <w:bCs/>
          <w:color w:val="000000"/>
        </w:rPr>
        <w:t>14</w:t>
      </w:r>
      <w:r>
        <w:rPr>
          <w:rFonts w:ascii="Calibri" w:hAnsi="Calibri" w:cs="Helv"/>
          <w:bCs/>
          <w:color w:val="000000"/>
        </w:rPr>
        <w:t>(e)(2)(B) contemplates this possibility by specifically including someone who inherits outright through an estate or trust “to the extent the donor …is entitled to proceeds from such sale”.</w:t>
      </w:r>
      <w:r w:rsidR="001449E5">
        <w:rPr>
          <w:rFonts w:ascii="Calibri" w:hAnsi="Calibri" w:cs="Helv"/>
          <w:bCs/>
          <w:color w:val="000000"/>
        </w:rPr>
        <w:t xml:space="preserve"> </w:t>
      </w:r>
      <w:r w:rsidR="009C4A29">
        <w:rPr>
          <w:rFonts w:ascii="Calibri" w:hAnsi="Calibri" w:cs="Helv"/>
          <w:bCs/>
          <w:color w:val="000000"/>
        </w:rPr>
        <w:t>But what to make of the first part of that senten</w:t>
      </w:r>
      <w:r w:rsidR="00584F34">
        <w:rPr>
          <w:rFonts w:ascii="Calibri" w:hAnsi="Calibri" w:cs="Helv"/>
          <w:bCs/>
          <w:color w:val="000000"/>
        </w:rPr>
        <w:t xml:space="preserve">ce – does it only affect basis </w:t>
      </w:r>
      <w:r w:rsidR="00584F34" w:rsidRPr="00584F34">
        <w:rPr>
          <w:rFonts w:ascii="Calibri" w:hAnsi="Calibri" w:cs="Helv"/>
          <w:bCs/>
          <w:i/>
          <w:color w:val="000000"/>
        </w:rPr>
        <w:t>when sold</w:t>
      </w:r>
      <w:r w:rsidR="000B77C3">
        <w:rPr>
          <w:rFonts w:ascii="Calibri" w:hAnsi="Calibri" w:cs="Helv"/>
          <w:bCs/>
          <w:color w:val="000000"/>
        </w:rPr>
        <w:t xml:space="preserve"> </w:t>
      </w:r>
      <w:r w:rsidR="009C4A29">
        <w:rPr>
          <w:rFonts w:ascii="Calibri" w:hAnsi="Calibri" w:cs="Helv"/>
          <w:bCs/>
          <w:color w:val="000000"/>
        </w:rPr>
        <w:t xml:space="preserve"> – </w:t>
      </w:r>
      <w:r w:rsidR="009C4A29" w:rsidRPr="000E251E">
        <w:rPr>
          <w:rFonts w:ascii="Calibri" w:hAnsi="Calibri" w:cs="Helv"/>
          <w:bCs/>
          <w:i/>
          <w:color w:val="000000"/>
        </w:rPr>
        <w:t>what about for depreciation purposes</w:t>
      </w:r>
      <w:r w:rsidR="009C4A29">
        <w:rPr>
          <w:rFonts w:ascii="Calibri" w:hAnsi="Calibri" w:cs="Helv"/>
          <w:bCs/>
          <w:color w:val="000000"/>
        </w:rPr>
        <w:t xml:space="preserve">?  </w:t>
      </w:r>
      <w:r w:rsidR="000B77C3">
        <w:rPr>
          <w:rFonts w:ascii="Calibri" w:hAnsi="Calibri" w:cs="Helv"/>
          <w:bCs/>
          <w:color w:val="000000"/>
        </w:rPr>
        <w:t xml:space="preserve"> What about t</w:t>
      </w:r>
      <w:r w:rsidR="009C4A29">
        <w:rPr>
          <w:rFonts w:ascii="Calibri" w:hAnsi="Calibri" w:cs="Helv"/>
          <w:bCs/>
          <w:color w:val="000000"/>
        </w:rPr>
        <w:t>ax-free exchange</w:t>
      </w:r>
      <w:r w:rsidR="000B77C3">
        <w:rPr>
          <w:rFonts w:ascii="Calibri" w:hAnsi="Calibri" w:cs="Helv"/>
          <w:bCs/>
          <w:color w:val="000000"/>
        </w:rPr>
        <w:t>s, distributions</w:t>
      </w:r>
      <w:r w:rsidR="009C4A29">
        <w:rPr>
          <w:rFonts w:ascii="Calibri" w:hAnsi="Calibri" w:cs="Helv"/>
          <w:bCs/>
          <w:color w:val="000000"/>
        </w:rPr>
        <w:t>?</w:t>
      </w:r>
      <w:r w:rsidR="000B77C3" w:rsidRPr="000B77C3">
        <w:rPr>
          <w:rFonts w:ascii="Calibri" w:hAnsi="Calibri" w:cs="Helv"/>
          <w:bCs/>
          <w:color w:val="000000"/>
        </w:rPr>
        <w:t xml:space="preserve"> </w:t>
      </w:r>
      <w:r w:rsidR="000B77C3">
        <w:rPr>
          <w:rFonts w:ascii="Calibri" w:hAnsi="Calibri" w:cs="Helv"/>
          <w:bCs/>
          <w:color w:val="000000"/>
        </w:rPr>
        <w:t>(an interpretation requiring later tracing makes little sense</w:t>
      </w:r>
      <w:r w:rsidR="00D616AD">
        <w:rPr>
          <w:rFonts w:ascii="Calibri" w:hAnsi="Calibri" w:cs="Helv"/>
          <w:bCs/>
          <w:color w:val="000000"/>
        </w:rPr>
        <w:t>, and would cause bizarre “springing step downs in basis”, but (e)(2)(B) arguably does this</w:t>
      </w:r>
      <w:r w:rsidR="000B77C3">
        <w:rPr>
          <w:rFonts w:ascii="Calibri" w:hAnsi="Calibri" w:cs="Helv"/>
          <w:bCs/>
          <w:color w:val="000000"/>
        </w:rPr>
        <w:t>).</w:t>
      </w:r>
    </w:p>
    <w:p w14:paraId="00F9CB62" w14:textId="77777777" w:rsidR="007628C9" w:rsidRDefault="00ED7300"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Most articles on this subject </w:t>
      </w:r>
      <w:r w:rsidR="00B53F6B">
        <w:rPr>
          <w:rFonts w:ascii="Calibri" w:hAnsi="Calibri" w:cs="Helv"/>
          <w:bCs/>
          <w:color w:val="000000"/>
        </w:rPr>
        <w:t>conclude</w:t>
      </w:r>
      <w:r>
        <w:rPr>
          <w:rFonts w:ascii="Calibri" w:hAnsi="Calibri" w:cs="Helv"/>
          <w:bCs/>
          <w:color w:val="000000"/>
        </w:rPr>
        <w:t xml:space="preserve"> that </w:t>
      </w:r>
      <w:r w:rsidR="009C4A29">
        <w:rPr>
          <w:rFonts w:ascii="Calibri" w:hAnsi="Calibri" w:cs="Helv"/>
          <w:bCs/>
          <w:color w:val="000000"/>
        </w:rPr>
        <w:t>§</w:t>
      </w:r>
      <w:r>
        <w:rPr>
          <w:rFonts w:ascii="Calibri" w:hAnsi="Calibri" w:cs="Helv"/>
          <w:bCs/>
          <w:color w:val="000000"/>
        </w:rPr>
        <w:t xml:space="preserve">1014(e) applies either 100% or 0% </w:t>
      </w:r>
      <w:r w:rsidR="00B53F6B">
        <w:rPr>
          <w:rFonts w:ascii="Calibri" w:hAnsi="Calibri" w:cs="Helv"/>
          <w:bCs/>
          <w:color w:val="000000"/>
        </w:rPr>
        <w:t>in our example of assets left in trust for W</w:t>
      </w:r>
      <w:r>
        <w:rPr>
          <w:rFonts w:ascii="Calibri" w:hAnsi="Calibri" w:cs="Helv"/>
          <w:bCs/>
          <w:color w:val="000000"/>
        </w:rPr>
        <w:t xml:space="preserve">- but basic equitable law </w:t>
      </w:r>
      <w:r w:rsidR="009C07B1">
        <w:rPr>
          <w:rFonts w:ascii="Calibri" w:hAnsi="Calibri" w:cs="Helv"/>
          <w:bCs/>
          <w:color w:val="000000"/>
        </w:rPr>
        <w:t xml:space="preserve">and trust valuation </w:t>
      </w:r>
      <w:r>
        <w:rPr>
          <w:rFonts w:ascii="Calibri" w:hAnsi="Calibri" w:cs="Helv"/>
          <w:bCs/>
          <w:color w:val="000000"/>
        </w:rPr>
        <w:t>principles, coupled with the above language,</w:t>
      </w:r>
      <w:r w:rsidR="00B53F6B">
        <w:rPr>
          <w:rFonts w:ascii="Calibri" w:hAnsi="Calibri" w:cs="Helv"/>
          <w:bCs/>
          <w:color w:val="000000"/>
        </w:rPr>
        <w:t xml:space="preserve"> argue that the step up for appreciated assets should be pro rated based on the valuation of the underlying equitable interests, based on the </w:t>
      </w:r>
      <w:r w:rsidR="00BD2EE4">
        <w:rPr>
          <w:rFonts w:ascii="Calibri" w:hAnsi="Calibri" w:cs="Helv"/>
          <w:bCs/>
          <w:color w:val="000000"/>
        </w:rPr>
        <w:t xml:space="preserve">age of the donor/beneficiary and the </w:t>
      </w:r>
      <w:r w:rsidR="00B53F6B">
        <w:rPr>
          <w:rFonts w:ascii="Calibri" w:hAnsi="Calibri" w:cs="Helv"/>
          <w:bCs/>
          <w:color w:val="000000"/>
        </w:rPr>
        <w:t xml:space="preserve">terms of the trust.  </w:t>
      </w:r>
      <w:r w:rsidR="00584F34">
        <w:rPr>
          <w:rFonts w:ascii="Calibri" w:hAnsi="Calibri" w:cs="Helv"/>
          <w:bCs/>
          <w:color w:val="000000"/>
        </w:rPr>
        <w:t xml:space="preserve">In other words, </w:t>
      </w:r>
      <w:r w:rsidR="000E251E">
        <w:rPr>
          <w:rFonts w:ascii="Calibri" w:hAnsi="Calibri" w:cs="Helv"/>
          <w:bCs/>
          <w:color w:val="000000"/>
        </w:rPr>
        <w:t xml:space="preserve">perhaps </w:t>
      </w:r>
      <w:r w:rsidR="00584F34">
        <w:rPr>
          <w:rFonts w:ascii="Calibri" w:hAnsi="Calibri" w:cs="Helv"/>
          <w:bCs/>
          <w:color w:val="000000"/>
        </w:rPr>
        <w:t>(e)(1) applies once the estate and/or administrative trust is settled, regardless of later sales, based on ultimate equitable ownership.</w:t>
      </w:r>
      <w:r w:rsidR="000E251E">
        <w:rPr>
          <w:rFonts w:ascii="Calibri" w:hAnsi="Calibri" w:cs="Helv"/>
          <w:bCs/>
          <w:color w:val="000000"/>
        </w:rPr>
        <w:t xml:space="preserve">  This is only my theory – there is no clear guidance here at all.</w:t>
      </w:r>
      <w:r w:rsidR="007223CB">
        <w:rPr>
          <w:rFonts w:ascii="Calibri" w:hAnsi="Calibri" w:cs="Helv"/>
          <w:bCs/>
          <w:color w:val="000000"/>
        </w:rPr>
        <w:t xml:space="preserve">  The Joint Committee on Taxation’s example in its explanation argues for proration.</w:t>
      </w:r>
      <w:r w:rsidR="007223CB">
        <w:rPr>
          <w:rStyle w:val="FootnoteReference"/>
          <w:rFonts w:ascii="Calibri" w:hAnsi="Calibri" w:cs="Helv"/>
          <w:bCs/>
          <w:color w:val="000000"/>
        </w:rPr>
        <w:footnoteReference w:id="221"/>
      </w:r>
    </w:p>
    <w:p w14:paraId="26B761D5" w14:textId="77777777" w:rsidR="00584F34" w:rsidRDefault="00584F34" w:rsidP="00584F34">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lastRenderedPageBreak/>
        <w:t xml:space="preserve">What if the surviving spouse were merely a discretionary beneficiary?  Arguably in many states, as asset protection attorneys will tell you, a spouse with a mere discretionary interest has no property interest under state law, and the value of the spouse’s interest should be $0.  Many divorce courts and state marital dissolution laws will consider trust assets of a divorcing spouse </w:t>
      </w:r>
      <w:r w:rsidR="001F3FD6">
        <w:rPr>
          <w:rFonts w:ascii="Calibri" w:hAnsi="Calibri" w:cs="Helv"/>
          <w:bCs/>
          <w:color w:val="000000"/>
        </w:rPr>
        <w:t xml:space="preserve">only </w:t>
      </w:r>
      <w:r>
        <w:rPr>
          <w:rFonts w:ascii="Calibri" w:hAnsi="Calibri" w:cs="Helv"/>
          <w:bCs/>
          <w:color w:val="000000"/>
        </w:rPr>
        <w:t xml:space="preserve">to the extent “vested” – the terms </w:t>
      </w:r>
      <w:r w:rsidR="001F3FD6">
        <w:rPr>
          <w:rFonts w:ascii="Calibri" w:hAnsi="Calibri" w:cs="Helv"/>
          <w:bCs/>
          <w:color w:val="000000"/>
        </w:rPr>
        <w:t xml:space="preserve">of the trust </w:t>
      </w:r>
      <w:r>
        <w:rPr>
          <w:rFonts w:ascii="Calibri" w:hAnsi="Calibri" w:cs="Helv"/>
          <w:bCs/>
          <w:color w:val="000000"/>
        </w:rPr>
        <w:t xml:space="preserve">make a </w:t>
      </w:r>
      <w:r w:rsidR="001F3FD6">
        <w:rPr>
          <w:rFonts w:ascii="Calibri" w:hAnsi="Calibri" w:cs="Helv"/>
          <w:bCs/>
          <w:color w:val="000000"/>
        </w:rPr>
        <w:t xml:space="preserve">huge </w:t>
      </w:r>
      <w:r>
        <w:rPr>
          <w:rFonts w:ascii="Calibri" w:hAnsi="Calibri" w:cs="Helv"/>
          <w:bCs/>
          <w:color w:val="000000"/>
        </w:rPr>
        <w:t>difference.  However, the IRS is very likely to see this as some form of equitable ownership with value.  In one recent private letter ruling where a beneficiary was a discretionary beneficiary of income and/or principal and had no need or history of receiving distributions, the IRS nevertheless said this interest had some value for gift tax purposes when it was proposed to distribute some principal to the remaindermen.</w:t>
      </w:r>
      <w:r w:rsidR="001F3FD6">
        <w:rPr>
          <w:rStyle w:val="FootnoteReference"/>
          <w:rFonts w:ascii="Calibri" w:hAnsi="Calibri" w:cs="Helv"/>
          <w:bCs/>
          <w:color w:val="000000"/>
        </w:rPr>
        <w:footnoteReference w:id="222"/>
      </w:r>
      <w:r>
        <w:rPr>
          <w:rFonts w:ascii="Calibri" w:hAnsi="Calibri" w:cs="Helv"/>
          <w:bCs/>
          <w:color w:val="000000"/>
        </w:rPr>
        <w:t xml:space="preserve"> </w:t>
      </w:r>
    </w:p>
    <w:p w14:paraId="432B4E40" w14:textId="77777777" w:rsidR="000E251E" w:rsidRDefault="000E251E" w:rsidP="00584F34">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And what does it mean for a spouse to be “entitled to the proceeds from such sale”</w:t>
      </w:r>
      <w:r w:rsidR="00D61E50">
        <w:rPr>
          <w:rFonts w:ascii="Calibri" w:hAnsi="Calibri" w:cs="Helv"/>
          <w:bCs/>
          <w:color w:val="000000"/>
        </w:rPr>
        <w:t>?</w:t>
      </w:r>
      <w:r>
        <w:rPr>
          <w:rFonts w:ascii="Calibri" w:hAnsi="Calibri" w:cs="Helv"/>
          <w:bCs/>
          <w:color w:val="000000"/>
        </w:rPr>
        <w:t xml:space="preserve">  </w:t>
      </w:r>
      <w:r w:rsidR="00D61E50">
        <w:rPr>
          <w:rFonts w:ascii="Calibri" w:hAnsi="Calibri" w:cs="Helv"/>
          <w:bCs/>
          <w:color w:val="000000"/>
        </w:rPr>
        <w:t>E</w:t>
      </w:r>
      <w:r>
        <w:rPr>
          <w:rFonts w:ascii="Calibri" w:hAnsi="Calibri" w:cs="Helv"/>
          <w:bCs/>
          <w:color w:val="000000"/>
        </w:rPr>
        <w:t xml:space="preserve">ven in a trust in which the spouse is entitled to all net accounting income, this doesn’t extend to capital gains from a sale of property, which typically get added to principal.  Under most trust designs, the spouse would not be </w:t>
      </w:r>
      <w:r w:rsidRPr="00454966">
        <w:rPr>
          <w:rFonts w:ascii="Calibri" w:hAnsi="Calibri" w:cs="Helv"/>
          <w:bCs/>
          <w:i/>
          <w:color w:val="000000"/>
        </w:rPr>
        <w:t>entitled</w:t>
      </w:r>
      <w:r>
        <w:rPr>
          <w:rFonts w:ascii="Calibri" w:hAnsi="Calibri" w:cs="Helv"/>
          <w:bCs/>
          <w:color w:val="000000"/>
        </w:rPr>
        <w:t xml:space="preserve"> to </w:t>
      </w:r>
      <w:r w:rsidRPr="00442746">
        <w:rPr>
          <w:rFonts w:ascii="Calibri" w:hAnsi="Calibri" w:cs="Helv"/>
          <w:bCs/>
          <w:i/>
          <w:color w:val="000000"/>
        </w:rPr>
        <w:t>any</w:t>
      </w:r>
      <w:r>
        <w:rPr>
          <w:rFonts w:ascii="Calibri" w:hAnsi="Calibri" w:cs="Helv"/>
          <w:bCs/>
          <w:color w:val="000000"/>
        </w:rPr>
        <w:t xml:space="preserve"> proceeds from the sale</w:t>
      </w:r>
      <w:r w:rsidR="00454966">
        <w:rPr>
          <w:rFonts w:ascii="Calibri" w:hAnsi="Calibri" w:cs="Helv"/>
          <w:bCs/>
          <w:color w:val="000000"/>
        </w:rPr>
        <w:t xml:space="preserve">.  Is actual receipt and tracing required for </w:t>
      </w:r>
      <w:r w:rsidR="009F2361">
        <w:rPr>
          <w:rFonts w:ascii="Calibri" w:hAnsi="Calibri" w:cs="Helv"/>
          <w:bCs/>
          <w:color w:val="000000"/>
        </w:rPr>
        <w:t>§</w:t>
      </w:r>
      <w:r w:rsidR="00454966">
        <w:rPr>
          <w:rFonts w:ascii="Calibri" w:hAnsi="Calibri" w:cs="Helv"/>
          <w:bCs/>
          <w:color w:val="000000"/>
        </w:rPr>
        <w:t>1014(e) to apply?  It’s a terribly written statute.</w:t>
      </w:r>
      <w:r w:rsidR="00D61E50">
        <w:rPr>
          <w:rFonts w:ascii="Calibri" w:hAnsi="Calibri" w:cs="Helv"/>
          <w:bCs/>
          <w:color w:val="000000"/>
        </w:rPr>
        <w:t xml:space="preserve">  </w:t>
      </w:r>
    </w:p>
    <w:p w14:paraId="6F65C2F7" w14:textId="77777777" w:rsidR="00BD2EE4" w:rsidRDefault="00B53F6B"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But there are simple planning techniques that avoid the above nuances and </w:t>
      </w:r>
      <w:r w:rsidR="001F3FD6">
        <w:rPr>
          <w:rFonts w:ascii="Calibri" w:hAnsi="Calibri" w:cs="Helv"/>
          <w:bCs/>
          <w:color w:val="000000"/>
        </w:rPr>
        <w:t>ensure a full step up</w:t>
      </w:r>
      <w:r>
        <w:rPr>
          <w:rFonts w:ascii="Calibri" w:hAnsi="Calibri" w:cs="Helv"/>
          <w:bCs/>
          <w:color w:val="000000"/>
        </w:rPr>
        <w:t xml:space="preserve">.  First, of course, practitioners should </w:t>
      </w:r>
      <w:r w:rsidR="0021071E">
        <w:rPr>
          <w:rFonts w:ascii="Calibri" w:hAnsi="Calibri" w:cs="Helv"/>
          <w:bCs/>
          <w:color w:val="000000"/>
        </w:rPr>
        <w:t xml:space="preserve">make sure that only the surviving spouse’s share of assets </w:t>
      </w:r>
      <w:r w:rsidR="002770BE">
        <w:rPr>
          <w:rFonts w:ascii="Calibri" w:hAnsi="Calibri" w:cs="Helv"/>
          <w:bCs/>
          <w:color w:val="000000"/>
        </w:rPr>
        <w:t>where the step up is warranted</w:t>
      </w:r>
      <w:r w:rsidR="0021071E">
        <w:rPr>
          <w:rFonts w:ascii="Calibri" w:hAnsi="Calibri" w:cs="Helv"/>
          <w:bCs/>
          <w:color w:val="000000"/>
        </w:rPr>
        <w:t xml:space="preserve"> are subject to the GPOA, so at least any step </w:t>
      </w:r>
      <w:r w:rsidR="0021071E" w:rsidRPr="00001E4F">
        <w:rPr>
          <w:rFonts w:ascii="Calibri" w:hAnsi="Calibri" w:cs="Helv"/>
          <w:bCs/>
          <w:i/>
          <w:color w:val="000000"/>
        </w:rPr>
        <w:t>down</w:t>
      </w:r>
      <w:r w:rsidR="0021071E">
        <w:rPr>
          <w:rFonts w:ascii="Calibri" w:hAnsi="Calibri" w:cs="Helv"/>
          <w:bCs/>
          <w:color w:val="000000"/>
        </w:rPr>
        <w:t xml:space="preserve"> is avoided</w:t>
      </w:r>
      <w:r w:rsidR="002770BE">
        <w:rPr>
          <w:rFonts w:ascii="Calibri" w:hAnsi="Calibri" w:cs="Helv"/>
          <w:bCs/>
          <w:color w:val="000000"/>
        </w:rPr>
        <w:t xml:space="preserve"> (see sample clause in appendix</w:t>
      </w:r>
      <w:r w:rsidR="004D57EB">
        <w:rPr>
          <w:rFonts w:ascii="Calibri" w:hAnsi="Calibri" w:cs="Helv"/>
          <w:bCs/>
          <w:color w:val="000000"/>
        </w:rPr>
        <w:t xml:space="preserve"> and discussion in Part III</w:t>
      </w:r>
      <w:r w:rsidR="002770BE">
        <w:rPr>
          <w:rFonts w:ascii="Calibri" w:hAnsi="Calibri" w:cs="Helv"/>
          <w:bCs/>
          <w:color w:val="000000"/>
        </w:rPr>
        <w:t>)</w:t>
      </w:r>
      <w:r w:rsidR="0021071E">
        <w:rPr>
          <w:rFonts w:ascii="Calibri" w:hAnsi="Calibri" w:cs="Helv"/>
          <w:bCs/>
          <w:color w:val="000000"/>
        </w:rPr>
        <w:t>.</w:t>
      </w:r>
      <w:r w:rsidR="002D707F">
        <w:rPr>
          <w:rFonts w:ascii="Calibri" w:hAnsi="Calibri" w:cs="Helv"/>
          <w:bCs/>
          <w:color w:val="000000"/>
        </w:rPr>
        <w:t xml:space="preserve">  </w:t>
      </w:r>
      <w:r>
        <w:rPr>
          <w:rFonts w:ascii="Calibri" w:hAnsi="Calibri" w:cs="Helv"/>
          <w:bCs/>
          <w:color w:val="000000"/>
        </w:rPr>
        <w:t xml:space="preserve">Recall that IRC §1014(e), craftily, </w:t>
      </w:r>
      <w:r w:rsidR="009C07B1">
        <w:rPr>
          <w:rFonts w:ascii="Calibri" w:hAnsi="Calibri" w:cs="Helv"/>
          <w:bCs/>
          <w:color w:val="000000"/>
        </w:rPr>
        <w:t xml:space="preserve">does not apply to “depreciated” property and </w:t>
      </w:r>
      <w:r>
        <w:rPr>
          <w:rFonts w:ascii="Calibri" w:hAnsi="Calibri" w:cs="Helv"/>
          <w:bCs/>
          <w:color w:val="000000"/>
        </w:rPr>
        <w:t xml:space="preserve">cannot be applied to deny a </w:t>
      </w:r>
      <w:r w:rsidRPr="00B53F6B">
        <w:rPr>
          <w:rFonts w:ascii="Calibri" w:hAnsi="Calibri" w:cs="Helv"/>
          <w:bCs/>
          <w:i/>
          <w:color w:val="000000"/>
        </w:rPr>
        <w:t>step down</w:t>
      </w:r>
      <w:r>
        <w:rPr>
          <w:rFonts w:ascii="Calibri" w:hAnsi="Calibri" w:cs="Helv"/>
          <w:bCs/>
          <w:color w:val="000000"/>
        </w:rPr>
        <w:t xml:space="preserve"> in basis.  </w:t>
      </w:r>
    </w:p>
    <w:p w14:paraId="2DF57624" w14:textId="77777777" w:rsidR="00442746" w:rsidRDefault="00442746"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If proceeds from sale of the appreciated assets are used to pay off debt, mortgages, and other expenses, it is clear from the example in the Joint Committee Report cited above </w:t>
      </w:r>
      <w:r>
        <w:rPr>
          <w:rFonts w:ascii="Calibri" w:hAnsi="Calibri" w:cs="Helv"/>
          <w:bCs/>
          <w:color w:val="000000"/>
        </w:rPr>
        <w:lastRenderedPageBreak/>
        <w:t>that the proceeds should still receive a step up in basis, even if this indirectly benefits the donor spouse.</w:t>
      </w:r>
    </w:p>
    <w:p w14:paraId="3CC21905" w14:textId="77777777" w:rsidR="008C1397" w:rsidRDefault="002D707F"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Furthermore, to </w:t>
      </w:r>
      <w:r w:rsidR="00151E59">
        <w:rPr>
          <w:rFonts w:ascii="Calibri" w:hAnsi="Calibri" w:cs="Helv"/>
          <w:bCs/>
          <w:color w:val="000000"/>
        </w:rPr>
        <w:t xml:space="preserve">make it clear that </w:t>
      </w:r>
      <w:r>
        <w:rPr>
          <w:rFonts w:ascii="Calibri" w:hAnsi="Calibri" w:cs="Helv"/>
          <w:bCs/>
          <w:color w:val="000000"/>
        </w:rPr>
        <w:t xml:space="preserve">IRC §1014(e) </w:t>
      </w:r>
      <w:r w:rsidR="00151E59">
        <w:rPr>
          <w:rFonts w:ascii="Calibri" w:hAnsi="Calibri" w:cs="Helv"/>
          <w:bCs/>
          <w:color w:val="000000"/>
        </w:rPr>
        <w:t>should not apply to the appreciated assets</w:t>
      </w:r>
      <w:r>
        <w:rPr>
          <w:rFonts w:ascii="Calibri" w:hAnsi="Calibri" w:cs="Helv"/>
          <w:bCs/>
          <w:color w:val="000000"/>
        </w:rPr>
        <w:t xml:space="preserve">, yet retain nearly the same access for the surviving spouse, </w:t>
      </w:r>
      <w:r w:rsidR="00442746">
        <w:rPr>
          <w:rFonts w:ascii="Calibri" w:hAnsi="Calibri" w:cs="Helv"/>
          <w:bCs/>
          <w:color w:val="000000"/>
        </w:rPr>
        <w:t xml:space="preserve">if otherwise palatable, </w:t>
      </w:r>
      <w:r>
        <w:rPr>
          <w:rFonts w:ascii="Calibri" w:hAnsi="Calibri" w:cs="Helv"/>
          <w:bCs/>
          <w:color w:val="000000"/>
        </w:rPr>
        <w:t xml:space="preserve">consider making the </w:t>
      </w:r>
      <w:r w:rsidR="008C1397">
        <w:rPr>
          <w:rFonts w:ascii="Calibri" w:hAnsi="Calibri" w:cs="Helv"/>
          <w:bCs/>
          <w:color w:val="000000"/>
        </w:rPr>
        <w:t xml:space="preserve">surviving </w:t>
      </w:r>
      <w:r>
        <w:rPr>
          <w:rFonts w:ascii="Calibri" w:hAnsi="Calibri" w:cs="Helv"/>
          <w:bCs/>
          <w:color w:val="000000"/>
        </w:rPr>
        <w:t>spouse a permissible appointee of such trust</w:t>
      </w:r>
      <w:r w:rsidR="00BD2EE4">
        <w:rPr>
          <w:rFonts w:ascii="Calibri" w:hAnsi="Calibri" w:cs="Helv"/>
          <w:bCs/>
          <w:color w:val="000000"/>
        </w:rPr>
        <w:t xml:space="preserve"> under a child or other party’s lifetime limited power of appointment</w:t>
      </w:r>
      <w:r>
        <w:rPr>
          <w:rFonts w:ascii="Calibri" w:hAnsi="Calibri" w:cs="Helv"/>
          <w:bCs/>
          <w:color w:val="000000"/>
        </w:rPr>
        <w:t>, rather than a beneficiary.</w:t>
      </w:r>
      <w:r w:rsidR="008C1397">
        <w:rPr>
          <w:rFonts w:ascii="Calibri" w:hAnsi="Calibri" w:cs="Helv"/>
          <w:bCs/>
          <w:color w:val="000000"/>
        </w:rPr>
        <w:t xml:space="preserve">  </w:t>
      </w:r>
    </w:p>
    <w:p w14:paraId="7D46BBC4" w14:textId="77777777" w:rsidR="0021071E" w:rsidRDefault="008C1397"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Example #2: John and Jane</w:t>
      </w:r>
      <w:r w:rsidR="00B862A0">
        <w:rPr>
          <w:rFonts w:ascii="Calibri" w:hAnsi="Calibri" w:cs="Helv"/>
          <w:bCs/>
          <w:color w:val="000000"/>
        </w:rPr>
        <w:t>, with children of the same marriage,</w:t>
      </w:r>
      <w:r>
        <w:rPr>
          <w:rFonts w:ascii="Calibri" w:hAnsi="Calibri" w:cs="Helv"/>
          <w:bCs/>
          <w:color w:val="000000"/>
        </w:rPr>
        <w:t xml:space="preserve"> each have $1 million of low basis property, and $1 million of cash equivalents, retirement plans, </w:t>
      </w:r>
      <w:r w:rsidR="00151E59">
        <w:rPr>
          <w:rFonts w:ascii="Calibri" w:hAnsi="Calibri" w:cs="Helv"/>
          <w:bCs/>
          <w:color w:val="000000"/>
        </w:rPr>
        <w:t xml:space="preserve">annuities, property with basis higher than FMV </w:t>
      </w:r>
      <w:r>
        <w:rPr>
          <w:rFonts w:ascii="Calibri" w:hAnsi="Calibri" w:cs="Helv"/>
          <w:bCs/>
          <w:color w:val="000000"/>
        </w:rPr>
        <w:t xml:space="preserve">etc.  John and Jane give each other a formula testamentary GPOA over each other’s </w:t>
      </w:r>
      <w:r w:rsidR="00BD2EE4">
        <w:rPr>
          <w:rFonts w:ascii="Calibri" w:hAnsi="Calibri" w:cs="Helv"/>
          <w:bCs/>
          <w:color w:val="000000"/>
        </w:rPr>
        <w:t xml:space="preserve">low basis </w:t>
      </w:r>
      <w:r>
        <w:rPr>
          <w:rFonts w:ascii="Calibri" w:hAnsi="Calibri" w:cs="Helv"/>
          <w:bCs/>
          <w:color w:val="000000"/>
        </w:rPr>
        <w:t xml:space="preserve">property (this could be via joint trust, </w:t>
      </w:r>
      <w:r w:rsidR="00B862A0">
        <w:rPr>
          <w:rFonts w:ascii="Calibri" w:hAnsi="Calibri" w:cs="Helv"/>
          <w:bCs/>
          <w:color w:val="000000"/>
        </w:rPr>
        <w:t>but</w:t>
      </w:r>
      <w:r>
        <w:rPr>
          <w:rFonts w:ascii="Calibri" w:hAnsi="Calibri" w:cs="Helv"/>
          <w:bCs/>
          <w:color w:val="000000"/>
        </w:rPr>
        <w:t xml:space="preserve"> my preference is still to use separate trusts).</w:t>
      </w:r>
      <w:r w:rsidR="00151E59">
        <w:rPr>
          <w:rFonts w:ascii="Calibri" w:hAnsi="Calibri" w:cs="Helv"/>
          <w:bCs/>
          <w:color w:val="000000"/>
        </w:rPr>
        <w:t xml:space="preserve">  John dies.  He leaves his $2</w:t>
      </w:r>
      <w:r w:rsidR="00C92BD5">
        <w:rPr>
          <w:rFonts w:ascii="Calibri" w:hAnsi="Calibri" w:cs="Helv"/>
          <w:bCs/>
          <w:color w:val="000000"/>
        </w:rPr>
        <w:t xml:space="preserve"> million to an OBIT</w:t>
      </w:r>
      <w:r w:rsidR="00151E59">
        <w:rPr>
          <w:rFonts w:ascii="Calibri" w:hAnsi="Calibri" w:cs="Helv"/>
          <w:bCs/>
          <w:color w:val="000000"/>
        </w:rPr>
        <w:t xml:space="preserve"> trust for Jane (although he would likely leave retirement plans and annuities to her outright).  Jane keeps her $1 million of cash, retirement plans, annuities, high basis “loss” property”.  John appoints</w:t>
      </w:r>
      <w:r w:rsidR="00C92BD5">
        <w:rPr>
          <w:rFonts w:ascii="Calibri" w:hAnsi="Calibri" w:cs="Helv"/>
          <w:bCs/>
          <w:color w:val="000000"/>
        </w:rPr>
        <w:t xml:space="preserve"> Jane’s $1 million </w:t>
      </w:r>
      <w:r w:rsidR="00BD2EE4">
        <w:rPr>
          <w:rFonts w:ascii="Calibri" w:hAnsi="Calibri" w:cs="Helv"/>
          <w:bCs/>
          <w:color w:val="000000"/>
        </w:rPr>
        <w:t xml:space="preserve">low basis property </w:t>
      </w:r>
      <w:r w:rsidR="00151E59">
        <w:rPr>
          <w:rFonts w:ascii="Calibri" w:hAnsi="Calibri" w:cs="Helv"/>
          <w:bCs/>
          <w:color w:val="000000"/>
        </w:rPr>
        <w:t xml:space="preserve">over which he had a GPOA </w:t>
      </w:r>
      <w:r w:rsidR="00C92BD5">
        <w:rPr>
          <w:rFonts w:ascii="Calibri" w:hAnsi="Calibri" w:cs="Helv"/>
          <w:bCs/>
          <w:color w:val="000000"/>
        </w:rPr>
        <w:t xml:space="preserve">to a Power Trust with their children as beneficiaries in a pot trust, granting each of the children the lifetime limited power to appoint </w:t>
      </w:r>
      <w:r w:rsidR="006B44F1">
        <w:rPr>
          <w:rFonts w:ascii="Calibri" w:hAnsi="Calibri" w:cs="Helv"/>
          <w:bCs/>
          <w:color w:val="000000"/>
        </w:rPr>
        <w:t xml:space="preserve">(“LLPOA”) </w:t>
      </w:r>
      <w:r w:rsidR="00C92BD5">
        <w:rPr>
          <w:rFonts w:ascii="Calibri" w:hAnsi="Calibri" w:cs="Helv"/>
          <w:bCs/>
          <w:color w:val="000000"/>
        </w:rPr>
        <w:t xml:space="preserve">income and/or principal to Jane for whatever reason.  This should result in a </w:t>
      </w:r>
      <w:r w:rsidR="00151E59">
        <w:rPr>
          <w:rFonts w:ascii="Calibri" w:hAnsi="Calibri" w:cs="Helv"/>
          <w:bCs/>
          <w:color w:val="000000"/>
        </w:rPr>
        <w:t xml:space="preserve">full </w:t>
      </w:r>
      <w:r w:rsidR="00C92BD5">
        <w:rPr>
          <w:rFonts w:ascii="Calibri" w:hAnsi="Calibri" w:cs="Helv"/>
          <w:bCs/>
          <w:color w:val="000000"/>
        </w:rPr>
        <w:t xml:space="preserve">step up in basis despite IRC §1014(e) because the funds are not coming back to Jane </w:t>
      </w:r>
      <w:r w:rsidR="00F86E10">
        <w:rPr>
          <w:rFonts w:ascii="Calibri" w:hAnsi="Calibri" w:cs="Helv"/>
          <w:bCs/>
          <w:color w:val="000000"/>
        </w:rPr>
        <w:t>n</w:t>
      </w:r>
      <w:r w:rsidR="00C92BD5">
        <w:rPr>
          <w:rFonts w:ascii="Calibri" w:hAnsi="Calibri" w:cs="Helv"/>
          <w:bCs/>
          <w:color w:val="000000"/>
        </w:rPr>
        <w:t xml:space="preserve">or </w:t>
      </w:r>
      <w:r w:rsidR="00F86E10">
        <w:rPr>
          <w:rFonts w:ascii="Calibri" w:hAnsi="Calibri" w:cs="Helv"/>
          <w:bCs/>
          <w:color w:val="000000"/>
        </w:rPr>
        <w:t xml:space="preserve">to </w:t>
      </w:r>
      <w:r w:rsidR="00C92BD5">
        <w:rPr>
          <w:rFonts w:ascii="Calibri" w:hAnsi="Calibri" w:cs="Helv"/>
          <w:bCs/>
          <w:color w:val="000000"/>
        </w:rPr>
        <w:t xml:space="preserve">a trust </w:t>
      </w:r>
      <w:r w:rsidR="00151E59">
        <w:rPr>
          <w:rFonts w:ascii="Calibri" w:hAnsi="Calibri" w:cs="Helv"/>
          <w:bCs/>
          <w:color w:val="000000"/>
        </w:rPr>
        <w:t>in which she is a beneficiary</w:t>
      </w:r>
      <w:r w:rsidR="00C92BD5">
        <w:rPr>
          <w:rFonts w:ascii="Calibri" w:hAnsi="Calibri" w:cs="Helv"/>
          <w:bCs/>
          <w:color w:val="000000"/>
        </w:rPr>
        <w:t>.</w:t>
      </w:r>
      <w:r w:rsidR="00151E59">
        <w:rPr>
          <w:rFonts w:ascii="Calibri" w:hAnsi="Calibri" w:cs="Helv"/>
          <w:bCs/>
          <w:color w:val="000000"/>
        </w:rPr>
        <w:t xml:space="preserve">  Giving each child </w:t>
      </w:r>
      <w:r w:rsidR="006B44F1">
        <w:rPr>
          <w:rFonts w:ascii="Calibri" w:hAnsi="Calibri" w:cs="Helv"/>
          <w:bCs/>
          <w:color w:val="000000"/>
        </w:rPr>
        <w:t xml:space="preserve">an LLPOA </w:t>
      </w:r>
      <w:r w:rsidR="00151E59">
        <w:rPr>
          <w:rFonts w:ascii="Calibri" w:hAnsi="Calibri" w:cs="Helv"/>
          <w:bCs/>
          <w:color w:val="000000"/>
        </w:rPr>
        <w:t xml:space="preserve">is to prevent the </w:t>
      </w:r>
      <w:r w:rsidR="00151E59" w:rsidRPr="00511E08">
        <w:rPr>
          <w:rFonts w:ascii="Calibri" w:hAnsi="Calibri" w:cs="Helv"/>
          <w:bCs/>
          <w:i/>
          <w:color w:val="000000"/>
        </w:rPr>
        <w:t>King Lear</w:t>
      </w:r>
      <w:r w:rsidR="00151E59">
        <w:rPr>
          <w:rFonts w:ascii="Calibri" w:hAnsi="Calibri" w:cs="Helv"/>
          <w:bCs/>
          <w:color w:val="000000"/>
        </w:rPr>
        <w:t xml:space="preserve"> effect – as long as one of the children is a Cordelia rather than a Goneril or Regan</w:t>
      </w:r>
      <w:r w:rsidR="006B44F1">
        <w:rPr>
          <w:rFonts w:ascii="Calibri" w:hAnsi="Calibri" w:cs="Helv"/>
          <w:bCs/>
          <w:color w:val="000000"/>
        </w:rPr>
        <w:t>, Jane should be fine.</w:t>
      </w:r>
      <w:r w:rsidR="00C92BD5">
        <w:rPr>
          <w:rFonts w:ascii="Calibri" w:hAnsi="Calibri" w:cs="Helv"/>
          <w:bCs/>
          <w:color w:val="000000"/>
        </w:rPr>
        <w:t xml:space="preserve">  </w:t>
      </w:r>
      <w:r>
        <w:rPr>
          <w:rFonts w:ascii="Calibri" w:hAnsi="Calibri" w:cs="Helv"/>
          <w:bCs/>
          <w:color w:val="000000"/>
        </w:rPr>
        <w:t xml:space="preserve"> </w:t>
      </w:r>
      <w:r w:rsidR="006B44F1">
        <w:rPr>
          <w:rFonts w:ascii="Calibri" w:hAnsi="Calibri" w:cs="Helv"/>
          <w:bCs/>
          <w:color w:val="000000"/>
        </w:rPr>
        <w:t xml:space="preserve">For an extensive discussion of the other asset protection benefits of </w:t>
      </w:r>
      <w:r w:rsidR="00AB6EEC">
        <w:rPr>
          <w:rFonts w:ascii="Calibri" w:hAnsi="Calibri" w:cs="Helv"/>
          <w:bCs/>
          <w:color w:val="000000"/>
        </w:rPr>
        <w:t>“Power trusts”</w:t>
      </w:r>
      <w:r w:rsidR="006B44F1">
        <w:rPr>
          <w:rFonts w:ascii="Calibri" w:hAnsi="Calibri" w:cs="Helv"/>
          <w:bCs/>
          <w:color w:val="000000"/>
        </w:rPr>
        <w:t xml:space="preserve"> as opposed to</w:t>
      </w:r>
      <w:r w:rsidR="008E20FC">
        <w:rPr>
          <w:rFonts w:ascii="Calibri" w:hAnsi="Calibri" w:cs="Helv"/>
          <w:bCs/>
          <w:color w:val="000000"/>
        </w:rPr>
        <w:t xml:space="preserve"> self-settled</w:t>
      </w:r>
      <w:r w:rsidR="006B44F1">
        <w:rPr>
          <w:rFonts w:ascii="Calibri" w:hAnsi="Calibri" w:cs="Helv"/>
          <w:bCs/>
          <w:color w:val="000000"/>
        </w:rPr>
        <w:t xml:space="preserve"> DAPTs, email the author for a separate outline.</w:t>
      </w:r>
      <w:r>
        <w:rPr>
          <w:rFonts w:ascii="Calibri" w:hAnsi="Calibri" w:cs="Helv"/>
          <w:bCs/>
          <w:color w:val="000000"/>
        </w:rPr>
        <w:t xml:space="preserve">  </w:t>
      </w:r>
    </w:p>
    <w:p w14:paraId="1D9E3E13" w14:textId="77777777" w:rsidR="003A60B3" w:rsidRDefault="003A60B3" w:rsidP="006B44F1">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Using OBIT</w:t>
      </w:r>
      <w:r w:rsidR="001449E5">
        <w:rPr>
          <w:rFonts w:ascii="Calibri" w:hAnsi="Calibri" w:cs="Helv"/>
          <w:bCs/>
          <w:color w:val="000000"/>
        </w:rPr>
        <w:t>/JEST</w:t>
      </w:r>
      <w:r>
        <w:rPr>
          <w:rFonts w:ascii="Calibri" w:hAnsi="Calibri" w:cs="Helv"/>
          <w:bCs/>
          <w:color w:val="000000"/>
        </w:rPr>
        <w:t xml:space="preserve"> techniques at the first death for a married couple brings up additional planning techniques and concerns.  First, </w:t>
      </w:r>
      <w:r w:rsidR="0014388B">
        <w:rPr>
          <w:rFonts w:ascii="Calibri" w:hAnsi="Calibri" w:cs="Helv"/>
          <w:bCs/>
          <w:color w:val="000000"/>
        </w:rPr>
        <w:t xml:space="preserve">despite the four PLRs discussed, to be conservative we </w:t>
      </w:r>
      <w:r w:rsidR="00DC4D80">
        <w:rPr>
          <w:rFonts w:ascii="Calibri" w:hAnsi="Calibri" w:cs="Helv"/>
          <w:bCs/>
          <w:color w:val="000000"/>
        </w:rPr>
        <w:t>should</w:t>
      </w:r>
      <w:r>
        <w:rPr>
          <w:rFonts w:ascii="Calibri" w:hAnsi="Calibri" w:cs="Helv"/>
          <w:bCs/>
          <w:color w:val="000000"/>
        </w:rPr>
        <w:t xml:space="preserve"> assume that §2523 </w:t>
      </w:r>
      <w:r w:rsidR="00DC4D80">
        <w:rPr>
          <w:rFonts w:ascii="Calibri" w:hAnsi="Calibri" w:cs="Helv"/>
          <w:bCs/>
          <w:color w:val="000000"/>
        </w:rPr>
        <w:t>will</w:t>
      </w:r>
      <w:r w:rsidR="0014388B">
        <w:rPr>
          <w:rFonts w:ascii="Calibri" w:hAnsi="Calibri" w:cs="Helv"/>
          <w:bCs/>
          <w:color w:val="000000"/>
        </w:rPr>
        <w:t xml:space="preserve"> </w:t>
      </w:r>
      <w:r>
        <w:rPr>
          <w:rFonts w:ascii="Calibri" w:hAnsi="Calibri" w:cs="Helv"/>
          <w:bCs/>
          <w:color w:val="000000"/>
        </w:rPr>
        <w:t>not apply (which enables us to circumscribe the GPOA for better asset and family protection as discussed in Part V above),</w:t>
      </w:r>
      <w:r w:rsidR="0014388B">
        <w:rPr>
          <w:rFonts w:ascii="Calibri" w:hAnsi="Calibri" w:cs="Helv"/>
          <w:bCs/>
          <w:color w:val="000000"/>
        </w:rPr>
        <w:t xml:space="preserve"> and the technique will use TWICE the exemption amount (e.g. appointing $1</w:t>
      </w:r>
      <w:r w:rsidR="001449E5">
        <w:rPr>
          <w:rFonts w:ascii="Calibri" w:hAnsi="Calibri" w:cs="Helv"/>
          <w:bCs/>
          <w:color w:val="000000"/>
        </w:rPr>
        <w:t xml:space="preserve"> </w:t>
      </w:r>
      <w:r w:rsidR="0014388B">
        <w:rPr>
          <w:rFonts w:ascii="Calibri" w:hAnsi="Calibri" w:cs="Helv"/>
          <w:bCs/>
          <w:color w:val="000000"/>
        </w:rPr>
        <w:t xml:space="preserve">million will cost $1 million from </w:t>
      </w:r>
      <w:r w:rsidR="0014388B" w:rsidRPr="00C4685A">
        <w:rPr>
          <w:rFonts w:ascii="Calibri" w:hAnsi="Calibri" w:cs="Helv"/>
          <w:b/>
          <w:bCs/>
          <w:color w:val="000000"/>
        </w:rPr>
        <w:t>both</w:t>
      </w:r>
      <w:r w:rsidR="0014388B">
        <w:rPr>
          <w:rFonts w:ascii="Calibri" w:hAnsi="Calibri" w:cs="Helv"/>
          <w:bCs/>
          <w:color w:val="000000"/>
        </w:rPr>
        <w:t xml:space="preserve"> H’s and W’s AEA).  For 90% of the population, this is still a winning deal, but</w:t>
      </w:r>
      <w:r>
        <w:rPr>
          <w:rFonts w:ascii="Calibri" w:hAnsi="Calibri" w:cs="Helv"/>
          <w:bCs/>
          <w:color w:val="000000"/>
        </w:rPr>
        <w:t xml:space="preserve"> we </w:t>
      </w:r>
      <w:r w:rsidR="0014388B">
        <w:rPr>
          <w:rFonts w:ascii="Calibri" w:hAnsi="Calibri" w:cs="Helv"/>
          <w:bCs/>
          <w:color w:val="000000"/>
        </w:rPr>
        <w:t>would</w:t>
      </w:r>
      <w:r>
        <w:rPr>
          <w:rFonts w:ascii="Calibri" w:hAnsi="Calibri" w:cs="Helv"/>
          <w:bCs/>
          <w:color w:val="000000"/>
        </w:rPr>
        <w:t xml:space="preserve"> be more selecti</w:t>
      </w:r>
      <w:r w:rsidR="0014388B">
        <w:rPr>
          <w:rFonts w:ascii="Calibri" w:hAnsi="Calibri" w:cs="Helv"/>
          <w:bCs/>
          <w:color w:val="000000"/>
        </w:rPr>
        <w:t>ve with</w:t>
      </w:r>
      <w:r>
        <w:rPr>
          <w:rFonts w:ascii="Calibri" w:hAnsi="Calibri" w:cs="Helv"/>
          <w:bCs/>
          <w:color w:val="000000"/>
        </w:rPr>
        <w:t xml:space="preserve"> assets over which the GPOA applies</w:t>
      </w:r>
      <w:r w:rsidR="0014388B">
        <w:rPr>
          <w:rFonts w:ascii="Calibri" w:hAnsi="Calibri" w:cs="Helv"/>
          <w:bCs/>
          <w:color w:val="000000"/>
        </w:rPr>
        <w:t xml:space="preserve"> for those with </w:t>
      </w:r>
      <w:r w:rsidR="00C4685A">
        <w:rPr>
          <w:rFonts w:ascii="Calibri" w:hAnsi="Calibri" w:cs="Helv"/>
          <w:bCs/>
          <w:color w:val="000000"/>
        </w:rPr>
        <w:t xml:space="preserve">total </w:t>
      </w:r>
      <w:r w:rsidR="0014388B">
        <w:rPr>
          <w:rFonts w:ascii="Calibri" w:hAnsi="Calibri" w:cs="Helv"/>
          <w:bCs/>
          <w:color w:val="000000"/>
        </w:rPr>
        <w:t>estates over $5 million</w:t>
      </w:r>
      <w:r>
        <w:rPr>
          <w:rFonts w:ascii="Calibri" w:hAnsi="Calibri" w:cs="Helv"/>
          <w:bCs/>
          <w:color w:val="000000"/>
        </w:rPr>
        <w:t xml:space="preserve"> – favoring depreciable real estate</w:t>
      </w:r>
      <w:r w:rsidR="00C16ED4">
        <w:rPr>
          <w:rFonts w:ascii="Calibri" w:hAnsi="Calibri" w:cs="Helv"/>
          <w:bCs/>
          <w:color w:val="000000"/>
        </w:rPr>
        <w:t xml:space="preserve"> that gives the surviving spouse a tax write-off</w:t>
      </w:r>
      <w:r>
        <w:rPr>
          <w:rFonts w:ascii="Calibri" w:hAnsi="Calibri" w:cs="Helv"/>
          <w:bCs/>
          <w:color w:val="000000"/>
        </w:rPr>
        <w:t xml:space="preserve">, for instance, </w:t>
      </w:r>
      <w:r>
        <w:rPr>
          <w:rFonts w:ascii="Calibri" w:hAnsi="Calibri" w:cs="Helv"/>
          <w:bCs/>
          <w:color w:val="000000"/>
        </w:rPr>
        <w:lastRenderedPageBreak/>
        <w:t xml:space="preserve">rather than artwork, </w:t>
      </w:r>
      <w:r w:rsidR="00C16ED4">
        <w:rPr>
          <w:rFonts w:ascii="Calibri" w:hAnsi="Calibri" w:cs="Helv"/>
          <w:bCs/>
          <w:color w:val="000000"/>
        </w:rPr>
        <w:t xml:space="preserve">home, </w:t>
      </w:r>
      <w:r>
        <w:rPr>
          <w:rFonts w:ascii="Calibri" w:hAnsi="Calibri" w:cs="Helv"/>
          <w:bCs/>
          <w:color w:val="000000"/>
        </w:rPr>
        <w:t>etc</w:t>
      </w:r>
      <w:r w:rsidR="00511E08">
        <w:rPr>
          <w:rFonts w:ascii="Calibri" w:hAnsi="Calibri" w:cs="Helv"/>
          <w:bCs/>
          <w:color w:val="000000"/>
        </w:rPr>
        <w:t>.</w:t>
      </w:r>
      <w:r>
        <w:rPr>
          <w:rFonts w:ascii="Calibri" w:hAnsi="Calibri" w:cs="Helv"/>
          <w:bCs/>
          <w:color w:val="000000"/>
        </w:rPr>
        <w:t xml:space="preserve"> that might not be sold until </w:t>
      </w:r>
      <w:r w:rsidRPr="00F86E10">
        <w:rPr>
          <w:rFonts w:ascii="Calibri" w:hAnsi="Calibri" w:cs="Helv"/>
          <w:bCs/>
          <w:i/>
          <w:color w:val="000000"/>
        </w:rPr>
        <w:t>after the</w:t>
      </w:r>
      <w:r>
        <w:rPr>
          <w:rFonts w:ascii="Calibri" w:hAnsi="Calibri" w:cs="Helv"/>
          <w:bCs/>
          <w:color w:val="000000"/>
        </w:rPr>
        <w:t xml:space="preserve"> </w:t>
      </w:r>
      <w:r w:rsidR="00C16ED4">
        <w:rPr>
          <w:rFonts w:ascii="Calibri" w:hAnsi="Calibri" w:cs="Helv"/>
          <w:bCs/>
          <w:i/>
          <w:color w:val="000000"/>
        </w:rPr>
        <w:t>surviving</w:t>
      </w:r>
      <w:r w:rsidRPr="00C4685A">
        <w:rPr>
          <w:rFonts w:ascii="Calibri" w:hAnsi="Calibri" w:cs="Helv"/>
          <w:bCs/>
          <w:i/>
          <w:color w:val="000000"/>
        </w:rPr>
        <w:t xml:space="preserve"> spouse’s</w:t>
      </w:r>
      <w:r>
        <w:rPr>
          <w:rFonts w:ascii="Calibri" w:hAnsi="Calibri" w:cs="Helv"/>
          <w:bCs/>
          <w:color w:val="000000"/>
        </w:rPr>
        <w:t xml:space="preserve"> death.  Let’s modify our example above with double the assets.</w:t>
      </w:r>
    </w:p>
    <w:p w14:paraId="5AC019B8" w14:textId="77777777" w:rsidR="003A60B3" w:rsidRDefault="003A60B3" w:rsidP="006B44F1">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Example </w:t>
      </w:r>
      <w:r w:rsidR="0014388B">
        <w:rPr>
          <w:rFonts w:ascii="Calibri" w:hAnsi="Calibri" w:cs="Helv"/>
          <w:bCs/>
          <w:color w:val="000000"/>
        </w:rPr>
        <w:t>3: John and Jane have $4.5 million each, comprised of $1.5 million in QP/IRA/annuities, $800,000 vacation home in JTWROS, $200,000 in art, autos and furnishings, $500,000 cash equiv</w:t>
      </w:r>
      <w:r w:rsidR="00511E08">
        <w:rPr>
          <w:rFonts w:ascii="Calibri" w:hAnsi="Calibri" w:cs="Helv"/>
          <w:bCs/>
          <w:color w:val="000000"/>
        </w:rPr>
        <w:t>alent</w:t>
      </w:r>
      <w:r w:rsidR="0014388B">
        <w:rPr>
          <w:rFonts w:ascii="Calibri" w:hAnsi="Calibri" w:cs="Helv"/>
          <w:bCs/>
          <w:color w:val="000000"/>
        </w:rPr>
        <w:t>, $1 million stock portfolio, $500,000 rental property</w:t>
      </w:r>
      <w:r w:rsidR="00397C8B">
        <w:rPr>
          <w:rFonts w:ascii="Calibri" w:hAnsi="Calibri" w:cs="Helv"/>
          <w:bCs/>
          <w:color w:val="000000"/>
        </w:rPr>
        <w:t xml:space="preserve"> JTWROS with low basis</w:t>
      </w:r>
      <w:r w:rsidR="0014388B">
        <w:rPr>
          <w:rFonts w:ascii="Calibri" w:hAnsi="Calibri" w:cs="Helv"/>
          <w:bCs/>
          <w:color w:val="000000"/>
        </w:rPr>
        <w:t>.</w:t>
      </w:r>
      <w:r w:rsidR="00397C8B">
        <w:rPr>
          <w:rFonts w:ascii="Calibri" w:hAnsi="Calibri" w:cs="Helv"/>
          <w:bCs/>
          <w:color w:val="000000"/>
        </w:rPr>
        <w:t xml:space="preserve">  A GPOA over all the assets, as in the PLRs, could be disastrous here,</w:t>
      </w:r>
      <w:r w:rsidR="0051200A">
        <w:rPr>
          <w:rFonts w:ascii="Calibri" w:hAnsi="Calibri" w:cs="Helv"/>
          <w:bCs/>
          <w:color w:val="000000"/>
        </w:rPr>
        <w:t xml:space="preserve"> if §2523 does not apply,</w:t>
      </w:r>
      <w:r w:rsidR="00397C8B">
        <w:rPr>
          <w:rFonts w:ascii="Calibri" w:hAnsi="Calibri" w:cs="Helv"/>
          <w:bCs/>
          <w:color w:val="000000"/>
        </w:rPr>
        <w:t xml:space="preserve"> but </w:t>
      </w:r>
      <w:r w:rsidR="0051200A">
        <w:rPr>
          <w:rFonts w:ascii="Calibri" w:hAnsi="Calibri" w:cs="Helv"/>
          <w:bCs/>
          <w:color w:val="000000"/>
        </w:rPr>
        <w:t>often couples won’t</w:t>
      </w:r>
      <w:r w:rsidR="00397C8B">
        <w:rPr>
          <w:rFonts w:ascii="Calibri" w:hAnsi="Calibri" w:cs="Helv"/>
          <w:bCs/>
          <w:color w:val="000000"/>
        </w:rPr>
        <w:t xml:space="preserve"> </w:t>
      </w:r>
      <w:r w:rsidR="0051200A">
        <w:rPr>
          <w:rFonts w:ascii="Calibri" w:hAnsi="Calibri" w:cs="Helv"/>
          <w:bCs/>
          <w:color w:val="000000"/>
        </w:rPr>
        <w:t>need</w:t>
      </w:r>
      <w:r w:rsidR="00397C8B">
        <w:rPr>
          <w:rFonts w:ascii="Calibri" w:hAnsi="Calibri" w:cs="Helv"/>
          <w:bCs/>
          <w:color w:val="000000"/>
        </w:rPr>
        <w:t xml:space="preserve"> </w:t>
      </w:r>
      <w:r w:rsidR="0051200A">
        <w:rPr>
          <w:rFonts w:ascii="Calibri" w:hAnsi="Calibri" w:cs="Helv"/>
          <w:bCs/>
          <w:color w:val="000000"/>
        </w:rPr>
        <w:t xml:space="preserve">or use the step up at first death </w:t>
      </w:r>
      <w:r w:rsidR="00397C8B">
        <w:rPr>
          <w:rFonts w:ascii="Calibri" w:hAnsi="Calibri" w:cs="Helv"/>
          <w:bCs/>
          <w:color w:val="000000"/>
        </w:rPr>
        <w:t xml:space="preserve">– the vacation home won’t be sold until after the first death, and wouldn’t be entitled to depreciation anyway, same with the art and cars.  So, the GPOA in this case might be modified to apply to </w:t>
      </w:r>
      <w:r w:rsidR="00953ECC" w:rsidRPr="00DC4D80">
        <w:rPr>
          <w:rFonts w:ascii="Calibri" w:hAnsi="Calibri" w:cs="Helv"/>
          <w:b/>
          <w:bCs/>
          <w:i/>
          <w:color w:val="000000"/>
        </w:rPr>
        <w:t>only</w:t>
      </w:r>
      <w:r w:rsidR="00953ECC">
        <w:rPr>
          <w:rFonts w:ascii="Calibri" w:hAnsi="Calibri" w:cs="Helv"/>
          <w:bCs/>
          <w:color w:val="000000"/>
        </w:rPr>
        <w:t xml:space="preserve"> </w:t>
      </w:r>
      <w:r w:rsidR="00397C8B">
        <w:rPr>
          <w:rFonts w:ascii="Calibri" w:hAnsi="Calibri" w:cs="Helv"/>
          <w:bCs/>
          <w:color w:val="000000"/>
        </w:rPr>
        <w:t xml:space="preserve">the rental property and stock that has appreciated more than 25%.  Let’s say that is $1 million.  If §2523 does not apply, and John dies, his DSUE is reduced by $1 million.  For simplicity, assume Jane inherits </w:t>
      </w:r>
      <w:r w:rsidR="00C4685A">
        <w:rPr>
          <w:rFonts w:ascii="Calibri" w:hAnsi="Calibri" w:cs="Helv"/>
          <w:bCs/>
          <w:color w:val="000000"/>
        </w:rPr>
        <w:t xml:space="preserve">John’s </w:t>
      </w:r>
      <w:r w:rsidR="00397C8B">
        <w:rPr>
          <w:rFonts w:ascii="Calibri" w:hAnsi="Calibri" w:cs="Helv"/>
          <w:bCs/>
          <w:color w:val="000000"/>
        </w:rPr>
        <w:t xml:space="preserve">other assets outright or in marital trust, </w:t>
      </w:r>
      <w:r w:rsidR="00C4685A">
        <w:rPr>
          <w:rFonts w:ascii="Calibri" w:hAnsi="Calibri" w:cs="Helv"/>
          <w:bCs/>
          <w:color w:val="000000"/>
        </w:rPr>
        <w:t xml:space="preserve">so </w:t>
      </w:r>
      <w:r w:rsidR="00397C8B">
        <w:rPr>
          <w:rFonts w:ascii="Calibri" w:hAnsi="Calibri" w:cs="Helv"/>
          <w:bCs/>
          <w:color w:val="000000"/>
        </w:rPr>
        <w:t xml:space="preserve">her </w:t>
      </w:r>
      <w:r w:rsidR="00953ECC">
        <w:rPr>
          <w:rFonts w:ascii="Calibri" w:hAnsi="Calibri" w:cs="Helv"/>
          <w:bCs/>
          <w:color w:val="000000"/>
        </w:rPr>
        <w:t xml:space="preserve">remaining </w:t>
      </w:r>
      <w:r w:rsidR="00397C8B">
        <w:rPr>
          <w:rFonts w:ascii="Calibri" w:hAnsi="Calibri" w:cs="Helv"/>
          <w:bCs/>
          <w:color w:val="000000"/>
        </w:rPr>
        <w:t>AEA is only $8.5 million due to the two $1 million transfers.  However, she obtained the step up which could save her significant income taxes in retirement, and her remaining estate is only $8 million.</w:t>
      </w:r>
      <w:r w:rsidR="00953ECC">
        <w:rPr>
          <w:rFonts w:ascii="Calibri" w:hAnsi="Calibri" w:cs="Helv"/>
          <w:bCs/>
          <w:color w:val="000000"/>
        </w:rPr>
        <w:t xml:space="preserve">  The inefficient use of exemption may be a moot point, especially if Jane decides to make some charitable bequests in her estate.  In fact, couples without children often have significant charitable intentions – </w:t>
      </w:r>
      <w:r w:rsidR="00953ECC" w:rsidRPr="00704402">
        <w:rPr>
          <w:rFonts w:ascii="Calibri" w:hAnsi="Calibri" w:cs="Helv"/>
          <w:bCs/>
          <w:i/>
          <w:color w:val="000000"/>
        </w:rPr>
        <w:t xml:space="preserve">such techniques should be strongly considered for them, even </w:t>
      </w:r>
      <w:r w:rsidR="00C62D10">
        <w:rPr>
          <w:rFonts w:ascii="Calibri" w:hAnsi="Calibri" w:cs="Helv"/>
          <w:bCs/>
          <w:i/>
          <w:color w:val="000000"/>
        </w:rPr>
        <w:t xml:space="preserve">those </w:t>
      </w:r>
      <w:r w:rsidR="00953ECC" w:rsidRPr="00704402">
        <w:rPr>
          <w:rFonts w:ascii="Calibri" w:hAnsi="Calibri" w:cs="Helv"/>
          <w:bCs/>
          <w:i/>
          <w:color w:val="000000"/>
        </w:rPr>
        <w:t>with larger estates</w:t>
      </w:r>
      <w:r w:rsidR="00953ECC">
        <w:rPr>
          <w:rFonts w:ascii="Calibri" w:hAnsi="Calibri" w:cs="Helv"/>
          <w:bCs/>
          <w:color w:val="000000"/>
        </w:rPr>
        <w:t>, as noted above.</w:t>
      </w:r>
    </w:p>
    <w:p w14:paraId="16A7983D" w14:textId="77777777" w:rsidR="00AD4AC1" w:rsidRDefault="00AD4AC1" w:rsidP="00AD4AC1">
      <w:pPr>
        <w:autoSpaceDE w:val="0"/>
        <w:autoSpaceDN w:val="0"/>
        <w:adjustRightInd w:val="0"/>
        <w:spacing w:line="360" w:lineRule="auto"/>
        <w:ind w:firstLine="720"/>
        <w:rPr>
          <w:rFonts w:ascii="Calibri" w:hAnsi="Calibri"/>
          <w:b/>
        </w:rPr>
      </w:pPr>
      <w:r>
        <w:rPr>
          <w:rFonts w:ascii="Calibri" w:hAnsi="Calibri"/>
          <w:b/>
        </w:rPr>
        <w:t xml:space="preserve">Flexible Provisions for Lifetime </w:t>
      </w:r>
      <w:r w:rsidR="002F54DE">
        <w:rPr>
          <w:rFonts w:ascii="Calibri" w:hAnsi="Calibri"/>
          <w:b/>
        </w:rPr>
        <w:t>GPOA Trusts (</w:t>
      </w:r>
      <w:r w:rsidR="00915FED">
        <w:rPr>
          <w:rFonts w:ascii="Calibri" w:hAnsi="Calibri"/>
          <w:b/>
        </w:rPr>
        <w:t xml:space="preserve">aka </w:t>
      </w:r>
      <w:r w:rsidR="002F54DE">
        <w:rPr>
          <w:rFonts w:ascii="Calibri" w:hAnsi="Calibri"/>
          <w:b/>
        </w:rPr>
        <w:t>JESTs)</w:t>
      </w:r>
      <w:r>
        <w:rPr>
          <w:rFonts w:ascii="Calibri" w:hAnsi="Calibri"/>
          <w:b/>
        </w:rPr>
        <w:t xml:space="preserve"> Using OBIT Techniques to Adapt to Either Interpretation of §2523/</w:t>
      </w:r>
      <w:r w:rsidR="002F54DE">
        <w:rPr>
          <w:rFonts w:ascii="Calibri" w:hAnsi="Calibri"/>
          <w:b/>
        </w:rPr>
        <w:t>§</w:t>
      </w:r>
      <w:r>
        <w:rPr>
          <w:rFonts w:ascii="Calibri" w:hAnsi="Calibri"/>
          <w:b/>
        </w:rPr>
        <w:t>1014(e)</w:t>
      </w:r>
    </w:p>
    <w:p w14:paraId="36882152" w14:textId="77777777" w:rsidR="00C20318" w:rsidRDefault="00AD4AC1" w:rsidP="00AD4AC1">
      <w:pPr>
        <w:autoSpaceDE w:val="0"/>
        <w:autoSpaceDN w:val="0"/>
        <w:adjustRightInd w:val="0"/>
        <w:spacing w:line="360" w:lineRule="auto"/>
        <w:ind w:firstLine="720"/>
        <w:rPr>
          <w:rFonts w:ascii="Calibri" w:hAnsi="Calibri"/>
        </w:rPr>
      </w:pPr>
      <w:r w:rsidRPr="00AD4AC1">
        <w:rPr>
          <w:rFonts w:ascii="Calibri" w:hAnsi="Calibri"/>
        </w:rPr>
        <w:t>As</w:t>
      </w:r>
      <w:r>
        <w:rPr>
          <w:rFonts w:ascii="Calibri" w:hAnsi="Calibri"/>
        </w:rPr>
        <w:t xml:space="preserve"> discussed above, when </w:t>
      </w:r>
      <w:r w:rsidR="009D6EF7">
        <w:rPr>
          <w:rFonts w:ascii="Calibri" w:hAnsi="Calibri"/>
        </w:rPr>
        <w:t>wife</w:t>
      </w:r>
      <w:r>
        <w:rPr>
          <w:rFonts w:ascii="Calibri" w:hAnsi="Calibri"/>
        </w:rPr>
        <w:t xml:space="preserve"> grants </w:t>
      </w:r>
      <w:r w:rsidR="009D6EF7">
        <w:rPr>
          <w:rFonts w:ascii="Calibri" w:hAnsi="Calibri"/>
        </w:rPr>
        <w:t>husband</w:t>
      </w:r>
      <w:r>
        <w:rPr>
          <w:rFonts w:ascii="Calibri" w:hAnsi="Calibri"/>
        </w:rPr>
        <w:t xml:space="preserve"> a lifetime</w:t>
      </w:r>
      <w:r w:rsidR="009D6EF7">
        <w:rPr>
          <w:rFonts w:ascii="Calibri" w:hAnsi="Calibri"/>
        </w:rPr>
        <w:t xml:space="preserve"> or testamentary</w:t>
      </w:r>
      <w:r>
        <w:rPr>
          <w:rFonts w:ascii="Calibri" w:hAnsi="Calibri"/>
        </w:rPr>
        <w:t xml:space="preserve"> GPOA over </w:t>
      </w:r>
      <w:r w:rsidR="009D6EF7">
        <w:rPr>
          <w:rFonts w:ascii="Calibri" w:hAnsi="Calibri"/>
        </w:rPr>
        <w:t>her (or trust’s)</w:t>
      </w:r>
      <w:r>
        <w:rPr>
          <w:rFonts w:ascii="Calibri" w:hAnsi="Calibri"/>
        </w:rPr>
        <w:t xml:space="preserve"> assets, at H’s death, there is a taxable gift </w:t>
      </w:r>
      <w:r w:rsidR="002F54DE">
        <w:rPr>
          <w:rFonts w:ascii="Calibri" w:hAnsi="Calibri"/>
        </w:rPr>
        <w:t xml:space="preserve">of the amounts subject to that GPOA </w:t>
      </w:r>
      <w:r>
        <w:rPr>
          <w:rFonts w:ascii="Calibri" w:hAnsi="Calibri"/>
        </w:rPr>
        <w:t xml:space="preserve">– we just don’t know whether it will </w:t>
      </w:r>
      <w:r w:rsidR="00C4685A">
        <w:rPr>
          <w:rFonts w:ascii="Calibri" w:hAnsi="Calibri"/>
        </w:rPr>
        <w:t xml:space="preserve">ultimately </w:t>
      </w:r>
      <w:r>
        <w:rPr>
          <w:rFonts w:ascii="Calibri" w:hAnsi="Calibri"/>
        </w:rPr>
        <w:t xml:space="preserve">be interpreted as </w:t>
      </w:r>
      <w:r w:rsidR="007C3E71">
        <w:rPr>
          <w:rFonts w:ascii="Calibri" w:hAnsi="Calibri"/>
        </w:rPr>
        <w:t xml:space="preserve">a gift </w:t>
      </w:r>
      <w:r w:rsidR="00704402">
        <w:rPr>
          <w:rFonts w:ascii="Calibri" w:hAnsi="Calibri"/>
        </w:rPr>
        <w:t>in which</w:t>
      </w:r>
      <w:r>
        <w:rPr>
          <w:rFonts w:ascii="Calibri" w:hAnsi="Calibri"/>
        </w:rPr>
        <w:t xml:space="preserve"> §25</w:t>
      </w:r>
      <w:r w:rsidR="00FD425C">
        <w:rPr>
          <w:rFonts w:ascii="Calibri" w:hAnsi="Calibri"/>
        </w:rPr>
        <w:t xml:space="preserve">23 allows the marital deduction or the extent </w:t>
      </w:r>
      <w:r w:rsidR="00CC6954">
        <w:rPr>
          <w:rFonts w:ascii="Calibri" w:hAnsi="Calibri"/>
        </w:rPr>
        <w:t>that</w:t>
      </w:r>
      <w:r w:rsidR="00FD425C">
        <w:rPr>
          <w:rFonts w:ascii="Calibri" w:hAnsi="Calibri"/>
        </w:rPr>
        <w:t xml:space="preserve"> §1014(e) </w:t>
      </w:r>
      <w:r w:rsidR="00CC6954">
        <w:rPr>
          <w:rFonts w:ascii="Calibri" w:hAnsi="Calibri"/>
        </w:rPr>
        <w:t>applies.</w:t>
      </w:r>
    </w:p>
    <w:p w14:paraId="1F73135E" w14:textId="77777777" w:rsidR="00F61282" w:rsidRDefault="00900346" w:rsidP="00AD4AC1">
      <w:pPr>
        <w:autoSpaceDE w:val="0"/>
        <w:autoSpaceDN w:val="0"/>
        <w:adjustRightInd w:val="0"/>
        <w:spacing w:line="360" w:lineRule="auto"/>
        <w:ind w:firstLine="720"/>
        <w:rPr>
          <w:rFonts w:ascii="Calibri" w:hAnsi="Calibri"/>
        </w:rPr>
      </w:pPr>
      <w:r>
        <w:rPr>
          <w:rFonts w:ascii="Calibri" w:hAnsi="Calibri"/>
        </w:rPr>
        <w:t>Can we</w:t>
      </w:r>
      <w:r w:rsidR="00C20318">
        <w:rPr>
          <w:rFonts w:ascii="Calibri" w:hAnsi="Calibri"/>
        </w:rPr>
        <w:t xml:space="preserve"> adapt </w:t>
      </w:r>
      <w:r w:rsidR="004D57EB">
        <w:rPr>
          <w:rFonts w:ascii="Calibri" w:hAnsi="Calibri"/>
        </w:rPr>
        <w:t xml:space="preserve">our planning </w:t>
      </w:r>
      <w:r w:rsidR="00C20318">
        <w:rPr>
          <w:rFonts w:ascii="Calibri" w:hAnsi="Calibri"/>
        </w:rPr>
        <w:t>to either</w:t>
      </w:r>
      <w:r w:rsidR="007C3E71">
        <w:rPr>
          <w:rFonts w:ascii="Calibri" w:hAnsi="Calibri"/>
        </w:rPr>
        <w:t xml:space="preserve"> interpretation</w:t>
      </w:r>
      <w:r w:rsidR="00C20318">
        <w:rPr>
          <w:rFonts w:ascii="Calibri" w:hAnsi="Calibri"/>
        </w:rPr>
        <w:t xml:space="preserve">?  For instance, a couple might prefer that </w:t>
      </w:r>
      <w:r w:rsidR="00C20318" w:rsidRPr="00917261">
        <w:rPr>
          <w:rFonts w:ascii="Calibri" w:hAnsi="Calibri"/>
          <w:b/>
        </w:rPr>
        <w:t>if</w:t>
      </w:r>
      <w:r w:rsidR="00C20318">
        <w:rPr>
          <w:rFonts w:ascii="Calibri" w:hAnsi="Calibri"/>
        </w:rPr>
        <w:t xml:space="preserve"> §2523 allows the marital deduction, such that §1014(e) would apply if the spouse is the beneficiary of the appointive trust, that the spouse is removed as beneficiary altogether</w:t>
      </w:r>
      <w:r w:rsidR="00FD425C">
        <w:rPr>
          <w:rFonts w:ascii="Calibri" w:hAnsi="Calibri"/>
        </w:rPr>
        <w:t>, or made a purely discretionary beneficiary</w:t>
      </w:r>
      <w:r w:rsidR="0051200A">
        <w:rPr>
          <w:rFonts w:ascii="Calibri" w:hAnsi="Calibri"/>
        </w:rPr>
        <w:t xml:space="preserve"> to</w:t>
      </w:r>
      <w:r w:rsidR="00FD425C">
        <w:rPr>
          <w:rFonts w:ascii="Calibri" w:hAnsi="Calibri"/>
        </w:rPr>
        <w:t xml:space="preserve"> better</w:t>
      </w:r>
      <w:r w:rsidR="0051200A">
        <w:rPr>
          <w:rFonts w:ascii="Calibri" w:hAnsi="Calibri"/>
        </w:rPr>
        <w:t xml:space="preserve"> ensure the step up</w:t>
      </w:r>
      <w:r w:rsidR="00C20318">
        <w:rPr>
          <w:rFonts w:ascii="Calibri" w:hAnsi="Calibri"/>
        </w:rPr>
        <w:t xml:space="preserve">.  </w:t>
      </w:r>
      <w:r w:rsidR="0051200A">
        <w:rPr>
          <w:rFonts w:ascii="Calibri" w:hAnsi="Calibri"/>
        </w:rPr>
        <w:t xml:space="preserve">The surviving spouse may </w:t>
      </w:r>
      <w:r w:rsidR="00FD425C">
        <w:rPr>
          <w:rFonts w:ascii="Calibri" w:hAnsi="Calibri"/>
        </w:rPr>
        <w:t>remove him or herself as a current beneficiary</w:t>
      </w:r>
      <w:r w:rsidR="0051200A">
        <w:rPr>
          <w:rFonts w:ascii="Calibri" w:hAnsi="Calibri"/>
        </w:rPr>
        <w:t xml:space="preserve"> through a qualified </w:t>
      </w:r>
      <w:r w:rsidR="0051200A">
        <w:rPr>
          <w:rFonts w:ascii="Calibri" w:hAnsi="Calibri"/>
        </w:rPr>
        <w:lastRenderedPageBreak/>
        <w:t>disclaimer, of course, but that assumes that you know the answer to that question within 9 months of the date of death</w:t>
      </w:r>
      <w:r w:rsidR="00AA2256">
        <w:rPr>
          <w:rFonts w:ascii="Calibri" w:hAnsi="Calibri"/>
        </w:rPr>
        <w:t xml:space="preserve"> (or 15 months, if a Clayton QTIP structure is used and a six month extension is granted to file the Form 706)</w:t>
      </w:r>
      <w:r w:rsidR="0051200A">
        <w:rPr>
          <w:rFonts w:ascii="Calibri" w:hAnsi="Calibri"/>
        </w:rPr>
        <w:t xml:space="preserve">.  </w:t>
      </w:r>
      <w:r w:rsidR="00F61282">
        <w:rPr>
          <w:rFonts w:ascii="Calibri" w:hAnsi="Calibri"/>
        </w:rPr>
        <w:t>Or does it?</w:t>
      </w:r>
    </w:p>
    <w:p w14:paraId="1CBAC90E" w14:textId="77777777" w:rsidR="00F86E10" w:rsidRDefault="00F61282" w:rsidP="00AD4AC1">
      <w:pPr>
        <w:autoSpaceDE w:val="0"/>
        <w:autoSpaceDN w:val="0"/>
        <w:adjustRightInd w:val="0"/>
        <w:spacing w:line="360" w:lineRule="auto"/>
        <w:ind w:firstLine="720"/>
        <w:rPr>
          <w:rFonts w:ascii="Calibri" w:hAnsi="Calibri"/>
          <w:lang w:val="en"/>
        </w:rPr>
      </w:pPr>
      <w:r>
        <w:rPr>
          <w:rFonts w:ascii="Calibri" w:hAnsi="Calibri"/>
        </w:rPr>
        <w:t xml:space="preserve">Recall the Treasury </w:t>
      </w:r>
      <w:r w:rsidR="002F54DE">
        <w:rPr>
          <w:rFonts w:ascii="Calibri" w:hAnsi="Calibri"/>
        </w:rPr>
        <w:t>guidance</w:t>
      </w:r>
      <w:r>
        <w:rPr>
          <w:rFonts w:ascii="Calibri" w:hAnsi="Calibri"/>
        </w:rPr>
        <w:t xml:space="preserve"> cited earlier in this article on formula disclaimers</w:t>
      </w:r>
      <w:r w:rsidR="00016A30">
        <w:rPr>
          <w:rFonts w:ascii="Calibri" w:hAnsi="Calibri"/>
        </w:rPr>
        <w:t>?</w:t>
      </w:r>
      <w:r>
        <w:rPr>
          <w:rStyle w:val="FootnoteReference"/>
          <w:rFonts w:ascii="Calibri" w:hAnsi="Calibri"/>
        </w:rPr>
        <w:footnoteReference w:id="223"/>
      </w:r>
      <w:r w:rsidR="00636E62">
        <w:rPr>
          <w:rFonts w:ascii="Calibri" w:hAnsi="Calibri"/>
        </w:rPr>
        <w:t xml:space="preserve">  Disclaimers don’t have to be over an entire estate or trust or IRA, they can be over any asset</w:t>
      </w:r>
      <w:r w:rsidR="00F53A23">
        <w:rPr>
          <w:rFonts w:ascii="Calibri" w:hAnsi="Calibri"/>
        </w:rPr>
        <w:t>, and can reference a tax determination that may be years later in coming</w:t>
      </w:r>
      <w:r w:rsidR="00636E62">
        <w:rPr>
          <w:rFonts w:ascii="Calibri" w:hAnsi="Calibri"/>
        </w:rPr>
        <w:t xml:space="preserve">. </w:t>
      </w:r>
      <w:r w:rsidR="00E86E97">
        <w:rPr>
          <w:rFonts w:ascii="Calibri" w:hAnsi="Calibri"/>
        </w:rPr>
        <w:t xml:space="preserve"> C</w:t>
      </w:r>
      <w:r w:rsidR="00636E62">
        <w:rPr>
          <w:rFonts w:ascii="Calibri" w:hAnsi="Calibri"/>
        </w:rPr>
        <w:t xml:space="preserve">ould </w:t>
      </w:r>
      <w:r w:rsidR="00E86E97">
        <w:rPr>
          <w:rFonts w:ascii="Calibri" w:hAnsi="Calibri"/>
        </w:rPr>
        <w:t xml:space="preserve">the language </w:t>
      </w:r>
      <w:r w:rsidR="00636E62">
        <w:rPr>
          <w:rFonts w:ascii="Calibri" w:hAnsi="Calibri"/>
        </w:rPr>
        <w:t>be adapted as follows, substituting the appointive assets in question for the entire estate</w:t>
      </w:r>
      <w:r w:rsidR="00F53A23">
        <w:rPr>
          <w:rFonts w:ascii="Calibri" w:hAnsi="Calibri"/>
        </w:rPr>
        <w:t xml:space="preserve">, and income tax reference for </w:t>
      </w:r>
      <w:r w:rsidR="00A63F18">
        <w:rPr>
          <w:rFonts w:ascii="Calibri" w:hAnsi="Calibri"/>
        </w:rPr>
        <w:t xml:space="preserve">the </w:t>
      </w:r>
      <w:r w:rsidR="00F53A23">
        <w:rPr>
          <w:rFonts w:ascii="Calibri" w:hAnsi="Calibri"/>
        </w:rPr>
        <w:t>estate tax reference</w:t>
      </w:r>
      <w:r w:rsidR="00636E62">
        <w:rPr>
          <w:rFonts w:ascii="Calibri" w:hAnsi="Calibri"/>
        </w:rPr>
        <w:t>:</w:t>
      </w:r>
      <w:r>
        <w:rPr>
          <w:rFonts w:ascii="Calibri" w:hAnsi="Calibri"/>
        </w:rPr>
        <w:t xml:space="preserve"> </w:t>
      </w:r>
      <w:r w:rsidR="00636E62" w:rsidRPr="00A63F18">
        <w:rPr>
          <w:rFonts w:ascii="Calibri" w:hAnsi="Calibri"/>
        </w:rPr>
        <w:t>“</w:t>
      </w:r>
      <w:r w:rsidR="00636E62" w:rsidRPr="00A63F18">
        <w:rPr>
          <w:rFonts w:ascii="Calibri" w:hAnsi="Calibri"/>
          <w:lang w:val="en"/>
        </w:rPr>
        <w:t xml:space="preserve">The numerator of the fraction disclaimed is the smallest amount which will allow the appointive assets to pass </w:t>
      </w:r>
      <w:r w:rsidR="00F53A23" w:rsidRPr="00A63F18">
        <w:rPr>
          <w:rFonts w:ascii="Calibri" w:hAnsi="Calibri"/>
          <w:lang w:val="en"/>
        </w:rPr>
        <w:t xml:space="preserve">with an adjustment to </w:t>
      </w:r>
      <w:r w:rsidR="001C0756" w:rsidRPr="00A63F18">
        <w:rPr>
          <w:rFonts w:ascii="Calibri" w:hAnsi="Calibri"/>
          <w:lang w:val="en"/>
        </w:rPr>
        <w:t xml:space="preserve">date of death </w:t>
      </w:r>
      <w:r w:rsidR="00F53A23" w:rsidRPr="00A63F18">
        <w:rPr>
          <w:rFonts w:ascii="Calibri" w:hAnsi="Calibri"/>
          <w:lang w:val="en"/>
        </w:rPr>
        <w:t>basis under IRC §1014</w:t>
      </w:r>
      <w:r w:rsidR="001C0756" w:rsidRPr="00A63F18">
        <w:rPr>
          <w:rFonts w:ascii="Calibri" w:hAnsi="Calibri"/>
          <w:lang w:val="en"/>
        </w:rPr>
        <w:t>(a) and (b) and free of application of IRC §1014(e)</w:t>
      </w:r>
      <w:r w:rsidR="00636E62" w:rsidRPr="00A63F18">
        <w:rPr>
          <w:rFonts w:ascii="Calibri" w:hAnsi="Calibri"/>
          <w:lang w:val="en"/>
        </w:rPr>
        <w:t xml:space="preserve"> and the denominator is the value of the </w:t>
      </w:r>
      <w:r w:rsidR="00F53A23" w:rsidRPr="00A63F18">
        <w:rPr>
          <w:rFonts w:ascii="Calibri" w:hAnsi="Calibri"/>
          <w:lang w:val="en"/>
        </w:rPr>
        <w:t>appointive assets</w:t>
      </w:r>
      <w:r w:rsidR="00636E62" w:rsidRPr="00A63F18">
        <w:rPr>
          <w:rFonts w:ascii="Calibri" w:hAnsi="Calibri"/>
          <w:lang w:val="en"/>
        </w:rPr>
        <w:t>.</w:t>
      </w:r>
      <w:r w:rsidR="001C0756" w:rsidRPr="00A63F18">
        <w:rPr>
          <w:rFonts w:ascii="Calibri" w:hAnsi="Calibri"/>
          <w:lang w:val="en"/>
        </w:rPr>
        <w:t>”</w:t>
      </w:r>
      <w:r w:rsidR="001C0756">
        <w:rPr>
          <w:rFonts w:ascii="Calibri" w:hAnsi="Calibri"/>
          <w:b/>
          <w:lang w:val="en"/>
        </w:rPr>
        <w:t xml:space="preserve">  </w:t>
      </w:r>
      <w:r w:rsidR="00A63F18">
        <w:rPr>
          <w:rFonts w:ascii="Calibri" w:hAnsi="Calibri"/>
          <w:lang w:val="en"/>
        </w:rPr>
        <w:t>If</w:t>
      </w:r>
      <w:r w:rsidR="001C0756">
        <w:rPr>
          <w:rFonts w:ascii="Calibri" w:hAnsi="Calibri"/>
          <w:lang w:val="en"/>
        </w:rPr>
        <w:t xml:space="preserve"> the IRS settles on a “gift to spouse at death” interpretation that </w:t>
      </w:r>
      <w:r w:rsidR="00A63F18">
        <w:rPr>
          <w:rFonts w:ascii="Calibri" w:hAnsi="Calibri"/>
          <w:lang w:val="en"/>
        </w:rPr>
        <w:t>permits a step up in basis even if the spouse is a beneficiary, the “smallest amount” disclaimed will be $0.  If the IRS settles on a “gift to spouse at death” interpretation that would deny</w:t>
      </w:r>
      <w:r w:rsidR="001C0756">
        <w:rPr>
          <w:rFonts w:ascii="Calibri" w:hAnsi="Calibri"/>
          <w:lang w:val="en"/>
        </w:rPr>
        <w:t xml:space="preserve"> a step up under IRC §1014(e)</w:t>
      </w:r>
      <w:r w:rsidR="00A63F18">
        <w:rPr>
          <w:rFonts w:ascii="Calibri" w:hAnsi="Calibri"/>
          <w:lang w:val="en"/>
        </w:rPr>
        <w:t xml:space="preserve"> if the spouse were a beneficiary</w:t>
      </w:r>
      <w:r w:rsidR="001C0756">
        <w:rPr>
          <w:rFonts w:ascii="Calibri" w:hAnsi="Calibri"/>
          <w:lang w:val="en"/>
        </w:rPr>
        <w:t xml:space="preserve">, then the </w:t>
      </w:r>
      <w:r w:rsidR="00A63F18">
        <w:rPr>
          <w:rFonts w:ascii="Calibri" w:hAnsi="Calibri"/>
          <w:lang w:val="en"/>
        </w:rPr>
        <w:t>“</w:t>
      </w:r>
      <w:r w:rsidR="001C0756">
        <w:rPr>
          <w:rFonts w:ascii="Calibri" w:hAnsi="Calibri"/>
          <w:lang w:val="en"/>
        </w:rPr>
        <w:t>smallest amount</w:t>
      </w:r>
      <w:r w:rsidR="00A63F18">
        <w:rPr>
          <w:rFonts w:ascii="Calibri" w:hAnsi="Calibri"/>
          <w:lang w:val="en"/>
        </w:rPr>
        <w:t>” under the above disclaimer</w:t>
      </w:r>
      <w:r w:rsidR="001C0756">
        <w:rPr>
          <w:rFonts w:ascii="Calibri" w:hAnsi="Calibri"/>
          <w:lang w:val="en"/>
        </w:rPr>
        <w:t xml:space="preserve"> will the </w:t>
      </w:r>
      <w:r w:rsidR="00A63F18">
        <w:rPr>
          <w:rFonts w:ascii="Calibri" w:hAnsi="Calibri"/>
          <w:lang w:val="en"/>
        </w:rPr>
        <w:t>entire amount, the spouse is removed as a beneficiary (but might remain a permissive appointee), and the trust assets can still achieve the step up in basis.</w:t>
      </w:r>
    </w:p>
    <w:p w14:paraId="0DDA32DC" w14:textId="77777777" w:rsidR="009D756E" w:rsidRPr="001C0756" w:rsidRDefault="009D756E" w:rsidP="00AD4AC1">
      <w:pPr>
        <w:autoSpaceDE w:val="0"/>
        <w:autoSpaceDN w:val="0"/>
        <w:adjustRightInd w:val="0"/>
        <w:spacing w:line="360" w:lineRule="auto"/>
        <w:ind w:firstLine="720"/>
        <w:rPr>
          <w:rFonts w:ascii="Calibri" w:hAnsi="Calibri"/>
        </w:rPr>
      </w:pPr>
      <w:r>
        <w:rPr>
          <w:rFonts w:ascii="Calibri" w:hAnsi="Calibri"/>
          <w:lang w:val="en"/>
        </w:rPr>
        <w:t>QTIP elections can be by formula referencing the federal estate tax situation of the decedent.</w:t>
      </w:r>
      <w:r>
        <w:rPr>
          <w:rStyle w:val="FootnoteReference"/>
          <w:rFonts w:ascii="Calibri" w:hAnsi="Calibri"/>
          <w:lang w:val="en"/>
        </w:rPr>
        <w:footnoteReference w:id="224"/>
      </w:r>
      <w:r>
        <w:rPr>
          <w:rFonts w:ascii="Calibri" w:hAnsi="Calibri"/>
          <w:lang w:val="en"/>
        </w:rPr>
        <w:t xml:space="preserve">  Protective elections are also specifically permitted.</w:t>
      </w:r>
      <w:r>
        <w:rPr>
          <w:rStyle w:val="FootnoteReference"/>
          <w:rFonts w:ascii="Calibri" w:hAnsi="Calibri"/>
          <w:lang w:val="en"/>
        </w:rPr>
        <w:footnoteReference w:id="225"/>
      </w:r>
      <w:r w:rsidR="00096862">
        <w:rPr>
          <w:rFonts w:ascii="Calibri" w:hAnsi="Calibri"/>
          <w:lang w:val="en"/>
        </w:rPr>
        <w:t xml:space="preserve">  But there is </w:t>
      </w:r>
      <w:r w:rsidR="00037D70">
        <w:rPr>
          <w:rFonts w:ascii="Calibri" w:hAnsi="Calibri"/>
          <w:lang w:val="en"/>
        </w:rPr>
        <w:t xml:space="preserve">no reason it </w:t>
      </w:r>
      <w:r w:rsidR="00037D70">
        <w:rPr>
          <w:rFonts w:ascii="Calibri" w:hAnsi="Calibri"/>
          <w:lang w:val="en"/>
        </w:rPr>
        <w:lastRenderedPageBreak/>
        <w:t>has to be a zeroed-</w:t>
      </w:r>
      <w:r w:rsidR="00096862">
        <w:rPr>
          <w:rFonts w:ascii="Calibri" w:hAnsi="Calibri"/>
          <w:lang w:val="en"/>
        </w:rPr>
        <w:t>out formula</w:t>
      </w:r>
      <w:r w:rsidR="00037D70">
        <w:rPr>
          <w:rFonts w:ascii="Calibri" w:hAnsi="Calibri"/>
          <w:lang w:val="en"/>
        </w:rPr>
        <w:t>, nor any reason such a formula cannot include more than one factor</w:t>
      </w:r>
      <w:r w:rsidR="00096862">
        <w:rPr>
          <w:rFonts w:ascii="Calibri" w:hAnsi="Calibri"/>
          <w:lang w:val="en"/>
        </w:rPr>
        <w:t xml:space="preserve">.  So, </w:t>
      </w:r>
      <w:r w:rsidR="00037D70">
        <w:rPr>
          <w:rFonts w:ascii="Calibri" w:hAnsi="Calibri"/>
          <w:lang w:val="en"/>
        </w:rPr>
        <w:t>if the decedent-spouse appoint</w:t>
      </w:r>
      <w:r w:rsidR="00913F6D">
        <w:rPr>
          <w:rFonts w:ascii="Calibri" w:hAnsi="Calibri"/>
          <w:lang w:val="en"/>
        </w:rPr>
        <w:t>ed</w:t>
      </w:r>
      <w:r w:rsidR="00037D70">
        <w:rPr>
          <w:rFonts w:ascii="Calibri" w:hAnsi="Calibri"/>
          <w:lang w:val="en"/>
        </w:rPr>
        <w:t xml:space="preserve"> to a QTIPable Trust with Clayton provisions, </w:t>
      </w:r>
      <w:r w:rsidR="00096862">
        <w:rPr>
          <w:rFonts w:ascii="Calibri" w:hAnsi="Calibri"/>
          <w:lang w:val="en"/>
        </w:rPr>
        <w:t xml:space="preserve">what if the </w:t>
      </w:r>
      <w:r w:rsidR="00037D70">
        <w:rPr>
          <w:rFonts w:ascii="Calibri" w:hAnsi="Calibri"/>
          <w:lang w:val="en"/>
        </w:rPr>
        <w:t xml:space="preserve">executor makes a QTIP election </w:t>
      </w:r>
      <w:r w:rsidR="009D6EF7">
        <w:rPr>
          <w:rFonts w:ascii="Calibri" w:hAnsi="Calibri"/>
          <w:lang w:val="en"/>
        </w:rPr>
        <w:t>over</w:t>
      </w:r>
      <w:r w:rsidR="00913F6D">
        <w:rPr>
          <w:rFonts w:ascii="Calibri" w:hAnsi="Calibri"/>
          <w:lang w:val="en"/>
        </w:rPr>
        <w:t xml:space="preserve"> such amount (numerator) necessary to zero out the estate tax, plus any such additional amounts comprising of lifetime gift tax exclusion used by the surviving spouse as a result of the death o</w:t>
      </w:r>
      <w:r w:rsidR="008D6FAC">
        <w:rPr>
          <w:rFonts w:ascii="Calibri" w:hAnsi="Calibri"/>
          <w:lang w:val="en"/>
        </w:rPr>
        <w:t>f the decedent spouse?</w:t>
      </w:r>
    </w:p>
    <w:p w14:paraId="6EE02CA0" w14:textId="77777777" w:rsidR="00694579" w:rsidRDefault="007844E7" w:rsidP="004D57EB">
      <w:pPr>
        <w:autoSpaceDE w:val="0"/>
        <w:autoSpaceDN w:val="0"/>
        <w:adjustRightInd w:val="0"/>
        <w:spacing w:line="360" w:lineRule="auto"/>
        <w:ind w:firstLine="720"/>
        <w:rPr>
          <w:rFonts w:ascii="Calibri" w:hAnsi="Calibri"/>
        </w:rPr>
      </w:pPr>
      <w:r>
        <w:rPr>
          <w:rFonts w:ascii="Calibri" w:hAnsi="Calibri"/>
        </w:rPr>
        <w:t>Alternatively</w:t>
      </w:r>
      <w:r w:rsidR="009D576D">
        <w:rPr>
          <w:rFonts w:ascii="Calibri" w:hAnsi="Calibri"/>
        </w:rPr>
        <w:t xml:space="preserve">: </w:t>
      </w:r>
      <w:r w:rsidR="00313D63">
        <w:rPr>
          <w:rFonts w:ascii="Calibri" w:hAnsi="Calibri"/>
        </w:rPr>
        <w:t>what if the</w:t>
      </w:r>
      <w:r w:rsidR="009D576D">
        <w:rPr>
          <w:rFonts w:ascii="Calibri" w:hAnsi="Calibri"/>
        </w:rPr>
        <w:t xml:space="preserve"> testamentary GPOA</w:t>
      </w:r>
      <w:r w:rsidR="00313D63">
        <w:rPr>
          <w:rFonts w:ascii="Calibri" w:hAnsi="Calibri"/>
        </w:rPr>
        <w:t xml:space="preserve"> in question were </w:t>
      </w:r>
      <w:r w:rsidR="00EA44E5">
        <w:rPr>
          <w:rFonts w:ascii="Calibri" w:hAnsi="Calibri"/>
        </w:rPr>
        <w:t xml:space="preserve">only granted to the decedent spouse </w:t>
      </w:r>
      <w:r w:rsidR="00D8644D">
        <w:rPr>
          <w:rFonts w:ascii="Calibri" w:hAnsi="Calibri"/>
        </w:rPr>
        <w:t>using language similar to AB marital trusts</w:t>
      </w:r>
      <w:r w:rsidR="00EA44E5">
        <w:rPr>
          <w:rFonts w:ascii="Calibri" w:hAnsi="Calibri"/>
        </w:rPr>
        <w:t xml:space="preserve">?  </w:t>
      </w:r>
      <w:r w:rsidR="00822C2E">
        <w:rPr>
          <w:rFonts w:ascii="Calibri" w:hAnsi="Calibri"/>
        </w:rPr>
        <w:t>So, back to our example #3</w:t>
      </w:r>
      <w:r w:rsidR="00A471F5">
        <w:rPr>
          <w:rFonts w:ascii="Calibri" w:hAnsi="Calibri"/>
        </w:rPr>
        <w:t xml:space="preserve">, </w:t>
      </w:r>
      <w:r w:rsidR="00D8644D">
        <w:rPr>
          <w:rFonts w:ascii="Calibri" w:hAnsi="Calibri"/>
        </w:rPr>
        <w:t>J</w:t>
      </w:r>
      <w:r w:rsidR="007C3E71">
        <w:rPr>
          <w:rFonts w:ascii="Calibri" w:hAnsi="Calibri"/>
        </w:rPr>
        <w:t>ane</w:t>
      </w:r>
      <w:r w:rsidR="00D8644D">
        <w:rPr>
          <w:rFonts w:ascii="Calibri" w:hAnsi="Calibri"/>
        </w:rPr>
        <w:t>’s</w:t>
      </w:r>
      <w:r w:rsidR="00822C2E">
        <w:rPr>
          <w:rFonts w:ascii="Calibri" w:hAnsi="Calibri"/>
        </w:rPr>
        <w:t xml:space="preserve"> trust</w:t>
      </w:r>
      <w:r w:rsidR="006D37D0">
        <w:rPr>
          <w:rFonts w:ascii="Calibri" w:hAnsi="Calibri"/>
        </w:rPr>
        <w:t xml:space="preserve"> might say “At my husband’s death, if I survive my husband, </w:t>
      </w:r>
      <w:r w:rsidR="00900346">
        <w:rPr>
          <w:rFonts w:ascii="Calibri" w:hAnsi="Calibri"/>
        </w:rPr>
        <w:t>he</w:t>
      </w:r>
      <w:r w:rsidR="006D37D0">
        <w:rPr>
          <w:rFonts w:ascii="Calibri" w:hAnsi="Calibri"/>
        </w:rPr>
        <w:t xml:space="preserve"> shall have </w:t>
      </w:r>
      <w:r w:rsidR="007C3E71">
        <w:rPr>
          <w:rFonts w:ascii="Calibri" w:hAnsi="Calibri"/>
        </w:rPr>
        <w:t>a</w:t>
      </w:r>
      <w:r w:rsidR="006D37D0">
        <w:rPr>
          <w:rFonts w:ascii="Calibri" w:hAnsi="Calibri"/>
        </w:rPr>
        <w:t xml:space="preserve"> general testamentary power to appoint the Qualified Appointive Property.  </w:t>
      </w:r>
      <w:r w:rsidR="00822C2E">
        <w:rPr>
          <w:rFonts w:ascii="Calibri" w:hAnsi="Calibri"/>
        </w:rPr>
        <w:t xml:space="preserve">Qualified Appointive Property shall mean such property, or its proceeds, in the trust estate </w:t>
      </w:r>
      <w:r w:rsidR="007C3E71">
        <w:rPr>
          <w:rFonts w:ascii="Calibri" w:hAnsi="Calibri"/>
        </w:rPr>
        <w:t>that</w:t>
      </w:r>
      <w:r w:rsidR="00822C2E">
        <w:rPr>
          <w:rFonts w:ascii="Calibri" w:hAnsi="Calibri"/>
        </w:rPr>
        <w:t xml:space="preserve">, if given outright to my husband at his death, would qualify for the marital deduction </w:t>
      </w:r>
      <w:r w:rsidR="008D6FAC">
        <w:rPr>
          <w:rFonts w:ascii="Calibri" w:hAnsi="Calibri"/>
        </w:rPr>
        <w:t>for purposes of determining the</w:t>
      </w:r>
      <w:r w:rsidR="00822C2E">
        <w:rPr>
          <w:rFonts w:ascii="Calibri" w:hAnsi="Calibri"/>
        </w:rPr>
        <w:t xml:space="preserve"> gift tax payable</w:t>
      </w:r>
      <w:r w:rsidR="00D8644D">
        <w:rPr>
          <w:rFonts w:ascii="Calibri" w:hAnsi="Calibri"/>
        </w:rPr>
        <w:t xml:space="preserve"> because of the transfer made complete at the death of my husband.”</w:t>
      </w:r>
    </w:p>
    <w:p w14:paraId="291CFA3A" w14:textId="77777777" w:rsidR="00C4685A" w:rsidRDefault="00913F6D" w:rsidP="00AD4AC1">
      <w:pPr>
        <w:autoSpaceDE w:val="0"/>
        <w:autoSpaceDN w:val="0"/>
        <w:adjustRightInd w:val="0"/>
        <w:spacing w:line="360" w:lineRule="auto"/>
        <w:ind w:firstLine="720"/>
        <w:rPr>
          <w:rFonts w:ascii="Calibri" w:hAnsi="Calibri"/>
        </w:rPr>
      </w:pPr>
      <w:r>
        <w:rPr>
          <w:rFonts w:ascii="Calibri" w:hAnsi="Calibri"/>
        </w:rPr>
        <w:t xml:space="preserve">Would such a precondition </w:t>
      </w:r>
      <w:r w:rsidR="007C3E71">
        <w:rPr>
          <w:rFonts w:ascii="Calibri" w:hAnsi="Calibri"/>
        </w:rPr>
        <w:t xml:space="preserve">pass muster?  </w:t>
      </w:r>
      <w:r w:rsidR="00372C23">
        <w:rPr>
          <w:rFonts w:ascii="Calibri" w:hAnsi="Calibri"/>
        </w:rPr>
        <w:t xml:space="preserve">Would the trend </w:t>
      </w:r>
      <w:r w:rsidR="00860DA2">
        <w:rPr>
          <w:rFonts w:ascii="Calibri" w:hAnsi="Calibri"/>
        </w:rPr>
        <w:t>of</w:t>
      </w:r>
      <w:r w:rsidR="00372C23">
        <w:rPr>
          <w:rFonts w:ascii="Calibri" w:hAnsi="Calibri"/>
        </w:rPr>
        <w:t xml:space="preserve"> the taxpayer victories in formula gifting </w:t>
      </w:r>
      <w:r w:rsidR="008D6FAC">
        <w:rPr>
          <w:rFonts w:ascii="Calibri" w:hAnsi="Calibri"/>
        </w:rPr>
        <w:t xml:space="preserve">cases such as </w:t>
      </w:r>
      <w:r w:rsidR="008D6FAC">
        <w:rPr>
          <w:rFonts w:ascii="Calibri" w:hAnsi="Calibri"/>
          <w:i/>
        </w:rPr>
        <w:t>Wandry, Petter, Christiansen and</w:t>
      </w:r>
      <w:r w:rsidR="00372C23" w:rsidRPr="00372C23">
        <w:rPr>
          <w:rFonts w:ascii="Calibri" w:hAnsi="Calibri"/>
          <w:i/>
        </w:rPr>
        <w:t xml:space="preserve"> Hendrix</w:t>
      </w:r>
      <w:r w:rsidR="00372C23">
        <w:rPr>
          <w:rFonts w:ascii="Calibri" w:hAnsi="Calibri"/>
        </w:rPr>
        <w:t xml:space="preserve"> help?  </w:t>
      </w:r>
      <w:r w:rsidR="00860DA2">
        <w:rPr>
          <w:rFonts w:ascii="Calibri" w:hAnsi="Calibri"/>
        </w:rPr>
        <w:t xml:space="preserve">Perhaps – but those concerned valuation rather than whether a gift qualifies for a deduction or not.  </w:t>
      </w:r>
    </w:p>
    <w:p w14:paraId="57B83F89" w14:textId="77777777" w:rsidR="007C3E71" w:rsidRDefault="00C4685A" w:rsidP="00AD4AC1">
      <w:pPr>
        <w:autoSpaceDE w:val="0"/>
        <w:autoSpaceDN w:val="0"/>
        <w:adjustRightInd w:val="0"/>
        <w:spacing w:line="360" w:lineRule="auto"/>
        <w:ind w:firstLine="720"/>
        <w:rPr>
          <w:rFonts w:ascii="Calibri" w:hAnsi="Calibri"/>
        </w:rPr>
      </w:pPr>
      <w:r>
        <w:rPr>
          <w:rFonts w:ascii="Calibri" w:hAnsi="Calibri"/>
        </w:rPr>
        <w:t>As complicated and uncertain as all of this is, we have not even addressed wh</w:t>
      </w:r>
      <w:r w:rsidR="0028055D">
        <w:rPr>
          <w:rFonts w:ascii="Calibri" w:hAnsi="Calibri"/>
        </w:rPr>
        <w:t>ether the IRS might make other arguments</w:t>
      </w:r>
      <w:r w:rsidR="00677551">
        <w:rPr>
          <w:rFonts w:ascii="Calibri" w:hAnsi="Calibri"/>
        </w:rPr>
        <w:t xml:space="preserve"> regarding §2523</w:t>
      </w:r>
      <w:r w:rsidR="0028055D">
        <w:rPr>
          <w:rFonts w:ascii="Calibri" w:hAnsi="Calibri"/>
        </w:rPr>
        <w:t xml:space="preserve">, such as whether the donee deceased spouse has a valid lifetime income interest that is not “terminable” at the time of death, or whether the infamous step transaction doctrine might apply.  While there are plenty of cases where the IRS has argued “prearrangement” between spouses and lost, one of the most important “bad facts” for any step transaction case would be instantaneous successive transfers – an inevitable fact here.  </w:t>
      </w:r>
    </w:p>
    <w:p w14:paraId="526A5B03" w14:textId="77777777" w:rsidR="0028055D" w:rsidRDefault="0028055D" w:rsidP="00AD4AC1">
      <w:pPr>
        <w:autoSpaceDE w:val="0"/>
        <w:autoSpaceDN w:val="0"/>
        <w:adjustRightInd w:val="0"/>
        <w:spacing w:line="360" w:lineRule="auto"/>
        <w:ind w:firstLine="720"/>
        <w:rPr>
          <w:rFonts w:ascii="Calibri" w:hAnsi="Calibri"/>
        </w:rPr>
      </w:pPr>
      <w:r>
        <w:rPr>
          <w:rFonts w:ascii="Calibri" w:hAnsi="Calibri"/>
        </w:rPr>
        <w:t xml:space="preserve">In conclusion, until there is further guidance, wealthier couples with estates close to $10 million or above should simply avoid </w:t>
      </w:r>
      <w:r w:rsidR="00454966">
        <w:rPr>
          <w:rFonts w:ascii="Calibri" w:hAnsi="Calibri"/>
        </w:rPr>
        <w:t xml:space="preserve">or narrowly tailor use of </w:t>
      </w:r>
      <w:r>
        <w:rPr>
          <w:rFonts w:ascii="Calibri" w:hAnsi="Calibri"/>
        </w:rPr>
        <w:t xml:space="preserve">these </w:t>
      </w:r>
      <w:r w:rsidR="001762EA">
        <w:rPr>
          <w:rFonts w:ascii="Calibri" w:hAnsi="Calibri"/>
        </w:rPr>
        <w:t xml:space="preserve">joint </w:t>
      </w:r>
      <w:r w:rsidR="00507225">
        <w:rPr>
          <w:rFonts w:ascii="Calibri" w:hAnsi="Calibri"/>
        </w:rPr>
        <w:t xml:space="preserve">GPOA </w:t>
      </w:r>
      <w:r>
        <w:rPr>
          <w:rFonts w:ascii="Calibri" w:hAnsi="Calibri"/>
        </w:rPr>
        <w:t xml:space="preserve">techniques, </w:t>
      </w:r>
      <w:r w:rsidRPr="00507225">
        <w:rPr>
          <w:rFonts w:ascii="Calibri" w:hAnsi="Calibri"/>
          <w:i/>
          <w:sz w:val="22"/>
        </w:rPr>
        <w:t xml:space="preserve">unless </w:t>
      </w:r>
      <w:r w:rsidR="00900346">
        <w:rPr>
          <w:rFonts w:ascii="Calibri" w:hAnsi="Calibri"/>
          <w:i/>
          <w:sz w:val="22"/>
        </w:rPr>
        <w:t>the bulk</w:t>
      </w:r>
      <w:r w:rsidRPr="00507225">
        <w:rPr>
          <w:rFonts w:ascii="Calibri" w:hAnsi="Calibri"/>
          <w:i/>
          <w:sz w:val="22"/>
        </w:rPr>
        <w:t xml:space="preserve"> of their estate will go to charity at the second death anyway</w:t>
      </w:r>
      <w:r>
        <w:rPr>
          <w:rFonts w:ascii="Calibri" w:hAnsi="Calibri"/>
        </w:rPr>
        <w:t>, because of the potential for double use of exclusion</w:t>
      </w:r>
      <w:r w:rsidR="00507225">
        <w:rPr>
          <w:rFonts w:ascii="Calibri" w:hAnsi="Calibri"/>
        </w:rPr>
        <w:t xml:space="preserve"> as </w:t>
      </w:r>
      <w:r w:rsidR="001449E5">
        <w:rPr>
          <w:rFonts w:ascii="Calibri" w:hAnsi="Calibri"/>
        </w:rPr>
        <w:t>the</w:t>
      </w:r>
      <w:r w:rsidR="00507225">
        <w:rPr>
          <w:rFonts w:ascii="Calibri" w:hAnsi="Calibri"/>
        </w:rPr>
        <w:t xml:space="preserve"> price of the double step up in basis</w:t>
      </w:r>
      <w:r>
        <w:rPr>
          <w:rFonts w:ascii="Calibri" w:hAnsi="Calibri"/>
        </w:rPr>
        <w:t xml:space="preserve">.  </w:t>
      </w:r>
      <w:r w:rsidR="00943ED4">
        <w:rPr>
          <w:rFonts w:ascii="Calibri" w:hAnsi="Calibri"/>
        </w:rPr>
        <w:t>They</w:t>
      </w:r>
      <w:r>
        <w:rPr>
          <w:rFonts w:ascii="Calibri" w:hAnsi="Calibri"/>
        </w:rPr>
        <w:t xml:space="preserve"> </w:t>
      </w:r>
      <w:r w:rsidR="00704402">
        <w:rPr>
          <w:rFonts w:ascii="Calibri" w:hAnsi="Calibri"/>
        </w:rPr>
        <w:t>might</w:t>
      </w:r>
      <w:r w:rsidR="00900346">
        <w:rPr>
          <w:rFonts w:ascii="Calibri" w:hAnsi="Calibri"/>
        </w:rPr>
        <w:t xml:space="preserve"> consider a</w:t>
      </w:r>
      <w:r>
        <w:rPr>
          <w:rFonts w:ascii="Calibri" w:hAnsi="Calibri"/>
        </w:rPr>
        <w:t xml:space="preserve"> Community Property Trust instead.  For couples with much lesser estates, there may be little to lose by attempting these techniques</w:t>
      </w:r>
      <w:r w:rsidR="00677551">
        <w:rPr>
          <w:rFonts w:ascii="Calibri" w:hAnsi="Calibri"/>
        </w:rPr>
        <w:t xml:space="preserve">, </w:t>
      </w:r>
      <w:r w:rsidR="00507225">
        <w:rPr>
          <w:rFonts w:ascii="Calibri" w:hAnsi="Calibri"/>
        </w:rPr>
        <w:t xml:space="preserve">especially if they are limited to the assets that would truly benefit the surviving spouse during his/her lifetime (e.g. </w:t>
      </w:r>
      <w:r w:rsidR="00CC6954">
        <w:rPr>
          <w:rFonts w:ascii="Calibri" w:hAnsi="Calibri"/>
        </w:rPr>
        <w:t>low</w:t>
      </w:r>
      <w:r w:rsidR="00507225">
        <w:rPr>
          <w:rFonts w:ascii="Calibri" w:hAnsi="Calibri"/>
        </w:rPr>
        <w:t xml:space="preserve"> </w:t>
      </w:r>
      <w:r w:rsidR="001762EA">
        <w:rPr>
          <w:rFonts w:ascii="Calibri" w:hAnsi="Calibri"/>
        </w:rPr>
        <w:t xml:space="preserve"> basis </w:t>
      </w:r>
      <w:r w:rsidR="00507225">
        <w:rPr>
          <w:rFonts w:ascii="Calibri" w:hAnsi="Calibri"/>
        </w:rPr>
        <w:lastRenderedPageBreak/>
        <w:t xml:space="preserve">depreciable asset).  </w:t>
      </w:r>
      <w:r w:rsidR="00900346">
        <w:rPr>
          <w:rFonts w:ascii="Calibri" w:hAnsi="Calibri"/>
        </w:rPr>
        <w:t>At a minimum, the designs in the</w:t>
      </w:r>
      <w:r w:rsidR="00677551">
        <w:rPr>
          <w:rFonts w:ascii="Calibri" w:hAnsi="Calibri"/>
        </w:rPr>
        <w:t xml:space="preserve"> PLRs</w:t>
      </w:r>
      <w:r w:rsidR="00900346">
        <w:rPr>
          <w:rFonts w:ascii="Calibri" w:hAnsi="Calibri"/>
        </w:rPr>
        <w:t xml:space="preserve"> can be improved</w:t>
      </w:r>
      <w:r>
        <w:rPr>
          <w:rFonts w:ascii="Calibri" w:hAnsi="Calibri"/>
        </w:rPr>
        <w:t xml:space="preserve">. </w:t>
      </w:r>
      <w:r w:rsidR="001449E5">
        <w:rPr>
          <w:rFonts w:ascii="Calibri" w:hAnsi="Calibri"/>
        </w:rPr>
        <w:t xml:space="preserve">  In my opinion, the </w:t>
      </w:r>
      <w:r w:rsidR="001449E5" w:rsidRPr="001449E5">
        <w:rPr>
          <w:rFonts w:ascii="Calibri" w:hAnsi="Calibri"/>
          <w:i/>
        </w:rPr>
        <w:t>Upstream Optimal Basis Increase Trust</w:t>
      </w:r>
      <w:r w:rsidR="001449E5">
        <w:rPr>
          <w:rFonts w:ascii="Calibri" w:hAnsi="Calibri"/>
        </w:rPr>
        <w:t>, discussed in section</w:t>
      </w:r>
      <w:r w:rsidR="001208F5">
        <w:rPr>
          <w:rFonts w:ascii="Calibri" w:hAnsi="Calibri"/>
        </w:rPr>
        <w:t xml:space="preserve"> j</w:t>
      </w:r>
      <w:r w:rsidR="00C61BAB">
        <w:rPr>
          <w:rFonts w:ascii="Calibri" w:hAnsi="Calibri"/>
        </w:rPr>
        <w:t>. below</w:t>
      </w:r>
      <w:r w:rsidR="001449E5">
        <w:rPr>
          <w:rFonts w:ascii="Calibri" w:hAnsi="Calibri"/>
        </w:rPr>
        <w:t>, is far superior, because it largely avoids §2523, §1014(e) and step transaction issues.</w:t>
      </w:r>
    </w:p>
    <w:p w14:paraId="55325FAD" w14:textId="77777777" w:rsidR="00442746" w:rsidRDefault="00442746">
      <w:pPr>
        <w:rPr>
          <w:rFonts w:ascii="Calibri" w:hAnsi="Calibri"/>
          <w:b/>
        </w:rPr>
      </w:pPr>
      <w:r>
        <w:rPr>
          <w:rFonts w:ascii="Calibri" w:hAnsi="Calibri"/>
          <w:b/>
        </w:rPr>
        <w:br w:type="page"/>
      </w:r>
    </w:p>
    <w:p w14:paraId="088D44AC" w14:textId="77777777" w:rsidR="004A5827" w:rsidRDefault="004A5827" w:rsidP="00180FD1">
      <w:pPr>
        <w:pStyle w:val="ListParagraph"/>
        <w:numPr>
          <w:ilvl w:val="0"/>
          <w:numId w:val="21"/>
        </w:numPr>
        <w:autoSpaceDE w:val="0"/>
        <w:autoSpaceDN w:val="0"/>
        <w:adjustRightInd w:val="0"/>
        <w:spacing w:line="360" w:lineRule="auto"/>
        <w:ind w:hanging="720"/>
        <w:rPr>
          <w:rFonts w:ascii="Calibri" w:hAnsi="Calibri"/>
          <w:b/>
        </w:rPr>
      </w:pPr>
      <w:r w:rsidRPr="004A5827">
        <w:rPr>
          <w:rFonts w:ascii="Calibri" w:hAnsi="Calibri"/>
          <w:b/>
        </w:rPr>
        <w:lastRenderedPageBreak/>
        <w:t>Using Intervivos QT</w:t>
      </w:r>
      <w:r w:rsidR="004D41CD">
        <w:rPr>
          <w:rFonts w:ascii="Calibri" w:hAnsi="Calibri"/>
          <w:b/>
        </w:rPr>
        <w:t>IP Trusts to Avoid the IRC §1014(e) One-Year R</w:t>
      </w:r>
      <w:r w:rsidRPr="004A5827">
        <w:rPr>
          <w:rFonts w:ascii="Calibri" w:hAnsi="Calibri"/>
          <w:b/>
        </w:rPr>
        <w:t>ule</w:t>
      </w:r>
    </w:p>
    <w:p w14:paraId="2E901F47" w14:textId="77777777" w:rsidR="007B6522" w:rsidRPr="007B6522" w:rsidRDefault="007B6522" w:rsidP="007B6522">
      <w:pPr>
        <w:spacing w:line="360" w:lineRule="auto"/>
        <w:ind w:firstLine="720"/>
        <w:rPr>
          <w:rFonts w:asciiTheme="minorHAnsi" w:hAnsiTheme="minorHAnsi"/>
          <w:szCs w:val="28"/>
        </w:rPr>
      </w:pPr>
      <w:r w:rsidRPr="007B6522">
        <w:rPr>
          <w:rFonts w:asciiTheme="minorHAnsi" w:hAnsiTheme="minorHAnsi"/>
          <w:szCs w:val="28"/>
        </w:rPr>
        <w:t xml:space="preserve">If a healthy spouse makes a completed gift to an intervivos QTIP trust for a terminally ill spouse on their deathbed, can all the assets in the QTIP receive a new basis at the donee spouse’s death </w:t>
      </w:r>
      <w:r>
        <w:rPr>
          <w:rFonts w:asciiTheme="minorHAnsi" w:hAnsiTheme="minorHAnsi"/>
          <w:szCs w:val="28"/>
        </w:rPr>
        <w:t>even if the ill spouse dies within one year</w:t>
      </w:r>
      <w:r w:rsidRPr="007B6522">
        <w:rPr>
          <w:rFonts w:asciiTheme="minorHAnsi" w:hAnsiTheme="minorHAnsi"/>
          <w:szCs w:val="28"/>
        </w:rPr>
        <w:t xml:space="preserve">?  Surprisingly, the answer is probably “yes”.  </w:t>
      </w:r>
      <w:r>
        <w:rPr>
          <w:rFonts w:asciiTheme="minorHAnsi" w:hAnsiTheme="minorHAnsi"/>
          <w:szCs w:val="28"/>
        </w:rPr>
        <w:t xml:space="preserve">As discussed above, </w:t>
      </w:r>
      <w:r w:rsidRPr="007B6522">
        <w:rPr>
          <w:rFonts w:asciiTheme="minorHAnsi" w:hAnsiTheme="minorHAnsi"/>
          <w:szCs w:val="28"/>
        </w:rPr>
        <w:t xml:space="preserve">IRC §1014(e) </w:t>
      </w:r>
      <w:r w:rsidR="00CC6954">
        <w:rPr>
          <w:rFonts w:asciiTheme="minorHAnsi" w:hAnsiTheme="minorHAnsi"/>
          <w:szCs w:val="28"/>
        </w:rPr>
        <w:t>has</w:t>
      </w:r>
      <w:r w:rsidR="0099068C">
        <w:rPr>
          <w:rFonts w:asciiTheme="minorHAnsi" w:hAnsiTheme="minorHAnsi"/>
          <w:szCs w:val="28"/>
        </w:rPr>
        <w:t xml:space="preserve"> a one-</w:t>
      </w:r>
      <w:r w:rsidRPr="007B6522">
        <w:rPr>
          <w:rFonts w:asciiTheme="minorHAnsi" w:hAnsiTheme="minorHAnsi"/>
          <w:szCs w:val="28"/>
        </w:rPr>
        <w:t xml:space="preserve">year rule denying a step up (but permitting a step down) in basis if: </w:t>
      </w:r>
    </w:p>
    <w:p w14:paraId="6A0CA162" w14:textId="77777777" w:rsidR="007B6522" w:rsidRPr="007B6522" w:rsidRDefault="007B6522" w:rsidP="009D6BBD">
      <w:pPr>
        <w:spacing w:line="280" w:lineRule="exact"/>
        <w:ind w:left="720"/>
        <w:rPr>
          <w:rFonts w:asciiTheme="minorHAnsi" w:hAnsiTheme="minorHAnsi"/>
          <w:szCs w:val="28"/>
        </w:rPr>
      </w:pPr>
      <w:r w:rsidRPr="007B6522">
        <w:rPr>
          <w:rFonts w:asciiTheme="minorHAnsi" w:hAnsiTheme="minorHAnsi"/>
          <w:szCs w:val="28"/>
        </w:rPr>
        <w:t>“</w:t>
      </w:r>
      <w:r>
        <w:rPr>
          <w:rFonts w:asciiTheme="minorHAnsi" w:hAnsiTheme="minorHAnsi"/>
          <w:szCs w:val="28"/>
        </w:rPr>
        <w:t>(</w:t>
      </w:r>
      <w:r w:rsidRPr="007B6522">
        <w:rPr>
          <w:rFonts w:asciiTheme="minorHAnsi" w:hAnsiTheme="minorHAnsi"/>
          <w:szCs w:val="28"/>
        </w:rPr>
        <w:t xml:space="preserve">A) appreciated property was acquired by the decedent by gift during the 1-year period ending on the date of the decedent’s death, </w:t>
      </w:r>
      <w:r w:rsidRPr="007B6522">
        <w:rPr>
          <w:rFonts w:asciiTheme="minorHAnsi" w:hAnsiTheme="minorHAnsi"/>
          <w:b/>
          <w:szCs w:val="28"/>
        </w:rPr>
        <w:t>and</w:t>
      </w:r>
      <w:r w:rsidRPr="007B6522">
        <w:rPr>
          <w:rFonts w:asciiTheme="minorHAnsi" w:hAnsiTheme="minorHAnsi"/>
          <w:szCs w:val="28"/>
        </w:rPr>
        <w:t xml:space="preserve"> </w:t>
      </w:r>
    </w:p>
    <w:p w14:paraId="01982E75" w14:textId="77777777" w:rsidR="007B6522" w:rsidRDefault="007B6522" w:rsidP="009D6BBD">
      <w:pPr>
        <w:spacing w:line="280" w:lineRule="exact"/>
        <w:ind w:left="720"/>
        <w:rPr>
          <w:rFonts w:asciiTheme="minorHAnsi" w:hAnsiTheme="minorHAnsi"/>
          <w:szCs w:val="28"/>
        </w:rPr>
      </w:pPr>
      <w:r w:rsidRPr="007B6522">
        <w:rPr>
          <w:rFonts w:asciiTheme="minorHAnsi" w:hAnsiTheme="minorHAnsi"/>
          <w:szCs w:val="28"/>
        </w:rPr>
        <w:t>(B) such property is acquired from the decedent by (or passes from the decedent to) the donor of such property (or the spouse of such donor)”.</w:t>
      </w:r>
      <w:r w:rsidRPr="007B6522">
        <w:rPr>
          <w:rStyle w:val="FootnoteReference"/>
          <w:rFonts w:asciiTheme="minorHAnsi" w:hAnsiTheme="minorHAnsi"/>
          <w:szCs w:val="28"/>
        </w:rPr>
        <w:footnoteReference w:id="226"/>
      </w:r>
    </w:p>
    <w:p w14:paraId="5D22EA36" w14:textId="77777777" w:rsidR="009D6BBD" w:rsidRPr="007B6522" w:rsidRDefault="009D6BBD" w:rsidP="009D6BBD">
      <w:pPr>
        <w:spacing w:line="280" w:lineRule="exact"/>
        <w:ind w:left="720"/>
        <w:rPr>
          <w:rFonts w:asciiTheme="minorHAnsi" w:hAnsiTheme="minorHAnsi"/>
          <w:szCs w:val="28"/>
        </w:rPr>
      </w:pPr>
    </w:p>
    <w:p w14:paraId="1F7FFB8D" w14:textId="77777777" w:rsidR="009D6BBD" w:rsidRDefault="007B6522" w:rsidP="00E7615B">
      <w:pPr>
        <w:spacing w:line="360" w:lineRule="auto"/>
        <w:ind w:firstLine="720"/>
        <w:rPr>
          <w:rFonts w:asciiTheme="minorHAnsi" w:hAnsiTheme="minorHAnsi"/>
          <w:szCs w:val="28"/>
        </w:rPr>
      </w:pPr>
      <w:r w:rsidRPr="007B6522">
        <w:rPr>
          <w:rFonts w:asciiTheme="minorHAnsi" w:hAnsiTheme="minorHAnsi"/>
          <w:szCs w:val="28"/>
        </w:rPr>
        <w:t xml:space="preserve"> However, with </w:t>
      </w:r>
      <w:r w:rsidR="009D6BBD">
        <w:rPr>
          <w:rFonts w:asciiTheme="minorHAnsi" w:hAnsiTheme="minorHAnsi"/>
          <w:szCs w:val="28"/>
        </w:rPr>
        <w:t>an</w:t>
      </w:r>
      <w:r w:rsidRPr="007B6522">
        <w:rPr>
          <w:rFonts w:asciiTheme="minorHAnsi" w:hAnsiTheme="minorHAnsi"/>
          <w:szCs w:val="28"/>
        </w:rPr>
        <w:t xml:space="preserve"> intervivos QTIP, §1014(e) would not apply, for several reasons.  First, unlike in standard outright gift situations, the donee spouse of an intervivos QTIP does not “acquire” the property at all</w:t>
      </w:r>
      <w:r w:rsidR="0003239D">
        <w:rPr>
          <w:rFonts w:asciiTheme="minorHAnsi" w:hAnsiTheme="minorHAnsi"/>
          <w:szCs w:val="28"/>
        </w:rPr>
        <w:t>.</w:t>
      </w:r>
      <w:r w:rsidRPr="007B6522">
        <w:rPr>
          <w:rFonts w:asciiTheme="minorHAnsi" w:hAnsiTheme="minorHAnsi"/>
          <w:szCs w:val="28"/>
        </w:rPr>
        <w:t xml:space="preserve">  At most, it’s an income interest in the property.  It’s certainly not a donee spouse’s property under any state law.  An intervivos QTIP trust is not even considered the donee spouse’s property for income tax purposes under grantor trust rules.  </w:t>
      </w:r>
      <w:r w:rsidR="009D6BBD">
        <w:rPr>
          <w:rFonts w:asciiTheme="minorHAnsi" w:hAnsiTheme="minorHAnsi"/>
          <w:szCs w:val="28"/>
        </w:rPr>
        <w:t>I</w:t>
      </w:r>
      <w:r w:rsidRPr="007B6522">
        <w:rPr>
          <w:rFonts w:asciiTheme="minorHAnsi" w:hAnsiTheme="minorHAnsi"/>
          <w:szCs w:val="28"/>
        </w:rPr>
        <w:t>t’s considered to be owned</w:t>
      </w:r>
      <w:r w:rsidR="0099068C">
        <w:rPr>
          <w:rFonts w:asciiTheme="minorHAnsi" w:hAnsiTheme="minorHAnsi"/>
          <w:szCs w:val="28"/>
        </w:rPr>
        <w:t xml:space="preserve"> by the settlor-</w:t>
      </w:r>
      <w:r w:rsidRPr="007B6522">
        <w:rPr>
          <w:rFonts w:asciiTheme="minorHAnsi" w:hAnsiTheme="minorHAnsi"/>
          <w:szCs w:val="28"/>
        </w:rPr>
        <w:t xml:space="preserve">spouse for income tax purposes </w:t>
      </w:r>
      <w:r w:rsidR="009D6BBD">
        <w:rPr>
          <w:rFonts w:asciiTheme="minorHAnsi" w:hAnsiTheme="minorHAnsi"/>
          <w:szCs w:val="28"/>
        </w:rPr>
        <w:t>(</w:t>
      </w:r>
      <w:r w:rsidRPr="007B6522">
        <w:rPr>
          <w:rFonts w:asciiTheme="minorHAnsi" w:hAnsiTheme="minorHAnsi"/>
          <w:szCs w:val="28"/>
        </w:rPr>
        <w:t>unless we make the trust a partially non-grantor trust</w:t>
      </w:r>
      <w:r w:rsidR="0099068C">
        <w:rPr>
          <w:rFonts w:asciiTheme="minorHAnsi" w:hAnsiTheme="minorHAnsi"/>
          <w:szCs w:val="28"/>
        </w:rPr>
        <w:t>, which is difficult</w:t>
      </w:r>
      <w:r w:rsidR="009D6BBD">
        <w:rPr>
          <w:rFonts w:asciiTheme="minorHAnsi" w:hAnsiTheme="minorHAnsi"/>
          <w:szCs w:val="28"/>
        </w:rPr>
        <w:t>)</w:t>
      </w:r>
      <w:r w:rsidRPr="007B6522">
        <w:rPr>
          <w:rFonts w:asciiTheme="minorHAnsi" w:hAnsiTheme="minorHAnsi"/>
          <w:szCs w:val="28"/>
        </w:rPr>
        <w:t>.  It’s not even possible to make an intervivos QTIP trust a beneficiary deemed owner trust as to the spouse</w:t>
      </w:r>
      <w:r w:rsidR="00CC6954">
        <w:rPr>
          <w:rFonts w:asciiTheme="minorHAnsi" w:hAnsiTheme="minorHAnsi"/>
          <w:szCs w:val="28"/>
        </w:rPr>
        <w:t xml:space="preserve"> during the settlor’s lifetime.</w:t>
      </w:r>
      <w:r w:rsidRPr="007B6522">
        <w:rPr>
          <w:rFonts w:asciiTheme="minorHAnsi" w:hAnsiTheme="minorHAnsi"/>
          <w:szCs w:val="28"/>
        </w:rPr>
        <w:t xml:space="preserve">  Thus, for both state law and federal income tax law, the assets in an intervivos QTIP trust are </w:t>
      </w:r>
      <w:r w:rsidRPr="007B6522">
        <w:rPr>
          <w:rFonts w:asciiTheme="minorHAnsi" w:hAnsiTheme="minorHAnsi"/>
          <w:b/>
          <w:szCs w:val="28"/>
        </w:rPr>
        <w:t>not</w:t>
      </w:r>
      <w:r w:rsidRPr="007B6522">
        <w:rPr>
          <w:rFonts w:asciiTheme="minorHAnsi" w:hAnsiTheme="minorHAnsi"/>
          <w:szCs w:val="28"/>
        </w:rPr>
        <w:t xml:space="preserve"> the donee’s spouse’s assets and if the donee spouse dies, the prerequisite of §1014(e)(1)(A) quote</w:t>
      </w:r>
      <w:r w:rsidR="00B52B7C">
        <w:rPr>
          <w:rFonts w:asciiTheme="minorHAnsi" w:hAnsiTheme="minorHAnsi"/>
          <w:szCs w:val="28"/>
        </w:rPr>
        <w:t>d</w:t>
      </w:r>
      <w:r w:rsidRPr="007B6522">
        <w:rPr>
          <w:rFonts w:asciiTheme="minorHAnsi" w:hAnsiTheme="minorHAnsi"/>
          <w:szCs w:val="28"/>
        </w:rPr>
        <w:t xml:space="preserve"> above </w:t>
      </w:r>
      <w:r w:rsidR="00CC6954">
        <w:rPr>
          <w:rFonts w:asciiTheme="minorHAnsi" w:hAnsiTheme="minorHAnsi"/>
          <w:szCs w:val="28"/>
        </w:rPr>
        <w:t>should</w:t>
      </w:r>
      <w:r w:rsidRPr="007B6522">
        <w:rPr>
          <w:rFonts w:asciiTheme="minorHAnsi" w:hAnsiTheme="minorHAnsi"/>
          <w:szCs w:val="28"/>
        </w:rPr>
        <w:t xml:space="preserve"> not apply.  While §1014(b) and §1014(b)(10) deems receipt from a QTIP trust to be acquired from a decedent “for purposes of paragraph a”, it excludes any reference to </w:t>
      </w:r>
      <w:r w:rsidR="009D6BBD">
        <w:rPr>
          <w:rFonts w:asciiTheme="minorHAnsi" w:hAnsiTheme="minorHAnsi"/>
          <w:szCs w:val="28"/>
        </w:rPr>
        <w:t>“</w:t>
      </w:r>
      <w:r w:rsidRPr="007B6522">
        <w:rPr>
          <w:rFonts w:asciiTheme="minorHAnsi" w:hAnsiTheme="minorHAnsi"/>
          <w:szCs w:val="28"/>
        </w:rPr>
        <w:t>paragraph e</w:t>
      </w:r>
      <w:r w:rsidR="009D6BBD">
        <w:rPr>
          <w:rFonts w:asciiTheme="minorHAnsi" w:hAnsiTheme="minorHAnsi"/>
          <w:szCs w:val="28"/>
        </w:rPr>
        <w:t>”</w:t>
      </w:r>
      <w:r w:rsidR="00E7615B">
        <w:rPr>
          <w:rFonts w:asciiTheme="minorHAnsi" w:hAnsiTheme="minorHAnsi"/>
          <w:szCs w:val="28"/>
        </w:rPr>
        <w:t>. N</w:t>
      </w:r>
      <w:r w:rsidR="009D6BBD">
        <w:rPr>
          <w:rFonts w:asciiTheme="minorHAnsi" w:hAnsiTheme="minorHAnsi"/>
          <w:szCs w:val="28"/>
        </w:rPr>
        <w:t xml:space="preserve">or </w:t>
      </w:r>
      <w:r w:rsidRPr="007B6522">
        <w:rPr>
          <w:rFonts w:asciiTheme="minorHAnsi" w:hAnsiTheme="minorHAnsi"/>
          <w:szCs w:val="28"/>
        </w:rPr>
        <w:t xml:space="preserve">does </w:t>
      </w:r>
      <w:r w:rsidR="00B52B7C" w:rsidRPr="007B6522">
        <w:rPr>
          <w:rFonts w:asciiTheme="minorHAnsi" w:hAnsiTheme="minorHAnsi"/>
          <w:szCs w:val="28"/>
        </w:rPr>
        <w:t xml:space="preserve">it </w:t>
      </w:r>
      <w:r w:rsidRPr="007B6522">
        <w:rPr>
          <w:rFonts w:asciiTheme="minorHAnsi" w:hAnsiTheme="minorHAnsi"/>
          <w:szCs w:val="28"/>
        </w:rPr>
        <w:t>say, for example</w:t>
      </w:r>
      <w:r w:rsidR="00B52B7C">
        <w:rPr>
          <w:rFonts w:asciiTheme="minorHAnsi" w:hAnsiTheme="minorHAnsi"/>
          <w:szCs w:val="28"/>
        </w:rPr>
        <w:t>,</w:t>
      </w:r>
      <w:r w:rsidRPr="007B6522">
        <w:rPr>
          <w:rFonts w:asciiTheme="minorHAnsi" w:hAnsiTheme="minorHAnsi"/>
          <w:szCs w:val="28"/>
        </w:rPr>
        <w:t xml:space="preserve"> “for purposes of this section</w:t>
      </w:r>
      <w:r w:rsidR="00B52B7C">
        <w:rPr>
          <w:rFonts w:asciiTheme="minorHAnsi" w:hAnsiTheme="minorHAnsi"/>
          <w:szCs w:val="28"/>
        </w:rPr>
        <w:t>”</w:t>
      </w:r>
      <w:r w:rsidRPr="007B6522">
        <w:rPr>
          <w:rFonts w:asciiTheme="minorHAnsi" w:hAnsiTheme="minorHAnsi"/>
          <w:szCs w:val="28"/>
        </w:rPr>
        <w:t xml:space="preserve">.  </w:t>
      </w:r>
      <w:r w:rsidR="00B52B7C">
        <w:rPr>
          <w:rFonts w:asciiTheme="minorHAnsi" w:hAnsiTheme="minorHAnsi"/>
          <w:szCs w:val="28"/>
        </w:rPr>
        <w:t xml:space="preserve">Usually such </w:t>
      </w:r>
      <w:r w:rsidRPr="007B6522">
        <w:rPr>
          <w:rFonts w:asciiTheme="minorHAnsi" w:hAnsiTheme="minorHAnsi"/>
          <w:szCs w:val="28"/>
        </w:rPr>
        <w:t xml:space="preserve">definitional or deeming rules </w:t>
      </w:r>
      <w:r w:rsidR="00B52B7C">
        <w:rPr>
          <w:rFonts w:asciiTheme="minorHAnsi" w:hAnsiTheme="minorHAnsi"/>
          <w:szCs w:val="28"/>
        </w:rPr>
        <w:t>would</w:t>
      </w:r>
      <w:r w:rsidRPr="007B6522">
        <w:rPr>
          <w:rFonts w:asciiTheme="minorHAnsi" w:hAnsiTheme="minorHAnsi"/>
          <w:szCs w:val="28"/>
        </w:rPr>
        <w:t xml:space="preserve"> apply to an entire section or to several paragraphs</w:t>
      </w:r>
      <w:r w:rsidR="009D6BBD">
        <w:rPr>
          <w:rFonts w:asciiTheme="minorHAnsi" w:hAnsiTheme="minorHAnsi"/>
          <w:szCs w:val="28"/>
        </w:rPr>
        <w:t xml:space="preserve">, yet that is not the case here.  </w:t>
      </w:r>
      <w:r w:rsidR="00B52B7C">
        <w:rPr>
          <w:rFonts w:asciiTheme="minorHAnsi" w:hAnsiTheme="minorHAnsi"/>
          <w:szCs w:val="28"/>
        </w:rPr>
        <w:t>T</w:t>
      </w:r>
      <w:r w:rsidRPr="007B6522">
        <w:rPr>
          <w:rFonts w:asciiTheme="minorHAnsi" w:hAnsiTheme="minorHAnsi"/>
          <w:szCs w:val="28"/>
        </w:rPr>
        <w:t>here is no such regulation</w:t>
      </w:r>
      <w:r w:rsidR="00B52B7C">
        <w:rPr>
          <w:rFonts w:asciiTheme="minorHAnsi" w:hAnsiTheme="minorHAnsi"/>
          <w:szCs w:val="28"/>
        </w:rPr>
        <w:t xml:space="preserve"> explaining the code section</w:t>
      </w:r>
      <w:r w:rsidRPr="007B6522">
        <w:rPr>
          <w:rFonts w:asciiTheme="minorHAnsi" w:hAnsiTheme="minorHAnsi"/>
          <w:szCs w:val="28"/>
        </w:rPr>
        <w:t>.</w:t>
      </w:r>
      <w:r w:rsidRPr="007B6522">
        <w:rPr>
          <w:rStyle w:val="FootnoteReference"/>
          <w:rFonts w:asciiTheme="minorHAnsi" w:hAnsiTheme="minorHAnsi"/>
          <w:szCs w:val="28"/>
        </w:rPr>
        <w:footnoteReference w:id="227"/>
      </w:r>
      <w:r w:rsidRPr="007B6522">
        <w:rPr>
          <w:rFonts w:asciiTheme="minorHAnsi" w:hAnsiTheme="minorHAnsi"/>
          <w:szCs w:val="28"/>
        </w:rPr>
        <w:t xml:space="preserve">  </w:t>
      </w:r>
      <w:r w:rsidR="00B52B7C">
        <w:rPr>
          <w:rFonts w:asciiTheme="minorHAnsi" w:hAnsiTheme="minorHAnsi"/>
          <w:szCs w:val="28"/>
        </w:rPr>
        <w:t xml:space="preserve">This particular oversight and parsing of the statute may not be enough to </w:t>
      </w:r>
      <w:r w:rsidR="00B52B7C">
        <w:rPr>
          <w:rFonts w:asciiTheme="minorHAnsi" w:hAnsiTheme="minorHAnsi"/>
          <w:szCs w:val="28"/>
        </w:rPr>
        <w:lastRenderedPageBreak/>
        <w:t>convince readers</w:t>
      </w:r>
      <w:r w:rsidR="00E7615B">
        <w:rPr>
          <w:rFonts w:asciiTheme="minorHAnsi" w:hAnsiTheme="minorHAnsi"/>
          <w:szCs w:val="28"/>
        </w:rPr>
        <w:t xml:space="preserve"> who may retort that paragraph a sets out §1014’s general rule which should include §1014(e)</w:t>
      </w:r>
      <w:r w:rsidR="00B52B7C">
        <w:rPr>
          <w:rFonts w:asciiTheme="minorHAnsi" w:hAnsiTheme="minorHAnsi"/>
          <w:szCs w:val="28"/>
        </w:rPr>
        <w:t>, but there are more reasons.</w:t>
      </w:r>
    </w:p>
    <w:p w14:paraId="7B07C0ED" w14:textId="77777777" w:rsidR="00E55BD4" w:rsidRDefault="007B6522" w:rsidP="007B6522">
      <w:pPr>
        <w:spacing w:line="360" w:lineRule="auto"/>
        <w:ind w:firstLine="720"/>
        <w:rPr>
          <w:rFonts w:asciiTheme="minorHAnsi" w:hAnsiTheme="minorHAnsi"/>
          <w:szCs w:val="28"/>
        </w:rPr>
      </w:pPr>
      <w:r w:rsidRPr="007B6522">
        <w:rPr>
          <w:rFonts w:asciiTheme="minorHAnsi" w:hAnsiTheme="minorHAnsi"/>
          <w:szCs w:val="28"/>
        </w:rPr>
        <w:t xml:space="preserve">Secondly, a </w:t>
      </w:r>
      <w:r w:rsidR="009D6BBD">
        <w:rPr>
          <w:rFonts w:asciiTheme="minorHAnsi" w:hAnsiTheme="minorHAnsi"/>
          <w:szCs w:val="28"/>
        </w:rPr>
        <w:t>donor</w:t>
      </w:r>
      <w:r w:rsidRPr="007B6522">
        <w:rPr>
          <w:rFonts w:asciiTheme="minorHAnsi" w:hAnsiTheme="minorHAnsi"/>
          <w:szCs w:val="28"/>
        </w:rPr>
        <w:t xml:space="preserve"> could simply gift cash or non-appreciated assets to the </w:t>
      </w:r>
      <w:r w:rsidR="0099068C">
        <w:rPr>
          <w:rFonts w:asciiTheme="minorHAnsi" w:hAnsiTheme="minorHAnsi"/>
          <w:szCs w:val="28"/>
        </w:rPr>
        <w:t xml:space="preserve">IV QTIP </w:t>
      </w:r>
      <w:r w:rsidRPr="007B6522">
        <w:rPr>
          <w:rFonts w:asciiTheme="minorHAnsi" w:hAnsiTheme="minorHAnsi"/>
          <w:szCs w:val="28"/>
        </w:rPr>
        <w:t xml:space="preserve">trust, then swap or </w:t>
      </w:r>
      <w:r w:rsidR="009D6BBD">
        <w:rPr>
          <w:rFonts w:asciiTheme="minorHAnsi" w:hAnsiTheme="minorHAnsi"/>
          <w:szCs w:val="28"/>
        </w:rPr>
        <w:t xml:space="preserve">have the trust </w:t>
      </w:r>
      <w:r w:rsidRPr="007B6522">
        <w:rPr>
          <w:rFonts w:asciiTheme="minorHAnsi" w:hAnsiTheme="minorHAnsi"/>
          <w:szCs w:val="28"/>
        </w:rPr>
        <w:t xml:space="preserve">purchase the lower basis assets desired to be stepped up for equivalent value.  </w:t>
      </w:r>
      <w:r w:rsidR="009D6BBD">
        <w:rPr>
          <w:rFonts w:asciiTheme="minorHAnsi" w:hAnsiTheme="minorHAnsi"/>
          <w:szCs w:val="28"/>
        </w:rPr>
        <w:t>I</w:t>
      </w:r>
      <w:r w:rsidR="00CC6954">
        <w:rPr>
          <w:rFonts w:asciiTheme="minorHAnsi" w:hAnsiTheme="minorHAnsi"/>
          <w:szCs w:val="28"/>
        </w:rPr>
        <w:t>n such a case, paragraph (A)</w:t>
      </w:r>
      <w:r w:rsidRPr="007B6522">
        <w:rPr>
          <w:rFonts w:asciiTheme="minorHAnsi" w:hAnsiTheme="minorHAnsi"/>
          <w:szCs w:val="28"/>
        </w:rPr>
        <w:t xml:space="preserve"> would fail to apply for a second reason – that </w:t>
      </w:r>
      <w:r w:rsidRPr="007B6522">
        <w:rPr>
          <w:rFonts w:asciiTheme="minorHAnsi" w:hAnsiTheme="minorHAnsi"/>
          <w:i/>
          <w:szCs w:val="28"/>
        </w:rPr>
        <w:t>no</w:t>
      </w:r>
      <w:r w:rsidRPr="007B6522">
        <w:rPr>
          <w:rFonts w:asciiTheme="minorHAnsi" w:hAnsiTheme="minorHAnsi"/>
          <w:szCs w:val="28"/>
        </w:rPr>
        <w:t xml:space="preserve"> </w:t>
      </w:r>
      <w:r w:rsidRPr="007B6522">
        <w:rPr>
          <w:rFonts w:asciiTheme="minorHAnsi" w:hAnsiTheme="minorHAnsi"/>
          <w:i/>
          <w:szCs w:val="28"/>
        </w:rPr>
        <w:t>appreciated</w:t>
      </w:r>
      <w:r w:rsidRPr="007B6522">
        <w:rPr>
          <w:rFonts w:asciiTheme="minorHAnsi" w:hAnsiTheme="minorHAnsi"/>
          <w:szCs w:val="28"/>
        </w:rPr>
        <w:t xml:space="preserve"> assets were </w:t>
      </w:r>
      <w:r w:rsidRPr="007B6522">
        <w:rPr>
          <w:rFonts w:asciiTheme="minorHAnsi" w:hAnsiTheme="minorHAnsi"/>
          <w:i/>
          <w:szCs w:val="28"/>
        </w:rPr>
        <w:t>ever gifted</w:t>
      </w:r>
      <w:r w:rsidRPr="007B6522">
        <w:rPr>
          <w:rFonts w:asciiTheme="minorHAnsi" w:hAnsiTheme="minorHAnsi"/>
          <w:szCs w:val="28"/>
        </w:rPr>
        <w:t xml:space="preserve"> into the trust, only cash or non-appreciated assets were gifted, and any highly appreciated assets later transferred to the trust would have been acquired by exchange or purchase for full and adequate consideration.</w:t>
      </w:r>
      <w:r w:rsidR="009D6BBD">
        <w:rPr>
          <w:rStyle w:val="FootnoteReference"/>
          <w:rFonts w:asciiTheme="minorHAnsi" w:hAnsiTheme="minorHAnsi"/>
          <w:szCs w:val="28"/>
        </w:rPr>
        <w:footnoteReference w:id="228"/>
      </w:r>
      <w:r w:rsidRPr="007B6522">
        <w:rPr>
          <w:rFonts w:asciiTheme="minorHAnsi" w:hAnsiTheme="minorHAnsi"/>
          <w:szCs w:val="28"/>
        </w:rPr>
        <w:t xml:space="preserve">  </w:t>
      </w:r>
      <w:r w:rsidR="009C622E">
        <w:rPr>
          <w:rFonts w:asciiTheme="minorHAnsi" w:hAnsiTheme="minorHAnsi"/>
          <w:szCs w:val="28"/>
        </w:rPr>
        <w:t>This argument is probably less compelling than the others, however.</w:t>
      </w:r>
    </w:p>
    <w:p w14:paraId="3FB90012" w14:textId="77777777" w:rsidR="007B6522" w:rsidRPr="007B6522" w:rsidRDefault="007B6522" w:rsidP="007B6522">
      <w:pPr>
        <w:spacing w:line="360" w:lineRule="auto"/>
        <w:ind w:firstLine="720"/>
        <w:rPr>
          <w:rFonts w:asciiTheme="minorHAnsi" w:hAnsiTheme="minorHAnsi"/>
          <w:sz w:val="22"/>
        </w:rPr>
      </w:pPr>
      <w:r w:rsidRPr="007B6522">
        <w:rPr>
          <w:rFonts w:asciiTheme="minorHAnsi" w:hAnsiTheme="minorHAnsi"/>
          <w:szCs w:val="28"/>
        </w:rPr>
        <w:t>Lastly, IRC §1014(e) has a later provision that addresses estate and trusts, but with little clarity and copious loopholes:</w:t>
      </w:r>
      <w:r w:rsidRPr="007B6522">
        <w:rPr>
          <w:rStyle w:val="FootnoteReference"/>
          <w:rFonts w:asciiTheme="minorHAnsi" w:hAnsiTheme="minorHAnsi"/>
          <w:szCs w:val="28"/>
        </w:rPr>
        <w:footnoteReference w:id="229"/>
      </w:r>
      <w:r w:rsidRPr="007B6522">
        <w:rPr>
          <w:rFonts w:asciiTheme="minorHAnsi" w:hAnsiTheme="minorHAnsi"/>
          <w:sz w:val="22"/>
        </w:rPr>
        <w:t xml:space="preserve"> </w:t>
      </w:r>
    </w:p>
    <w:p w14:paraId="59ADCF39" w14:textId="77777777" w:rsidR="007B6522" w:rsidRPr="007B6522" w:rsidRDefault="007B6522" w:rsidP="00FB71AF">
      <w:pPr>
        <w:spacing w:line="280" w:lineRule="exact"/>
        <w:ind w:firstLine="720"/>
        <w:rPr>
          <w:rFonts w:asciiTheme="minorHAnsi" w:hAnsiTheme="minorHAnsi"/>
          <w:szCs w:val="28"/>
        </w:rPr>
      </w:pPr>
      <w:r w:rsidRPr="007B6522">
        <w:rPr>
          <w:rFonts w:asciiTheme="minorHAnsi" w:hAnsiTheme="minorHAnsi"/>
          <w:szCs w:val="28"/>
        </w:rPr>
        <w:t xml:space="preserve">“(B) Treatment of certain property sold by estate   </w:t>
      </w:r>
    </w:p>
    <w:p w14:paraId="7BF39E96" w14:textId="77777777" w:rsidR="007B6522" w:rsidRDefault="007B6522" w:rsidP="00FB71AF">
      <w:pPr>
        <w:spacing w:line="280" w:lineRule="exact"/>
        <w:ind w:left="720"/>
        <w:rPr>
          <w:rFonts w:asciiTheme="minorHAnsi" w:hAnsiTheme="minorHAnsi"/>
          <w:szCs w:val="28"/>
        </w:rPr>
      </w:pPr>
      <w:r w:rsidRPr="007B6522">
        <w:rPr>
          <w:rFonts w:asciiTheme="minorHAnsi" w:hAnsiTheme="minorHAnsi"/>
          <w:szCs w:val="28"/>
        </w:rPr>
        <w:t xml:space="preserve">In the case of any appreciated property described in subparagraph (A) of paragraph (1) sold by the estate of the decedent or by a trust </w:t>
      </w:r>
      <w:r w:rsidRPr="00B52B7C">
        <w:rPr>
          <w:rFonts w:asciiTheme="minorHAnsi" w:hAnsiTheme="minorHAnsi"/>
          <w:i/>
          <w:szCs w:val="28"/>
        </w:rPr>
        <w:t>of which the decedent was the grantor</w:t>
      </w:r>
      <w:r w:rsidRPr="007B6522">
        <w:rPr>
          <w:rFonts w:asciiTheme="minorHAnsi" w:hAnsiTheme="minorHAnsi"/>
          <w:szCs w:val="28"/>
        </w:rPr>
        <w:t>, rules similar to the rules of paragraph (1) shall apply to the extent the donor of such property (or the spouse of such donor) is entitled to the proceeds from such sale.”</w:t>
      </w:r>
    </w:p>
    <w:p w14:paraId="4C17DB60" w14:textId="77777777" w:rsidR="00FB71AF" w:rsidRPr="007B6522" w:rsidRDefault="00FB71AF" w:rsidP="00FB71AF">
      <w:pPr>
        <w:spacing w:line="280" w:lineRule="exact"/>
        <w:ind w:left="720"/>
        <w:rPr>
          <w:rFonts w:asciiTheme="minorHAnsi" w:hAnsiTheme="minorHAnsi"/>
          <w:szCs w:val="28"/>
        </w:rPr>
      </w:pPr>
    </w:p>
    <w:p w14:paraId="4A47C785" w14:textId="77777777" w:rsidR="007B6522" w:rsidRPr="007B6522" w:rsidRDefault="00862C99" w:rsidP="007B6522">
      <w:pPr>
        <w:spacing w:line="360" w:lineRule="auto"/>
        <w:ind w:firstLine="720"/>
        <w:rPr>
          <w:rFonts w:asciiTheme="minorHAnsi" w:hAnsiTheme="minorHAnsi"/>
          <w:szCs w:val="28"/>
        </w:rPr>
      </w:pPr>
      <w:r>
        <w:rPr>
          <w:rFonts w:asciiTheme="minorHAnsi" w:hAnsiTheme="minorHAnsi"/>
          <w:szCs w:val="28"/>
        </w:rPr>
        <w:t>T</w:t>
      </w:r>
      <w:r w:rsidR="007B6522" w:rsidRPr="007B6522">
        <w:rPr>
          <w:rFonts w:asciiTheme="minorHAnsi" w:hAnsiTheme="minorHAnsi"/>
          <w:szCs w:val="28"/>
        </w:rPr>
        <w:t xml:space="preserve">here are several reasons why this paragraph does not apply to our situation.   First, it only addresses a trust </w:t>
      </w:r>
      <w:r w:rsidR="00B52B7C">
        <w:rPr>
          <w:rFonts w:asciiTheme="minorHAnsi" w:hAnsiTheme="minorHAnsi"/>
          <w:szCs w:val="28"/>
        </w:rPr>
        <w:t>over</w:t>
      </w:r>
      <w:r w:rsidR="007B6522" w:rsidRPr="007B6522">
        <w:rPr>
          <w:rFonts w:asciiTheme="minorHAnsi" w:hAnsiTheme="minorHAnsi"/>
          <w:szCs w:val="28"/>
        </w:rPr>
        <w:t xml:space="preserve"> </w:t>
      </w:r>
      <w:r w:rsidR="007B6522" w:rsidRPr="00B52B7C">
        <w:rPr>
          <w:rFonts w:asciiTheme="minorHAnsi" w:hAnsiTheme="minorHAnsi"/>
          <w:b/>
          <w:i/>
          <w:szCs w:val="28"/>
        </w:rPr>
        <w:t>which the decedent was a grantor</w:t>
      </w:r>
      <w:r w:rsidR="007B6522" w:rsidRPr="007B6522">
        <w:rPr>
          <w:rFonts w:asciiTheme="minorHAnsi" w:hAnsiTheme="minorHAnsi"/>
          <w:szCs w:val="28"/>
        </w:rPr>
        <w:t xml:space="preserve">!  </w:t>
      </w:r>
      <w:r w:rsidR="00FB71AF">
        <w:rPr>
          <w:rFonts w:asciiTheme="minorHAnsi" w:hAnsiTheme="minorHAnsi"/>
          <w:szCs w:val="28"/>
        </w:rPr>
        <w:t>Uniquely</w:t>
      </w:r>
      <w:r w:rsidR="007B6522" w:rsidRPr="007B6522">
        <w:rPr>
          <w:rFonts w:asciiTheme="minorHAnsi" w:hAnsiTheme="minorHAnsi"/>
          <w:szCs w:val="28"/>
        </w:rPr>
        <w:t xml:space="preserve">, in an </w:t>
      </w:r>
      <w:r w:rsidR="0099068C">
        <w:rPr>
          <w:rFonts w:asciiTheme="minorHAnsi" w:hAnsiTheme="minorHAnsi"/>
          <w:szCs w:val="28"/>
        </w:rPr>
        <w:t>intervivos QTIP trust the donor-</w:t>
      </w:r>
      <w:r w:rsidR="007B6522" w:rsidRPr="007B6522">
        <w:rPr>
          <w:rFonts w:asciiTheme="minorHAnsi" w:hAnsiTheme="minorHAnsi"/>
          <w:szCs w:val="28"/>
        </w:rPr>
        <w:t>spouse is the grantor.  If the donee spouse dies, the donor spouse clearly remains the grantor for income tax purposes, despite the donee spouse being deemed a transferor for estate tax purposes (and potentially for GST tax purposes, depending on whether a reverse QTIP election is made</w:t>
      </w:r>
      <w:r w:rsidR="00FB71AF">
        <w:rPr>
          <w:rFonts w:asciiTheme="minorHAnsi" w:hAnsiTheme="minorHAnsi"/>
          <w:szCs w:val="28"/>
        </w:rPr>
        <w:t>)</w:t>
      </w:r>
      <w:r w:rsidR="007B6522" w:rsidRPr="007B6522">
        <w:rPr>
          <w:rFonts w:asciiTheme="minorHAnsi" w:hAnsiTheme="minorHAnsi"/>
          <w:szCs w:val="28"/>
        </w:rPr>
        <w:t>.</w:t>
      </w:r>
      <w:r w:rsidR="007B6522" w:rsidRPr="007B6522">
        <w:rPr>
          <w:rStyle w:val="FootnoteReference"/>
          <w:rFonts w:asciiTheme="minorHAnsi" w:hAnsiTheme="minorHAnsi"/>
          <w:szCs w:val="28"/>
        </w:rPr>
        <w:footnoteReference w:id="230"/>
      </w:r>
    </w:p>
    <w:p w14:paraId="1ABB70AF" w14:textId="77777777" w:rsidR="007B6522" w:rsidRDefault="007B6522" w:rsidP="007B6522">
      <w:pPr>
        <w:spacing w:line="360" w:lineRule="auto"/>
        <w:ind w:firstLine="720"/>
        <w:rPr>
          <w:rFonts w:asciiTheme="minorHAnsi" w:hAnsiTheme="minorHAnsi"/>
          <w:szCs w:val="28"/>
        </w:rPr>
      </w:pPr>
      <w:r w:rsidRPr="007B6522">
        <w:rPr>
          <w:rFonts w:asciiTheme="minorHAnsi" w:hAnsiTheme="minorHAnsi"/>
          <w:szCs w:val="28"/>
        </w:rPr>
        <w:lastRenderedPageBreak/>
        <w:t>As if all of these reasons were not clear enough</w:t>
      </w:r>
      <w:r w:rsidR="00897800">
        <w:rPr>
          <w:rFonts w:asciiTheme="minorHAnsi" w:hAnsiTheme="minorHAnsi"/>
          <w:szCs w:val="28"/>
        </w:rPr>
        <w:t xml:space="preserve">, </w:t>
      </w:r>
      <w:r w:rsidR="00897800">
        <w:rPr>
          <w:rFonts w:ascii="Arial" w:hAnsi="Arial" w:cs="Arial"/>
          <w:szCs w:val="28"/>
        </w:rPr>
        <w:t>§</w:t>
      </w:r>
      <w:r w:rsidR="00897800">
        <w:rPr>
          <w:rFonts w:asciiTheme="minorHAnsi" w:hAnsiTheme="minorHAnsi"/>
          <w:szCs w:val="28"/>
        </w:rPr>
        <w:t>1014(e)(2)(B)</w:t>
      </w:r>
      <w:r w:rsidRPr="007B6522">
        <w:rPr>
          <w:rFonts w:asciiTheme="minorHAnsi" w:hAnsiTheme="minorHAnsi"/>
          <w:szCs w:val="28"/>
        </w:rPr>
        <w:t xml:space="preserve"> </w:t>
      </w:r>
      <w:r w:rsidR="00897800">
        <w:rPr>
          <w:rFonts w:asciiTheme="minorHAnsi" w:hAnsiTheme="minorHAnsi"/>
          <w:szCs w:val="28"/>
        </w:rPr>
        <w:t>appears to deny the</w:t>
      </w:r>
      <w:r w:rsidRPr="007B6522">
        <w:rPr>
          <w:rFonts w:asciiTheme="minorHAnsi" w:hAnsiTheme="minorHAnsi"/>
          <w:szCs w:val="28"/>
        </w:rPr>
        <w:t xml:space="preserve"> basis increase </w:t>
      </w:r>
      <w:r w:rsidR="00FB71AF">
        <w:rPr>
          <w:rFonts w:asciiTheme="minorHAnsi" w:hAnsiTheme="minorHAnsi"/>
          <w:szCs w:val="28"/>
        </w:rPr>
        <w:t xml:space="preserve">only </w:t>
      </w:r>
      <w:r w:rsidRPr="007B6522">
        <w:rPr>
          <w:rFonts w:asciiTheme="minorHAnsi" w:hAnsiTheme="minorHAnsi"/>
          <w:szCs w:val="28"/>
        </w:rPr>
        <w:t xml:space="preserve">if </w:t>
      </w:r>
      <w:r w:rsidR="00FB71AF">
        <w:rPr>
          <w:rFonts w:asciiTheme="minorHAnsi" w:hAnsiTheme="minorHAnsi"/>
          <w:szCs w:val="28"/>
        </w:rPr>
        <w:t>the property is “sold</w:t>
      </w:r>
      <w:r w:rsidRPr="007B6522">
        <w:rPr>
          <w:rFonts w:asciiTheme="minorHAnsi" w:hAnsiTheme="minorHAnsi"/>
          <w:szCs w:val="28"/>
        </w:rPr>
        <w:t>”</w:t>
      </w:r>
      <w:r w:rsidR="00FB71AF">
        <w:rPr>
          <w:rFonts w:asciiTheme="minorHAnsi" w:hAnsiTheme="minorHAnsi"/>
          <w:szCs w:val="28"/>
        </w:rPr>
        <w:t xml:space="preserve"> by an inheriting trust.</w:t>
      </w:r>
      <w:r w:rsidRPr="007B6522">
        <w:rPr>
          <w:rFonts w:asciiTheme="minorHAnsi" w:hAnsiTheme="minorHAnsi"/>
          <w:szCs w:val="28"/>
        </w:rPr>
        <w:t xml:space="preserve">  Thus, there is no rationale for denying the basis increase for depreciation purposes.  Moreover, even if the property were sold, the denial of step up in basis is only to the extent the donor spouse would be “entitled to the proceeds from such sale”.  While it may be common in an estate, it will be rare that a trust beneficiary is going to be entitled to the entire proceeds from the sale of trust property.</w:t>
      </w:r>
      <w:r w:rsidR="00A90ED0" w:rsidRPr="00A90ED0">
        <w:t xml:space="preserve"> </w:t>
      </w:r>
      <w:r w:rsidR="00A90ED0">
        <w:rPr>
          <w:rFonts w:asciiTheme="minorHAnsi" w:hAnsiTheme="minorHAnsi"/>
          <w:szCs w:val="28"/>
        </w:rPr>
        <w:t>The</w:t>
      </w:r>
      <w:r w:rsidR="00A90ED0" w:rsidRPr="00A90ED0">
        <w:rPr>
          <w:rFonts w:asciiTheme="minorHAnsi" w:hAnsiTheme="minorHAnsi"/>
          <w:szCs w:val="28"/>
        </w:rPr>
        <w:t xml:space="preserve"> disposition of the QTIP </w:t>
      </w:r>
      <w:r w:rsidR="00A90ED0">
        <w:rPr>
          <w:rFonts w:asciiTheme="minorHAnsi" w:hAnsiTheme="minorHAnsi"/>
          <w:szCs w:val="28"/>
        </w:rPr>
        <w:t>would often not</w:t>
      </w:r>
      <w:r w:rsidR="00A90ED0" w:rsidRPr="00A90ED0">
        <w:rPr>
          <w:rFonts w:asciiTheme="minorHAnsi" w:hAnsiTheme="minorHAnsi"/>
          <w:szCs w:val="28"/>
        </w:rPr>
        <w:t xml:space="preserve"> revert back to th</w:t>
      </w:r>
      <w:r w:rsidR="00897800">
        <w:rPr>
          <w:rFonts w:asciiTheme="minorHAnsi" w:hAnsiTheme="minorHAnsi"/>
          <w:szCs w:val="28"/>
        </w:rPr>
        <w:t>e donor-</w:t>
      </w:r>
      <w:r w:rsidR="00A90ED0" w:rsidRPr="00A90ED0">
        <w:rPr>
          <w:rFonts w:asciiTheme="minorHAnsi" w:hAnsiTheme="minorHAnsi"/>
          <w:szCs w:val="28"/>
        </w:rPr>
        <w:t>spouse</w:t>
      </w:r>
      <w:r w:rsidR="009C622E">
        <w:rPr>
          <w:rFonts w:asciiTheme="minorHAnsi" w:hAnsiTheme="minorHAnsi"/>
          <w:szCs w:val="28"/>
        </w:rPr>
        <w:t xml:space="preserve"> outright</w:t>
      </w:r>
      <w:r w:rsidR="00A90ED0" w:rsidRPr="00A90ED0">
        <w:rPr>
          <w:rFonts w:asciiTheme="minorHAnsi" w:hAnsiTheme="minorHAnsi"/>
          <w:szCs w:val="28"/>
        </w:rPr>
        <w:t xml:space="preserve"> – </w:t>
      </w:r>
      <w:r w:rsidR="009C622E">
        <w:rPr>
          <w:rFonts w:asciiTheme="minorHAnsi" w:hAnsiTheme="minorHAnsi"/>
          <w:szCs w:val="28"/>
        </w:rPr>
        <w:t>more often it would pass to a trust for the donor-</w:t>
      </w:r>
      <w:r w:rsidR="00A90ED0" w:rsidRPr="00A90ED0">
        <w:rPr>
          <w:rFonts w:asciiTheme="minorHAnsi" w:hAnsiTheme="minorHAnsi"/>
          <w:szCs w:val="28"/>
        </w:rPr>
        <w:t>spouse</w:t>
      </w:r>
      <w:r w:rsidR="009C622E">
        <w:rPr>
          <w:rFonts w:asciiTheme="minorHAnsi" w:hAnsiTheme="minorHAnsi"/>
          <w:szCs w:val="28"/>
        </w:rPr>
        <w:t xml:space="preserve"> in which he or she did not have “entitlements to the proceeds from such sale”</w:t>
      </w:r>
      <w:r w:rsidR="00897800">
        <w:rPr>
          <w:rFonts w:asciiTheme="minorHAnsi" w:hAnsiTheme="minorHAnsi"/>
          <w:szCs w:val="28"/>
        </w:rPr>
        <w:t xml:space="preserve"> (or at most, only a portion)</w:t>
      </w:r>
      <w:r w:rsidR="00A90ED0" w:rsidRPr="00A90ED0">
        <w:rPr>
          <w:rFonts w:asciiTheme="minorHAnsi" w:hAnsiTheme="minorHAnsi"/>
          <w:szCs w:val="28"/>
        </w:rPr>
        <w:t>.</w:t>
      </w:r>
    </w:p>
    <w:p w14:paraId="23DEA2D2" w14:textId="77777777" w:rsidR="00442746" w:rsidRPr="007B6522" w:rsidRDefault="00442746" w:rsidP="007B6522">
      <w:pPr>
        <w:spacing w:line="360" w:lineRule="auto"/>
        <w:ind w:firstLine="720"/>
        <w:rPr>
          <w:rFonts w:asciiTheme="minorHAnsi" w:hAnsiTheme="minorHAnsi"/>
          <w:szCs w:val="28"/>
        </w:rPr>
      </w:pPr>
      <w:r>
        <w:rPr>
          <w:rFonts w:asciiTheme="minorHAnsi" w:hAnsiTheme="minorHAnsi"/>
          <w:szCs w:val="28"/>
        </w:rPr>
        <w:t xml:space="preserve">Lastly, if all the other reasons were not enough, if the QTIP trust </w:t>
      </w:r>
      <w:r w:rsidR="004B6148">
        <w:rPr>
          <w:rFonts w:asciiTheme="minorHAnsi" w:hAnsiTheme="minorHAnsi"/>
          <w:szCs w:val="28"/>
        </w:rPr>
        <w:t>mandates</w:t>
      </w:r>
      <w:r>
        <w:rPr>
          <w:rFonts w:asciiTheme="minorHAnsi" w:hAnsiTheme="minorHAnsi"/>
          <w:szCs w:val="28"/>
        </w:rPr>
        <w:t xml:space="preserve"> the</w:t>
      </w:r>
      <w:r w:rsidR="004B6148">
        <w:rPr>
          <w:rFonts w:asciiTheme="minorHAnsi" w:hAnsiTheme="minorHAnsi"/>
          <w:szCs w:val="28"/>
        </w:rPr>
        <w:t xml:space="preserve"> sale of the</w:t>
      </w:r>
      <w:r>
        <w:rPr>
          <w:rFonts w:asciiTheme="minorHAnsi" w:hAnsiTheme="minorHAnsi"/>
          <w:szCs w:val="28"/>
        </w:rPr>
        <w:t xml:space="preserve"> appreciated property</w:t>
      </w:r>
      <w:r w:rsidR="009C622E">
        <w:rPr>
          <w:rFonts w:asciiTheme="minorHAnsi" w:hAnsiTheme="minorHAnsi"/>
          <w:szCs w:val="28"/>
        </w:rPr>
        <w:t xml:space="preserve"> (even if to a related party)</w:t>
      </w:r>
      <w:r>
        <w:rPr>
          <w:rFonts w:asciiTheme="minorHAnsi" w:hAnsiTheme="minorHAnsi"/>
          <w:szCs w:val="28"/>
        </w:rPr>
        <w:t xml:space="preserve"> to pay </w:t>
      </w:r>
      <w:r w:rsidR="004B6148">
        <w:rPr>
          <w:rFonts w:asciiTheme="minorHAnsi" w:hAnsiTheme="minorHAnsi"/>
          <w:szCs w:val="28"/>
        </w:rPr>
        <w:t xml:space="preserve">any </w:t>
      </w:r>
      <w:r>
        <w:rPr>
          <w:rFonts w:asciiTheme="minorHAnsi" w:hAnsiTheme="minorHAnsi"/>
          <w:szCs w:val="28"/>
        </w:rPr>
        <w:t>debts, mortgages or other expenses, it is clear from the example in the Joint Committee of Taxation’s explanation of §1014(e) that the proceeds must still receive a step up in basis</w:t>
      </w:r>
      <w:r w:rsidR="00A90ED0">
        <w:rPr>
          <w:rFonts w:asciiTheme="minorHAnsi" w:hAnsiTheme="minorHAnsi"/>
          <w:szCs w:val="28"/>
        </w:rPr>
        <w:t xml:space="preserve"> to the extent of such costs</w:t>
      </w:r>
      <w:r>
        <w:rPr>
          <w:rFonts w:asciiTheme="minorHAnsi" w:hAnsiTheme="minorHAnsi"/>
          <w:szCs w:val="28"/>
        </w:rPr>
        <w:t>.</w:t>
      </w:r>
      <w:r>
        <w:rPr>
          <w:rStyle w:val="FootnoteReference"/>
          <w:rFonts w:asciiTheme="minorHAnsi" w:hAnsiTheme="minorHAnsi"/>
          <w:szCs w:val="28"/>
        </w:rPr>
        <w:footnoteReference w:id="231"/>
      </w:r>
      <w:r>
        <w:rPr>
          <w:rFonts w:asciiTheme="minorHAnsi" w:hAnsiTheme="minorHAnsi"/>
          <w:szCs w:val="28"/>
        </w:rPr>
        <w:t xml:space="preserve">  Most wealthy families have some debt, </w:t>
      </w:r>
      <w:r w:rsidR="00F81925">
        <w:rPr>
          <w:rFonts w:asciiTheme="minorHAnsi" w:hAnsiTheme="minorHAnsi"/>
          <w:szCs w:val="28"/>
        </w:rPr>
        <w:t xml:space="preserve">especially real estate investors, </w:t>
      </w:r>
      <w:r>
        <w:rPr>
          <w:rFonts w:asciiTheme="minorHAnsi" w:hAnsiTheme="minorHAnsi"/>
          <w:szCs w:val="28"/>
        </w:rPr>
        <w:t>and of course, debt can easily be created via promissory notes</w:t>
      </w:r>
      <w:r w:rsidR="009C622E">
        <w:rPr>
          <w:rFonts w:asciiTheme="minorHAnsi" w:hAnsiTheme="minorHAnsi"/>
          <w:szCs w:val="28"/>
        </w:rPr>
        <w:t>, lines of credit</w:t>
      </w:r>
      <w:r>
        <w:rPr>
          <w:rFonts w:asciiTheme="minorHAnsi" w:hAnsiTheme="minorHAnsi"/>
          <w:szCs w:val="28"/>
        </w:rPr>
        <w:t xml:space="preserve"> and intra-family lending.</w:t>
      </w:r>
      <w:r w:rsidR="008E47AE">
        <w:rPr>
          <w:rFonts w:asciiTheme="minorHAnsi" w:hAnsiTheme="minorHAnsi"/>
          <w:szCs w:val="28"/>
        </w:rPr>
        <w:t xml:space="preserve">  </w:t>
      </w:r>
      <w:r w:rsidR="00897800">
        <w:rPr>
          <w:rFonts w:asciiTheme="minorHAnsi" w:hAnsiTheme="minorHAnsi"/>
          <w:szCs w:val="28"/>
        </w:rPr>
        <w:t>In many cases, there may be</w:t>
      </w:r>
      <w:r w:rsidR="008E47AE">
        <w:rPr>
          <w:rFonts w:asciiTheme="minorHAnsi" w:hAnsiTheme="minorHAnsi"/>
          <w:szCs w:val="28"/>
        </w:rPr>
        <w:t xml:space="preserve"> enough trust/estate expenses </w:t>
      </w:r>
      <w:r w:rsidR="00897800">
        <w:rPr>
          <w:rFonts w:asciiTheme="minorHAnsi" w:hAnsiTheme="minorHAnsi"/>
          <w:szCs w:val="28"/>
        </w:rPr>
        <w:t xml:space="preserve">and mortgages </w:t>
      </w:r>
      <w:r w:rsidR="008E47AE">
        <w:rPr>
          <w:rFonts w:asciiTheme="minorHAnsi" w:hAnsiTheme="minorHAnsi"/>
          <w:szCs w:val="28"/>
        </w:rPr>
        <w:t xml:space="preserve">to soak up the </w:t>
      </w:r>
      <w:r w:rsidR="00897800">
        <w:rPr>
          <w:rFonts w:asciiTheme="minorHAnsi" w:hAnsiTheme="minorHAnsi"/>
          <w:szCs w:val="28"/>
        </w:rPr>
        <w:t>entire basis</w:t>
      </w:r>
      <w:r w:rsidR="008E47AE">
        <w:rPr>
          <w:rFonts w:asciiTheme="minorHAnsi" w:hAnsiTheme="minorHAnsi"/>
          <w:szCs w:val="28"/>
        </w:rPr>
        <w:t>.</w:t>
      </w:r>
    </w:p>
    <w:p w14:paraId="72714EA9" w14:textId="77777777" w:rsidR="007B6522" w:rsidRDefault="007B6522" w:rsidP="007B6522">
      <w:pPr>
        <w:spacing w:line="360" w:lineRule="auto"/>
        <w:ind w:firstLine="720"/>
        <w:rPr>
          <w:rFonts w:asciiTheme="minorHAnsi" w:hAnsiTheme="minorHAnsi"/>
          <w:szCs w:val="28"/>
        </w:rPr>
      </w:pPr>
      <w:r w:rsidRPr="007B6522">
        <w:rPr>
          <w:rFonts w:asciiTheme="minorHAnsi" w:hAnsiTheme="minorHAnsi"/>
          <w:szCs w:val="28"/>
        </w:rPr>
        <w:t xml:space="preserve">In short, there is </w:t>
      </w:r>
      <w:r w:rsidR="00897800">
        <w:rPr>
          <w:rFonts w:asciiTheme="minorHAnsi" w:hAnsiTheme="minorHAnsi"/>
          <w:szCs w:val="28"/>
        </w:rPr>
        <w:t>no clear</w:t>
      </w:r>
      <w:r w:rsidRPr="007B6522">
        <w:rPr>
          <w:rFonts w:asciiTheme="minorHAnsi" w:hAnsiTheme="minorHAnsi"/>
          <w:szCs w:val="28"/>
        </w:rPr>
        <w:t xml:space="preserve"> statutory </w:t>
      </w:r>
      <w:r w:rsidR="00897800">
        <w:rPr>
          <w:rFonts w:asciiTheme="minorHAnsi" w:hAnsiTheme="minorHAnsi"/>
          <w:szCs w:val="28"/>
        </w:rPr>
        <w:t xml:space="preserve">or regulatory </w:t>
      </w:r>
      <w:r w:rsidRPr="007B6522">
        <w:rPr>
          <w:rFonts w:asciiTheme="minorHAnsi" w:hAnsiTheme="minorHAnsi"/>
          <w:szCs w:val="28"/>
        </w:rPr>
        <w:t xml:space="preserve">authority </w:t>
      </w:r>
      <w:r w:rsidR="00897800">
        <w:rPr>
          <w:rFonts w:asciiTheme="minorHAnsi" w:hAnsiTheme="minorHAnsi"/>
          <w:szCs w:val="28"/>
        </w:rPr>
        <w:t>under</w:t>
      </w:r>
      <w:r w:rsidRPr="007B6522">
        <w:rPr>
          <w:rFonts w:asciiTheme="minorHAnsi" w:hAnsiTheme="minorHAnsi"/>
          <w:szCs w:val="28"/>
        </w:rPr>
        <w:t xml:space="preserve"> §1014 to deny the use of an intervivos QTIP trust for pre-mortem planning when a spouse may die within one </w:t>
      </w:r>
      <w:r w:rsidRPr="007B6522">
        <w:rPr>
          <w:rFonts w:asciiTheme="minorHAnsi" w:hAnsiTheme="minorHAnsi"/>
          <w:szCs w:val="28"/>
        </w:rPr>
        <w:lastRenderedPageBreak/>
        <w:t>year of death.  In fact, that Con</w:t>
      </w:r>
      <w:r w:rsidR="005E4506">
        <w:rPr>
          <w:rFonts w:asciiTheme="minorHAnsi" w:hAnsiTheme="minorHAnsi"/>
          <w:szCs w:val="28"/>
        </w:rPr>
        <w:t>gress spoke with such specific wording</w:t>
      </w:r>
      <w:r w:rsidRPr="007B6522">
        <w:rPr>
          <w:rFonts w:asciiTheme="minorHAnsi" w:hAnsiTheme="minorHAnsi"/>
          <w:szCs w:val="28"/>
        </w:rPr>
        <w:t xml:space="preserve"> argues that more amorphous “substance over form” type arguments would be inappropriate.</w:t>
      </w:r>
      <w:r w:rsidRPr="007B6522">
        <w:rPr>
          <w:rStyle w:val="FootnoteReference"/>
          <w:rFonts w:asciiTheme="minorHAnsi" w:hAnsiTheme="minorHAnsi"/>
          <w:szCs w:val="28"/>
        </w:rPr>
        <w:footnoteReference w:id="232"/>
      </w:r>
      <w:r w:rsidRPr="007B6522">
        <w:rPr>
          <w:rFonts w:asciiTheme="minorHAnsi" w:hAnsiTheme="minorHAnsi"/>
          <w:szCs w:val="28"/>
        </w:rPr>
        <w:t xml:space="preserve">  The IRS is welcome to argue that Congress didn’t mean what it said, but this lack of authority for their position would likely get shot down in court, similar to the</w:t>
      </w:r>
      <w:r w:rsidRPr="007B6522">
        <w:rPr>
          <w:rFonts w:asciiTheme="minorHAnsi" w:hAnsiTheme="minorHAnsi"/>
          <w:i/>
          <w:szCs w:val="28"/>
        </w:rPr>
        <w:t xml:space="preserve"> Summa Holdings </w:t>
      </w:r>
      <w:r w:rsidRPr="007B6522">
        <w:rPr>
          <w:rFonts w:asciiTheme="minorHAnsi" w:hAnsiTheme="minorHAnsi"/>
          <w:szCs w:val="28"/>
        </w:rPr>
        <w:t>case.</w:t>
      </w:r>
    </w:p>
    <w:p w14:paraId="58C388CC" w14:textId="77777777" w:rsidR="006B776D" w:rsidRDefault="007542AB" w:rsidP="004F5F3A">
      <w:pPr>
        <w:spacing w:line="360" w:lineRule="auto"/>
        <w:ind w:firstLine="720"/>
        <w:rPr>
          <w:rFonts w:asciiTheme="minorHAnsi" w:hAnsiTheme="minorHAnsi"/>
          <w:szCs w:val="28"/>
        </w:rPr>
      </w:pPr>
      <w:r>
        <w:rPr>
          <w:rFonts w:asciiTheme="minorHAnsi" w:hAnsiTheme="minorHAnsi"/>
          <w:szCs w:val="28"/>
        </w:rPr>
        <w:t>Perhaps all this is</w:t>
      </w:r>
      <w:r w:rsidR="006B776D">
        <w:rPr>
          <w:rFonts w:asciiTheme="minorHAnsi" w:hAnsiTheme="minorHAnsi"/>
          <w:szCs w:val="28"/>
        </w:rPr>
        <w:t xml:space="preserve"> why the IRS did not bother to make the argument</w:t>
      </w:r>
      <w:r>
        <w:rPr>
          <w:rFonts w:asciiTheme="minorHAnsi" w:hAnsiTheme="minorHAnsi"/>
          <w:szCs w:val="28"/>
        </w:rPr>
        <w:t xml:space="preserve"> that §1014(e) applied</w:t>
      </w:r>
      <w:r w:rsidR="006B776D">
        <w:rPr>
          <w:rFonts w:asciiTheme="minorHAnsi" w:hAnsiTheme="minorHAnsi"/>
          <w:szCs w:val="28"/>
        </w:rPr>
        <w:t xml:space="preserve"> in a recent </w:t>
      </w:r>
      <w:r>
        <w:rPr>
          <w:rFonts w:asciiTheme="minorHAnsi" w:hAnsiTheme="minorHAnsi"/>
          <w:szCs w:val="28"/>
        </w:rPr>
        <w:t>high value</w:t>
      </w:r>
      <w:r w:rsidR="009C622E">
        <w:rPr>
          <w:rFonts w:asciiTheme="minorHAnsi" w:hAnsiTheme="minorHAnsi"/>
          <w:szCs w:val="28"/>
        </w:rPr>
        <w:t>,</w:t>
      </w:r>
      <w:r>
        <w:rPr>
          <w:rFonts w:asciiTheme="minorHAnsi" w:hAnsiTheme="minorHAnsi"/>
          <w:szCs w:val="28"/>
        </w:rPr>
        <w:t xml:space="preserve"> high profile</w:t>
      </w:r>
      <w:r w:rsidR="00897800">
        <w:rPr>
          <w:rFonts w:asciiTheme="minorHAnsi" w:hAnsiTheme="minorHAnsi"/>
          <w:szCs w:val="28"/>
        </w:rPr>
        <w:t>,</w:t>
      </w:r>
      <w:r w:rsidR="009C622E">
        <w:rPr>
          <w:rFonts w:asciiTheme="minorHAnsi" w:hAnsiTheme="minorHAnsi"/>
          <w:szCs w:val="28"/>
        </w:rPr>
        <w:t xml:space="preserve"> audited</w:t>
      </w:r>
      <w:r>
        <w:rPr>
          <w:rFonts w:asciiTheme="minorHAnsi" w:hAnsiTheme="minorHAnsi"/>
          <w:szCs w:val="28"/>
        </w:rPr>
        <w:t xml:space="preserve"> </w:t>
      </w:r>
      <w:r w:rsidR="006B776D">
        <w:rPr>
          <w:rFonts w:asciiTheme="minorHAnsi" w:hAnsiTheme="minorHAnsi"/>
          <w:szCs w:val="28"/>
        </w:rPr>
        <w:t>case on even more egregious facts than contemplated above. In</w:t>
      </w:r>
      <w:r w:rsidR="006B776D" w:rsidRPr="006B776D">
        <w:t xml:space="preserve"> </w:t>
      </w:r>
      <w:r w:rsidR="006B776D" w:rsidRPr="006B776D">
        <w:rPr>
          <w:rFonts w:asciiTheme="minorHAnsi" w:hAnsiTheme="minorHAnsi"/>
          <w:i/>
          <w:szCs w:val="28"/>
        </w:rPr>
        <w:t>Estate of Kite v. Commissioner</w:t>
      </w:r>
      <w:r w:rsidR="006B776D" w:rsidRPr="006B776D">
        <w:rPr>
          <w:rFonts w:asciiTheme="minorHAnsi" w:hAnsiTheme="minorHAnsi"/>
          <w:szCs w:val="28"/>
        </w:rPr>
        <w:t xml:space="preserve">, </w:t>
      </w:r>
      <w:r w:rsidR="00AE18E3">
        <w:rPr>
          <w:rFonts w:asciiTheme="minorHAnsi" w:hAnsiTheme="minorHAnsi"/>
          <w:szCs w:val="28"/>
        </w:rPr>
        <w:t>Mrs. Kite</w:t>
      </w:r>
      <w:r w:rsidR="006B776D" w:rsidRPr="006B776D">
        <w:rPr>
          <w:rFonts w:asciiTheme="minorHAnsi" w:hAnsiTheme="minorHAnsi"/>
          <w:szCs w:val="28"/>
        </w:rPr>
        <w:t xml:space="preserve"> funded </w:t>
      </w:r>
      <w:r w:rsidR="006B776D">
        <w:rPr>
          <w:rFonts w:asciiTheme="minorHAnsi" w:hAnsiTheme="minorHAnsi"/>
          <w:szCs w:val="28"/>
        </w:rPr>
        <w:t xml:space="preserve">a QTIP </w:t>
      </w:r>
      <w:r w:rsidR="006B776D" w:rsidRPr="006B776D">
        <w:rPr>
          <w:rFonts w:asciiTheme="minorHAnsi" w:hAnsiTheme="minorHAnsi"/>
          <w:szCs w:val="28"/>
        </w:rPr>
        <w:t xml:space="preserve">trust for </w:t>
      </w:r>
      <w:r w:rsidR="006B776D">
        <w:rPr>
          <w:rFonts w:asciiTheme="minorHAnsi" w:hAnsiTheme="minorHAnsi"/>
          <w:szCs w:val="28"/>
        </w:rPr>
        <w:t xml:space="preserve">her </w:t>
      </w:r>
      <w:r w:rsidR="006B776D" w:rsidRPr="006B776D">
        <w:rPr>
          <w:rFonts w:asciiTheme="minorHAnsi" w:hAnsiTheme="minorHAnsi"/>
          <w:szCs w:val="28"/>
        </w:rPr>
        <w:t>husband, who died</w:t>
      </w:r>
      <w:r>
        <w:rPr>
          <w:rFonts w:asciiTheme="minorHAnsi" w:hAnsiTheme="minorHAnsi"/>
          <w:szCs w:val="28"/>
        </w:rPr>
        <w:t xml:space="preserve"> </w:t>
      </w:r>
      <w:r w:rsidRPr="00FE4232">
        <w:rPr>
          <w:rFonts w:asciiTheme="minorHAnsi" w:hAnsiTheme="minorHAnsi"/>
          <w:i/>
          <w:szCs w:val="28"/>
        </w:rPr>
        <w:t>only</w:t>
      </w:r>
      <w:r w:rsidR="006B776D" w:rsidRPr="006B776D">
        <w:rPr>
          <w:rFonts w:asciiTheme="minorHAnsi" w:hAnsiTheme="minorHAnsi"/>
          <w:szCs w:val="28"/>
        </w:rPr>
        <w:t xml:space="preserve"> </w:t>
      </w:r>
      <w:r w:rsidR="006B776D" w:rsidRPr="006B776D">
        <w:rPr>
          <w:rFonts w:asciiTheme="minorHAnsi" w:hAnsiTheme="minorHAnsi"/>
          <w:i/>
          <w:szCs w:val="28"/>
        </w:rPr>
        <w:t>one week later</w:t>
      </w:r>
      <w:r w:rsidR="006B776D">
        <w:rPr>
          <w:rFonts w:asciiTheme="minorHAnsi" w:hAnsiTheme="minorHAnsi"/>
          <w:szCs w:val="28"/>
        </w:rPr>
        <w:t xml:space="preserve">.  The </w:t>
      </w:r>
      <w:r w:rsidR="006B776D" w:rsidRPr="006B776D">
        <w:rPr>
          <w:rFonts w:asciiTheme="minorHAnsi" w:hAnsiTheme="minorHAnsi"/>
          <w:szCs w:val="28"/>
        </w:rPr>
        <w:t xml:space="preserve">assets </w:t>
      </w:r>
      <w:r w:rsidR="006B776D">
        <w:rPr>
          <w:rFonts w:asciiTheme="minorHAnsi" w:hAnsiTheme="minorHAnsi"/>
          <w:szCs w:val="28"/>
        </w:rPr>
        <w:t xml:space="preserve">in the trust </w:t>
      </w:r>
      <w:r w:rsidR="006B776D" w:rsidRPr="006B776D">
        <w:rPr>
          <w:rFonts w:asciiTheme="minorHAnsi" w:hAnsiTheme="minorHAnsi"/>
          <w:szCs w:val="28"/>
        </w:rPr>
        <w:t xml:space="preserve">came back to </w:t>
      </w:r>
      <w:r w:rsidR="006B776D">
        <w:rPr>
          <w:rFonts w:asciiTheme="minorHAnsi" w:hAnsiTheme="minorHAnsi"/>
          <w:szCs w:val="28"/>
        </w:rPr>
        <w:t>her</w:t>
      </w:r>
      <w:r w:rsidR="006B776D" w:rsidRPr="006B776D">
        <w:rPr>
          <w:rFonts w:asciiTheme="minorHAnsi" w:hAnsiTheme="minorHAnsi"/>
          <w:szCs w:val="28"/>
        </w:rPr>
        <w:t xml:space="preserve"> in trust</w:t>
      </w:r>
      <w:r w:rsidR="00AE18E3">
        <w:rPr>
          <w:rFonts w:asciiTheme="minorHAnsi" w:hAnsiTheme="minorHAnsi"/>
          <w:szCs w:val="28"/>
        </w:rPr>
        <w:t xml:space="preserve"> (for which a QTIP election was again made)</w:t>
      </w:r>
      <w:r w:rsidR="006B776D" w:rsidRPr="006B776D">
        <w:rPr>
          <w:rFonts w:asciiTheme="minorHAnsi" w:hAnsiTheme="minorHAnsi"/>
          <w:szCs w:val="28"/>
        </w:rPr>
        <w:t xml:space="preserve"> and the tax court noted </w:t>
      </w:r>
      <w:r w:rsidR="006B776D" w:rsidRPr="007542AB">
        <w:rPr>
          <w:rFonts w:asciiTheme="minorHAnsi" w:hAnsiTheme="minorHAnsi"/>
          <w:i/>
          <w:szCs w:val="28"/>
        </w:rPr>
        <w:t>without discussion</w:t>
      </w:r>
      <w:r w:rsidR="006B776D" w:rsidRPr="006B776D">
        <w:rPr>
          <w:rFonts w:asciiTheme="minorHAnsi" w:hAnsiTheme="minorHAnsi"/>
          <w:szCs w:val="28"/>
        </w:rPr>
        <w:t xml:space="preserve"> that “All of the underlying trust assets, including the OG&amp;E stock transferred to Mr. Kite</w:t>
      </w:r>
      <w:r w:rsidR="004F5F3A" w:rsidRPr="004F5F3A">
        <w:t xml:space="preserve"> </w:t>
      </w:r>
      <w:r w:rsidR="004F5F3A" w:rsidRPr="004F5F3A">
        <w:rPr>
          <w:rFonts w:asciiTheme="minorHAnsi" w:hAnsiTheme="minorHAnsi"/>
          <w:szCs w:val="28"/>
        </w:rPr>
        <w:t>[by Mrs. Kite</w:t>
      </w:r>
      <w:r w:rsidR="004F5F3A">
        <w:rPr>
          <w:rFonts w:asciiTheme="minorHAnsi" w:hAnsiTheme="minorHAnsi"/>
          <w:szCs w:val="28"/>
        </w:rPr>
        <w:t xml:space="preserve"> via QTIP 7 days before he died] </w:t>
      </w:r>
      <w:r w:rsidR="006B776D" w:rsidRPr="006B776D">
        <w:rPr>
          <w:rFonts w:asciiTheme="minorHAnsi" w:hAnsiTheme="minorHAnsi"/>
          <w:szCs w:val="28"/>
        </w:rPr>
        <w:t>in 1995, received a step-up in basis under sec. 1014</w:t>
      </w:r>
      <w:r w:rsidR="006B776D">
        <w:rPr>
          <w:rFonts w:asciiTheme="minorHAnsi" w:hAnsiTheme="minorHAnsi"/>
          <w:szCs w:val="28"/>
        </w:rPr>
        <w:t>.</w:t>
      </w:r>
      <w:r w:rsidR="006B776D" w:rsidRPr="006B776D">
        <w:rPr>
          <w:rFonts w:asciiTheme="minorHAnsi" w:hAnsiTheme="minorHAnsi"/>
          <w:szCs w:val="28"/>
        </w:rPr>
        <w:t>”</w:t>
      </w:r>
      <w:r w:rsidR="006B776D">
        <w:rPr>
          <w:rStyle w:val="FootnoteReference"/>
          <w:rFonts w:asciiTheme="minorHAnsi" w:hAnsiTheme="minorHAnsi"/>
          <w:szCs w:val="28"/>
        </w:rPr>
        <w:footnoteReference w:id="233"/>
      </w:r>
      <w:r w:rsidR="00BD7CD7">
        <w:rPr>
          <w:rFonts w:asciiTheme="minorHAnsi" w:hAnsiTheme="minorHAnsi"/>
          <w:szCs w:val="28"/>
        </w:rPr>
        <w:t xml:space="preserve">  Thus, while we don’t have a court case explicitly approving of this technique in the face </w:t>
      </w:r>
      <w:r w:rsidR="00897800">
        <w:rPr>
          <w:rFonts w:asciiTheme="minorHAnsi" w:hAnsiTheme="minorHAnsi"/>
          <w:szCs w:val="28"/>
        </w:rPr>
        <w:t>of an IRS argument, we do have the tax</w:t>
      </w:r>
      <w:r w:rsidR="00BD7CD7">
        <w:rPr>
          <w:rFonts w:asciiTheme="minorHAnsi" w:hAnsiTheme="minorHAnsi"/>
          <w:szCs w:val="28"/>
        </w:rPr>
        <w:t xml:space="preserve"> court noting the incredible </w:t>
      </w:r>
      <w:r w:rsidR="009C622E">
        <w:rPr>
          <w:rFonts w:asciiTheme="minorHAnsi" w:hAnsiTheme="minorHAnsi"/>
          <w:szCs w:val="28"/>
        </w:rPr>
        <w:t xml:space="preserve">“in your face” </w:t>
      </w:r>
      <w:r w:rsidR="00BD7CD7">
        <w:rPr>
          <w:rFonts w:asciiTheme="minorHAnsi" w:hAnsiTheme="minorHAnsi"/>
          <w:szCs w:val="28"/>
        </w:rPr>
        <w:t>result w</w:t>
      </w:r>
      <w:r w:rsidR="00897800">
        <w:rPr>
          <w:rFonts w:asciiTheme="minorHAnsi" w:hAnsiTheme="minorHAnsi"/>
          <w:szCs w:val="28"/>
        </w:rPr>
        <w:t>ithout the slightest</w:t>
      </w:r>
      <w:r w:rsidR="00BD7CD7">
        <w:rPr>
          <w:rFonts w:asciiTheme="minorHAnsi" w:hAnsiTheme="minorHAnsi"/>
          <w:szCs w:val="28"/>
        </w:rPr>
        <w:t xml:space="preserve"> comment </w:t>
      </w:r>
      <w:r w:rsidR="00FE4232">
        <w:rPr>
          <w:rFonts w:asciiTheme="minorHAnsi" w:hAnsiTheme="minorHAnsi"/>
          <w:szCs w:val="28"/>
        </w:rPr>
        <w:t>and a deafening silence from the IRS w</w:t>
      </w:r>
      <w:r w:rsidR="009C622E">
        <w:rPr>
          <w:rFonts w:asciiTheme="minorHAnsi" w:hAnsiTheme="minorHAnsi"/>
          <w:szCs w:val="28"/>
        </w:rPr>
        <w:t>ho would</w:t>
      </w:r>
      <w:r w:rsidR="001C6657">
        <w:rPr>
          <w:rFonts w:asciiTheme="minorHAnsi" w:hAnsiTheme="minorHAnsi"/>
          <w:szCs w:val="28"/>
        </w:rPr>
        <w:t xml:space="preserve"> reasonably</w:t>
      </w:r>
      <w:r w:rsidR="009C622E">
        <w:rPr>
          <w:rFonts w:asciiTheme="minorHAnsi" w:hAnsiTheme="minorHAnsi"/>
          <w:szCs w:val="28"/>
        </w:rPr>
        <w:t xml:space="preserve"> be expected to</w:t>
      </w:r>
      <w:r w:rsidR="00FE4232">
        <w:rPr>
          <w:rFonts w:asciiTheme="minorHAnsi" w:hAnsiTheme="minorHAnsi"/>
          <w:szCs w:val="28"/>
        </w:rPr>
        <w:t xml:space="preserve"> have attacked it with </w:t>
      </w:r>
      <w:r w:rsidR="009C622E">
        <w:rPr>
          <w:rFonts w:asciiTheme="minorHAnsi" w:hAnsiTheme="minorHAnsi"/>
          <w:szCs w:val="28"/>
        </w:rPr>
        <w:t xml:space="preserve">vim and </w:t>
      </w:r>
      <w:r w:rsidR="00FE4232">
        <w:rPr>
          <w:rFonts w:asciiTheme="minorHAnsi" w:hAnsiTheme="minorHAnsi"/>
          <w:szCs w:val="28"/>
        </w:rPr>
        <w:t>vigor</w:t>
      </w:r>
      <w:r w:rsidR="009C622E">
        <w:rPr>
          <w:rFonts w:asciiTheme="minorHAnsi" w:hAnsiTheme="minorHAnsi"/>
          <w:szCs w:val="28"/>
        </w:rPr>
        <w:t xml:space="preserve"> had they thought </w:t>
      </w:r>
      <w:r w:rsidR="00897800">
        <w:rPr>
          <w:rFonts w:ascii="Arial" w:hAnsi="Arial" w:cs="Arial"/>
          <w:szCs w:val="28"/>
        </w:rPr>
        <w:t>§</w:t>
      </w:r>
      <w:r w:rsidR="009C622E">
        <w:rPr>
          <w:rFonts w:asciiTheme="minorHAnsi" w:hAnsiTheme="minorHAnsi"/>
          <w:szCs w:val="28"/>
        </w:rPr>
        <w:t>1014(e) could apply</w:t>
      </w:r>
      <w:r w:rsidR="00FE4232">
        <w:rPr>
          <w:rFonts w:asciiTheme="minorHAnsi" w:hAnsiTheme="minorHAnsi"/>
          <w:szCs w:val="28"/>
        </w:rPr>
        <w:t>.</w:t>
      </w:r>
      <w:r w:rsidR="002567AC">
        <w:rPr>
          <w:rStyle w:val="FootnoteReference"/>
          <w:rFonts w:asciiTheme="minorHAnsi" w:hAnsiTheme="minorHAnsi"/>
          <w:szCs w:val="28"/>
        </w:rPr>
        <w:footnoteReference w:id="234"/>
      </w:r>
    </w:p>
    <w:p w14:paraId="1E73CFA6" w14:textId="77777777" w:rsidR="004A5827" w:rsidRDefault="001C6657" w:rsidP="00D629FE">
      <w:pPr>
        <w:spacing w:line="360" w:lineRule="auto"/>
        <w:ind w:firstLine="720"/>
        <w:rPr>
          <w:rFonts w:asciiTheme="minorHAnsi" w:hAnsiTheme="minorHAnsi"/>
          <w:szCs w:val="28"/>
        </w:rPr>
      </w:pPr>
      <w:r>
        <w:rPr>
          <w:rFonts w:asciiTheme="minorHAnsi" w:hAnsiTheme="minorHAnsi"/>
          <w:szCs w:val="28"/>
        </w:rPr>
        <w:t>This technique is</w:t>
      </w:r>
      <w:r w:rsidR="00FB71AF">
        <w:rPr>
          <w:rFonts w:asciiTheme="minorHAnsi" w:hAnsiTheme="minorHAnsi"/>
          <w:szCs w:val="28"/>
        </w:rPr>
        <w:t xml:space="preserve"> superior to </w:t>
      </w:r>
      <w:r w:rsidR="00A678D3">
        <w:rPr>
          <w:rFonts w:asciiTheme="minorHAnsi" w:hAnsiTheme="minorHAnsi"/>
          <w:szCs w:val="28"/>
        </w:rPr>
        <w:t>funding</w:t>
      </w:r>
      <w:r w:rsidR="00FB71AF">
        <w:rPr>
          <w:rFonts w:asciiTheme="minorHAnsi" w:hAnsiTheme="minorHAnsi"/>
          <w:szCs w:val="28"/>
        </w:rPr>
        <w:t xml:space="preserve"> a community property trust, or even </w:t>
      </w:r>
      <w:r w:rsidR="00862C99">
        <w:rPr>
          <w:rFonts w:asciiTheme="minorHAnsi" w:hAnsiTheme="minorHAnsi"/>
          <w:szCs w:val="28"/>
        </w:rPr>
        <w:t xml:space="preserve">transmuting </w:t>
      </w:r>
      <w:r>
        <w:rPr>
          <w:rFonts w:asciiTheme="minorHAnsi" w:hAnsiTheme="minorHAnsi"/>
          <w:szCs w:val="28"/>
        </w:rPr>
        <w:t xml:space="preserve">separate to </w:t>
      </w:r>
      <w:r w:rsidR="00FB71AF">
        <w:rPr>
          <w:rFonts w:asciiTheme="minorHAnsi" w:hAnsiTheme="minorHAnsi"/>
          <w:szCs w:val="28"/>
        </w:rPr>
        <w:t>community property as a resident of a community property state.  Aside from the uncertainty of community property trusts, any agreement within one year that shifts separate</w:t>
      </w:r>
      <w:r w:rsidR="00A90ED0">
        <w:rPr>
          <w:rFonts w:asciiTheme="minorHAnsi" w:hAnsiTheme="minorHAnsi"/>
          <w:szCs w:val="28"/>
        </w:rPr>
        <w:t xml:space="preserve"> property</w:t>
      </w:r>
      <w:r w:rsidR="00FB71AF">
        <w:rPr>
          <w:rFonts w:asciiTheme="minorHAnsi" w:hAnsiTheme="minorHAnsi"/>
          <w:szCs w:val="28"/>
        </w:rPr>
        <w:t xml:space="preserve"> interests </w:t>
      </w:r>
      <w:r w:rsidR="00A90ED0">
        <w:rPr>
          <w:rFonts w:asciiTheme="minorHAnsi" w:hAnsiTheme="minorHAnsi"/>
          <w:szCs w:val="28"/>
        </w:rPr>
        <w:t>from a donor spouse into</w:t>
      </w:r>
      <w:r w:rsidR="00FB71AF">
        <w:rPr>
          <w:rFonts w:asciiTheme="minorHAnsi" w:hAnsiTheme="minorHAnsi"/>
          <w:szCs w:val="28"/>
        </w:rPr>
        <w:t xml:space="preserve"> </w:t>
      </w:r>
      <w:r w:rsidR="00A90ED0">
        <w:rPr>
          <w:rFonts w:asciiTheme="minorHAnsi" w:hAnsiTheme="minorHAnsi"/>
          <w:szCs w:val="28"/>
        </w:rPr>
        <w:t>community property c</w:t>
      </w:r>
      <w:r w:rsidR="00FB71AF">
        <w:rPr>
          <w:rFonts w:asciiTheme="minorHAnsi" w:hAnsiTheme="minorHAnsi"/>
          <w:szCs w:val="28"/>
        </w:rPr>
        <w:t>ould still be considered a gift</w:t>
      </w:r>
      <w:r>
        <w:rPr>
          <w:rFonts w:asciiTheme="minorHAnsi" w:hAnsiTheme="minorHAnsi"/>
          <w:szCs w:val="28"/>
        </w:rPr>
        <w:t xml:space="preserve"> for income tax purposes</w:t>
      </w:r>
      <w:r w:rsidR="00FB71AF">
        <w:rPr>
          <w:rFonts w:asciiTheme="minorHAnsi" w:hAnsiTheme="minorHAnsi"/>
          <w:szCs w:val="28"/>
        </w:rPr>
        <w:t xml:space="preserve"> and therefore implicate </w:t>
      </w:r>
      <w:r w:rsidR="00862C99">
        <w:rPr>
          <w:rFonts w:asciiTheme="minorHAnsi" w:hAnsiTheme="minorHAnsi"/>
          <w:szCs w:val="28"/>
        </w:rPr>
        <w:t xml:space="preserve">§1041(b) and </w:t>
      </w:r>
      <w:r w:rsidR="00FB71AF">
        <w:rPr>
          <w:rFonts w:asciiTheme="minorHAnsi" w:hAnsiTheme="minorHAnsi"/>
          <w:szCs w:val="28"/>
        </w:rPr>
        <w:t>§1014(e)</w:t>
      </w:r>
      <w:r>
        <w:rPr>
          <w:rFonts w:asciiTheme="minorHAnsi" w:hAnsiTheme="minorHAnsi"/>
          <w:szCs w:val="28"/>
        </w:rPr>
        <w:t>.</w:t>
      </w:r>
      <w:r w:rsidR="00427A20">
        <w:rPr>
          <w:rFonts w:asciiTheme="minorHAnsi" w:hAnsiTheme="minorHAnsi"/>
          <w:szCs w:val="28"/>
        </w:rPr>
        <w:t xml:space="preserve"> </w:t>
      </w:r>
      <w:r>
        <w:rPr>
          <w:rFonts w:asciiTheme="minorHAnsi" w:hAnsiTheme="minorHAnsi"/>
          <w:szCs w:val="28"/>
        </w:rPr>
        <w:t>Moreover,</w:t>
      </w:r>
      <w:r w:rsidR="00862C99">
        <w:rPr>
          <w:rFonts w:asciiTheme="minorHAnsi" w:hAnsiTheme="minorHAnsi"/>
          <w:szCs w:val="28"/>
        </w:rPr>
        <w:t xml:space="preserve"> community property still involve</w:t>
      </w:r>
      <w:r w:rsidR="00A678D3">
        <w:rPr>
          <w:rFonts w:asciiTheme="minorHAnsi" w:hAnsiTheme="minorHAnsi"/>
          <w:szCs w:val="28"/>
        </w:rPr>
        <w:t>s</w:t>
      </w:r>
      <w:r w:rsidR="00A90ED0">
        <w:rPr>
          <w:rFonts w:asciiTheme="minorHAnsi" w:hAnsiTheme="minorHAnsi"/>
          <w:szCs w:val="28"/>
        </w:rPr>
        <w:t xml:space="preserve"> significant</w:t>
      </w:r>
      <w:r w:rsidR="00862C99">
        <w:rPr>
          <w:rFonts w:asciiTheme="minorHAnsi" w:hAnsiTheme="minorHAnsi"/>
          <w:szCs w:val="28"/>
        </w:rPr>
        <w:t xml:space="preserve"> fractional interest discounts </w:t>
      </w:r>
      <w:r>
        <w:rPr>
          <w:rFonts w:asciiTheme="minorHAnsi" w:hAnsiTheme="minorHAnsi"/>
          <w:szCs w:val="28"/>
        </w:rPr>
        <w:t>for 50% interests</w:t>
      </w:r>
      <w:r w:rsidR="00862C99">
        <w:rPr>
          <w:rFonts w:asciiTheme="minorHAnsi" w:hAnsiTheme="minorHAnsi"/>
          <w:szCs w:val="28"/>
        </w:rPr>
        <w:t>.</w:t>
      </w:r>
      <w:r w:rsidR="00FB71AF">
        <w:rPr>
          <w:rFonts w:asciiTheme="minorHAnsi" w:hAnsiTheme="minorHAnsi"/>
          <w:szCs w:val="28"/>
        </w:rPr>
        <w:t xml:space="preserve"> </w:t>
      </w:r>
    </w:p>
    <w:p w14:paraId="5BF1C7AE" w14:textId="77777777" w:rsidR="007B6522" w:rsidRDefault="00A678D3" w:rsidP="00B80E45">
      <w:pPr>
        <w:spacing w:line="360" w:lineRule="auto"/>
        <w:ind w:firstLine="720"/>
        <w:rPr>
          <w:rFonts w:ascii="Calibri" w:hAnsi="Calibri"/>
          <w:b/>
        </w:rPr>
      </w:pPr>
      <w:r>
        <w:rPr>
          <w:rFonts w:asciiTheme="minorHAnsi" w:hAnsiTheme="minorHAnsi"/>
          <w:szCs w:val="28"/>
        </w:rPr>
        <w:t>A</w:t>
      </w:r>
      <w:r w:rsidR="001C6657">
        <w:rPr>
          <w:rFonts w:asciiTheme="minorHAnsi" w:hAnsiTheme="minorHAnsi"/>
          <w:szCs w:val="28"/>
        </w:rPr>
        <w:t xml:space="preserve"> typical SLAT </w:t>
      </w:r>
      <w:r>
        <w:rPr>
          <w:rFonts w:asciiTheme="minorHAnsi" w:hAnsiTheme="minorHAnsi"/>
          <w:i/>
          <w:szCs w:val="28"/>
        </w:rPr>
        <w:t>might</w:t>
      </w:r>
      <w:r w:rsidR="001C6657">
        <w:rPr>
          <w:rFonts w:asciiTheme="minorHAnsi" w:hAnsiTheme="minorHAnsi"/>
          <w:szCs w:val="28"/>
        </w:rPr>
        <w:t xml:space="preserve"> work similarly if donee spouse </w:t>
      </w:r>
      <w:r>
        <w:rPr>
          <w:rFonts w:asciiTheme="minorHAnsi" w:hAnsiTheme="minorHAnsi"/>
          <w:szCs w:val="28"/>
        </w:rPr>
        <w:t>has</w:t>
      </w:r>
      <w:r w:rsidR="001C6657">
        <w:rPr>
          <w:rFonts w:asciiTheme="minorHAnsi" w:hAnsiTheme="minorHAnsi"/>
          <w:szCs w:val="28"/>
        </w:rPr>
        <w:t xml:space="preserve"> a testamentary GPOA </w:t>
      </w:r>
      <w:r>
        <w:rPr>
          <w:rFonts w:asciiTheme="minorHAnsi" w:hAnsiTheme="minorHAnsi"/>
          <w:szCs w:val="28"/>
        </w:rPr>
        <w:t xml:space="preserve">or uses an LPOA to trigger the Delaware Tax Trap </w:t>
      </w:r>
      <w:r w:rsidR="001C6657">
        <w:rPr>
          <w:rFonts w:asciiTheme="minorHAnsi" w:hAnsiTheme="minorHAnsi"/>
          <w:szCs w:val="28"/>
        </w:rPr>
        <w:t xml:space="preserve">to appoint back to </w:t>
      </w:r>
      <w:r>
        <w:rPr>
          <w:rFonts w:asciiTheme="minorHAnsi" w:hAnsiTheme="minorHAnsi"/>
          <w:szCs w:val="28"/>
        </w:rPr>
        <w:t xml:space="preserve">the </w:t>
      </w:r>
      <w:r w:rsidR="001C6657">
        <w:rPr>
          <w:rFonts w:asciiTheme="minorHAnsi" w:hAnsiTheme="minorHAnsi"/>
          <w:szCs w:val="28"/>
        </w:rPr>
        <w:t>donor-spouse</w:t>
      </w:r>
      <w:r>
        <w:rPr>
          <w:rFonts w:asciiTheme="minorHAnsi" w:hAnsiTheme="minorHAnsi"/>
          <w:szCs w:val="28"/>
        </w:rPr>
        <w:t>, but the</w:t>
      </w:r>
      <w:r w:rsidR="001C6657">
        <w:rPr>
          <w:rFonts w:asciiTheme="minorHAnsi" w:hAnsiTheme="minorHAnsi"/>
          <w:szCs w:val="28"/>
        </w:rPr>
        <w:t xml:space="preserve"> </w:t>
      </w:r>
      <w:r>
        <w:rPr>
          <w:rFonts w:asciiTheme="minorHAnsi" w:hAnsiTheme="minorHAnsi"/>
          <w:szCs w:val="28"/>
        </w:rPr>
        <w:t xml:space="preserve">trust </w:t>
      </w:r>
      <w:r w:rsidR="001C6657">
        <w:rPr>
          <w:rFonts w:asciiTheme="minorHAnsi" w:hAnsiTheme="minorHAnsi"/>
          <w:szCs w:val="28"/>
        </w:rPr>
        <w:lastRenderedPageBreak/>
        <w:t xml:space="preserve">would not be </w:t>
      </w:r>
      <w:r>
        <w:rPr>
          <w:rFonts w:asciiTheme="minorHAnsi" w:hAnsiTheme="minorHAnsi"/>
          <w:szCs w:val="28"/>
        </w:rPr>
        <w:t xml:space="preserve">as clearly </w:t>
      </w:r>
      <w:r w:rsidR="001C6657">
        <w:rPr>
          <w:rFonts w:asciiTheme="minorHAnsi" w:hAnsiTheme="minorHAnsi"/>
          <w:szCs w:val="28"/>
        </w:rPr>
        <w:t xml:space="preserve">protected from </w:t>
      </w:r>
      <w:r>
        <w:rPr>
          <w:rFonts w:ascii="Arial" w:hAnsi="Arial" w:cs="Arial"/>
          <w:szCs w:val="28"/>
        </w:rPr>
        <w:t>§</w:t>
      </w:r>
      <w:r w:rsidR="001C6657">
        <w:rPr>
          <w:rFonts w:asciiTheme="minorHAnsi" w:hAnsiTheme="minorHAnsi"/>
          <w:szCs w:val="28"/>
        </w:rPr>
        <w:t xml:space="preserve">2036/2038 inclusion </w:t>
      </w:r>
      <w:r>
        <w:rPr>
          <w:rFonts w:asciiTheme="minorHAnsi" w:hAnsiTheme="minorHAnsi"/>
          <w:szCs w:val="28"/>
        </w:rPr>
        <w:t xml:space="preserve">and creditors </w:t>
      </w:r>
      <w:r w:rsidR="001C6657">
        <w:rPr>
          <w:rFonts w:asciiTheme="minorHAnsi" w:hAnsiTheme="minorHAnsi"/>
          <w:szCs w:val="28"/>
        </w:rPr>
        <w:t xml:space="preserve">after spouse’s death, as discussed </w:t>
      </w:r>
      <w:r>
        <w:rPr>
          <w:rFonts w:asciiTheme="minorHAnsi" w:hAnsiTheme="minorHAnsi"/>
          <w:szCs w:val="28"/>
        </w:rPr>
        <w:t xml:space="preserve">elsewhere </w:t>
      </w:r>
      <w:r w:rsidR="001C6657">
        <w:rPr>
          <w:rFonts w:asciiTheme="minorHAnsi" w:hAnsiTheme="minorHAnsi"/>
          <w:szCs w:val="28"/>
        </w:rPr>
        <w:t>herein.</w:t>
      </w:r>
      <w:r w:rsidR="007B6522">
        <w:rPr>
          <w:rFonts w:ascii="Calibri" w:hAnsi="Calibri"/>
          <w:b/>
        </w:rPr>
        <w:br w:type="page"/>
      </w:r>
    </w:p>
    <w:p w14:paraId="658636C6" w14:textId="77777777" w:rsidR="00393869" w:rsidRDefault="008E20FC" w:rsidP="00180FD1">
      <w:pPr>
        <w:pStyle w:val="ListParagraph"/>
        <w:numPr>
          <w:ilvl w:val="0"/>
          <w:numId w:val="21"/>
        </w:numPr>
        <w:autoSpaceDE w:val="0"/>
        <w:autoSpaceDN w:val="0"/>
        <w:adjustRightInd w:val="0"/>
        <w:spacing w:line="360" w:lineRule="auto"/>
        <w:ind w:hanging="720"/>
        <w:rPr>
          <w:rFonts w:ascii="Calibri" w:hAnsi="Calibri"/>
          <w:b/>
        </w:rPr>
      </w:pPr>
      <w:r>
        <w:rPr>
          <w:rFonts w:ascii="Calibri" w:hAnsi="Calibri"/>
          <w:b/>
        </w:rPr>
        <w:lastRenderedPageBreak/>
        <w:t>The “Estate Trust” Alternative</w:t>
      </w:r>
    </w:p>
    <w:p w14:paraId="68F03E97" w14:textId="77777777" w:rsidR="008E20FC" w:rsidRDefault="008E20FC" w:rsidP="008E20FC">
      <w:pPr>
        <w:pStyle w:val="ListParagraph"/>
        <w:autoSpaceDE w:val="0"/>
        <w:autoSpaceDN w:val="0"/>
        <w:adjustRightInd w:val="0"/>
        <w:spacing w:line="360" w:lineRule="auto"/>
        <w:ind w:left="0" w:firstLine="720"/>
        <w:rPr>
          <w:rFonts w:ascii="Calibri" w:hAnsi="Calibri"/>
        </w:rPr>
      </w:pPr>
      <w:r w:rsidRPr="008E20FC">
        <w:rPr>
          <w:rFonts w:ascii="Calibri" w:hAnsi="Calibri"/>
        </w:rPr>
        <w:t xml:space="preserve">Before turning to the </w:t>
      </w:r>
      <w:r w:rsidRPr="007B6522">
        <w:rPr>
          <w:rFonts w:ascii="Calibri" w:hAnsi="Calibri"/>
          <w:i/>
        </w:rPr>
        <w:t>Upstream</w:t>
      </w:r>
      <w:r w:rsidRPr="008E20FC">
        <w:rPr>
          <w:rFonts w:ascii="Calibri" w:hAnsi="Calibri"/>
        </w:rPr>
        <w:t xml:space="preserve"> Optimal Basis Increase Trust, let’s </w:t>
      </w:r>
      <w:r>
        <w:rPr>
          <w:rFonts w:ascii="Calibri" w:hAnsi="Calibri"/>
        </w:rPr>
        <w:t>explain and compare a</w:t>
      </w:r>
      <w:r w:rsidRPr="008E20FC">
        <w:rPr>
          <w:rFonts w:ascii="Calibri" w:hAnsi="Calibri"/>
        </w:rPr>
        <w:t xml:space="preserve"> lesser known alternative to JESTs and </w:t>
      </w:r>
      <w:r w:rsidR="00217D17">
        <w:rPr>
          <w:rFonts w:ascii="Calibri" w:hAnsi="Calibri"/>
        </w:rPr>
        <w:t>Community Property (CP)</w:t>
      </w:r>
      <w:r w:rsidRPr="008E20FC">
        <w:rPr>
          <w:rFonts w:ascii="Calibri" w:hAnsi="Calibri"/>
        </w:rPr>
        <w:t xml:space="preserve"> Trusts – the Estate Trust.</w:t>
      </w:r>
      <w:r>
        <w:rPr>
          <w:rStyle w:val="FootnoteReference"/>
          <w:rFonts w:ascii="Calibri" w:hAnsi="Calibri"/>
        </w:rPr>
        <w:footnoteReference w:id="235"/>
      </w:r>
      <w:r>
        <w:rPr>
          <w:rFonts w:ascii="Calibri" w:hAnsi="Calibri"/>
        </w:rPr>
        <w:t xml:space="preserve">  Unlike a</w:t>
      </w:r>
      <w:r w:rsidR="00D25E25">
        <w:rPr>
          <w:rFonts w:ascii="Calibri" w:hAnsi="Calibri"/>
        </w:rPr>
        <w:t xml:space="preserve"> CP Trust </w:t>
      </w:r>
      <w:r w:rsidR="00217D17">
        <w:rPr>
          <w:rFonts w:ascii="Calibri" w:hAnsi="Calibri"/>
        </w:rPr>
        <w:t xml:space="preserve">(usually) </w:t>
      </w:r>
      <w:r w:rsidR="00D25E25">
        <w:rPr>
          <w:rFonts w:ascii="Calibri" w:hAnsi="Calibri"/>
        </w:rPr>
        <w:t xml:space="preserve">or JEST, the estate trust is accomplished by making a completed gift in trust during lifetime (similar to the Upstream </w:t>
      </w:r>
      <w:r w:rsidR="007B6522">
        <w:rPr>
          <w:rFonts w:ascii="Calibri" w:hAnsi="Calibri"/>
        </w:rPr>
        <w:t>OBIT</w:t>
      </w:r>
      <w:r w:rsidR="00D25E25">
        <w:rPr>
          <w:rFonts w:ascii="Calibri" w:hAnsi="Calibri"/>
        </w:rPr>
        <w:t xml:space="preserve"> Trust discussed in the next section – see comparison chart).  This enables the trust to escape the potential §1014(e) one year trap as long as the donee spouse outlives the donor by one year.</w:t>
      </w:r>
    </w:p>
    <w:p w14:paraId="443C2868" w14:textId="77777777" w:rsidR="00C40EF4" w:rsidRDefault="00D25E25" w:rsidP="008E20FC">
      <w:pPr>
        <w:pStyle w:val="ListParagraph"/>
        <w:autoSpaceDE w:val="0"/>
        <w:autoSpaceDN w:val="0"/>
        <w:adjustRightInd w:val="0"/>
        <w:spacing w:line="360" w:lineRule="auto"/>
        <w:ind w:left="0" w:firstLine="720"/>
        <w:rPr>
          <w:rFonts w:ascii="Calibri" w:hAnsi="Calibri"/>
        </w:rPr>
      </w:pPr>
      <w:r>
        <w:rPr>
          <w:rFonts w:ascii="Calibri" w:hAnsi="Calibri"/>
        </w:rPr>
        <w:t xml:space="preserve">In contrast to the Upstream Optimal Basis Increase Trust, however, the amount of the gift to the Estate Trust can be unlimited, due to qualification for the gift tax marital deduction.  </w:t>
      </w:r>
    </w:p>
    <w:p w14:paraId="52E6FF0A" w14:textId="77777777" w:rsidR="00D25E25" w:rsidRDefault="00D25E25" w:rsidP="008E20FC">
      <w:pPr>
        <w:pStyle w:val="ListParagraph"/>
        <w:autoSpaceDE w:val="0"/>
        <w:autoSpaceDN w:val="0"/>
        <w:adjustRightInd w:val="0"/>
        <w:spacing w:line="360" w:lineRule="auto"/>
        <w:ind w:left="0" w:firstLine="720"/>
        <w:rPr>
          <w:rFonts w:ascii="Calibri" w:hAnsi="Calibri"/>
        </w:rPr>
      </w:pPr>
      <w:r>
        <w:rPr>
          <w:rFonts w:ascii="Calibri" w:hAnsi="Calibri"/>
        </w:rPr>
        <w:t xml:space="preserve">How does this type of trust work?  </w:t>
      </w:r>
      <w:r w:rsidR="00217D17">
        <w:rPr>
          <w:rFonts w:ascii="Calibri" w:hAnsi="Calibri"/>
        </w:rPr>
        <w:t xml:space="preserve">The </w:t>
      </w:r>
      <w:r>
        <w:rPr>
          <w:rFonts w:ascii="Calibri" w:hAnsi="Calibri"/>
        </w:rPr>
        <w:t xml:space="preserve">Settlor transfers assets in trust for spouse, and spouse alone – but the trust does not require all net income be paid, like a QTIP or GPOA marital trust </w:t>
      </w:r>
      <w:r w:rsidR="00C40EF4">
        <w:rPr>
          <w:rFonts w:ascii="Calibri" w:hAnsi="Calibri"/>
        </w:rPr>
        <w:t xml:space="preserve">under §2523 </w:t>
      </w:r>
      <w:r>
        <w:rPr>
          <w:rFonts w:ascii="Calibri" w:hAnsi="Calibri"/>
        </w:rPr>
        <w:t>(discussed in Part II) – payment of income and principal can be discretionary.  The reason the gift still qualifies for the marital deduction is that the gift is not “terminable” – any assets remaining in trust at the spouse’s death must be payable to the spouse’s estate (not with permission of non-adverse parties, or subject to other contingencies).  Thus, step one is fairly simple and easier to understand and accomplish – settlor transfers $1 million of appreciated securities, for example, to spouse in an estate trust.  It is clearly included in the spouse’s estate, eligible</w:t>
      </w:r>
      <w:r w:rsidR="00C40EF4">
        <w:rPr>
          <w:rFonts w:ascii="Calibri" w:hAnsi="Calibri"/>
        </w:rPr>
        <w:t xml:space="preserve"> for §1014 step up, subject to §1014(e) as discussed above.</w:t>
      </w:r>
    </w:p>
    <w:p w14:paraId="02D2F3A2" w14:textId="77777777" w:rsidR="00C20ADA" w:rsidRPr="00C20ADA" w:rsidRDefault="00C40EF4" w:rsidP="00C20ADA">
      <w:pPr>
        <w:pStyle w:val="ListParagraph"/>
        <w:autoSpaceDE w:val="0"/>
        <w:autoSpaceDN w:val="0"/>
        <w:adjustRightInd w:val="0"/>
        <w:spacing w:line="360" w:lineRule="auto"/>
        <w:ind w:left="0" w:firstLine="720"/>
        <w:rPr>
          <w:rFonts w:ascii="Calibri" w:hAnsi="Calibri"/>
        </w:rPr>
      </w:pPr>
      <w:r>
        <w:rPr>
          <w:rFonts w:ascii="Calibri" w:hAnsi="Calibri"/>
        </w:rPr>
        <w:t xml:space="preserve">The trickier step is how to also include the trust in the </w:t>
      </w:r>
      <w:r w:rsidRPr="00C40EF4">
        <w:rPr>
          <w:rFonts w:ascii="Calibri" w:hAnsi="Calibri"/>
          <w:i/>
        </w:rPr>
        <w:t>settlor’s</w:t>
      </w:r>
      <w:r w:rsidR="00C20ADA">
        <w:rPr>
          <w:rFonts w:ascii="Calibri" w:hAnsi="Calibri"/>
        </w:rPr>
        <w:t xml:space="preserve"> estate, to </w:t>
      </w:r>
      <w:r>
        <w:rPr>
          <w:rFonts w:ascii="Calibri" w:hAnsi="Calibri"/>
        </w:rPr>
        <w:t xml:space="preserve">enable the assets to receive a step up in basis at </w:t>
      </w:r>
      <w:r w:rsidRPr="00217D17">
        <w:rPr>
          <w:rFonts w:ascii="Calibri" w:hAnsi="Calibri"/>
          <w:i/>
        </w:rPr>
        <w:t>either</w:t>
      </w:r>
      <w:r>
        <w:rPr>
          <w:rFonts w:ascii="Calibri" w:hAnsi="Calibri"/>
        </w:rPr>
        <w:t xml:space="preserve"> spouse’s death, while still accomplishing a completed gift</w:t>
      </w:r>
      <w:r w:rsidR="00C20ADA">
        <w:rPr>
          <w:rFonts w:ascii="Calibri" w:hAnsi="Calibri"/>
        </w:rPr>
        <w:t xml:space="preserve"> necessary for the marital deduction for the gift to the spouse</w:t>
      </w:r>
      <w:r>
        <w:rPr>
          <w:rFonts w:ascii="Calibri" w:hAnsi="Calibri"/>
        </w:rPr>
        <w:t xml:space="preserve">.  </w:t>
      </w:r>
      <w:r w:rsidR="00C20ADA">
        <w:rPr>
          <w:rFonts w:ascii="Calibri" w:hAnsi="Calibri"/>
        </w:rPr>
        <w:t>To accomplish this trick, it may be necessary to use an independent trustee.  Treas. Reg. §</w:t>
      </w:r>
      <w:r w:rsidR="00C20ADA" w:rsidRPr="00C20ADA">
        <w:rPr>
          <w:rFonts w:ascii="Calibri" w:hAnsi="Calibri"/>
        </w:rPr>
        <w:t>25.2511-2(b) provides:</w:t>
      </w:r>
    </w:p>
    <w:p w14:paraId="71D94EE3" w14:textId="77777777" w:rsidR="00C20ADA" w:rsidRDefault="00C20ADA" w:rsidP="00C20ADA">
      <w:pPr>
        <w:pStyle w:val="ListParagraph"/>
        <w:autoSpaceDE w:val="0"/>
        <w:autoSpaceDN w:val="0"/>
        <w:adjustRightInd w:val="0"/>
        <w:rPr>
          <w:rFonts w:ascii="Calibri" w:hAnsi="Calibri"/>
        </w:rPr>
      </w:pPr>
      <w:r w:rsidRPr="00C20ADA">
        <w:rPr>
          <w:rFonts w:ascii="Calibri" w:hAnsi="Calibri"/>
        </w:rPr>
        <w:t>“As to any property . . . of which the donor has so parted with dominion and</w:t>
      </w:r>
      <w:r w:rsidR="00D2480A">
        <w:rPr>
          <w:rFonts w:ascii="Calibri" w:hAnsi="Calibri"/>
        </w:rPr>
        <w:t xml:space="preserve"> </w:t>
      </w:r>
      <w:r w:rsidRPr="00C20ADA">
        <w:rPr>
          <w:rFonts w:ascii="Calibri" w:hAnsi="Calibri"/>
        </w:rPr>
        <w:t>control as to leave in him no power to change its disposition, whether for his</w:t>
      </w:r>
      <w:r w:rsidR="00D2480A">
        <w:rPr>
          <w:rFonts w:ascii="Calibri" w:hAnsi="Calibri"/>
        </w:rPr>
        <w:t xml:space="preserve"> </w:t>
      </w:r>
      <w:r w:rsidRPr="00C20ADA">
        <w:rPr>
          <w:rFonts w:ascii="Calibri" w:hAnsi="Calibri"/>
        </w:rPr>
        <w:t>own benefit or for the benefit of another, the gift is complete. But if upon a</w:t>
      </w:r>
      <w:r w:rsidR="00D2480A">
        <w:rPr>
          <w:rFonts w:ascii="Calibri" w:hAnsi="Calibri"/>
        </w:rPr>
        <w:t xml:space="preserve"> </w:t>
      </w:r>
      <w:r w:rsidRPr="00C20ADA">
        <w:rPr>
          <w:rFonts w:ascii="Calibri" w:hAnsi="Calibri"/>
        </w:rPr>
        <w:t>transfer of property (whether in trust or otherwise) the donor reserves any</w:t>
      </w:r>
      <w:r w:rsidR="00D2480A">
        <w:rPr>
          <w:rFonts w:ascii="Calibri" w:hAnsi="Calibri"/>
        </w:rPr>
        <w:t xml:space="preserve"> </w:t>
      </w:r>
      <w:r w:rsidRPr="00C20ADA">
        <w:rPr>
          <w:rFonts w:ascii="Calibri" w:hAnsi="Calibri"/>
        </w:rPr>
        <w:t xml:space="preserve">power over its disposition, the gift may </w:t>
      </w:r>
      <w:r w:rsidRPr="00C20ADA">
        <w:rPr>
          <w:rFonts w:ascii="Calibri" w:hAnsi="Calibri"/>
        </w:rPr>
        <w:lastRenderedPageBreak/>
        <w:t>be wholly incomplete, or may be</w:t>
      </w:r>
      <w:r w:rsidR="00D2480A">
        <w:rPr>
          <w:rFonts w:ascii="Calibri" w:hAnsi="Calibri"/>
        </w:rPr>
        <w:t xml:space="preserve"> </w:t>
      </w:r>
      <w:r w:rsidRPr="00C20ADA">
        <w:rPr>
          <w:rFonts w:ascii="Calibri" w:hAnsi="Calibri"/>
        </w:rPr>
        <w:t>partially complete and partially incomplete,</w:t>
      </w:r>
      <w:r w:rsidR="00D2480A">
        <w:rPr>
          <w:rFonts w:ascii="Calibri" w:hAnsi="Calibri"/>
        </w:rPr>
        <w:t xml:space="preserve"> </w:t>
      </w:r>
      <w:r w:rsidRPr="00C20ADA">
        <w:rPr>
          <w:rFonts w:ascii="Calibri" w:hAnsi="Calibri"/>
        </w:rPr>
        <w:t>depending upon all the facts in the</w:t>
      </w:r>
      <w:r w:rsidR="00D2480A">
        <w:rPr>
          <w:rFonts w:ascii="Calibri" w:hAnsi="Calibri"/>
        </w:rPr>
        <w:t xml:space="preserve"> </w:t>
      </w:r>
      <w:r w:rsidRPr="00C20ADA">
        <w:rPr>
          <w:rFonts w:ascii="Calibri" w:hAnsi="Calibri"/>
        </w:rPr>
        <w:t>particular case.”</w:t>
      </w:r>
      <w:r w:rsidR="00217D17">
        <w:rPr>
          <w:rStyle w:val="FootnoteReference"/>
          <w:rFonts w:ascii="Calibri" w:hAnsi="Calibri"/>
        </w:rPr>
        <w:footnoteReference w:id="236"/>
      </w:r>
      <w:r w:rsidRPr="00C20ADA">
        <w:rPr>
          <w:rFonts w:ascii="Calibri" w:hAnsi="Calibri"/>
        </w:rPr>
        <w:t xml:space="preserve"> </w:t>
      </w:r>
    </w:p>
    <w:p w14:paraId="7818D109" w14:textId="77777777" w:rsidR="00C20ADA" w:rsidRDefault="00C20ADA" w:rsidP="00C20ADA">
      <w:pPr>
        <w:pStyle w:val="ListParagraph"/>
        <w:autoSpaceDE w:val="0"/>
        <w:autoSpaceDN w:val="0"/>
        <w:adjustRightInd w:val="0"/>
        <w:rPr>
          <w:rFonts w:ascii="Calibri" w:hAnsi="Calibri"/>
        </w:rPr>
      </w:pPr>
    </w:p>
    <w:p w14:paraId="6B184F3C" w14:textId="77777777" w:rsidR="00C20ADA" w:rsidRPr="00C20ADA" w:rsidRDefault="00C20ADA" w:rsidP="00C20ADA">
      <w:pPr>
        <w:pStyle w:val="ListParagraph"/>
        <w:autoSpaceDE w:val="0"/>
        <w:autoSpaceDN w:val="0"/>
        <w:adjustRightInd w:val="0"/>
        <w:spacing w:line="360" w:lineRule="auto"/>
        <w:ind w:left="0" w:firstLine="720"/>
        <w:rPr>
          <w:rFonts w:ascii="Calibri" w:hAnsi="Calibri"/>
        </w:rPr>
      </w:pPr>
      <w:r w:rsidRPr="00C20ADA">
        <w:rPr>
          <w:rFonts w:ascii="Calibri" w:hAnsi="Calibri"/>
        </w:rPr>
        <w:t xml:space="preserve">However, </w:t>
      </w:r>
      <w:r w:rsidR="00217D17">
        <w:rPr>
          <w:rFonts w:ascii="Calibri" w:hAnsi="Calibri"/>
        </w:rPr>
        <w:t>that same regulation later</w:t>
      </w:r>
      <w:r w:rsidRPr="00C20ADA">
        <w:rPr>
          <w:rFonts w:ascii="Calibri" w:hAnsi="Calibri"/>
        </w:rPr>
        <w:t xml:space="preserve"> provides that a gift will not be</w:t>
      </w:r>
      <w:r>
        <w:rPr>
          <w:rFonts w:ascii="Calibri" w:hAnsi="Calibri"/>
        </w:rPr>
        <w:t xml:space="preserve"> </w:t>
      </w:r>
      <w:r w:rsidRPr="00C20ADA">
        <w:rPr>
          <w:rFonts w:ascii="Calibri" w:hAnsi="Calibri"/>
        </w:rPr>
        <w:t>considered incomplete if the donor</w:t>
      </w:r>
      <w:r>
        <w:rPr>
          <w:rFonts w:ascii="Calibri" w:hAnsi="Calibri"/>
        </w:rPr>
        <w:t xml:space="preserve"> merely</w:t>
      </w:r>
      <w:r w:rsidRPr="00C20ADA">
        <w:rPr>
          <w:rFonts w:ascii="Calibri" w:hAnsi="Calibri"/>
        </w:rPr>
        <w:t xml:space="preserve"> reserves the power to change the time or</w:t>
      </w:r>
      <w:r>
        <w:rPr>
          <w:rFonts w:ascii="Calibri" w:hAnsi="Calibri"/>
        </w:rPr>
        <w:t xml:space="preserve"> </w:t>
      </w:r>
      <w:r w:rsidRPr="00C20ADA">
        <w:rPr>
          <w:rFonts w:ascii="Calibri" w:hAnsi="Calibri"/>
        </w:rPr>
        <w:t xml:space="preserve">manner of </w:t>
      </w:r>
      <w:r>
        <w:rPr>
          <w:rFonts w:ascii="Calibri" w:hAnsi="Calibri"/>
        </w:rPr>
        <w:t>enjoyment of the trust property:</w:t>
      </w:r>
    </w:p>
    <w:p w14:paraId="1EA4B280" w14:textId="77777777" w:rsidR="00C20ADA" w:rsidRDefault="00217D17" w:rsidP="00C20ADA">
      <w:pPr>
        <w:pStyle w:val="ListParagraph"/>
        <w:autoSpaceDE w:val="0"/>
        <w:autoSpaceDN w:val="0"/>
        <w:adjustRightInd w:val="0"/>
        <w:rPr>
          <w:rFonts w:ascii="Calibri" w:hAnsi="Calibri"/>
        </w:rPr>
      </w:pPr>
      <w:r>
        <w:rPr>
          <w:rFonts w:ascii="Calibri" w:hAnsi="Calibri"/>
        </w:rPr>
        <w:t>“</w:t>
      </w:r>
      <w:r w:rsidR="00C20ADA" w:rsidRPr="00C20ADA">
        <w:rPr>
          <w:rFonts w:ascii="Calibri" w:hAnsi="Calibri"/>
        </w:rPr>
        <w:t>A gift is not considered incomplete, however, merely because the donor</w:t>
      </w:r>
      <w:r w:rsidR="00D2480A">
        <w:rPr>
          <w:rFonts w:ascii="Calibri" w:hAnsi="Calibri"/>
        </w:rPr>
        <w:t xml:space="preserve"> </w:t>
      </w:r>
      <w:r w:rsidR="00C20ADA" w:rsidRPr="00C20ADA">
        <w:rPr>
          <w:rFonts w:ascii="Calibri" w:hAnsi="Calibri"/>
        </w:rPr>
        <w:t>reserves the power to change the manner or time of enjoyment. Thus,</w:t>
      </w:r>
      <w:r w:rsidR="00D2480A">
        <w:rPr>
          <w:rFonts w:ascii="Calibri" w:hAnsi="Calibri"/>
        </w:rPr>
        <w:t xml:space="preserve"> </w:t>
      </w:r>
      <w:r w:rsidR="00C20ADA" w:rsidRPr="00C20ADA">
        <w:rPr>
          <w:rFonts w:ascii="Calibri" w:hAnsi="Calibri"/>
        </w:rPr>
        <w:t>the creation of a trust the income of which is to be paid annually to the</w:t>
      </w:r>
      <w:r w:rsidR="00D2480A">
        <w:rPr>
          <w:rFonts w:ascii="Calibri" w:hAnsi="Calibri"/>
        </w:rPr>
        <w:t xml:space="preserve"> </w:t>
      </w:r>
      <w:r w:rsidR="00C20ADA" w:rsidRPr="00C20ADA">
        <w:rPr>
          <w:rFonts w:ascii="Calibri" w:hAnsi="Calibri"/>
        </w:rPr>
        <w:t>donee for a period of years, the corpus being distributable to him at the</w:t>
      </w:r>
      <w:r w:rsidR="00D2480A">
        <w:rPr>
          <w:rFonts w:ascii="Calibri" w:hAnsi="Calibri"/>
        </w:rPr>
        <w:t xml:space="preserve"> </w:t>
      </w:r>
      <w:r w:rsidR="00C20ADA" w:rsidRPr="00C20ADA">
        <w:rPr>
          <w:rFonts w:ascii="Calibri" w:hAnsi="Calibri"/>
        </w:rPr>
        <w:t>end of the period, and the power reserved by the donor being limited to a</w:t>
      </w:r>
      <w:r w:rsidR="00D2480A">
        <w:rPr>
          <w:rFonts w:ascii="Calibri" w:hAnsi="Calibri"/>
        </w:rPr>
        <w:t xml:space="preserve"> </w:t>
      </w:r>
      <w:r w:rsidR="00C20ADA" w:rsidRPr="00C20ADA">
        <w:rPr>
          <w:rFonts w:ascii="Calibri" w:hAnsi="Calibri"/>
        </w:rPr>
        <w:t>right to require that, instead of the income being so payable, it should be</w:t>
      </w:r>
      <w:r w:rsidR="00D2480A">
        <w:rPr>
          <w:rFonts w:ascii="Calibri" w:hAnsi="Calibri"/>
        </w:rPr>
        <w:t xml:space="preserve"> </w:t>
      </w:r>
      <w:r w:rsidR="00C20ADA" w:rsidRPr="00C20ADA">
        <w:rPr>
          <w:rFonts w:ascii="Calibri" w:hAnsi="Calibri"/>
        </w:rPr>
        <w:t>accumulated and distributed with the corpus to the donee at the</w:t>
      </w:r>
      <w:r w:rsidR="00D2480A">
        <w:rPr>
          <w:rFonts w:ascii="Calibri" w:hAnsi="Calibri"/>
        </w:rPr>
        <w:t xml:space="preserve"> </w:t>
      </w:r>
      <w:r w:rsidR="00C20ADA" w:rsidRPr="00C20ADA">
        <w:rPr>
          <w:rFonts w:ascii="Calibri" w:hAnsi="Calibri"/>
        </w:rPr>
        <w:t>termination of the period, constitutes a completed gift.</w:t>
      </w:r>
      <w:r w:rsidR="00C20ADA">
        <w:rPr>
          <w:rFonts w:ascii="Calibri" w:hAnsi="Calibri"/>
        </w:rPr>
        <w:t>”</w:t>
      </w:r>
      <w:r>
        <w:rPr>
          <w:rStyle w:val="FootnoteReference"/>
          <w:rFonts w:ascii="Calibri" w:hAnsi="Calibri"/>
        </w:rPr>
        <w:footnoteReference w:id="237"/>
      </w:r>
    </w:p>
    <w:p w14:paraId="2853AB8F" w14:textId="77777777" w:rsidR="00C20ADA" w:rsidRPr="00C20ADA" w:rsidRDefault="00C20ADA" w:rsidP="00C20ADA">
      <w:pPr>
        <w:pStyle w:val="ListParagraph"/>
        <w:autoSpaceDE w:val="0"/>
        <w:autoSpaceDN w:val="0"/>
        <w:adjustRightInd w:val="0"/>
        <w:rPr>
          <w:rFonts w:ascii="Calibri" w:hAnsi="Calibri"/>
        </w:rPr>
      </w:pPr>
    </w:p>
    <w:p w14:paraId="2CE95E8C" w14:textId="77777777" w:rsidR="00C40EF4" w:rsidRPr="00C20ADA" w:rsidRDefault="00C20ADA" w:rsidP="006D6DE0">
      <w:pPr>
        <w:autoSpaceDE w:val="0"/>
        <w:autoSpaceDN w:val="0"/>
        <w:adjustRightInd w:val="0"/>
        <w:spacing w:line="360" w:lineRule="auto"/>
        <w:ind w:firstLine="720"/>
        <w:rPr>
          <w:rFonts w:ascii="Calibri" w:hAnsi="Calibri"/>
        </w:rPr>
      </w:pPr>
      <w:r w:rsidRPr="00C20ADA">
        <w:rPr>
          <w:rFonts w:ascii="Calibri" w:hAnsi="Calibri"/>
        </w:rPr>
        <w:t>In the case of the Estate Trust, the donor would retain the power to alter the manner or timing of the spouse’s beneficial enjoyment of the income and</w:t>
      </w:r>
      <w:r>
        <w:rPr>
          <w:rFonts w:ascii="Calibri" w:hAnsi="Calibri"/>
        </w:rPr>
        <w:t xml:space="preserve"> </w:t>
      </w:r>
      <w:r w:rsidRPr="00C20ADA">
        <w:rPr>
          <w:rFonts w:ascii="Calibri" w:hAnsi="Calibri"/>
        </w:rPr>
        <w:t xml:space="preserve">principal, </w:t>
      </w:r>
      <w:r w:rsidR="009F150F">
        <w:rPr>
          <w:rFonts w:ascii="Calibri" w:hAnsi="Calibri"/>
        </w:rPr>
        <w:t>but</w:t>
      </w:r>
      <w:r w:rsidRPr="00C20ADA">
        <w:rPr>
          <w:rFonts w:ascii="Calibri" w:hAnsi="Calibri"/>
        </w:rPr>
        <w:t xml:space="preserve"> would not be able to name new beneficiaries or change the</w:t>
      </w:r>
      <w:r>
        <w:rPr>
          <w:rFonts w:ascii="Calibri" w:hAnsi="Calibri"/>
        </w:rPr>
        <w:t xml:space="preserve"> </w:t>
      </w:r>
      <w:r w:rsidRPr="00C20ADA">
        <w:rPr>
          <w:rFonts w:ascii="Calibri" w:hAnsi="Calibri"/>
        </w:rPr>
        <w:t>interests of beneficiaries as between the</w:t>
      </w:r>
      <w:r w:rsidR="006D6DE0">
        <w:rPr>
          <w:rFonts w:ascii="Calibri" w:hAnsi="Calibri"/>
        </w:rPr>
        <w:t>mselves. Thus, a gift to an</w:t>
      </w:r>
      <w:r w:rsidRPr="00C20ADA">
        <w:rPr>
          <w:rFonts w:ascii="Calibri" w:hAnsi="Calibri"/>
        </w:rPr>
        <w:t xml:space="preserve"> Estat</w:t>
      </w:r>
      <w:r w:rsidR="00032B0E">
        <w:rPr>
          <w:rFonts w:ascii="Calibri" w:hAnsi="Calibri"/>
        </w:rPr>
        <w:t>e Trust</w:t>
      </w:r>
      <w:r w:rsidR="006D6DE0">
        <w:rPr>
          <w:rFonts w:ascii="Calibri" w:hAnsi="Calibri"/>
        </w:rPr>
        <w:t xml:space="preserve"> will be a completed gift, yet be enough of a string to trigger IRC §2038/2036</w:t>
      </w:r>
      <w:r w:rsidRPr="00C20ADA">
        <w:rPr>
          <w:rFonts w:ascii="Calibri" w:hAnsi="Calibri"/>
        </w:rPr>
        <w:t>.</w:t>
      </w:r>
      <w:r w:rsidR="009F150F">
        <w:rPr>
          <w:rStyle w:val="FootnoteReference"/>
          <w:rFonts w:ascii="Calibri" w:hAnsi="Calibri"/>
        </w:rPr>
        <w:footnoteReference w:id="238"/>
      </w:r>
      <w:r w:rsidR="006D6DE0">
        <w:rPr>
          <w:rFonts w:ascii="Calibri" w:hAnsi="Calibri"/>
        </w:rPr>
        <w:t xml:space="preserve">  This string would include the ability, for instance, to </w:t>
      </w:r>
      <w:r w:rsidR="006D6DE0" w:rsidRPr="006D6DE0">
        <w:rPr>
          <w:rFonts w:ascii="Calibri" w:hAnsi="Calibri"/>
        </w:rPr>
        <w:t>amend the trust agreement to change the manner or timing of the</w:t>
      </w:r>
      <w:r w:rsidR="006D6DE0">
        <w:rPr>
          <w:rFonts w:ascii="Calibri" w:hAnsi="Calibri"/>
        </w:rPr>
        <w:t xml:space="preserve"> </w:t>
      </w:r>
      <w:r w:rsidR="006D6DE0" w:rsidRPr="006D6DE0">
        <w:rPr>
          <w:rFonts w:ascii="Calibri" w:hAnsi="Calibri"/>
        </w:rPr>
        <w:t>beneficiary-spouse’s enjoyment of the income or principal of the trust</w:t>
      </w:r>
      <w:r w:rsidR="006D6DE0">
        <w:rPr>
          <w:rFonts w:ascii="Calibri" w:hAnsi="Calibri"/>
        </w:rPr>
        <w:t xml:space="preserve"> </w:t>
      </w:r>
      <w:r w:rsidR="006D6DE0" w:rsidRPr="006D6DE0">
        <w:rPr>
          <w:rFonts w:ascii="Calibri" w:hAnsi="Calibri"/>
        </w:rPr>
        <w:t>and (ii) direct the trustee to make or refrain from making proposed</w:t>
      </w:r>
      <w:r w:rsidR="006D6DE0">
        <w:rPr>
          <w:rFonts w:ascii="Calibri" w:hAnsi="Calibri"/>
        </w:rPr>
        <w:t xml:space="preserve"> </w:t>
      </w:r>
      <w:r w:rsidR="006D6DE0" w:rsidRPr="006D6DE0">
        <w:rPr>
          <w:rFonts w:ascii="Calibri" w:hAnsi="Calibri"/>
        </w:rPr>
        <w:t>distributions of income or principal (which power would be exercisable</w:t>
      </w:r>
      <w:r w:rsidR="006D6DE0">
        <w:rPr>
          <w:rFonts w:ascii="Calibri" w:hAnsi="Calibri"/>
        </w:rPr>
        <w:t xml:space="preserve"> </w:t>
      </w:r>
      <w:r w:rsidR="006D6DE0" w:rsidRPr="006D6DE0">
        <w:rPr>
          <w:rFonts w:ascii="Calibri" w:hAnsi="Calibri"/>
        </w:rPr>
        <w:t xml:space="preserve">by his or her </w:t>
      </w:r>
      <w:r w:rsidR="006D6DE0" w:rsidRPr="006D6DE0">
        <w:rPr>
          <w:rFonts w:ascii="Calibri" w:hAnsi="Calibri"/>
        </w:rPr>
        <w:lastRenderedPageBreak/>
        <w:t>agent under a power of attorney in the event of incapacity).</w:t>
      </w:r>
      <w:r w:rsidR="006D6DE0">
        <w:rPr>
          <w:rFonts w:ascii="Calibri" w:hAnsi="Calibri"/>
        </w:rPr>
        <w:t xml:space="preserve"> </w:t>
      </w:r>
      <w:r w:rsidR="009F150F">
        <w:rPr>
          <w:rFonts w:ascii="Calibri" w:hAnsi="Calibri"/>
        </w:rPr>
        <w:t xml:space="preserve"> Retaining </w:t>
      </w:r>
      <w:r w:rsidR="006D6DE0" w:rsidRPr="006D6DE0">
        <w:rPr>
          <w:rFonts w:ascii="Calibri" w:hAnsi="Calibri"/>
        </w:rPr>
        <w:t>this power will cause the trust property to be</w:t>
      </w:r>
      <w:r w:rsidR="006D6DE0">
        <w:rPr>
          <w:rFonts w:ascii="Calibri" w:hAnsi="Calibri"/>
        </w:rPr>
        <w:t xml:space="preserve"> </w:t>
      </w:r>
      <w:r w:rsidR="006D6DE0" w:rsidRPr="006D6DE0">
        <w:rPr>
          <w:rFonts w:ascii="Calibri" w:hAnsi="Calibri"/>
        </w:rPr>
        <w:t xml:space="preserve">included in the grantor’s estate under </w:t>
      </w:r>
      <w:r w:rsidR="009F150F">
        <w:rPr>
          <w:rFonts w:ascii="Calibri" w:hAnsi="Calibri"/>
        </w:rPr>
        <w:t>§</w:t>
      </w:r>
      <w:r w:rsidR="006D6DE0" w:rsidRPr="006D6DE0">
        <w:rPr>
          <w:rFonts w:ascii="Calibri" w:hAnsi="Calibri"/>
        </w:rPr>
        <w:t>2038</w:t>
      </w:r>
      <w:r w:rsidR="009F150F">
        <w:rPr>
          <w:rFonts w:ascii="Calibri" w:hAnsi="Calibri"/>
        </w:rPr>
        <w:t>, yet not so much to impugn the completed gift</w:t>
      </w:r>
      <w:r w:rsidR="006D6DE0" w:rsidRPr="006D6DE0">
        <w:rPr>
          <w:rFonts w:ascii="Calibri" w:hAnsi="Calibri"/>
        </w:rPr>
        <w:t>.</w:t>
      </w:r>
    </w:p>
    <w:p w14:paraId="2A6DE381" w14:textId="77777777" w:rsidR="008E20FC" w:rsidRDefault="009F150F" w:rsidP="00400019">
      <w:pPr>
        <w:pStyle w:val="ListParagraph"/>
        <w:autoSpaceDE w:val="0"/>
        <w:autoSpaceDN w:val="0"/>
        <w:adjustRightInd w:val="0"/>
        <w:spacing w:line="360" w:lineRule="auto"/>
        <w:ind w:left="0" w:firstLine="720"/>
        <w:rPr>
          <w:rFonts w:ascii="Calibri" w:hAnsi="Calibri"/>
          <w:b/>
        </w:rPr>
      </w:pPr>
      <w:r>
        <w:rPr>
          <w:rFonts w:ascii="Calibri" w:hAnsi="Calibri"/>
        </w:rPr>
        <w:t xml:space="preserve">The issues with Estate Trusts are that independent trustees are recommended, rather than husband/wife as usually contemplated by JEST trusts and often desired by clients.  Moreover, there are </w:t>
      </w:r>
      <w:r w:rsidR="00400019">
        <w:rPr>
          <w:rFonts w:ascii="Calibri" w:hAnsi="Calibri"/>
        </w:rPr>
        <w:t xml:space="preserve">much </w:t>
      </w:r>
      <w:r>
        <w:rPr>
          <w:rFonts w:ascii="Calibri" w:hAnsi="Calibri"/>
        </w:rPr>
        <w:t>larger holes in the creditor protection and fidelity to the estate plan than JEST or OBIT trusts – there is no way to restrict or tie up the surviving spouse’s ability to completely and utterly control the estate, or encumber or jeopardize it with debt or liability.</w:t>
      </w:r>
      <w:r w:rsidR="00400019">
        <w:rPr>
          <w:rFonts w:ascii="Calibri" w:hAnsi="Calibri"/>
        </w:rPr>
        <w:t xml:space="preserve">  Unfortunately, you cannot simply translate the estate trust concept to an inter-vivos QTIP, because the code specifically states that a valid </w:t>
      </w:r>
      <w:r w:rsidR="009C7F12">
        <w:rPr>
          <w:rFonts w:ascii="Calibri" w:hAnsi="Calibri"/>
        </w:rPr>
        <w:t xml:space="preserve">intervivos </w:t>
      </w:r>
      <w:r w:rsidR="00400019">
        <w:rPr>
          <w:rFonts w:ascii="Calibri" w:hAnsi="Calibri"/>
        </w:rPr>
        <w:t>QTIP trust is not in the donor’s estate.</w:t>
      </w:r>
      <w:r w:rsidR="00400019">
        <w:rPr>
          <w:rStyle w:val="FootnoteReference"/>
          <w:rFonts w:ascii="Calibri" w:hAnsi="Calibri"/>
        </w:rPr>
        <w:footnoteReference w:id="239"/>
      </w:r>
    </w:p>
    <w:p w14:paraId="085FF507" w14:textId="77777777" w:rsidR="004F789E" w:rsidRDefault="004F789E">
      <w:pPr>
        <w:rPr>
          <w:rFonts w:ascii="Calibri" w:hAnsi="Calibri"/>
          <w:b/>
        </w:rPr>
      </w:pPr>
      <w:r>
        <w:rPr>
          <w:rFonts w:ascii="Calibri" w:hAnsi="Calibri"/>
          <w:b/>
        </w:rPr>
        <w:br w:type="page"/>
      </w:r>
    </w:p>
    <w:p w14:paraId="6447B64D" w14:textId="77777777" w:rsidR="008E20FC" w:rsidRPr="00900346" w:rsidRDefault="008E20FC" w:rsidP="00180FD1">
      <w:pPr>
        <w:pStyle w:val="ListParagraph"/>
        <w:numPr>
          <w:ilvl w:val="0"/>
          <w:numId w:val="21"/>
        </w:numPr>
        <w:autoSpaceDE w:val="0"/>
        <w:autoSpaceDN w:val="0"/>
        <w:adjustRightInd w:val="0"/>
        <w:spacing w:line="360" w:lineRule="auto"/>
        <w:ind w:hanging="720"/>
        <w:rPr>
          <w:rFonts w:ascii="Calibri" w:hAnsi="Calibri"/>
          <w:b/>
        </w:rPr>
      </w:pPr>
      <w:r w:rsidRPr="00900346">
        <w:rPr>
          <w:rFonts w:ascii="Calibri" w:hAnsi="Calibri"/>
          <w:b/>
        </w:rPr>
        <w:lastRenderedPageBreak/>
        <w:t>“Naked” GPOAs: the Promise and the Limits of Upstream Basis Planning</w:t>
      </w:r>
    </w:p>
    <w:p w14:paraId="2E29A0FC" w14:textId="77777777" w:rsidR="001762EA" w:rsidRDefault="00393869" w:rsidP="001762EA">
      <w:pPr>
        <w:autoSpaceDE w:val="0"/>
        <w:autoSpaceDN w:val="0"/>
        <w:adjustRightInd w:val="0"/>
        <w:spacing w:line="360" w:lineRule="auto"/>
        <w:ind w:firstLine="720"/>
        <w:rPr>
          <w:rFonts w:ascii="Calibri" w:hAnsi="Calibri"/>
        </w:rPr>
      </w:pPr>
      <w:r>
        <w:rPr>
          <w:rFonts w:ascii="Calibri" w:hAnsi="Calibri"/>
        </w:rPr>
        <w:t xml:space="preserve">One may be tempted in the understandable zeal to exploit GPOAs for basis planning to extend the concept even further.  Can </w:t>
      </w:r>
      <w:r w:rsidR="004D41CD">
        <w:rPr>
          <w:rFonts w:ascii="Calibri" w:hAnsi="Calibri"/>
        </w:rPr>
        <w:t>I give my 95-</w:t>
      </w:r>
      <w:r>
        <w:rPr>
          <w:rFonts w:ascii="Calibri" w:hAnsi="Calibri"/>
        </w:rPr>
        <w:t xml:space="preserve">year old poor grandmother a GPOA or LPOA triggering the Delaware Tax Trap over $5 million of my trust assets?  How about an entire religious order taking a vow of poverty, scant acquaintances or other poor and huddled masses yearning to be free?  </w:t>
      </w:r>
      <w:r w:rsidR="00457CCD" w:rsidRPr="00203CBC">
        <w:rPr>
          <w:rFonts w:ascii="Calibri" w:hAnsi="Calibri"/>
        </w:rPr>
        <w:t>Testamentary GPOAs exist even if the power</w:t>
      </w:r>
      <w:r w:rsidR="00457CCD">
        <w:rPr>
          <w:rFonts w:ascii="Calibri" w:hAnsi="Calibri"/>
        </w:rPr>
        <w:t xml:space="preserve"> </w:t>
      </w:r>
      <w:r w:rsidR="00457CCD" w:rsidRPr="00203CBC">
        <w:rPr>
          <w:rFonts w:ascii="Calibri" w:hAnsi="Calibri"/>
        </w:rPr>
        <w:t>holder has no access to corpus during the power</w:t>
      </w:r>
      <w:r w:rsidR="00457CCD">
        <w:rPr>
          <w:rFonts w:ascii="Calibri" w:hAnsi="Calibri"/>
        </w:rPr>
        <w:t xml:space="preserve"> </w:t>
      </w:r>
      <w:r w:rsidR="00457CCD" w:rsidRPr="00203CBC">
        <w:rPr>
          <w:rFonts w:ascii="Calibri" w:hAnsi="Calibri"/>
        </w:rPr>
        <w:t>holder’s lifetime – indeed, the powerholder’s lifetime interest is</w:t>
      </w:r>
      <w:r w:rsidR="00457CCD">
        <w:rPr>
          <w:rFonts w:ascii="Calibri" w:hAnsi="Calibri"/>
        </w:rPr>
        <w:t xml:space="preserve"> completely</w:t>
      </w:r>
      <w:r w:rsidR="00457CCD" w:rsidRPr="00203CBC">
        <w:rPr>
          <w:rFonts w:ascii="Calibri" w:hAnsi="Calibri"/>
        </w:rPr>
        <w:t xml:space="preserve"> irrelevant.</w:t>
      </w:r>
      <w:r w:rsidR="00457CCD" w:rsidRPr="00203CBC">
        <w:rPr>
          <w:rFonts w:ascii="Calibri" w:hAnsi="Calibri"/>
          <w:vertAlign w:val="superscript"/>
        </w:rPr>
        <w:footnoteReference w:id="240"/>
      </w:r>
      <w:r w:rsidR="00457CCD">
        <w:rPr>
          <w:rFonts w:ascii="Calibri" w:hAnsi="Calibri"/>
        </w:rPr>
        <w:t xml:space="preserve"> But the reason there is decades of precedent in favor of finding GPOAs even in the most extreme and dubious conditions is that the IRS always had a monetary incentive to so argue – can such precedents simply be abandoned by the courts?  For TAMs, PLRs, </w:t>
      </w:r>
      <w:r w:rsidR="00C962E9">
        <w:rPr>
          <w:rFonts w:ascii="Calibri" w:hAnsi="Calibri"/>
        </w:rPr>
        <w:t>yes</w:t>
      </w:r>
      <w:r w:rsidR="00457CCD">
        <w:rPr>
          <w:rFonts w:ascii="Calibri" w:hAnsi="Calibri"/>
        </w:rPr>
        <w:t xml:space="preserve"> – for code, regulations and court cases, </w:t>
      </w:r>
      <w:r w:rsidR="00457CCD" w:rsidRPr="00903614">
        <w:rPr>
          <w:rFonts w:ascii="Calibri" w:hAnsi="Calibri"/>
          <w:b/>
        </w:rPr>
        <w:t>no</w:t>
      </w:r>
      <w:r w:rsidR="00457CCD">
        <w:rPr>
          <w:rFonts w:ascii="Calibri" w:hAnsi="Calibri"/>
        </w:rPr>
        <w:t xml:space="preserve">.  Despite a surfeit of the latter, </w:t>
      </w:r>
      <w:r>
        <w:rPr>
          <w:rFonts w:ascii="Calibri" w:hAnsi="Calibri"/>
        </w:rPr>
        <w:t xml:space="preserve">practitioners should be skeptical </w:t>
      </w:r>
      <w:r w:rsidR="00457CCD">
        <w:rPr>
          <w:rFonts w:ascii="Calibri" w:hAnsi="Calibri"/>
        </w:rPr>
        <w:t>in such extreme and arguably abusive cases</w:t>
      </w:r>
      <w:r>
        <w:rPr>
          <w:rFonts w:ascii="Calibri" w:hAnsi="Calibri"/>
        </w:rPr>
        <w:t xml:space="preserve">.  </w:t>
      </w:r>
    </w:p>
    <w:p w14:paraId="55DE1BB4" w14:textId="77777777" w:rsidR="008D2343" w:rsidRDefault="00393869" w:rsidP="00203CBC">
      <w:pPr>
        <w:autoSpaceDE w:val="0"/>
        <w:autoSpaceDN w:val="0"/>
        <w:adjustRightInd w:val="0"/>
        <w:spacing w:line="360" w:lineRule="auto"/>
        <w:ind w:firstLine="720"/>
        <w:rPr>
          <w:rFonts w:ascii="Calibri" w:hAnsi="Calibri"/>
        </w:rPr>
      </w:pPr>
      <w:r>
        <w:rPr>
          <w:rFonts w:ascii="Calibri" w:hAnsi="Calibri"/>
        </w:rPr>
        <w:t xml:space="preserve">Ultimately, courts will have to sort out these limits.  </w:t>
      </w:r>
      <w:r w:rsidR="00903614">
        <w:rPr>
          <w:rFonts w:ascii="Calibri" w:hAnsi="Calibri"/>
        </w:rPr>
        <w:t>A</w:t>
      </w:r>
      <w:r>
        <w:rPr>
          <w:rFonts w:ascii="Calibri" w:hAnsi="Calibri"/>
        </w:rPr>
        <w:t xml:space="preserve">n apt analogy is the court-sanctioned use of </w:t>
      </w:r>
      <w:r w:rsidRPr="004C1898">
        <w:rPr>
          <w:rFonts w:ascii="Calibri" w:hAnsi="Calibri"/>
          <w:i/>
        </w:rPr>
        <w:t>Crummey</w:t>
      </w:r>
      <w:r>
        <w:rPr>
          <w:rFonts w:ascii="Calibri" w:hAnsi="Calibri"/>
        </w:rPr>
        <w:t xml:space="preserve"> powers (which are essential presently exercisable general powers of appointment anyway) for those with some modicum of trust interest (so called </w:t>
      </w:r>
      <w:r w:rsidRPr="00C06745">
        <w:rPr>
          <w:rFonts w:ascii="Calibri" w:hAnsi="Calibri"/>
          <w:i/>
        </w:rPr>
        <w:t>Cristofani</w:t>
      </w:r>
      <w:r>
        <w:rPr>
          <w:rFonts w:ascii="Calibri" w:hAnsi="Calibri"/>
        </w:rPr>
        <w:t xml:space="preserve"> beneficiaries), as opposed to so called “naked </w:t>
      </w:r>
      <w:r w:rsidRPr="004C1898">
        <w:rPr>
          <w:rFonts w:ascii="Calibri" w:hAnsi="Calibri"/>
          <w:i/>
        </w:rPr>
        <w:t>Crummeys</w:t>
      </w:r>
      <w:r>
        <w:rPr>
          <w:rFonts w:ascii="Calibri" w:hAnsi="Calibri"/>
        </w:rPr>
        <w:t xml:space="preserve">” (those with no other trust interest other than the PEG power).  So, </w:t>
      </w:r>
      <w:r w:rsidR="00457CCD">
        <w:rPr>
          <w:rFonts w:ascii="Calibri" w:hAnsi="Calibri"/>
        </w:rPr>
        <w:t xml:space="preserve">is grandma a discretionary beneficiary or </w:t>
      </w:r>
      <w:r>
        <w:rPr>
          <w:rFonts w:ascii="Calibri" w:hAnsi="Calibri"/>
        </w:rPr>
        <w:t xml:space="preserve">does </w:t>
      </w:r>
      <w:r w:rsidR="00457CCD">
        <w:rPr>
          <w:rFonts w:ascii="Calibri" w:hAnsi="Calibri"/>
        </w:rPr>
        <w:t>she</w:t>
      </w:r>
      <w:r>
        <w:rPr>
          <w:rFonts w:ascii="Calibri" w:hAnsi="Calibri"/>
        </w:rPr>
        <w:t xml:space="preserve"> </w:t>
      </w:r>
      <w:r w:rsidR="004C1898">
        <w:rPr>
          <w:rFonts w:ascii="Calibri" w:hAnsi="Calibri"/>
        </w:rPr>
        <w:t>even</w:t>
      </w:r>
      <w:r>
        <w:rPr>
          <w:rFonts w:ascii="Calibri" w:hAnsi="Calibri"/>
        </w:rPr>
        <w:t xml:space="preserve"> receive some income from the trust?  Analogizing to </w:t>
      </w:r>
      <w:r w:rsidRPr="00C06745">
        <w:rPr>
          <w:rFonts w:ascii="Calibri" w:hAnsi="Calibri"/>
          <w:i/>
        </w:rPr>
        <w:t>Cristofani</w:t>
      </w:r>
      <w:r>
        <w:rPr>
          <w:rFonts w:ascii="Calibri" w:hAnsi="Calibri"/>
        </w:rPr>
        <w:t xml:space="preserve">, the GPOA should be upheld.  </w:t>
      </w:r>
      <w:r w:rsidR="00203CBC">
        <w:rPr>
          <w:rFonts w:ascii="Calibri" w:hAnsi="Calibri"/>
        </w:rPr>
        <w:t xml:space="preserve">Despite </w:t>
      </w:r>
      <w:r w:rsidR="00C962E9">
        <w:rPr>
          <w:rFonts w:ascii="Calibri" w:hAnsi="Calibri"/>
        </w:rPr>
        <w:t>all the</w:t>
      </w:r>
      <w:r w:rsidR="00203CBC">
        <w:rPr>
          <w:rFonts w:ascii="Calibri" w:hAnsi="Calibri"/>
        </w:rPr>
        <w:t xml:space="preserve"> favorable precedence, it is prudent (and probably in keeping with settlor intent), that a power holder has at least some discretionary interest; u</w:t>
      </w:r>
      <w:r>
        <w:rPr>
          <w:rFonts w:ascii="Calibri" w:hAnsi="Calibri"/>
        </w:rPr>
        <w:t xml:space="preserve">ltimately, other GPOAs </w:t>
      </w:r>
      <w:r w:rsidR="00203CBC">
        <w:rPr>
          <w:rFonts w:ascii="Calibri" w:hAnsi="Calibri"/>
        </w:rPr>
        <w:t>may</w:t>
      </w:r>
      <w:r>
        <w:rPr>
          <w:rFonts w:ascii="Calibri" w:hAnsi="Calibri"/>
        </w:rPr>
        <w:t xml:space="preserve"> be ignored as sham transactions.  </w:t>
      </w:r>
    </w:p>
    <w:p w14:paraId="44D99903" w14:textId="77777777" w:rsidR="009F150F" w:rsidRDefault="001762EA" w:rsidP="009A0F69">
      <w:pPr>
        <w:autoSpaceDE w:val="0"/>
        <w:autoSpaceDN w:val="0"/>
        <w:adjustRightInd w:val="0"/>
        <w:spacing w:line="360" w:lineRule="auto"/>
        <w:ind w:firstLine="720"/>
        <w:rPr>
          <w:rFonts w:ascii="Calibri" w:hAnsi="Calibri"/>
          <w:b/>
        </w:rPr>
      </w:pPr>
      <w:r>
        <w:rPr>
          <w:rFonts w:ascii="Calibri" w:hAnsi="Calibri"/>
        </w:rPr>
        <w:t xml:space="preserve">Outright upstream gifts are unrealistic, impractical and undesirable on many counts </w:t>
      </w:r>
      <w:r w:rsidR="00560835">
        <w:rPr>
          <w:rFonts w:ascii="Calibri" w:hAnsi="Calibri"/>
        </w:rPr>
        <w:t>–</w:t>
      </w:r>
      <w:r>
        <w:rPr>
          <w:rFonts w:ascii="Calibri" w:hAnsi="Calibri"/>
        </w:rPr>
        <w:t xml:space="preserve"> </w:t>
      </w:r>
      <w:r w:rsidR="00560835">
        <w:rPr>
          <w:rFonts w:ascii="Calibri" w:hAnsi="Calibri"/>
        </w:rPr>
        <w:t xml:space="preserve">what if the upstream beneficiary does not have good automobile, umbrella or </w:t>
      </w:r>
      <w:r w:rsidR="008D2343">
        <w:rPr>
          <w:rFonts w:ascii="Calibri" w:hAnsi="Calibri"/>
        </w:rPr>
        <w:t xml:space="preserve">long-term care insurance </w:t>
      </w:r>
      <w:r w:rsidR="00560835">
        <w:rPr>
          <w:rFonts w:ascii="Calibri" w:hAnsi="Calibri"/>
        </w:rPr>
        <w:t>or might</w:t>
      </w:r>
      <w:r w:rsidR="008D2343">
        <w:rPr>
          <w:rFonts w:ascii="Calibri" w:hAnsi="Calibri"/>
        </w:rPr>
        <w:t xml:space="preserve"> disinherit you in favor of your brother or the local church!  </w:t>
      </w:r>
      <w:r w:rsidR="00C962E9">
        <w:rPr>
          <w:rFonts w:ascii="Calibri" w:hAnsi="Calibri"/>
        </w:rPr>
        <w:t>Granting a GPOA to someone over revocable trust assets is a disaster – a taxable gift at death, and no</w:t>
      </w:r>
      <w:r w:rsidR="004D41CD">
        <w:rPr>
          <w:rFonts w:ascii="Calibri" w:hAnsi="Calibri"/>
        </w:rPr>
        <w:t xml:space="preserve"> step up in basis under the one-</w:t>
      </w:r>
      <w:r w:rsidR="00C962E9">
        <w:rPr>
          <w:rFonts w:ascii="Calibri" w:hAnsi="Calibri"/>
        </w:rPr>
        <w:t xml:space="preserve">year rule.  </w:t>
      </w:r>
      <w:r w:rsidR="004A6F88">
        <w:rPr>
          <w:rFonts w:ascii="Calibri" w:hAnsi="Calibri"/>
        </w:rPr>
        <w:t>Obviously</w:t>
      </w:r>
      <w:r w:rsidR="004D41CD">
        <w:rPr>
          <w:rFonts w:ascii="Calibri" w:hAnsi="Calibri"/>
        </w:rPr>
        <w:t>,</w:t>
      </w:r>
      <w:r w:rsidR="008D2343">
        <w:rPr>
          <w:rFonts w:ascii="Calibri" w:hAnsi="Calibri"/>
        </w:rPr>
        <w:t xml:space="preserve"> the best protection from those risks is to </w:t>
      </w:r>
      <w:r w:rsidR="008D2343">
        <w:rPr>
          <w:rFonts w:ascii="Calibri" w:hAnsi="Calibri"/>
        </w:rPr>
        <w:lastRenderedPageBreak/>
        <w:t xml:space="preserve">use a discretionary trust coupled with a </w:t>
      </w:r>
      <w:r>
        <w:rPr>
          <w:rFonts w:ascii="Calibri" w:hAnsi="Calibri"/>
        </w:rPr>
        <w:t xml:space="preserve">narrowly crafted </w:t>
      </w:r>
      <w:r w:rsidR="004A6F88">
        <w:rPr>
          <w:rFonts w:ascii="Calibri" w:hAnsi="Calibri"/>
        </w:rPr>
        <w:t xml:space="preserve">testamentary </w:t>
      </w:r>
      <w:r w:rsidR="008D2343">
        <w:rPr>
          <w:rFonts w:ascii="Calibri" w:hAnsi="Calibri"/>
        </w:rPr>
        <w:t>GPOA</w:t>
      </w:r>
      <w:r>
        <w:rPr>
          <w:rFonts w:ascii="Calibri" w:hAnsi="Calibri"/>
        </w:rPr>
        <w:t xml:space="preserve"> or </w:t>
      </w:r>
      <w:r w:rsidR="00FD2D14">
        <w:rPr>
          <w:rFonts w:ascii="Calibri" w:hAnsi="Calibri"/>
        </w:rPr>
        <w:t>alternatively</w:t>
      </w:r>
      <w:r>
        <w:rPr>
          <w:rFonts w:ascii="Calibri" w:hAnsi="Calibri"/>
        </w:rPr>
        <w:t>, a narrowly crafted</w:t>
      </w:r>
      <w:r w:rsidR="004A6F88">
        <w:rPr>
          <w:rFonts w:ascii="Calibri" w:hAnsi="Calibri"/>
        </w:rPr>
        <w:t xml:space="preserve"> </w:t>
      </w:r>
      <w:r>
        <w:rPr>
          <w:rFonts w:ascii="Calibri" w:hAnsi="Calibri"/>
        </w:rPr>
        <w:t>LPOA triggering the Delaware Tax Trap,</w:t>
      </w:r>
      <w:r w:rsidR="008D2343">
        <w:rPr>
          <w:rFonts w:ascii="Calibri" w:hAnsi="Calibri"/>
        </w:rPr>
        <w:t xml:space="preserve"> rather than outright gifts.</w:t>
      </w:r>
      <w:r w:rsidR="00560835">
        <w:rPr>
          <w:rFonts w:ascii="Calibri" w:hAnsi="Calibri"/>
        </w:rPr>
        <w:t xml:space="preserve">  </w:t>
      </w:r>
      <w:r w:rsidR="009F150F">
        <w:rPr>
          <w:rFonts w:ascii="Calibri" w:hAnsi="Calibri"/>
          <w:b/>
        </w:rPr>
        <w:br w:type="page"/>
      </w:r>
    </w:p>
    <w:p w14:paraId="6ACFF303" w14:textId="77777777" w:rsidR="00872291" w:rsidRPr="00900346" w:rsidRDefault="00C962E9" w:rsidP="00180FD1">
      <w:pPr>
        <w:pStyle w:val="ListParagraph"/>
        <w:numPr>
          <w:ilvl w:val="0"/>
          <w:numId w:val="21"/>
        </w:numPr>
        <w:tabs>
          <w:tab w:val="left" w:pos="540"/>
        </w:tabs>
        <w:autoSpaceDE w:val="0"/>
        <w:autoSpaceDN w:val="0"/>
        <w:adjustRightInd w:val="0"/>
        <w:spacing w:line="360" w:lineRule="auto"/>
        <w:ind w:hanging="720"/>
        <w:rPr>
          <w:rFonts w:ascii="Calibri" w:hAnsi="Calibri"/>
          <w:b/>
        </w:rPr>
      </w:pPr>
      <w:r w:rsidRPr="00900346">
        <w:rPr>
          <w:rFonts w:ascii="Calibri" w:hAnsi="Calibri"/>
          <w:b/>
        </w:rPr>
        <w:lastRenderedPageBreak/>
        <w:t xml:space="preserve">The Upstream </w:t>
      </w:r>
      <w:r w:rsidRPr="00862C99">
        <w:rPr>
          <w:rFonts w:ascii="Calibri" w:hAnsi="Calibri"/>
          <w:b/>
          <w:i/>
        </w:rPr>
        <w:t>Crummey</w:t>
      </w:r>
      <w:r w:rsidRPr="00900346">
        <w:rPr>
          <w:rFonts w:ascii="Calibri" w:hAnsi="Calibri"/>
          <w:b/>
        </w:rPr>
        <w:t xml:space="preserve"> Optimal Basis Increase Trust</w:t>
      </w:r>
      <w:r w:rsidR="00D61E50">
        <w:rPr>
          <w:rStyle w:val="FootnoteReference"/>
          <w:rFonts w:ascii="Calibri" w:hAnsi="Calibri"/>
          <w:b/>
        </w:rPr>
        <w:footnoteReference w:id="241"/>
      </w:r>
    </w:p>
    <w:p w14:paraId="1A21F5F7" w14:textId="77777777" w:rsidR="004C54C5" w:rsidRPr="00CB6301" w:rsidRDefault="004C54C5" w:rsidP="00CB6301">
      <w:pPr>
        <w:autoSpaceDE w:val="0"/>
        <w:autoSpaceDN w:val="0"/>
        <w:adjustRightInd w:val="0"/>
        <w:rPr>
          <w:rFonts w:ascii="CenturySchoolbook" w:hAnsi="CenturySchoolbook" w:cs="CenturySchoolbook"/>
          <w:sz w:val="20"/>
          <w:szCs w:val="18"/>
        </w:rPr>
      </w:pPr>
      <w:r w:rsidRPr="00CB6301">
        <w:rPr>
          <w:rFonts w:ascii="CenturySchoolbook" w:hAnsi="CenturySchoolbook" w:cs="CenturySchoolbook"/>
          <w:i/>
          <w:sz w:val="20"/>
          <w:szCs w:val="18"/>
        </w:rPr>
        <w:t>“[O]ne of the major purposes of the federal gift tax statute [is to protect] the estate tax and the income tax”</w:t>
      </w:r>
      <w:r w:rsidRPr="00CB6301">
        <w:rPr>
          <w:rStyle w:val="FootnoteReference"/>
          <w:rFonts w:ascii="CenturySchoolbook" w:hAnsi="CenturySchoolbook" w:cs="CenturySchoolbook"/>
          <w:sz w:val="20"/>
          <w:szCs w:val="18"/>
        </w:rPr>
        <w:footnoteReference w:id="242"/>
      </w:r>
    </w:p>
    <w:p w14:paraId="407F27EA" w14:textId="77777777" w:rsidR="004C54C5" w:rsidRPr="00B2312E" w:rsidRDefault="004C54C5" w:rsidP="004C54C5">
      <w:pPr>
        <w:autoSpaceDE w:val="0"/>
        <w:autoSpaceDN w:val="0"/>
        <w:adjustRightInd w:val="0"/>
        <w:rPr>
          <w:rFonts w:ascii="CenturySchoolbook" w:hAnsi="CenturySchoolbook" w:cs="CenturySchoolbook"/>
          <w:sz w:val="18"/>
          <w:szCs w:val="18"/>
        </w:rPr>
      </w:pPr>
      <w:r w:rsidRPr="00B2312E">
        <w:rPr>
          <w:rFonts w:ascii="CenturySchoolbook" w:hAnsi="CenturySchoolbook" w:cs="CenturySchoolbook"/>
          <w:sz w:val="18"/>
          <w:szCs w:val="18"/>
        </w:rPr>
        <w:tab/>
      </w:r>
    </w:p>
    <w:p w14:paraId="692B1D6A" w14:textId="77777777" w:rsidR="00C962E9" w:rsidRPr="00C962E9" w:rsidRDefault="004C54C5" w:rsidP="00573180">
      <w:pPr>
        <w:tabs>
          <w:tab w:val="left" w:pos="540"/>
        </w:tabs>
        <w:autoSpaceDE w:val="0"/>
        <w:autoSpaceDN w:val="0"/>
        <w:adjustRightInd w:val="0"/>
        <w:spacing w:line="360" w:lineRule="auto"/>
        <w:rPr>
          <w:rFonts w:ascii="Calibri" w:hAnsi="Calibri"/>
        </w:rPr>
      </w:pPr>
      <w:r>
        <w:rPr>
          <w:rFonts w:ascii="Calibri" w:hAnsi="Calibri"/>
        </w:rPr>
        <w:tab/>
      </w:r>
      <w:r w:rsidR="00573180">
        <w:rPr>
          <w:rFonts w:ascii="Calibri" w:hAnsi="Calibri"/>
        </w:rPr>
        <w:t>The</w:t>
      </w:r>
      <w:r w:rsidR="009F6243">
        <w:rPr>
          <w:rFonts w:ascii="Calibri" w:hAnsi="Calibri"/>
        </w:rPr>
        <w:t xml:space="preserve"> $5.45</w:t>
      </w:r>
      <w:r w:rsidR="00C962E9" w:rsidRPr="00C962E9">
        <w:rPr>
          <w:rFonts w:ascii="Calibri" w:hAnsi="Calibri"/>
        </w:rPr>
        <w:t xml:space="preserve"> million (and rising) estate and gift tax exclusion is more than just an estate and gift tax benefit. For 99 percent of the population, it is now more appropriately considered an income tax planning tool. Many planners used to colloquially refer to the estate tax exclusion as a “coupon” not to be squandered when explaining the benefits of bypass trusts to save estate taxes. We should </w:t>
      </w:r>
      <w:r>
        <w:rPr>
          <w:rFonts w:ascii="Calibri" w:hAnsi="Calibri"/>
        </w:rPr>
        <w:t>equally</w:t>
      </w:r>
      <w:r w:rsidR="00C962E9" w:rsidRPr="00C962E9">
        <w:rPr>
          <w:rFonts w:ascii="Calibri" w:hAnsi="Calibri"/>
        </w:rPr>
        <w:t xml:space="preserve"> see this amount as an income tax shifting and basis increasing “coupon” not to be wasted. </w:t>
      </w:r>
    </w:p>
    <w:p w14:paraId="36144A71" w14:textId="77777777" w:rsidR="00C962E9" w:rsidRPr="00C962E9" w:rsidRDefault="00573180" w:rsidP="00C962E9">
      <w:pPr>
        <w:tabs>
          <w:tab w:val="left" w:pos="540"/>
        </w:tabs>
        <w:autoSpaceDE w:val="0"/>
        <w:autoSpaceDN w:val="0"/>
        <w:adjustRightInd w:val="0"/>
        <w:spacing w:line="360" w:lineRule="auto"/>
        <w:rPr>
          <w:rFonts w:ascii="Calibri" w:hAnsi="Calibri"/>
        </w:rPr>
      </w:pPr>
      <w:r>
        <w:rPr>
          <w:rFonts w:ascii="Calibri" w:hAnsi="Calibri"/>
        </w:rPr>
        <w:tab/>
        <w:t>Let’s explore</w:t>
      </w:r>
      <w:r w:rsidR="00C962E9" w:rsidRPr="00C962E9">
        <w:rPr>
          <w:rFonts w:ascii="Calibri" w:hAnsi="Calibri"/>
        </w:rPr>
        <w:t xml:space="preserve"> “upstream” planning: why </w:t>
      </w:r>
      <w:r>
        <w:rPr>
          <w:rFonts w:ascii="Calibri" w:hAnsi="Calibri"/>
        </w:rPr>
        <w:t xml:space="preserve">spouses, </w:t>
      </w:r>
      <w:r w:rsidR="00C962E9" w:rsidRPr="00C962E9">
        <w:rPr>
          <w:rFonts w:ascii="Calibri" w:hAnsi="Calibri"/>
        </w:rPr>
        <w:t xml:space="preserve">parents, grandparents and/or other older relatives should be considered as beneficiaries of </w:t>
      </w:r>
      <w:r w:rsidR="00C962E9" w:rsidRPr="00C962E9">
        <w:rPr>
          <w:rFonts w:ascii="Calibri" w:hAnsi="Calibri"/>
          <w:i/>
        </w:rPr>
        <w:t>Crummey</w:t>
      </w:r>
      <w:r w:rsidR="00C962E9" w:rsidRPr="00C962E9">
        <w:rPr>
          <w:rFonts w:ascii="Calibri" w:hAnsi="Calibri"/>
        </w:rPr>
        <w:t xml:space="preserve"> trusts, even for smaller </w:t>
      </w:r>
      <w:r w:rsidR="00300D6D">
        <w:rPr>
          <w:rFonts w:ascii="Calibri" w:hAnsi="Calibri"/>
        </w:rPr>
        <w:t xml:space="preserve">non-taxable </w:t>
      </w:r>
      <w:r w:rsidR="00C962E9" w:rsidRPr="00C962E9">
        <w:rPr>
          <w:rFonts w:ascii="Calibri" w:hAnsi="Calibri"/>
        </w:rPr>
        <w:t>estates</w:t>
      </w:r>
      <w:r>
        <w:rPr>
          <w:rFonts w:ascii="Calibri" w:hAnsi="Calibri"/>
        </w:rPr>
        <w:t xml:space="preserve">, and why these same trusts should grant these same beneficiaries </w:t>
      </w:r>
      <w:r w:rsidR="004C54C5">
        <w:rPr>
          <w:rFonts w:ascii="Calibri" w:hAnsi="Calibri"/>
        </w:rPr>
        <w:t>optimized</w:t>
      </w:r>
      <w:r>
        <w:rPr>
          <w:rFonts w:ascii="Calibri" w:hAnsi="Calibri"/>
        </w:rPr>
        <w:t xml:space="preserve"> powers of appointment</w:t>
      </w:r>
      <w:r w:rsidR="00C962E9" w:rsidRPr="00C962E9">
        <w:rPr>
          <w:rFonts w:ascii="Calibri" w:hAnsi="Calibri"/>
        </w:rPr>
        <w:t xml:space="preserve">. </w:t>
      </w:r>
      <w:r>
        <w:rPr>
          <w:rFonts w:ascii="Calibri" w:hAnsi="Calibri"/>
        </w:rPr>
        <w:t>Such planning may also get around many of the</w:t>
      </w:r>
      <w:r w:rsidR="00C962E9" w:rsidRPr="00C962E9">
        <w:rPr>
          <w:rFonts w:ascii="Calibri" w:hAnsi="Calibri"/>
        </w:rPr>
        <w:t xml:space="preserve"> issues involved in trying to achieve an increase in basis at the death of the first spouse to die for a couple’s assets even when the assets are not community property</w:t>
      </w:r>
      <w:r>
        <w:rPr>
          <w:rFonts w:ascii="Calibri" w:hAnsi="Calibri"/>
        </w:rPr>
        <w:t>, discussed in Part V of this paper</w:t>
      </w:r>
      <w:r w:rsidR="00ED5B85">
        <w:rPr>
          <w:rFonts w:ascii="Calibri" w:hAnsi="Calibri"/>
        </w:rPr>
        <w:t>.</w:t>
      </w:r>
    </w:p>
    <w:p w14:paraId="4378B036" w14:textId="77777777" w:rsidR="00C962E9" w:rsidRPr="00C962E9" w:rsidRDefault="00573180"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Let’s start with a common planning scenario and example of the technique and then analyze the possibilities, issues and limitations:</w:t>
      </w:r>
    </w:p>
    <w:p w14:paraId="080CD552" w14:textId="77777777" w:rsidR="00C962E9" w:rsidRPr="00C962E9" w:rsidRDefault="00A27471" w:rsidP="00C962E9">
      <w:pPr>
        <w:tabs>
          <w:tab w:val="left" w:pos="540"/>
        </w:tabs>
        <w:autoSpaceDE w:val="0"/>
        <w:autoSpaceDN w:val="0"/>
        <w:adjustRightInd w:val="0"/>
        <w:spacing w:line="360" w:lineRule="auto"/>
        <w:rPr>
          <w:rFonts w:ascii="Calibri" w:hAnsi="Calibri"/>
        </w:rPr>
      </w:pPr>
      <w:r>
        <w:rPr>
          <w:rFonts w:ascii="Calibri" w:hAnsi="Calibri"/>
          <w:b/>
        </w:rPr>
        <w:tab/>
      </w:r>
      <w:r w:rsidR="00C962E9" w:rsidRPr="00573180">
        <w:rPr>
          <w:rFonts w:ascii="Calibri" w:hAnsi="Calibri"/>
          <w:b/>
        </w:rPr>
        <w:t>Example</w:t>
      </w:r>
      <w:r w:rsidR="00C962E9" w:rsidRPr="00C962E9">
        <w:rPr>
          <w:rFonts w:ascii="Calibri" w:hAnsi="Calibri"/>
        </w:rPr>
        <w:t xml:space="preserve">: John and Jane are in their late-60s, married, with 3 children, 5 grandchildren and 2 parents still living in their 90s. Together they have an $8 million estate, part of which is a $1 million fully depreciated property with only $100,000 basis owned by John. John gifts $140,000 to a standard grantor </w:t>
      </w:r>
      <w:r w:rsidR="00C962E9" w:rsidRPr="00C962E9">
        <w:rPr>
          <w:rFonts w:ascii="Calibri" w:hAnsi="Calibri"/>
          <w:i/>
        </w:rPr>
        <w:t>Crummey</w:t>
      </w:r>
      <w:r w:rsidR="00C962E9" w:rsidRPr="00C962E9">
        <w:rPr>
          <w:rFonts w:ascii="Calibri" w:hAnsi="Calibri"/>
        </w:rPr>
        <w:t xml:space="preserve"> trust (aka, a spousal lifetime access trust, or SLAT) for his wife and family. However, unlike an ordinary </w:t>
      </w:r>
      <w:r w:rsidR="00C962E9" w:rsidRPr="00C962E9">
        <w:rPr>
          <w:rFonts w:ascii="Calibri" w:hAnsi="Calibri"/>
          <w:i/>
        </w:rPr>
        <w:t xml:space="preserve">Crummey </w:t>
      </w:r>
      <w:r w:rsidR="00C962E9" w:rsidRPr="00C962E9">
        <w:rPr>
          <w:rFonts w:ascii="Calibri" w:hAnsi="Calibri"/>
        </w:rPr>
        <w:t xml:space="preserve">trust that only names “downstream” relatives, John also includes his mother and father in-law.  Each beneficiary has </w:t>
      </w:r>
      <w:r w:rsidR="00C962E9" w:rsidRPr="00C962E9">
        <w:rPr>
          <w:rFonts w:ascii="Calibri" w:hAnsi="Calibri"/>
          <w:i/>
        </w:rPr>
        <w:t>Crummey</w:t>
      </w:r>
      <w:r w:rsidR="00C962E9" w:rsidRPr="00C962E9">
        <w:rPr>
          <w:rFonts w:ascii="Calibri" w:hAnsi="Calibri"/>
        </w:rPr>
        <w:t xml:space="preserve"> powers. The trust purchases John’s real estate for $1 million, with a small down </w:t>
      </w:r>
      <w:r w:rsidR="00C962E9" w:rsidRPr="00C962E9">
        <w:rPr>
          <w:rFonts w:ascii="Calibri" w:hAnsi="Calibri"/>
        </w:rPr>
        <w:lastRenderedPageBreak/>
        <w:t>payment and a remaining note at the applicable federal rate (AFR) or higher.</w:t>
      </w:r>
      <w:r w:rsidR="00C962E9" w:rsidRPr="00C962E9">
        <w:rPr>
          <w:rFonts w:ascii="Calibri" w:hAnsi="Calibri"/>
          <w:vertAlign w:val="superscript"/>
        </w:rPr>
        <w:footnoteReference w:id="243"/>
      </w:r>
      <w:r w:rsidR="00C962E9" w:rsidRPr="00C962E9">
        <w:rPr>
          <w:rFonts w:ascii="Calibri" w:hAnsi="Calibri"/>
        </w:rPr>
        <w:t xml:space="preserve"> With clear revenue rulings on point, this </w:t>
      </w:r>
      <w:r w:rsidR="004C54C5">
        <w:rPr>
          <w:rFonts w:ascii="Calibri" w:hAnsi="Calibri"/>
        </w:rPr>
        <w:t>installment sale</w:t>
      </w:r>
      <w:r w:rsidR="00ED5B85">
        <w:rPr>
          <w:rFonts w:ascii="Calibri" w:hAnsi="Calibri"/>
        </w:rPr>
        <w:t xml:space="preserve"> </w:t>
      </w:r>
      <w:r w:rsidR="00C962E9" w:rsidRPr="00C962E9">
        <w:rPr>
          <w:rFonts w:ascii="Calibri" w:hAnsi="Calibri"/>
        </w:rPr>
        <w:t>is typically ignored for income tax purposes.</w:t>
      </w:r>
      <w:r w:rsidR="00C962E9" w:rsidRPr="00C962E9">
        <w:rPr>
          <w:rFonts w:ascii="Calibri" w:hAnsi="Calibri"/>
          <w:vertAlign w:val="superscript"/>
        </w:rPr>
        <w:footnoteReference w:id="244"/>
      </w:r>
    </w:p>
    <w:p w14:paraId="47B54A1D" w14:textId="77777777" w:rsidR="00C962E9" w:rsidRPr="00C962E9" w:rsidRDefault="00ED5B85"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At first blush, this transaction is the exact opposite of what we have been advising in recent years: low basis assets (especially those subject to 28 percent or 25 percent federal tax rates) </w:t>
      </w:r>
      <w:r>
        <w:rPr>
          <w:rFonts w:ascii="Calibri" w:hAnsi="Calibri"/>
        </w:rPr>
        <w:t>are often</w:t>
      </w:r>
      <w:r w:rsidR="00C962E9" w:rsidRPr="00C962E9">
        <w:rPr>
          <w:rFonts w:ascii="Calibri" w:hAnsi="Calibri"/>
        </w:rPr>
        <w:t xml:space="preserve"> the </w:t>
      </w:r>
      <w:r w:rsidR="00C962E9" w:rsidRPr="00C962E9">
        <w:rPr>
          <w:rFonts w:ascii="Calibri" w:hAnsi="Calibri"/>
          <w:i/>
        </w:rPr>
        <w:t>worst</w:t>
      </w:r>
      <w:r w:rsidR="00C962E9" w:rsidRPr="00C962E9">
        <w:rPr>
          <w:rFonts w:ascii="Calibri" w:hAnsi="Calibri"/>
        </w:rPr>
        <w:t xml:space="preserve"> assets to give and remove from </w:t>
      </w:r>
      <w:r>
        <w:rPr>
          <w:rFonts w:ascii="Calibri" w:hAnsi="Calibri"/>
        </w:rPr>
        <w:t>someone’s</w:t>
      </w:r>
      <w:r w:rsidR="00C962E9" w:rsidRPr="00C962E9">
        <w:rPr>
          <w:rFonts w:ascii="Calibri" w:hAnsi="Calibri"/>
        </w:rPr>
        <w:t xml:space="preserve"> estate in many cases. Moreover, John is “freezing” his estate and lowering the potential basis step up when he’s nowhere close to needing a freeze to save estate taxes. Is John nuts? </w:t>
      </w:r>
      <w:r w:rsidR="00F15F4C">
        <w:rPr>
          <w:rFonts w:ascii="Calibri" w:hAnsi="Calibri"/>
        </w:rPr>
        <w:t xml:space="preserve"> </w:t>
      </w:r>
      <w:r w:rsidR="00C962E9" w:rsidRPr="00C962E9">
        <w:rPr>
          <w:rFonts w:ascii="Calibri" w:hAnsi="Calibri"/>
        </w:rPr>
        <w:t xml:space="preserve">But what if John does something quite different here: his trust grants his wife, </w:t>
      </w:r>
      <w:r w:rsidR="00C962E9" w:rsidRPr="00F15F4C">
        <w:rPr>
          <w:rFonts w:ascii="Calibri" w:hAnsi="Calibri"/>
          <w:i/>
        </w:rPr>
        <w:t>mother and father-in-law</w:t>
      </w:r>
      <w:r w:rsidR="00C962E9" w:rsidRPr="00C962E9">
        <w:rPr>
          <w:rFonts w:ascii="Calibri" w:hAnsi="Calibri"/>
        </w:rPr>
        <w:t xml:space="preserve"> a narrowly crafted testamentary power of appointment. Like over 99 percent of the population, his wife, mother and father-in-law have smaller estates than their available applicable exclusion amount.</w:t>
      </w:r>
      <w:r w:rsidR="00C962E9" w:rsidRPr="00C962E9">
        <w:rPr>
          <w:rFonts w:ascii="Calibri" w:hAnsi="Calibri"/>
          <w:vertAlign w:val="superscript"/>
        </w:rPr>
        <w:footnoteReference w:id="245"/>
      </w:r>
      <w:r w:rsidR="00C962E9" w:rsidRPr="00C962E9">
        <w:rPr>
          <w:rFonts w:ascii="Calibri" w:hAnsi="Calibri"/>
        </w:rPr>
        <w:t xml:space="preserve"> </w:t>
      </w:r>
    </w:p>
    <w:p w14:paraId="56F0AD5E" w14:textId="77777777" w:rsidR="007B7F37" w:rsidRDefault="00ED5B85"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When one of them dies, the building will be included in the decedent’s gross estate under </w:t>
      </w:r>
      <w:r>
        <w:rPr>
          <w:rFonts w:ascii="Calibri" w:hAnsi="Calibri"/>
        </w:rPr>
        <w:t>IRC §</w:t>
      </w:r>
      <w:r w:rsidR="00C962E9" w:rsidRPr="00C962E9">
        <w:rPr>
          <w:rFonts w:ascii="Calibri" w:hAnsi="Calibri"/>
        </w:rPr>
        <w:t xml:space="preserve">2041 and receive a new basis stepped up to the fair market value of the property pursuant to </w:t>
      </w:r>
      <w:r>
        <w:rPr>
          <w:rFonts w:ascii="Calibri" w:hAnsi="Calibri"/>
        </w:rPr>
        <w:t>§</w:t>
      </w:r>
      <w:r w:rsidR="00C962E9" w:rsidRPr="00C962E9">
        <w:rPr>
          <w:rFonts w:ascii="Calibri" w:hAnsi="Calibri"/>
        </w:rPr>
        <w:t>1014</w:t>
      </w:r>
      <w:r>
        <w:rPr>
          <w:rFonts w:ascii="Calibri" w:hAnsi="Calibri"/>
        </w:rPr>
        <w:t xml:space="preserve"> (provided one year has passed and §1014(e) would not otherwise apply)</w:t>
      </w:r>
      <w:r w:rsidR="00C962E9" w:rsidRPr="00C962E9">
        <w:rPr>
          <w:rFonts w:ascii="Calibri" w:hAnsi="Calibri"/>
        </w:rPr>
        <w:t xml:space="preserve">. </w:t>
      </w:r>
      <w:r w:rsidR="00FA7664">
        <w:rPr>
          <w:rFonts w:ascii="Calibri" w:hAnsi="Calibri"/>
        </w:rPr>
        <w:t xml:space="preserve"> </w:t>
      </w:r>
      <w:r w:rsidR="00C962E9" w:rsidRPr="00C962E9">
        <w:rPr>
          <w:rFonts w:ascii="Calibri" w:hAnsi="Calibri"/>
        </w:rPr>
        <w:t xml:space="preserve">Let’s say its value increases to $1.1 million by that time (if no capital improvements are made, the basis may reduce even further if it is depreciable). If the appointive trust continues as a grantor trust as to John or Jane, or appoints to either of them directly, </w:t>
      </w:r>
      <w:r w:rsidR="00C962E9" w:rsidRPr="00C962E9">
        <w:rPr>
          <w:rFonts w:ascii="Calibri" w:hAnsi="Calibri"/>
          <w:i/>
        </w:rPr>
        <w:t>they can now depreciate the building with the new $1.1 million fair market value basis</w:t>
      </w:r>
      <w:r w:rsidR="00C962E9" w:rsidRPr="00C962E9">
        <w:rPr>
          <w:rFonts w:ascii="Calibri" w:hAnsi="Calibri"/>
        </w:rPr>
        <w:t>.</w:t>
      </w:r>
      <w:r w:rsidR="007B7F37" w:rsidRPr="007B7F37">
        <w:rPr>
          <w:rFonts w:ascii="Calibri" w:hAnsi="Calibri"/>
        </w:rPr>
        <w:t xml:space="preserve"> </w:t>
      </w:r>
    </w:p>
    <w:p w14:paraId="6A37D3DA" w14:textId="77777777" w:rsidR="006B1B60" w:rsidRDefault="007B7F37" w:rsidP="00C962E9">
      <w:pPr>
        <w:tabs>
          <w:tab w:val="left" w:pos="540"/>
        </w:tabs>
        <w:autoSpaceDE w:val="0"/>
        <w:autoSpaceDN w:val="0"/>
        <w:adjustRightInd w:val="0"/>
        <w:spacing w:line="360" w:lineRule="auto"/>
        <w:rPr>
          <w:rFonts w:ascii="Calibri" w:hAnsi="Calibri"/>
        </w:rPr>
      </w:pPr>
      <w:r>
        <w:rPr>
          <w:rFonts w:ascii="Calibri" w:hAnsi="Calibri"/>
        </w:rPr>
        <w:tab/>
      </w:r>
      <w:r w:rsidR="00364C46">
        <w:rPr>
          <w:rFonts w:ascii="Calibri" w:hAnsi="Calibri"/>
        </w:rPr>
        <w:t xml:space="preserve">The </w:t>
      </w:r>
      <w:r w:rsidR="00364C46" w:rsidRPr="00364C46">
        <w:rPr>
          <w:rFonts w:ascii="Calibri" w:hAnsi="Calibri"/>
          <w:b/>
          <w:i/>
        </w:rPr>
        <w:t>Leveraged</w:t>
      </w:r>
      <w:r w:rsidR="00364C46">
        <w:rPr>
          <w:rFonts w:ascii="Calibri" w:hAnsi="Calibri"/>
        </w:rPr>
        <w:t xml:space="preserve"> </w:t>
      </w:r>
      <w:r w:rsidR="00364C46" w:rsidRPr="00830718">
        <w:rPr>
          <w:rFonts w:ascii="Calibri" w:hAnsi="Calibri"/>
          <w:b/>
        </w:rPr>
        <w:t>Upstream Optimal Basis Increase Trust</w:t>
      </w:r>
      <w:r w:rsidR="00364C46">
        <w:rPr>
          <w:rFonts w:ascii="Calibri" w:hAnsi="Calibri"/>
        </w:rPr>
        <w:t xml:space="preserve"> - </w:t>
      </w:r>
      <w:r>
        <w:rPr>
          <w:rFonts w:ascii="Calibri" w:hAnsi="Calibri"/>
        </w:rPr>
        <w:t xml:space="preserve">Let’s examine the </w:t>
      </w:r>
      <w:r w:rsidRPr="004B5CFC">
        <w:rPr>
          <w:rFonts w:ascii="Calibri" w:hAnsi="Calibri"/>
          <w:b/>
          <w:i/>
        </w:rPr>
        <w:t>deductibility of the debt</w:t>
      </w:r>
      <w:r>
        <w:rPr>
          <w:rFonts w:ascii="Calibri" w:hAnsi="Calibri"/>
        </w:rPr>
        <w:t xml:space="preserve"> </w:t>
      </w:r>
      <w:r w:rsidR="00830718">
        <w:rPr>
          <w:rFonts w:ascii="Calibri" w:hAnsi="Calibri"/>
        </w:rPr>
        <w:t xml:space="preserve">and “basis for debt” rules </w:t>
      </w:r>
      <w:r>
        <w:rPr>
          <w:rFonts w:ascii="Calibri" w:hAnsi="Calibri"/>
        </w:rPr>
        <w:t>a bit further</w:t>
      </w:r>
      <w:r w:rsidR="00792E25">
        <w:rPr>
          <w:rFonts w:ascii="Calibri" w:hAnsi="Calibri"/>
        </w:rPr>
        <w:t xml:space="preserve"> – some may think it sounds too good to be true</w:t>
      </w:r>
      <w:r>
        <w:rPr>
          <w:rFonts w:ascii="Calibri" w:hAnsi="Calibri"/>
        </w:rPr>
        <w:t>.  In our example above, whether the debt is deductible may be irrelevant if the power holder has at least $1.1 million of available exclusion coupon to utilize.  But what if we added an extra zero - $11 million of assets</w:t>
      </w:r>
      <w:r w:rsidR="004B5CFC">
        <w:rPr>
          <w:rFonts w:ascii="Calibri" w:hAnsi="Calibri"/>
        </w:rPr>
        <w:t>,</w:t>
      </w:r>
      <w:r>
        <w:rPr>
          <w:rFonts w:ascii="Calibri" w:hAnsi="Calibri"/>
        </w:rPr>
        <w:t xml:space="preserve"> with $9.6 million of debt?  With significant leverage and values </w:t>
      </w:r>
      <w:r w:rsidR="00830718">
        <w:rPr>
          <w:rFonts w:ascii="Calibri" w:hAnsi="Calibri"/>
        </w:rPr>
        <w:t>above</w:t>
      </w:r>
      <w:r>
        <w:rPr>
          <w:rFonts w:ascii="Calibri" w:hAnsi="Calibri"/>
        </w:rPr>
        <w:t xml:space="preserve"> the power holder’s available applicable exclusion amount, the deductibility of the debt becomes crucial to the estate inclusion and step up in basis.  </w:t>
      </w:r>
    </w:p>
    <w:p w14:paraId="7AC730D4" w14:textId="77777777" w:rsidR="007B7F37" w:rsidRPr="004B5CFC" w:rsidRDefault="006B1B60" w:rsidP="00C962E9">
      <w:pPr>
        <w:tabs>
          <w:tab w:val="left" w:pos="540"/>
        </w:tabs>
        <w:autoSpaceDE w:val="0"/>
        <w:autoSpaceDN w:val="0"/>
        <w:adjustRightInd w:val="0"/>
        <w:spacing w:line="360" w:lineRule="auto"/>
        <w:rPr>
          <w:rFonts w:asciiTheme="minorHAnsi" w:hAnsiTheme="minorHAnsi"/>
          <w:sz w:val="32"/>
        </w:rPr>
      </w:pPr>
      <w:r>
        <w:rPr>
          <w:rFonts w:ascii="Calibri" w:hAnsi="Calibri"/>
        </w:rPr>
        <w:lastRenderedPageBreak/>
        <w:tab/>
        <w:t xml:space="preserve">Let’s review the historical tax background and regulations in this area.  </w:t>
      </w:r>
      <w:r w:rsidR="00792E25">
        <w:rPr>
          <w:rFonts w:ascii="Calibri" w:hAnsi="Calibri"/>
        </w:rPr>
        <w:t xml:space="preserve">The granddaddy of income tax basis cases is the U.S. Supreme Court case of </w:t>
      </w:r>
      <w:r w:rsidR="00792E25" w:rsidRPr="00792E25">
        <w:rPr>
          <w:rFonts w:ascii="Calibri" w:hAnsi="Calibri"/>
          <w:i/>
        </w:rPr>
        <w:t>Crane v. Commissioner</w:t>
      </w:r>
      <w:r w:rsidR="00792E25">
        <w:rPr>
          <w:rFonts w:ascii="Calibri" w:hAnsi="Calibri"/>
        </w:rPr>
        <w:t>.</w:t>
      </w:r>
      <w:r w:rsidR="00792E25">
        <w:rPr>
          <w:rStyle w:val="FootnoteReference"/>
          <w:rFonts w:ascii="Calibri" w:hAnsi="Calibri"/>
        </w:rPr>
        <w:footnoteReference w:id="246"/>
      </w:r>
      <w:r w:rsidR="004B5CFC" w:rsidRPr="004B5CFC">
        <w:rPr>
          <w:rFonts w:ascii="Georgia" w:hAnsi="Georgia"/>
          <w:sz w:val="21"/>
          <w:szCs w:val="21"/>
          <w:lang w:val="en"/>
        </w:rPr>
        <w:t xml:space="preserve"> </w:t>
      </w:r>
      <w:r w:rsidR="004B5CFC" w:rsidRPr="004B5CFC">
        <w:rPr>
          <w:rFonts w:asciiTheme="minorHAnsi" w:hAnsiTheme="minorHAnsi"/>
          <w:szCs w:val="21"/>
          <w:lang w:val="en"/>
        </w:rPr>
        <w:t xml:space="preserve">In </w:t>
      </w:r>
      <w:r w:rsidR="004B5CFC" w:rsidRPr="004B5CFC">
        <w:rPr>
          <w:rStyle w:val="Emphasis"/>
          <w:rFonts w:asciiTheme="minorHAnsi" w:hAnsiTheme="minorHAnsi"/>
          <w:szCs w:val="21"/>
          <w:lang w:val="en"/>
        </w:rPr>
        <w:t>Crane</w:t>
      </w:r>
      <w:r w:rsidR="004B5CFC" w:rsidRPr="004B5CFC">
        <w:rPr>
          <w:rFonts w:asciiTheme="minorHAnsi" w:hAnsiTheme="minorHAnsi"/>
          <w:szCs w:val="21"/>
          <w:lang w:val="en"/>
        </w:rPr>
        <w:t xml:space="preserve">, a </w:t>
      </w:r>
      <w:r w:rsidR="004B5CFC">
        <w:rPr>
          <w:rFonts w:asciiTheme="minorHAnsi" w:hAnsiTheme="minorHAnsi"/>
          <w:szCs w:val="21"/>
          <w:lang w:val="en"/>
        </w:rPr>
        <w:t>widow</w:t>
      </w:r>
      <w:r w:rsidR="004B5CFC" w:rsidRPr="004B5CFC">
        <w:rPr>
          <w:rFonts w:asciiTheme="minorHAnsi" w:hAnsiTheme="minorHAnsi"/>
          <w:szCs w:val="21"/>
          <w:lang w:val="en"/>
        </w:rPr>
        <w:t xml:space="preserve"> inherited property encumbered by a nonrecourse liability equal to the </w:t>
      </w:r>
      <w:r w:rsidR="004B5CFC">
        <w:rPr>
          <w:rFonts w:asciiTheme="minorHAnsi" w:hAnsiTheme="minorHAnsi"/>
          <w:szCs w:val="21"/>
          <w:lang w:val="en"/>
        </w:rPr>
        <w:t>value</w:t>
      </w:r>
      <w:r w:rsidR="004B5CFC" w:rsidRPr="004B5CFC">
        <w:rPr>
          <w:rFonts w:asciiTheme="minorHAnsi" w:hAnsiTheme="minorHAnsi"/>
          <w:szCs w:val="21"/>
          <w:lang w:val="en"/>
        </w:rPr>
        <w:t xml:space="preserve"> of the property. The property was sold several years later. In determining the amount of gain realized on the sale by the beneficiary, the court held that the beneficiary’s basis in the property was equal to the appraised value at the time of inheritance</w:t>
      </w:r>
      <w:r w:rsidR="008727D9">
        <w:rPr>
          <w:rFonts w:asciiTheme="minorHAnsi" w:hAnsiTheme="minorHAnsi"/>
          <w:szCs w:val="21"/>
          <w:lang w:val="en"/>
        </w:rPr>
        <w:t xml:space="preserve"> minus subsequent depreciation</w:t>
      </w:r>
      <w:r w:rsidR="004B5CFC">
        <w:rPr>
          <w:rFonts w:asciiTheme="minorHAnsi" w:hAnsiTheme="minorHAnsi"/>
          <w:szCs w:val="21"/>
          <w:lang w:val="en"/>
        </w:rPr>
        <w:t>, but that the amount realized included the buyer’s assumption of the non-recourse debt</w:t>
      </w:r>
      <w:r w:rsidR="004B5CFC" w:rsidRPr="004B5CFC">
        <w:rPr>
          <w:rFonts w:asciiTheme="minorHAnsi" w:hAnsiTheme="minorHAnsi"/>
          <w:szCs w:val="21"/>
          <w:lang w:val="en"/>
        </w:rPr>
        <w:t xml:space="preserve">. </w:t>
      </w:r>
      <w:r w:rsidR="004B5CFC">
        <w:rPr>
          <w:rFonts w:asciiTheme="minorHAnsi" w:hAnsiTheme="minorHAnsi"/>
          <w:szCs w:val="21"/>
          <w:lang w:val="en"/>
        </w:rPr>
        <w:t>Important to our analysis,</w:t>
      </w:r>
      <w:r w:rsidR="004B5CFC" w:rsidRPr="004B5CFC">
        <w:rPr>
          <w:rFonts w:asciiTheme="minorHAnsi" w:hAnsiTheme="minorHAnsi"/>
          <w:szCs w:val="21"/>
          <w:lang w:val="en"/>
        </w:rPr>
        <w:t xml:space="preserve"> the property received a basis step-up on the previous death of </w:t>
      </w:r>
      <w:r w:rsidR="004B5CFC">
        <w:rPr>
          <w:rFonts w:asciiTheme="minorHAnsi" w:hAnsiTheme="minorHAnsi"/>
          <w:szCs w:val="21"/>
          <w:lang w:val="en"/>
        </w:rPr>
        <w:t xml:space="preserve">her husband – not just the equity, </w:t>
      </w:r>
      <w:r w:rsidR="004B5CFC" w:rsidRPr="00F82723">
        <w:rPr>
          <w:rFonts w:asciiTheme="minorHAnsi" w:hAnsiTheme="minorHAnsi"/>
          <w:i/>
          <w:szCs w:val="21"/>
          <w:lang w:val="en"/>
        </w:rPr>
        <w:t>but also the nonrecourse liabilities to which the property was subject at death</w:t>
      </w:r>
      <w:r w:rsidR="004B5CFC" w:rsidRPr="004B5CFC">
        <w:rPr>
          <w:rFonts w:asciiTheme="minorHAnsi" w:hAnsiTheme="minorHAnsi"/>
          <w:szCs w:val="21"/>
          <w:lang w:val="en"/>
        </w:rPr>
        <w:t>.</w:t>
      </w:r>
    </w:p>
    <w:p w14:paraId="610A3E17" w14:textId="77777777" w:rsidR="008727D9" w:rsidRDefault="008727D9" w:rsidP="00C962E9">
      <w:pPr>
        <w:tabs>
          <w:tab w:val="left" w:pos="540"/>
        </w:tabs>
        <w:autoSpaceDE w:val="0"/>
        <w:autoSpaceDN w:val="0"/>
        <w:adjustRightInd w:val="0"/>
        <w:spacing w:line="360" w:lineRule="auto"/>
        <w:rPr>
          <w:rFonts w:ascii="Calibri" w:hAnsi="Calibri"/>
        </w:rPr>
      </w:pPr>
      <w:r>
        <w:rPr>
          <w:rFonts w:ascii="Calibri" w:hAnsi="Calibri"/>
        </w:rPr>
        <w:tab/>
        <w:t xml:space="preserve">Let’s examine </w:t>
      </w:r>
      <w:r w:rsidR="00F82723">
        <w:rPr>
          <w:rFonts w:ascii="Calibri" w:hAnsi="Calibri"/>
        </w:rPr>
        <w:t xml:space="preserve">some of </w:t>
      </w:r>
      <w:r>
        <w:rPr>
          <w:rFonts w:ascii="Calibri" w:hAnsi="Calibri"/>
        </w:rPr>
        <w:t>the tax code and regulations.  IRC §2053 provides that:</w:t>
      </w:r>
    </w:p>
    <w:p w14:paraId="60FCEC7E" w14:textId="77777777" w:rsidR="008727D9" w:rsidRPr="008727D9" w:rsidRDefault="008727D9" w:rsidP="008727D9">
      <w:pPr>
        <w:tabs>
          <w:tab w:val="left" w:pos="540"/>
        </w:tabs>
        <w:autoSpaceDE w:val="0"/>
        <w:autoSpaceDN w:val="0"/>
        <w:adjustRightInd w:val="0"/>
        <w:rPr>
          <w:rFonts w:ascii="Calibri" w:hAnsi="Calibri"/>
          <w:lang w:val="en"/>
        </w:rPr>
      </w:pPr>
      <w:r>
        <w:rPr>
          <w:rFonts w:ascii="Calibri" w:hAnsi="Calibri"/>
        </w:rPr>
        <w:tab/>
      </w:r>
      <w:r w:rsidR="007370D8">
        <w:rPr>
          <w:rFonts w:ascii="Calibri" w:hAnsi="Calibri"/>
        </w:rPr>
        <w:t>“</w:t>
      </w:r>
      <w:r w:rsidRPr="008727D9">
        <w:rPr>
          <w:rFonts w:ascii="Calibri" w:hAnsi="Calibri"/>
          <w:lang w:val="en"/>
        </w:rPr>
        <w:t>Expenses, indebtedness, and taxes</w:t>
      </w:r>
    </w:p>
    <w:p w14:paraId="62098C71" w14:textId="77777777" w:rsidR="008727D9" w:rsidRPr="008727D9" w:rsidRDefault="008727D9" w:rsidP="008727D9">
      <w:pPr>
        <w:tabs>
          <w:tab w:val="left" w:pos="540"/>
        </w:tabs>
        <w:autoSpaceDE w:val="0"/>
        <w:autoSpaceDN w:val="0"/>
        <w:adjustRightInd w:val="0"/>
        <w:ind w:left="540"/>
        <w:rPr>
          <w:rFonts w:ascii="Calibri" w:hAnsi="Calibri"/>
          <w:lang w:val="en"/>
        </w:rPr>
      </w:pPr>
      <w:r w:rsidRPr="008727D9">
        <w:rPr>
          <w:rFonts w:ascii="Calibri" w:hAnsi="Calibri"/>
          <w:bCs/>
          <w:lang w:val="en"/>
        </w:rPr>
        <w:t>(a) General rule</w:t>
      </w:r>
      <w:r w:rsidR="00F82723">
        <w:rPr>
          <w:rFonts w:ascii="Calibri" w:hAnsi="Calibri"/>
          <w:bCs/>
          <w:lang w:val="en"/>
        </w:rPr>
        <w:t>.</w:t>
      </w:r>
      <w:r>
        <w:rPr>
          <w:rFonts w:ascii="Calibri" w:hAnsi="Calibri"/>
          <w:b/>
          <w:bCs/>
          <w:lang w:val="en"/>
        </w:rPr>
        <w:t xml:space="preserve"> </w:t>
      </w:r>
      <w:r w:rsidRPr="008727D9">
        <w:rPr>
          <w:rFonts w:ascii="Calibri" w:hAnsi="Calibri"/>
          <w:lang w:val="en"/>
        </w:rPr>
        <w:t xml:space="preserve">For purposes of the tax imposed by section 2001, the value of the taxable estate shall be determined by deducting from the value of the gross estate such amounts— </w:t>
      </w:r>
    </w:p>
    <w:p w14:paraId="235DAFC2" w14:textId="77777777" w:rsidR="008727D9" w:rsidRPr="008727D9" w:rsidRDefault="008727D9" w:rsidP="008727D9">
      <w:pPr>
        <w:tabs>
          <w:tab w:val="left" w:pos="540"/>
        </w:tabs>
        <w:autoSpaceDE w:val="0"/>
        <w:autoSpaceDN w:val="0"/>
        <w:adjustRightInd w:val="0"/>
        <w:ind w:left="540"/>
        <w:rPr>
          <w:rFonts w:ascii="Calibri" w:hAnsi="Calibri"/>
          <w:lang w:val="en"/>
        </w:rPr>
      </w:pPr>
      <w:r>
        <w:rPr>
          <w:rFonts w:ascii="Calibri" w:hAnsi="Calibri"/>
          <w:b/>
          <w:bCs/>
          <w:lang w:val="en"/>
        </w:rPr>
        <w:t>***</w:t>
      </w:r>
    </w:p>
    <w:p w14:paraId="5C2C5DBF" w14:textId="77777777" w:rsidR="008727D9" w:rsidRDefault="008727D9" w:rsidP="00F82723">
      <w:pPr>
        <w:tabs>
          <w:tab w:val="left" w:pos="540"/>
        </w:tabs>
        <w:autoSpaceDE w:val="0"/>
        <w:autoSpaceDN w:val="0"/>
        <w:adjustRightInd w:val="0"/>
        <w:ind w:left="540"/>
        <w:rPr>
          <w:rFonts w:ascii="Calibri" w:hAnsi="Calibri"/>
          <w:lang w:val="en"/>
        </w:rPr>
      </w:pPr>
      <w:bookmarkStart w:id="4" w:name="a_4"/>
      <w:bookmarkEnd w:id="4"/>
      <w:r w:rsidRPr="008727D9">
        <w:rPr>
          <w:rFonts w:ascii="Calibri" w:hAnsi="Calibri"/>
          <w:b/>
          <w:bCs/>
          <w:lang w:val="en"/>
        </w:rPr>
        <w:t>(4)</w:t>
      </w:r>
      <w:r w:rsidRPr="008727D9">
        <w:rPr>
          <w:rFonts w:ascii="Calibri" w:hAnsi="Calibri"/>
          <w:lang w:val="en"/>
        </w:rPr>
        <w:t xml:space="preserve"> </w:t>
      </w:r>
      <w:r w:rsidRPr="008727D9">
        <w:rPr>
          <w:rFonts w:ascii="Calibri" w:hAnsi="Calibri"/>
          <w:b/>
          <w:i/>
          <w:lang w:val="en"/>
        </w:rPr>
        <w:t>for unpaid mortgages on, or any indebtedness in respect of, property where the value of the decedent’s interest therein, undiminished by such mortgage or indebtedness, is included in the value of the gross estate</w:t>
      </w:r>
      <w:r w:rsidRPr="008727D9">
        <w:rPr>
          <w:rFonts w:ascii="Calibri" w:hAnsi="Calibri"/>
          <w:lang w:val="en"/>
        </w:rPr>
        <w:t>,</w:t>
      </w:r>
      <w:r w:rsidR="00F82723">
        <w:rPr>
          <w:rFonts w:ascii="Calibri" w:hAnsi="Calibri"/>
          <w:lang w:val="en"/>
        </w:rPr>
        <w:t xml:space="preserve"> </w:t>
      </w:r>
      <w:r w:rsidRPr="008727D9">
        <w:rPr>
          <w:rFonts w:ascii="Calibri" w:hAnsi="Calibri"/>
          <w:lang w:val="en"/>
        </w:rPr>
        <w:t>as are allowable by the laws of the jurisdiction, whether within or without the United States, under which the estate is being administered.</w:t>
      </w:r>
      <w:r>
        <w:rPr>
          <w:rFonts w:ascii="Calibri" w:hAnsi="Calibri"/>
          <w:lang w:val="en"/>
        </w:rPr>
        <w:t>”</w:t>
      </w:r>
      <w:r w:rsidR="007370D8">
        <w:rPr>
          <w:rStyle w:val="FootnoteReference"/>
          <w:rFonts w:ascii="Calibri" w:hAnsi="Calibri"/>
          <w:lang w:val="en"/>
        </w:rPr>
        <w:footnoteReference w:id="247"/>
      </w:r>
    </w:p>
    <w:p w14:paraId="25F90175" w14:textId="77777777" w:rsidR="008727D9" w:rsidRPr="008727D9" w:rsidRDefault="008727D9" w:rsidP="008727D9">
      <w:pPr>
        <w:tabs>
          <w:tab w:val="left" w:pos="540"/>
        </w:tabs>
        <w:autoSpaceDE w:val="0"/>
        <w:autoSpaceDN w:val="0"/>
        <w:adjustRightInd w:val="0"/>
        <w:ind w:left="540"/>
        <w:rPr>
          <w:rFonts w:ascii="Calibri" w:hAnsi="Calibri"/>
          <w:lang w:val="en"/>
        </w:rPr>
      </w:pPr>
    </w:p>
    <w:p w14:paraId="5CB9A557" w14:textId="77777777" w:rsidR="008727D9" w:rsidRDefault="007B7F37" w:rsidP="00C962E9">
      <w:pPr>
        <w:tabs>
          <w:tab w:val="left" w:pos="540"/>
        </w:tabs>
        <w:autoSpaceDE w:val="0"/>
        <w:autoSpaceDN w:val="0"/>
        <w:adjustRightInd w:val="0"/>
        <w:spacing w:line="360" w:lineRule="auto"/>
        <w:rPr>
          <w:rFonts w:ascii="Calibri" w:hAnsi="Calibri"/>
        </w:rPr>
      </w:pPr>
      <w:r>
        <w:rPr>
          <w:rFonts w:ascii="Calibri" w:hAnsi="Calibri"/>
        </w:rPr>
        <w:t xml:space="preserve">The </w:t>
      </w:r>
      <w:r w:rsidR="008727D9">
        <w:rPr>
          <w:rFonts w:ascii="Calibri" w:hAnsi="Calibri"/>
        </w:rPr>
        <w:t xml:space="preserve">regulations </w:t>
      </w:r>
      <w:r w:rsidR="00F82723">
        <w:rPr>
          <w:rFonts w:ascii="Calibri" w:hAnsi="Calibri"/>
        </w:rPr>
        <w:t xml:space="preserve">mostly </w:t>
      </w:r>
      <w:r w:rsidR="008727D9">
        <w:rPr>
          <w:rFonts w:ascii="Calibri" w:hAnsi="Calibri"/>
        </w:rPr>
        <w:t>mimic the code section</w:t>
      </w:r>
      <w:r w:rsidR="00F82723">
        <w:rPr>
          <w:rFonts w:ascii="Calibri" w:hAnsi="Calibri"/>
        </w:rPr>
        <w:t>, but add a sentence on nonrecourse debt</w:t>
      </w:r>
      <w:r w:rsidR="008727D9">
        <w:rPr>
          <w:rFonts w:ascii="Calibri" w:hAnsi="Calibri"/>
        </w:rPr>
        <w:t>:</w:t>
      </w:r>
    </w:p>
    <w:p w14:paraId="5908F184" w14:textId="77777777" w:rsidR="00C962E9" w:rsidRPr="00C962E9" w:rsidRDefault="008727D9" w:rsidP="00364C46">
      <w:pPr>
        <w:tabs>
          <w:tab w:val="left" w:pos="540"/>
        </w:tabs>
        <w:autoSpaceDE w:val="0"/>
        <w:autoSpaceDN w:val="0"/>
        <w:adjustRightInd w:val="0"/>
        <w:ind w:left="540"/>
        <w:rPr>
          <w:rFonts w:ascii="Calibri" w:hAnsi="Calibri"/>
        </w:rPr>
      </w:pPr>
      <w:r w:rsidRPr="008727D9">
        <w:rPr>
          <w:rFonts w:ascii="Calibri" w:hAnsi="Calibri"/>
        </w:rPr>
        <w:t>Treas. Reg. §20.2053-7 Deduction for unpaid mortgages. “</w:t>
      </w:r>
      <w:r w:rsidRPr="008727D9">
        <w:rPr>
          <w:rFonts w:ascii="Calibri" w:hAnsi="Calibri"/>
          <w:b/>
          <w:i/>
        </w:rPr>
        <w:t>A deduction is allowed</w:t>
      </w:r>
      <w:r w:rsidRPr="008727D9">
        <w:rPr>
          <w:rFonts w:ascii="Calibri" w:hAnsi="Calibri"/>
        </w:rPr>
        <w:t xml:space="preserve"> from a decedent's gross estate of the </w:t>
      </w:r>
      <w:r w:rsidRPr="008727D9">
        <w:rPr>
          <w:rFonts w:ascii="Calibri" w:hAnsi="Calibri"/>
          <w:i/>
        </w:rPr>
        <w:t>full unpaid amount of a mortgage upon</w:t>
      </w:r>
      <w:r w:rsidRPr="008727D9">
        <w:rPr>
          <w:rFonts w:ascii="Calibri" w:hAnsi="Calibri"/>
        </w:rPr>
        <w:t xml:space="preserve">, </w:t>
      </w:r>
      <w:r w:rsidRPr="008727D9">
        <w:rPr>
          <w:rFonts w:ascii="Calibri" w:hAnsi="Calibri"/>
          <w:i/>
        </w:rPr>
        <w:t>or of any other indebtedness in respect of, any property</w:t>
      </w:r>
      <w:r w:rsidRPr="008727D9">
        <w:rPr>
          <w:rFonts w:ascii="Calibri" w:hAnsi="Calibri"/>
        </w:rPr>
        <w:t xml:space="preserve"> of the gross estate, including interest which had accrued thereon to the date of death, </w:t>
      </w:r>
      <w:r w:rsidRPr="008727D9">
        <w:rPr>
          <w:rFonts w:ascii="Calibri" w:hAnsi="Calibri"/>
          <w:b/>
          <w:i/>
        </w:rPr>
        <w:t>provided the value of the property, undiminished by the amount of the mortgage or indebtedness, is included in the value of the gross estate</w:t>
      </w:r>
      <w:r w:rsidR="007B7F37">
        <w:rPr>
          <w:rFonts w:ascii="Calibri" w:hAnsi="Calibri"/>
        </w:rPr>
        <w:t>.</w:t>
      </w:r>
      <w:r w:rsidR="00364C46" w:rsidRPr="00364C46">
        <w:rPr>
          <w:rFonts w:ascii="TimesNewRoman" w:hAnsi="TimesNewRoman" w:cs="TimesNewRoman"/>
        </w:rPr>
        <w:t xml:space="preserve"> </w:t>
      </w:r>
      <w:r w:rsidR="00364C46" w:rsidRPr="00364C46">
        <w:rPr>
          <w:rFonts w:ascii="Calibri" w:hAnsi="Calibri"/>
        </w:rPr>
        <w:t>But if the decedent’s estate is not so</w:t>
      </w:r>
      <w:r w:rsidR="00364C46">
        <w:rPr>
          <w:rFonts w:ascii="Calibri" w:hAnsi="Calibri"/>
        </w:rPr>
        <w:t xml:space="preserve"> </w:t>
      </w:r>
      <w:r w:rsidR="00364C46" w:rsidRPr="00364C46">
        <w:rPr>
          <w:rFonts w:ascii="Calibri" w:hAnsi="Calibri"/>
        </w:rPr>
        <w:t>liable, only the value of the equity of redemption (or the value of</w:t>
      </w:r>
      <w:r w:rsidR="00364C46">
        <w:rPr>
          <w:rFonts w:ascii="Calibri" w:hAnsi="Calibri"/>
        </w:rPr>
        <w:t xml:space="preserve"> </w:t>
      </w:r>
      <w:r w:rsidR="00364C46" w:rsidRPr="00364C46">
        <w:rPr>
          <w:rFonts w:ascii="Calibri" w:hAnsi="Calibri"/>
        </w:rPr>
        <w:t>the property, less the mortgage or indebtedness) need be retuned as</w:t>
      </w:r>
      <w:r w:rsidR="00364C46">
        <w:rPr>
          <w:rFonts w:ascii="Calibri" w:hAnsi="Calibri"/>
        </w:rPr>
        <w:t xml:space="preserve"> </w:t>
      </w:r>
      <w:r w:rsidR="00364C46" w:rsidRPr="00364C46">
        <w:rPr>
          <w:rFonts w:ascii="Calibri" w:hAnsi="Calibri"/>
        </w:rPr>
        <w:t>part of the value of the gross estate.</w:t>
      </w:r>
      <w:r w:rsidR="007B7F37">
        <w:rPr>
          <w:rStyle w:val="FootnoteReference"/>
          <w:rFonts w:ascii="Calibri" w:hAnsi="Calibri"/>
        </w:rPr>
        <w:footnoteReference w:id="248"/>
      </w:r>
      <w:r w:rsidR="007B7F37">
        <w:rPr>
          <w:rFonts w:ascii="Calibri" w:hAnsi="Calibri"/>
        </w:rPr>
        <w:t xml:space="preserve">  </w:t>
      </w:r>
    </w:p>
    <w:p w14:paraId="206201F6" w14:textId="77777777" w:rsidR="007370D8" w:rsidRDefault="00ED5B85" w:rsidP="00C962E9">
      <w:pPr>
        <w:tabs>
          <w:tab w:val="left" w:pos="540"/>
        </w:tabs>
        <w:autoSpaceDE w:val="0"/>
        <w:autoSpaceDN w:val="0"/>
        <w:adjustRightInd w:val="0"/>
        <w:spacing w:line="360" w:lineRule="auto"/>
        <w:rPr>
          <w:rFonts w:ascii="Calibri" w:hAnsi="Calibri"/>
        </w:rPr>
      </w:pPr>
      <w:r>
        <w:rPr>
          <w:rFonts w:ascii="Calibri" w:hAnsi="Calibri"/>
        </w:rPr>
        <w:tab/>
      </w:r>
    </w:p>
    <w:p w14:paraId="6AF2007F" w14:textId="77777777" w:rsidR="007370D8" w:rsidRDefault="007370D8" w:rsidP="00C962E9">
      <w:pPr>
        <w:tabs>
          <w:tab w:val="left" w:pos="540"/>
        </w:tabs>
        <w:autoSpaceDE w:val="0"/>
        <w:autoSpaceDN w:val="0"/>
        <w:adjustRightInd w:val="0"/>
        <w:spacing w:line="360" w:lineRule="auto"/>
        <w:rPr>
          <w:rFonts w:ascii="Calibri" w:hAnsi="Calibri"/>
        </w:rPr>
      </w:pPr>
      <w:r>
        <w:rPr>
          <w:rFonts w:ascii="Calibri" w:hAnsi="Calibri"/>
        </w:rPr>
        <w:lastRenderedPageBreak/>
        <w:tab/>
        <w:t xml:space="preserve">Thus, the central question in our hypothetical becomes – when John sold the property to the irrevocable grantor trust (upstream optimal basis increase trust) for the down payment and a note, </w:t>
      </w:r>
      <w:r w:rsidRPr="00EF649C">
        <w:rPr>
          <w:rFonts w:ascii="Calibri" w:hAnsi="Calibri"/>
          <w:i/>
        </w:rPr>
        <w:t>did he retain a mortgage, indebtedness, security interest or lien on the property to the extent of the debt, or does the trust simply owe the money and there is no security interest in the property</w:t>
      </w:r>
      <w:r>
        <w:rPr>
          <w:rFonts w:ascii="Calibri" w:hAnsi="Calibri"/>
        </w:rPr>
        <w:t xml:space="preserve">?  In the former instance, §2053 would </w:t>
      </w:r>
      <w:r w:rsidR="004B517D">
        <w:rPr>
          <w:rFonts w:ascii="Calibri" w:hAnsi="Calibri"/>
        </w:rPr>
        <w:t>permit the deduction</w:t>
      </w:r>
      <w:r>
        <w:rPr>
          <w:rFonts w:ascii="Calibri" w:hAnsi="Calibri"/>
        </w:rPr>
        <w:t xml:space="preserve"> upon inclusion of the property in the power holder’s estate, since the debt is tied to the property.  In the latter instance, it would not.  </w:t>
      </w:r>
      <w:r w:rsidR="007D7BB0">
        <w:rPr>
          <w:rFonts w:ascii="Calibri" w:hAnsi="Calibri"/>
        </w:rPr>
        <w:t>A general, non-secured debt of the trust would not enable a deduction for the power holder’s estate, unless it could be deemed a claim against the power holder’s estate, which may depend on state law</w:t>
      </w:r>
      <w:r w:rsidR="00EF649C">
        <w:rPr>
          <w:rFonts w:ascii="Calibri" w:hAnsi="Calibri"/>
        </w:rPr>
        <w:t>, as discussed in Part III</w:t>
      </w:r>
      <w:r w:rsidR="007D7BB0">
        <w:rPr>
          <w:rFonts w:ascii="Calibri" w:hAnsi="Calibri"/>
        </w:rPr>
        <w:t xml:space="preserve">.  </w:t>
      </w:r>
      <w:r w:rsidR="004B517D">
        <w:rPr>
          <w:rFonts w:ascii="Calibri" w:hAnsi="Calibri"/>
        </w:rPr>
        <w:t xml:space="preserve">The last sentence of Treasury Regulation §20.2053-7 quoted above tells us to report the value of the </w:t>
      </w:r>
      <w:r w:rsidR="00C51FA5">
        <w:rPr>
          <w:rFonts w:ascii="Calibri" w:hAnsi="Calibri"/>
        </w:rPr>
        <w:t xml:space="preserve">net </w:t>
      </w:r>
      <w:r w:rsidR="004B517D" w:rsidRPr="004B517D">
        <w:rPr>
          <w:rFonts w:ascii="Calibri" w:hAnsi="Calibri"/>
          <w:i/>
        </w:rPr>
        <w:t>equity</w:t>
      </w:r>
      <w:r w:rsidR="004B517D">
        <w:rPr>
          <w:rFonts w:ascii="Calibri" w:hAnsi="Calibri"/>
        </w:rPr>
        <w:t xml:space="preserve"> on the Form 706 </w:t>
      </w:r>
      <w:r w:rsidR="00DA1611">
        <w:rPr>
          <w:rFonts w:ascii="Calibri" w:hAnsi="Calibri"/>
        </w:rPr>
        <w:t xml:space="preserve">(not debt listed on Schedule K) </w:t>
      </w:r>
      <w:r w:rsidR="004B517D">
        <w:rPr>
          <w:rFonts w:ascii="Calibri" w:hAnsi="Calibri"/>
        </w:rPr>
        <w:t xml:space="preserve">when dealing with non-recourse debt.  </w:t>
      </w:r>
      <w:r w:rsidR="00601A80">
        <w:rPr>
          <w:rFonts w:ascii="Calibri" w:hAnsi="Calibri"/>
        </w:rPr>
        <w:t xml:space="preserve">Does the decedent power holder (John’s mother or father in law in our hypothetical) owe on the debt as a co-signer or guarantor on the note with the trustee?  This </w:t>
      </w:r>
      <w:r w:rsidR="006027CB">
        <w:rPr>
          <w:rFonts w:ascii="Calibri" w:hAnsi="Calibri"/>
        </w:rPr>
        <w:t>would be</w:t>
      </w:r>
      <w:r w:rsidR="00601A80">
        <w:rPr>
          <w:rFonts w:ascii="Calibri" w:hAnsi="Calibri"/>
        </w:rPr>
        <w:t xml:space="preserve"> a “belt and suspenders” approac</w:t>
      </w:r>
      <w:r w:rsidR="006027CB">
        <w:rPr>
          <w:rFonts w:ascii="Calibri" w:hAnsi="Calibri"/>
        </w:rPr>
        <w:t xml:space="preserve">h, but </w:t>
      </w:r>
      <w:r w:rsidR="00F82723">
        <w:rPr>
          <w:rFonts w:ascii="Calibri" w:hAnsi="Calibri"/>
        </w:rPr>
        <w:t>is probably undesired by the family and p</w:t>
      </w:r>
      <w:r w:rsidR="006027CB">
        <w:rPr>
          <w:rFonts w:ascii="Calibri" w:hAnsi="Calibri"/>
        </w:rPr>
        <w:t xml:space="preserve">robably unnecessary – most readers have encountered many cases where </w:t>
      </w:r>
      <w:r w:rsidR="00601A80">
        <w:rPr>
          <w:rFonts w:ascii="Calibri" w:hAnsi="Calibri"/>
        </w:rPr>
        <w:t xml:space="preserve">the typical husband and wife will get a basis step up </w:t>
      </w:r>
      <w:r w:rsidR="006027CB">
        <w:rPr>
          <w:rFonts w:ascii="Calibri" w:hAnsi="Calibri"/>
        </w:rPr>
        <w:t>on the</w:t>
      </w:r>
      <w:r w:rsidR="009F2361">
        <w:rPr>
          <w:rFonts w:ascii="Calibri" w:hAnsi="Calibri"/>
        </w:rPr>
        <w:t xml:space="preserve"> decedent’s</w:t>
      </w:r>
      <w:r w:rsidR="006027CB">
        <w:rPr>
          <w:rFonts w:ascii="Calibri" w:hAnsi="Calibri"/>
        </w:rPr>
        <w:t xml:space="preserve"> share (or in community property states, the entire share) </w:t>
      </w:r>
      <w:r w:rsidR="00601A80">
        <w:rPr>
          <w:rFonts w:ascii="Calibri" w:hAnsi="Calibri"/>
        </w:rPr>
        <w:t>regardless of whether only one sp</w:t>
      </w:r>
      <w:r w:rsidR="006027CB">
        <w:rPr>
          <w:rFonts w:ascii="Calibri" w:hAnsi="Calibri"/>
        </w:rPr>
        <w:t>ouse signed the mortgage.</w:t>
      </w:r>
    </w:p>
    <w:p w14:paraId="610A08F0" w14:textId="77777777" w:rsidR="00DA1611" w:rsidRDefault="00DA1611" w:rsidP="00C962E9">
      <w:pPr>
        <w:tabs>
          <w:tab w:val="left" w:pos="540"/>
        </w:tabs>
        <w:autoSpaceDE w:val="0"/>
        <w:autoSpaceDN w:val="0"/>
        <w:adjustRightInd w:val="0"/>
        <w:spacing w:line="360" w:lineRule="auto"/>
        <w:rPr>
          <w:rFonts w:ascii="Calibri" w:hAnsi="Calibri"/>
        </w:rPr>
      </w:pPr>
      <w:r>
        <w:rPr>
          <w:rFonts w:ascii="Calibri" w:hAnsi="Calibri"/>
        </w:rPr>
        <w:tab/>
        <w:t xml:space="preserve">So, for non-recourse debt, should we follow </w:t>
      </w:r>
      <w:r w:rsidRPr="00DA1611">
        <w:rPr>
          <w:rFonts w:ascii="Calibri" w:hAnsi="Calibri"/>
          <w:i/>
        </w:rPr>
        <w:t>Crane</w:t>
      </w:r>
      <w:r>
        <w:rPr>
          <w:rFonts w:ascii="Calibri" w:hAnsi="Calibri"/>
        </w:rPr>
        <w:t xml:space="preserve">, and assume any inheritor is going to get basis, despite a lower value reported (or reportable) on a power holder’s Form 706?  Prudence </w:t>
      </w:r>
      <w:r w:rsidRPr="00DA1611">
        <w:rPr>
          <w:rFonts w:ascii="Calibri" w:hAnsi="Calibri"/>
        </w:rPr>
        <w:t>dictate</w:t>
      </w:r>
      <w:r w:rsidR="007E6BC2">
        <w:rPr>
          <w:rFonts w:ascii="Calibri" w:hAnsi="Calibri"/>
        </w:rPr>
        <w:t>s</w:t>
      </w:r>
      <w:r w:rsidRPr="00DA1611">
        <w:rPr>
          <w:rFonts w:ascii="Calibri" w:hAnsi="Calibri"/>
        </w:rPr>
        <w:t xml:space="preserve"> filing the lien</w:t>
      </w:r>
      <w:r w:rsidR="002754E4">
        <w:rPr>
          <w:rFonts w:ascii="Calibri" w:hAnsi="Calibri"/>
        </w:rPr>
        <w:t xml:space="preserve"> (which might help with “reality of sale” analysis</w:t>
      </w:r>
      <w:r w:rsidR="007E6BC2">
        <w:rPr>
          <w:rFonts w:ascii="Calibri" w:hAnsi="Calibri"/>
        </w:rPr>
        <w:t>, since ordinarily unrelated parties secure large loans</w:t>
      </w:r>
      <w:r w:rsidR="002754E4">
        <w:rPr>
          <w:rFonts w:ascii="Calibri" w:hAnsi="Calibri"/>
        </w:rPr>
        <w:t>)</w:t>
      </w:r>
      <w:r w:rsidRPr="00DA1611">
        <w:rPr>
          <w:rFonts w:ascii="Calibri" w:hAnsi="Calibri"/>
        </w:rPr>
        <w:t>.</w:t>
      </w:r>
      <w:r w:rsidR="002754E4" w:rsidRPr="002754E4">
        <w:rPr>
          <w:rFonts w:ascii="Calibri" w:hAnsi="Calibri"/>
        </w:rPr>
        <w:t xml:space="preserve"> </w:t>
      </w:r>
      <w:r w:rsidR="00D60AB9">
        <w:rPr>
          <w:rFonts w:ascii="Calibri" w:hAnsi="Calibri"/>
        </w:rPr>
        <w:t>Moreover</w:t>
      </w:r>
      <w:r w:rsidR="002754E4">
        <w:rPr>
          <w:rFonts w:ascii="Calibri" w:hAnsi="Calibri"/>
        </w:rPr>
        <w:t>, new basis regulations give a boost</w:t>
      </w:r>
      <w:r w:rsidR="00D60AB9">
        <w:rPr>
          <w:rFonts w:ascii="Calibri" w:hAnsi="Calibri"/>
        </w:rPr>
        <w:t xml:space="preserve"> and confirmation</w:t>
      </w:r>
      <w:r w:rsidR="002754E4">
        <w:rPr>
          <w:rFonts w:ascii="Calibri" w:hAnsi="Calibri"/>
        </w:rPr>
        <w:t xml:space="preserve"> to the argument that</w:t>
      </w:r>
      <w:r w:rsidR="00D60AB9">
        <w:rPr>
          <w:rFonts w:ascii="Calibri" w:hAnsi="Calibri"/>
        </w:rPr>
        <w:t xml:space="preserve"> the tax basis rules enunciated in</w:t>
      </w:r>
      <w:r w:rsidR="002754E4">
        <w:rPr>
          <w:rFonts w:ascii="Calibri" w:hAnsi="Calibri"/>
        </w:rPr>
        <w:t xml:space="preserve"> </w:t>
      </w:r>
      <w:r w:rsidR="002754E4" w:rsidRPr="002754E4">
        <w:rPr>
          <w:rFonts w:ascii="Calibri" w:hAnsi="Calibri"/>
          <w:i/>
        </w:rPr>
        <w:t>Crane</w:t>
      </w:r>
      <w:r w:rsidR="002754E4">
        <w:rPr>
          <w:rFonts w:ascii="Calibri" w:hAnsi="Calibri"/>
        </w:rPr>
        <w:t xml:space="preserve"> s</w:t>
      </w:r>
      <w:r w:rsidR="00D60AB9">
        <w:rPr>
          <w:rFonts w:ascii="Calibri" w:hAnsi="Calibri"/>
        </w:rPr>
        <w:t>till give</w:t>
      </w:r>
      <w:r w:rsidR="002754E4">
        <w:rPr>
          <w:rFonts w:ascii="Calibri" w:hAnsi="Calibri"/>
        </w:rPr>
        <w:t xml:space="preserve"> basis for non-recourse debt</w:t>
      </w:r>
      <w:r w:rsidR="00D60AB9">
        <w:rPr>
          <w:rFonts w:ascii="Calibri" w:hAnsi="Calibri"/>
        </w:rPr>
        <w:t xml:space="preserve"> following property</w:t>
      </w:r>
      <w:r w:rsidR="002754E4">
        <w:rPr>
          <w:rFonts w:ascii="Calibri" w:hAnsi="Calibri"/>
        </w:rPr>
        <w:t xml:space="preserve"> to any inheritor, regardless of §2053 or how it would be reported on a Form 706, as discussed below.</w:t>
      </w:r>
    </w:p>
    <w:p w14:paraId="5905C251" w14:textId="77777777" w:rsidR="00601A80" w:rsidRDefault="00601A80" w:rsidP="00C962E9">
      <w:pPr>
        <w:tabs>
          <w:tab w:val="left" w:pos="540"/>
        </w:tabs>
        <w:autoSpaceDE w:val="0"/>
        <w:autoSpaceDN w:val="0"/>
        <w:adjustRightInd w:val="0"/>
        <w:spacing w:line="360" w:lineRule="auto"/>
        <w:rPr>
          <w:rFonts w:ascii="Calibri" w:hAnsi="Calibri"/>
        </w:rPr>
      </w:pPr>
      <w:r>
        <w:rPr>
          <w:rFonts w:ascii="Calibri" w:hAnsi="Calibri"/>
        </w:rPr>
        <w:tab/>
        <w:t xml:space="preserve">If there is not land involved, </w:t>
      </w:r>
      <w:r w:rsidR="00B22338">
        <w:rPr>
          <w:rFonts w:ascii="Calibri" w:hAnsi="Calibri"/>
        </w:rPr>
        <w:t xml:space="preserve">but intangibles, </w:t>
      </w:r>
      <w:r>
        <w:rPr>
          <w:rFonts w:ascii="Calibri" w:hAnsi="Calibri"/>
        </w:rPr>
        <w:t>a UCC filing should accomplish the same result</w:t>
      </w:r>
      <w:r w:rsidR="002754E4">
        <w:rPr>
          <w:rFonts w:ascii="Calibri" w:hAnsi="Calibri"/>
        </w:rPr>
        <w:t xml:space="preserve"> as a recorded mortgage</w:t>
      </w:r>
      <w:r>
        <w:rPr>
          <w:rFonts w:ascii="Calibri" w:hAnsi="Calibri"/>
        </w:rPr>
        <w:t>.</w:t>
      </w:r>
      <w:r w:rsidR="00B22338">
        <w:rPr>
          <w:rStyle w:val="FootnoteReference"/>
          <w:rFonts w:ascii="Calibri" w:hAnsi="Calibri"/>
        </w:rPr>
        <w:footnoteReference w:id="249"/>
      </w:r>
      <w:r w:rsidR="004B517D">
        <w:rPr>
          <w:rFonts w:ascii="Calibri" w:hAnsi="Calibri"/>
        </w:rPr>
        <w:t xml:space="preserve">  </w:t>
      </w:r>
      <w:r w:rsidR="00830718">
        <w:rPr>
          <w:rFonts w:ascii="Calibri" w:hAnsi="Calibri"/>
        </w:rPr>
        <w:t xml:space="preserve">After all, most substantial property and gifting involve </w:t>
      </w:r>
      <w:r w:rsidR="00F82723">
        <w:rPr>
          <w:rFonts w:ascii="Calibri" w:hAnsi="Calibri"/>
        </w:rPr>
        <w:lastRenderedPageBreak/>
        <w:t>closely held, usually pass-through, entities, with LLCs becoming the dominant choice</w:t>
      </w:r>
      <w:r w:rsidR="00830718">
        <w:rPr>
          <w:rFonts w:ascii="Calibri" w:hAnsi="Calibri"/>
        </w:rPr>
        <w:t>.  Importantly</w:t>
      </w:r>
      <w:r w:rsidR="004B517D">
        <w:rPr>
          <w:rFonts w:ascii="Calibri" w:hAnsi="Calibri"/>
        </w:rPr>
        <w:t xml:space="preserve">, </w:t>
      </w:r>
      <w:r w:rsidR="00830718">
        <w:rPr>
          <w:rFonts w:ascii="Calibri" w:hAnsi="Calibri"/>
        </w:rPr>
        <w:t xml:space="preserve">tax </w:t>
      </w:r>
      <w:r w:rsidR="004B517D">
        <w:rPr>
          <w:rFonts w:ascii="Calibri" w:hAnsi="Calibri"/>
        </w:rPr>
        <w:t>partnerships (most LPs, LLCs) have their own separate treasury regulation governing basis upon death</w:t>
      </w:r>
      <w:r w:rsidR="00830718">
        <w:rPr>
          <w:rFonts w:ascii="Calibri" w:hAnsi="Calibri"/>
        </w:rPr>
        <w:t>, which is quite favorable in our hypothetical</w:t>
      </w:r>
      <w:r w:rsidR="004B517D">
        <w:rPr>
          <w:rFonts w:ascii="Calibri" w:hAnsi="Calibri"/>
        </w:rPr>
        <w:t>:</w:t>
      </w:r>
    </w:p>
    <w:p w14:paraId="0E4148D1" w14:textId="77777777" w:rsidR="004B517D" w:rsidRPr="004B517D" w:rsidRDefault="004B517D" w:rsidP="004B517D">
      <w:pPr>
        <w:tabs>
          <w:tab w:val="left" w:pos="540"/>
        </w:tabs>
        <w:autoSpaceDE w:val="0"/>
        <w:autoSpaceDN w:val="0"/>
        <w:adjustRightInd w:val="0"/>
        <w:ind w:left="540"/>
        <w:rPr>
          <w:rFonts w:ascii="Calibri" w:hAnsi="Calibri"/>
        </w:rPr>
      </w:pPr>
      <w:r w:rsidRPr="004B517D">
        <w:rPr>
          <w:rFonts w:ascii="Calibri" w:hAnsi="Calibri"/>
        </w:rPr>
        <w:t>§ 1.742-1 Basis of transferee partner's interest.</w:t>
      </w:r>
    </w:p>
    <w:p w14:paraId="799329E0" w14:textId="77777777" w:rsidR="004B517D" w:rsidRPr="004B517D" w:rsidRDefault="004B517D" w:rsidP="004B517D">
      <w:pPr>
        <w:tabs>
          <w:tab w:val="left" w:pos="540"/>
        </w:tabs>
        <w:autoSpaceDE w:val="0"/>
        <w:autoSpaceDN w:val="0"/>
        <w:adjustRightInd w:val="0"/>
        <w:ind w:left="540"/>
        <w:rPr>
          <w:rFonts w:ascii="Calibri" w:hAnsi="Calibri"/>
        </w:rPr>
      </w:pPr>
      <w:r w:rsidRPr="004B517D">
        <w:rPr>
          <w:rFonts w:ascii="Calibri" w:hAnsi="Calibri"/>
        </w:rPr>
        <w:t xml:space="preserve">The basis to a transferee partner of an interest in a partnership shall be determined under the general basis rules for property provided by part II (section 1011 and following), subchapter O, chapter 1 of the Code. Thus, the basis of a purchased interest will be its cost. </w:t>
      </w:r>
      <w:r w:rsidRPr="004B517D">
        <w:rPr>
          <w:rFonts w:ascii="Calibri" w:hAnsi="Calibri"/>
          <w:b/>
        </w:rPr>
        <w:t>The basis of a partnership interest acquired from a decedent is the fair market value of the interest at the date of his death or at the alternate valuation date, increased by his estate's or other successor's share of partnership liabilities, if any, on that date, and reduced to the extent that such value is attributable to items constituting income in respect of a decedent</w:t>
      </w:r>
      <w:r w:rsidRPr="004B517D">
        <w:rPr>
          <w:rFonts w:ascii="Calibri" w:hAnsi="Calibri"/>
        </w:rPr>
        <w:t xml:space="preserve"> (see section 753 and paragraph (c)(3)(v) of § </w:t>
      </w:r>
      <w:r w:rsidRPr="00DB2281">
        <w:rPr>
          <w:rFonts w:ascii="Calibri" w:hAnsi="Calibri"/>
        </w:rPr>
        <w:t>1.706-1</w:t>
      </w:r>
      <w:r w:rsidRPr="004B517D">
        <w:rPr>
          <w:rFonts w:ascii="Calibri" w:hAnsi="Calibri"/>
        </w:rPr>
        <w:t> and paragraph (b) of § </w:t>
      </w:r>
      <w:r w:rsidRPr="00DB2281">
        <w:rPr>
          <w:rFonts w:ascii="Calibri" w:hAnsi="Calibri"/>
        </w:rPr>
        <w:t>1.753-1</w:t>
      </w:r>
      <w:r w:rsidRPr="004B517D">
        <w:rPr>
          <w:rFonts w:ascii="Calibri" w:hAnsi="Calibri"/>
        </w:rPr>
        <w:t>) under section 691. See section 1014(c). For basis of contributing partner's interest, see section 722. The basis so determined is then subject to the adjustments provided in section 705.</w:t>
      </w:r>
      <w:r w:rsidR="00C51FA5">
        <w:rPr>
          <w:rStyle w:val="FootnoteReference"/>
          <w:rFonts w:ascii="Calibri" w:hAnsi="Calibri"/>
        </w:rPr>
        <w:footnoteReference w:id="250"/>
      </w:r>
    </w:p>
    <w:p w14:paraId="16D3CCF6" w14:textId="77777777" w:rsidR="004B517D" w:rsidRDefault="004B517D" w:rsidP="00C962E9">
      <w:pPr>
        <w:tabs>
          <w:tab w:val="left" w:pos="540"/>
        </w:tabs>
        <w:autoSpaceDE w:val="0"/>
        <w:autoSpaceDN w:val="0"/>
        <w:adjustRightInd w:val="0"/>
        <w:spacing w:line="360" w:lineRule="auto"/>
        <w:rPr>
          <w:rFonts w:ascii="Calibri" w:hAnsi="Calibri"/>
        </w:rPr>
      </w:pPr>
    </w:p>
    <w:p w14:paraId="566ABCF4" w14:textId="77777777" w:rsidR="00830718" w:rsidRDefault="00830718" w:rsidP="00C962E9">
      <w:pPr>
        <w:tabs>
          <w:tab w:val="left" w:pos="540"/>
        </w:tabs>
        <w:autoSpaceDE w:val="0"/>
        <w:autoSpaceDN w:val="0"/>
        <w:adjustRightInd w:val="0"/>
        <w:spacing w:line="360" w:lineRule="auto"/>
        <w:rPr>
          <w:rFonts w:ascii="Calibri" w:hAnsi="Calibri"/>
        </w:rPr>
      </w:pPr>
      <w:r>
        <w:rPr>
          <w:rFonts w:ascii="Calibri" w:hAnsi="Calibri"/>
        </w:rPr>
        <w:tab/>
        <w:t xml:space="preserve">So, let’s revisit our hypothetical </w:t>
      </w:r>
      <w:r w:rsidR="00DB2281">
        <w:rPr>
          <w:rFonts w:ascii="Calibri" w:hAnsi="Calibri"/>
        </w:rPr>
        <w:t xml:space="preserve">using LLCs (not electing to be taxed as corporations), </w:t>
      </w:r>
      <w:r>
        <w:rPr>
          <w:rFonts w:ascii="Calibri" w:hAnsi="Calibri"/>
        </w:rPr>
        <w:t>keeping the above in mind.</w:t>
      </w:r>
      <w:r w:rsidR="00F82723">
        <w:rPr>
          <w:rFonts w:ascii="Calibri" w:hAnsi="Calibri"/>
        </w:rPr>
        <w:t xml:space="preserve"> John sets up an LLC, funds it with $140,000 cash, </w:t>
      </w:r>
      <w:r w:rsidR="00DB2281">
        <w:rPr>
          <w:rFonts w:ascii="Calibri" w:hAnsi="Calibri"/>
        </w:rPr>
        <w:t xml:space="preserve">the LLC </w:t>
      </w:r>
      <w:r w:rsidR="00F82723">
        <w:rPr>
          <w:rFonts w:ascii="Calibri" w:hAnsi="Calibri"/>
        </w:rPr>
        <w:t>borrows $900,000 and purchases a $1 million building.</w:t>
      </w:r>
      <w:r w:rsidR="00D061DF">
        <w:rPr>
          <w:rFonts w:ascii="Calibri" w:hAnsi="Calibri"/>
        </w:rPr>
        <w:t xml:space="preserve">  The net equity is $140,000.  He gifts 10% </w:t>
      </w:r>
      <w:r w:rsidR="00DB2281">
        <w:rPr>
          <w:rFonts w:ascii="Calibri" w:hAnsi="Calibri"/>
        </w:rPr>
        <w:t xml:space="preserve">of LLC </w:t>
      </w:r>
      <w:r w:rsidR="00D061DF">
        <w:rPr>
          <w:rFonts w:ascii="Calibri" w:hAnsi="Calibri"/>
        </w:rPr>
        <w:t xml:space="preserve">to spouse and 90% </w:t>
      </w:r>
      <w:r w:rsidR="00DB2281">
        <w:rPr>
          <w:rFonts w:ascii="Calibri" w:hAnsi="Calibri"/>
        </w:rPr>
        <w:t xml:space="preserve">of LLC </w:t>
      </w:r>
      <w:r w:rsidR="00D60AB9">
        <w:rPr>
          <w:rFonts w:ascii="Calibri" w:hAnsi="Calibri"/>
        </w:rPr>
        <w:t>to an irrevocable upstream</w:t>
      </w:r>
      <w:r w:rsidR="00D061DF">
        <w:rPr>
          <w:rFonts w:ascii="Calibri" w:hAnsi="Calibri"/>
        </w:rPr>
        <w:t xml:space="preserve"> </w:t>
      </w:r>
      <w:r w:rsidR="00DB2281">
        <w:rPr>
          <w:rFonts w:ascii="Calibri" w:hAnsi="Calibri"/>
        </w:rPr>
        <w:t>grantor t</w:t>
      </w:r>
      <w:r w:rsidR="00D061DF">
        <w:rPr>
          <w:rFonts w:ascii="Calibri" w:hAnsi="Calibri"/>
        </w:rPr>
        <w:t>rust (if the trust owns 100%, or</w:t>
      </w:r>
      <w:r w:rsidR="00DB2281">
        <w:rPr>
          <w:rFonts w:ascii="Calibri" w:hAnsi="Calibri"/>
        </w:rPr>
        <w:t xml:space="preserve"> if</w:t>
      </w:r>
      <w:r w:rsidR="00D061DF">
        <w:rPr>
          <w:rFonts w:ascii="Calibri" w:hAnsi="Calibri"/>
        </w:rPr>
        <w:t xml:space="preserve"> only he and his</w:t>
      </w:r>
      <w:r w:rsidR="009F2361">
        <w:rPr>
          <w:rFonts w:ascii="Calibri" w:hAnsi="Calibri"/>
        </w:rPr>
        <w:t xml:space="preserve"> grantor</w:t>
      </w:r>
      <w:r w:rsidR="00D061DF">
        <w:rPr>
          <w:rFonts w:ascii="Calibri" w:hAnsi="Calibri"/>
        </w:rPr>
        <w:t xml:space="preserve"> trust were owner, there would not be a </w:t>
      </w:r>
      <w:r w:rsidR="00DB2281">
        <w:rPr>
          <w:rFonts w:ascii="Calibri" w:hAnsi="Calibri"/>
        </w:rPr>
        <w:t xml:space="preserve">tax </w:t>
      </w:r>
      <w:r w:rsidR="00D061DF">
        <w:rPr>
          <w:rFonts w:ascii="Calibri" w:hAnsi="Calibri"/>
        </w:rPr>
        <w:t>partnership</w:t>
      </w:r>
      <w:r w:rsidR="009F2361">
        <w:rPr>
          <w:rFonts w:ascii="Calibri" w:hAnsi="Calibri"/>
        </w:rPr>
        <w:t xml:space="preserve"> and asset protection may be reduced </w:t>
      </w:r>
      <w:r w:rsidR="008A01D0">
        <w:rPr>
          <w:rFonts w:ascii="Calibri" w:hAnsi="Calibri"/>
        </w:rPr>
        <w:t>as well</w:t>
      </w:r>
      <w:r w:rsidR="00D061DF">
        <w:rPr>
          <w:rFonts w:ascii="Calibri" w:hAnsi="Calibri"/>
        </w:rPr>
        <w:t xml:space="preserve">).  Let’s ignore valuation discounts for simplicity (as discussed elsewhere herein and in other presentations, </w:t>
      </w:r>
      <w:r w:rsidR="00DB2281">
        <w:rPr>
          <w:rFonts w:ascii="Calibri" w:hAnsi="Calibri"/>
        </w:rPr>
        <w:t xml:space="preserve">agreements </w:t>
      </w:r>
      <w:r w:rsidR="00D061DF">
        <w:rPr>
          <w:rFonts w:ascii="Calibri" w:hAnsi="Calibri"/>
        </w:rPr>
        <w:t>ca</w:t>
      </w:r>
      <w:r w:rsidR="00DB2281">
        <w:rPr>
          <w:rFonts w:ascii="Calibri" w:hAnsi="Calibri"/>
        </w:rPr>
        <w:t xml:space="preserve">n </w:t>
      </w:r>
      <w:r w:rsidR="009F2361">
        <w:rPr>
          <w:rFonts w:ascii="Calibri" w:hAnsi="Calibri"/>
        </w:rPr>
        <w:t xml:space="preserve">often </w:t>
      </w:r>
      <w:r w:rsidR="00DB2281">
        <w:rPr>
          <w:rFonts w:ascii="Calibri" w:hAnsi="Calibri"/>
        </w:rPr>
        <w:t>be manipulated to</w:t>
      </w:r>
      <w:r w:rsidR="00D061DF">
        <w:rPr>
          <w:rFonts w:ascii="Calibri" w:hAnsi="Calibri"/>
        </w:rPr>
        <w:t xml:space="preserve"> remove most discounts</w:t>
      </w:r>
      <w:r w:rsidR="00DB2281">
        <w:rPr>
          <w:rFonts w:ascii="Calibri" w:hAnsi="Calibri"/>
        </w:rPr>
        <w:t xml:space="preserve"> anyway</w:t>
      </w:r>
      <w:r w:rsidR="00D061DF">
        <w:rPr>
          <w:rFonts w:ascii="Calibri" w:hAnsi="Calibri"/>
        </w:rPr>
        <w:t>).  The upstream trust has an LLC interest worth approximately 90% of $140,000.  The basis, of course, is much higher because of the debt - $810,000 higher.  Let’s say the property increases in value 50%</w:t>
      </w:r>
      <w:r w:rsidR="00DB2281">
        <w:rPr>
          <w:rFonts w:ascii="Calibri" w:hAnsi="Calibri"/>
        </w:rPr>
        <w:t>, $500,000</w:t>
      </w:r>
      <w:r w:rsidR="00D061DF">
        <w:rPr>
          <w:rFonts w:ascii="Calibri" w:hAnsi="Calibri"/>
        </w:rPr>
        <w:t xml:space="preserve">, from $1 million to $1.5 million - and we’ll just ignore </w:t>
      </w:r>
      <w:r w:rsidR="00DA1611">
        <w:rPr>
          <w:rFonts w:ascii="Calibri" w:hAnsi="Calibri"/>
        </w:rPr>
        <w:t>subsequent income/</w:t>
      </w:r>
      <w:r w:rsidR="00D061DF">
        <w:rPr>
          <w:rFonts w:ascii="Calibri" w:hAnsi="Calibri"/>
        </w:rPr>
        <w:t>depreciation</w:t>
      </w:r>
      <w:r w:rsidR="00A205FC">
        <w:rPr>
          <w:rFonts w:ascii="Calibri" w:hAnsi="Calibri"/>
        </w:rPr>
        <w:t>, and assume interest but not principal is paid on the loan</w:t>
      </w:r>
      <w:r w:rsidR="00A205FC" w:rsidRPr="00A205FC">
        <w:rPr>
          <w:rFonts w:ascii="Calibri" w:hAnsi="Calibri"/>
        </w:rPr>
        <w:t xml:space="preserve"> </w:t>
      </w:r>
      <w:r w:rsidR="00A205FC">
        <w:rPr>
          <w:rFonts w:ascii="Calibri" w:hAnsi="Calibri"/>
        </w:rPr>
        <w:t>for simplicity</w:t>
      </w:r>
      <w:r w:rsidR="00D061DF">
        <w:rPr>
          <w:rFonts w:ascii="Calibri" w:hAnsi="Calibri"/>
        </w:rPr>
        <w:t>.  The value (again, ignoring discounts</w:t>
      </w:r>
      <w:r w:rsidR="00A205FC">
        <w:rPr>
          <w:rFonts w:ascii="Calibri" w:hAnsi="Calibri"/>
        </w:rPr>
        <w:t xml:space="preserve"> applicable to a 90% share</w:t>
      </w:r>
      <w:r w:rsidR="00D061DF">
        <w:rPr>
          <w:rFonts w:ascii="Calibri" w:hAnsi="Calibri"/>
        </w:rPr>
        <w:t xml:space="preserve">) of the </w:t>
      </w:r>
      <w:r w:rsidR="00DB2281">
        <w:rPr>
          <w:rFonts w:ascii="Calibri" w:hAnsi="Calibri"/>
        </w:rPr>
        <w:t xml:space="preserve">90% </w:t>
      </w:r>
      <w:r w:rsidR="00D061DF">
        <w:rPr>
          <w:rFonts w:ascii="Calibri" w:hAnsi="Calibri"/>
        </w:rPr>
        <w:t xml:space="preserve">LLC </w:t>
      </w:r>
      <w:r w:rsidR="00DB2281">
        <w:rPr>
          <w:rFonts w:ascii="Calibri" w:hAnsi="Calibri"/>
        </w:rPr>
        <w:t xml:space="preserve">interest </w:t>
      </w:r>
      <w:r w:rsidR="00D061DF">
        <w:rPr>
          <w:rFonts w:ascii="Calibri" w:hAnsi="Calibri"/>
        </w:rPr>
        <w:t>in the trust is</w:t>
      </w:r>
      <w:r w:rsidR="00A205FC">
        <w:rPr>
          <w:rFonts w:ascii="Calibri" w:hAnsi="Calibri"/>
        </w:rPr>
        <w:t xml:space="preserve"> now</w:t>
      </w:r>
      <w:r w:rsidR="00D061DF">
        <w:rPr>
          <w:rFonts w:ascii="Calibri" w:hAnsi="Calibri"/>
        </w:rPr>
        <w:t xml:space="preserve"> </w:t>
      </w:r>
      <w:r w:rsidR="00A205FC">
        <w:rPr>
          <w:rFonts w:ascii="Calibri" w:hAnsi="Calibri"/>
        </w:rPr>
        <w:t xml:space="preserve">90% of $640,000 = $576,000.  The power holder dies, bringing the trust into the power holder’s estate.  The basis in the hands of whomever subsequently inherits the 90% LLC interest should be, pursuant to Treas. Reg. </w:t>
      </w:r>
      <w:r w:rsidR="00A205FC">
        <w:rPr>
          <w:rFonts w:ascii="Calibri" w:hAnsi="Calibri"/>
        </w:rPr>
        <w:lastRenderedPageBreak/>
        <w:t>§1.742-1 above, $576,000 (</w:t>
      </w:r>
      <w:r w:rsidR="00A205FC" w:rsidRPr="00A205FC">
        <w:rPr>
          <w:rFonts w:ascii="Calibri" w:hAnsi="Calibri"/>
          <w:i/>
        </w:rPr>
        <w:t>the fair market value of the interest on the date of death or alternate valuation date</w:t>
      </w:r>
      <w:r w:rsidR="00A205FC">
        <w:rPr>
          <w:rFonts w:ascii="Calibri" w:hAnsi="Calibri"/>
        </w:rPr>
        <w:t xml:space="preserve">), </w:t>
      </w:r>
      <w:r w:rsidR="00A205FC" w:rsidRPr="00A205FC">
        <w:rPr>
          <w:rFonts w:ascii="Calibri" w:hAnsi="Calibri"/>
          <w:b/>
        </w:rPr>
        <w:t>plus</w:t>
      </w:r>
      <w:r w:rsidR="00A205FC">
        <w:rPr>
          <w:rFonts w:ascii="Calibri" w:hAnsi="Calibri"/>
        </w:rPr>
        <w:t xml:space="preserve"> the </w:t>
      </w:r>
      <w:r w:rsidR="00A205FC" w:rsidRPr="00A205FC">
        <w:rPr>
          <w:rFonts w:ascii="Calibri" w:hAnsi="Calibri"/>
          <w:i/>
        </w:rPr>
        <w:t>successor’s share of partnership liabilities</w:t>
      </w:r>
      <w:r w:rsidR="00A205FC">
        <w:rPr>
          <w:rFonts w:ascii="Calibri" w:hAnsi="Calibri"/>
        </w:rPr>
        <w:t xml:space="preserve"> (90% of $900,000, or $810,000) = $1,386,000.  </w:t>
      </w:r>
      <w:r w:rsidR="00A205FC" w:rsidRPr="004A492C">
        <w:rPr>
          <w:rFonts w:ascii="Calibri" w:hAnsi="Calibri"/>
          <w:b/>
        </w:rPr>
        <w:t>In other words, the successor is getting FMV basis</w:t>
      </w:r>
      <w:r w:rsidR="004A492C">
        <w:rPr>
          <w:rFonts w:ascii="Calibri" w:hAnsi="Calibri"/>
          <w:b/>
        </w:rPr>
        <w:t>,</w:t>
      </w:r>
      <w:r w:rsidR="00A205FC" w:rsidRPr="004A492C">
        <w:rPr>
          <w:rFonts w:ascii="Calibri" w:hAnsi="Calibri"/>
          <w:b/>
        </w:rPr>
        <w:t xml:space="preserve"> plus </w:t>
      </w:r>
      <w:r w:rsidR="004A492C">
        <w:rPr>
          <w:rFonts w:ascii="Calibri" w:hAnsi="Calibri"/>
          <w:b/>
        </w:rPr>
        <w:t xml:space="preserve">additional </w:t>
      </w:r>
      <w:r w:rsidR="00A205FC" w:rsidRPr="004A492C">
        <w:rPr>
          <w:rFonts w:ascii="Calibri" w:hAnsi="Calibri"/>
          <w:b/>
        </w:rPr>
        <w:t>basis for debt.</w:t>
      </w:r>
      <w:r w:rsidR="00F82723">
        <w:rPr>
          <w:rFonts w:ascii="Calibri" w:hAnsi="Calibri"/>
        </w:rPr>
        <w:t xml:space="preserve">  </w:t>
      </w:r>
      <w:r w:rsidR="00DA1611">
        <w:rPr>
          <w:rFonts w:ascii="Calibri" w:hAnsi="Calibri"/>
        </w:rPr>
        <w:t xml:space="preserve">This is true even if the power holder </w:t>
      </w:r>
      <w:r w:rsidR="004A492C">
        <w:rPr>
          <w:rFonts w:ascii="Calibri" w:hAnsi="Calibri"/>
        </w:rPr>
        <w:t>would only report the net</w:t>
      </w:r>
      <w:r w:rsidR="00DA1611">
        <w:rPr>
          <w:rFonts w:ascii="Calibri" w:hAnsi="Calibri"/>
        </w:rPr>
        <w:t xml:space="preserve"> $576,000 as the value of the LLC interest in the power holder’s estate</w:t>
      </w:r>
      <w:r w:rsidR="004A492C">
        <w:rPr>
          <w:rFonts w:ascii="Calibri" w:hAnsi="Calibri"/>
        </w:rPr>
        <w:t xml:space="preserve"> tax return</w:t>
      </w:r>
      <w:r w:rsidR="00DA1611">
        <w:rPr>
          <w:rFonts w:ascii="Calibri" w:hAnsi="Calibri"/>
        </w:rPr>
        <w:t xml:space="preserve"> (if the power holder is even required to file).</w:t>
      </w:r>
      <w:r w:rsidR="008A01D0">
        <w:rPr>
          <w:rFonts w:ascii="Calibri" w:hAnsi="Calibri"/>
        </w:rPr>
        <w:t xml:space="preserve">  If $10,000 of the LLC value were attributed to back rent owed, this account receivable would be income in respect of a decedent under IRC §691 and </w:t>
      </w:r>
      <w:r w:rsidR="008A01D0">
        <w:rPr>
          <w:rFonts w:ascii="Calibri" w:hAnsi="Calibri"/>
          <w:b/>
        </w:rPr>
        <w:t xml:space="preserve">reduce </w:t>
      </w:r>
      <w:r w:rsidR="008A01D0" w:rsidRPr="008A01D0">
        <w:rPr>
          <w:rFonts w:ascii="Calibri" w:hAnsi="Calibri"/>
        </w:rPr>
        <w:t>the basis accordingly</w:t>
      </w:r>
      <w:r w:rsidR="008A01D0">
        <w:rPr>
          <w:rFonts w:ascii="Calibri" w:hAnsi="Calibri"/>
          <w:b/>
        </w:rPr>
        <w:t>.</w:t>
      </w:r>
    </w:p>
    <w:p w14:paraId="57DFB056" w14:textId="77777777" w:rsidR="002754E4" w:rsidRPr="002754E4" w:rsidRDefault="00DA1611" w:rsidP="00C962E9">
      <w:pPr>
        <w:tabs>
          <w:tab w:val="left" w:pos="540"/>
        </w:tabs>
        <w:autoSpaceDE w:val="0"/>
        <w:autoSpaceDN w:val="0"/>
        <w:adjustRightInd w:val="0"/>
        <w:spacing w:line="360" w:lineRule="auto"/>
        <w:rPr>
          <w:rFonts w:ascii="Calibri" w:hAnsi="Calibri"/>
          <w:b/>
        </w:rPr>
      </w:pPr>
      <w:r>
        <w:rPr>
          <w:rFonts w:ascii="Calibri" w:hAnsi="Calibri"/>
        </w:rPr>
        <w:tab/>
      </w:r>
      <w:r w:rsidR="002754E4" w:rsidRPr="002754E4">
        <w:rPr>
          <w:rFonts w:ascii="Calibri" w:hAnsi="Calibri"/>
          <w:b/>
        </w:rPr>
        <w:t>New Basis Rules unde</w:t>
      </w:r>
      <w:r w:rsidR="00AB537E">
        <w:rPr>
          <w:rFonts w:ascii="Calibri" w:hAnsi="Calibri"/>
          <w:b/>
        </w:rPr>
        <w:t xml:space="preserve">r 1014(f) should have no impact, and </w:t>
      </w:r>
      <w:r w:rsidR="00AB537E" w:rsidRPr="00E92C7C">
        <w:rPr>
          <w:rFonts w:ascii="Calibri" w:hAnsi="Calibri"/>
          <w:b/>
          <w:i/>
        </w:rPr>
        <w:t>reinforce</w:t>
      </w:r>
      <w:r w:rsidR="00AB537E">
        <w:rPr>
          <w:rFonts w:ascii="Calibri" w:hAnsi="Calibri"/>
          <w:b/>
        </w:rPr>
        <w:t xml:space="preserve"> the above rules</w:t>
      </w:r>
    </w:p>
    <w:p w14:paraId="3B7CA8F6" w14:textId="77777777" w:rsidR="00DA1611" w:rsidRDefault="002754E4" w:rsidP="00C962E9">
      <w:pPr>
        <w:tabs>
          <w:tab w:val="left" w:pos="540"/>
        </w:tabs>
        <w:autoSpaceDE w:val="0"/>
        <w:autoSpaceDN w:val="0"/>
        <w:adjustRightInd w:val="0"/>
        <w:spacing w:line="360" w:lineRule="auto"/>
        <w:rPr>
          <w:rFonts w:ascii="Calibri" w:hAnsi="Calibri"/>
        </w:rPr>
      </w:pPr>
      <w:r>
        <w:rPr>
          <w:rFonts w:ascii="Calibri" w:hAnsi="Calibri"/>
        </w:rPr>
        <w:tab/>
      </w:r>
      <w:r w:rsidR="00D60AB9">
        <w:rPr>
          <w:rFonts w:ascii="Calibri" w:hAnsi="Calibri"/>
        </w:rPr>
        <w:t xml:space="preserve">The </w:t>
      </w:r>
      <w:r w:rsidR="008A01D0">
        <w:rPr>
          <w:rFonts w:ascii="Calibri" w:hAnsi="Calibri"/>
        </w:rPr>
        <w:t>§1.</w:t>
      </w:r>
      <w:r w:rsidR="00D60AB9">
        <w:rPr>
          <w:rFonts w:ascii="Calibri" w:hAnsi="Calibri"/>
        </w:rPr>
        <w:t>742</w:t>
      </w:r>
      <w:r w:rsidR="00DA1611">
        <w:rPr>
          <w:rFonts w:ascii="Calibri" w:hAnsi="Calibri"/>
        </w:rPr>
        <w:t xml:space="preserve"> regulation </w:t>
      </w:r>
      <w:r w:rsidR="00D60AB9">
        <w:rPr>
          <w:rFonts w:ascii="Calibri" w:hAnsi="Calibri"/>
        </w:rPr>
        <w:t xml:space="preserve">explains and </w:t>
      </w:r>
      <w:r w:rsidR="004A492C">
        <w:rPr>
          <w:rFonts w:ascii="Calibri" w:hAnsi="Calibri"/>
        </w:rPr>
        <w:t>solves</w:t>
      </w:r>
      <w:r w:rsidR="00DA1611">
        <w:rPr>
          <w:rFonts w:ascii="Calibri" w:hAnsi="Calibri"/>
        </w:rPr>
        <w:t xml:space="preserve"> </w:t>
      </w:r>
      <w:r w:rsidR="00D60AB9">
        <w:rPr>
          <w:rFonts w:ascii="Calibri" w:hAnsi="Calibri"/>
        </w:rPr>
        <w:t xml:space="preserve">our most common basis </w:t>
      </w:r>
      <w:r w:rsidR="00DA1611">
        <w:rPr>
          <w:rFonts w:ascii="Calibri" w:hAnsi="Calibri"/>
        </w:rPr>
        <w:t xml:space="preserve">issues, </w:t>
      </w:r>
      <w:r>
        <w:rPr>
          <w:rFonts w:ascii="Calibri" w:hAnsi="Calibri"/>
        </w:rPr>
        <w:t>but some may be wondering if</w:t>
      </w:r>
      <w:r w:rsidR="00DA1611">
        <w:rPr>
          <w:rFonts w:ascii="Calibri" w:hAnsi="Calibri"/>
        </w:rPr>
        <w:t xml:space="preserve"> Congress recently </w:t>
      </w:r>
      <w:r>
        <w:rPr>
          <w:rFonts w:ascii="Calibri" w:hAnsi="Calibri"/>
        </w:rPr>
        <w:t>threw</w:t>
      </w:r>
      <w:r w:rsidR="00DA1611">
        <w:rPr>
          <w:rFonts w:ascii="Calibri" w:hAnsi="Calibri"/>
        </w:rPr>
        <w:t xml:space="preserve"> a monkey wrench into </w:t>
      </w:r>
      <w:r w:rsidR="004A492C">
        <w:rPr>
          <w:rFonts w:ascii="Calibri" w:hAnsi="Calibri"/>
        </w:rPr>
        <w:t>this analysis, at least where non-recourse debt is concerned</w:t>
      </w:r>
      <w:r w:rsidR="0067610E">
        <w:rPr>
          <w:rFonts w:ascii="Calibri" w:hAnsi="Calibri"/>
        </w:rPr>
        <w:t>, in enacting the new basis reporting rules under §6035 and §1014(f)</w:t>
      </w:r>
      <w:r w:rsidR="00D60AB9">
        <w:rPr>
          <w:rFonts w:ascii="Calibri" w:hAnsi="Calibri"/>
        </w:rPr>
        <w:t xml:space="preserve">, because they </w:t>
      </w:r>
      <w:r w:rsidR="00E92C7C">
        <w:rPr>
          <w:rFonts w:ascii="Calibri" w:hAnsi="Calibri"/>
        </w:rPr>
        <w:t>appear</w:t>
      </w:r>
      <w:r w:rsidR="00D60AB9">
        <w:rPr>
          <w:rFonts w:ascii="Calibri" w:hAnsi="Calibri"/>
        </w:rPr>
        <w:t xml:space="preserve"> to set a cap for basis based on the value </w:t>
      </w:r>
      <w:r w:rsidR="00D60AB9" w:rsidRPr="00D60AB9">
        <w:rPr>
          <w:rFonts w:ascii="Calibri" w:hAnsi="Calibri"/>
          <w:i/>
        </w:rPr>
        <w:t>reported</w:t>
      </w:r>
      <w:r w:rsidR="00D60AB9">
        <w:rPr>
          <w:rFonts w:ascii="Calibri" w:hAnsi="Calibri"/>
          <w:i/>
        </w:rPr>
        <w:t xml:space="preserve"> for estate tax purposes, which in some cases</w:t>
      </w:r>
      <w:r w:rsidR="00E92C7C">
        <w:rPr>
          <w:rFonts w:ascii="Calibri" w:hAnsi="Calibri"/>
          <w:i/>
        </w:rPr>
        <w:t>,</w:t>
      </w:r>
      <w:r w:rsidR="00D60AB9">
        <w:rPr>
          <w:rFonts w:ascii="Calibri" w:hAnsi="Calibri"/>
          <w:i/>
        </w:rPr>
        <w:t xml:space="preserve"> as noted above</w:t>
      </w:r>
      <w:r w:rsidR="00E92C7C">
        <w:rPr>
          <w:rFonts w:ascii="Calibri" w:hAnsi="Calibri"/>
          <w:i/>
        </w:rPr>
        <w:t>,</w:t>
      </w:r>
      <w:r w:rsidR="00280276">
        <w:rPr>
          <w:rFonts w:ascii="Calibri" w:hAnsi="Calibri"/>
          <w:i/>
        </w:rPr>
        <w:t xml:space="preserve"> excludes non</w:t>
      </w:r>
      <w:r w:rsidR="00D60AB9">
        <w:rPr>
          <w:rFonts w:ascii="Calibri" w:hAnsi="Calibri"/>
          <w:i/>
        </w:rPr>
        <w:t>recourse debt</w:t>
      </w:r>
      <w:r w:rsidR="004A492C">
        <w:rPr>
          <w:rFonts w:ascii="Calibri" w:hAnsi="Calibri"/>
        </w:rPr>
        <w:t xml:space="preserve">.  </w:t>
      </w:r>
    </w:p>
    <w:p w14:paraId="386AB76A" w14:textId="77777777" w:rsidR="0067610E" w:rsidRPr="0067610E" w:rsidRDefault="0067610E" w:rsidP="0067610E">
      <w:pPr>
        <w:tabs>
          <w:tab w:val="left" w:pos="540"/>
        </w:tabs>
        <w:autoSpaceDE w:val="0"/>
        <w:autoSpaceDN w:val="0"/>
        <w:adjustRightInd w:val="0"/>
        <w:ind w:left="547"/>
        <w:rPr>
          <w:rFonts w:ascii="Calibri" w:hAnsi="Calibri"/>
        </w:rPr>
      </w:pPr>
      <w:r w:rsidRPr="0067610E">
        <w:rPr>
          <w:rFonts w:ascii="Calibri" w:hAnsi="Calibri"/>
          <w:b/>
          <w:bCs/>
        </w:rPr>
        <w:t>(f)</w:t>
      </w:r>
      <w:r>
        <w:rPr>
          <w:rFonts w:ascii="Calibri" w:hAnsi="Calibri"/>
          <w:b/>
          <w:bCs/>
        </w:rPr>
        <w:t xml:space="preserve"> </w:t>
      </w:r>
      <w:r w:rsidRPr="0067610E">
        <w:rPr>
          <w:rFonts w:ascii="Calibri" w:hAnsi="Calibri"/>
          <w:b/>
          <w:bCs/>
        </w:rPr>
        <w:t>Basis must be consistent with estate tax return</w:t>
      </w:r>
      <w:r>
        <w:rPr>
          <w:rFonts w:ascii="Calibri" w:hAnsi="Calibri"/>
          <w:b/>
          <w:bCs/>
        </w:rPr>
        <w:t xml:space="preserve">.  </w:t>
      </w:r>
      <w:r w:rsidRPr="0067610E">
        <w:rPr>
          <w:rFonts w:ascii="Calibri" w:hAnsi="Calibri"/>
        </w:rPr>
        <w:t>For purposes of this section—</w:t>
      </w:r>
    </w:p>
    <w:p w14:paraId="710B335F" w14:textId="77777777" w:rsidR="0067610E" w:rsidRPr="0067610E" w:rsidRDefault="0067610E" w:rsidP="0067610E">
      <w:pPr>
        <w:tabs>
          <w:tab w:val="left" w:pos="540"/>
        </w:tabs>
        <w:autoSpaceDE w:val="0"/>
        <w:autoSpaceDN w:val="0"/>
        <w:adjustRightInd w:val="0"/>
        <w:ind w:left="547"/>
        <w:rPr>
          <w:rFonts w:ascii="Calibri" w:hAnsi="Calibri"/>
        </w:rPr>
      </w:pPr>
      <w:r w:rsidRPr="0067610E">
        <w:rPr>
          <w:rFonts w:ascii="Calibri" w:hAnsi="Calibri"/>
          <w:b/>
          <w:bCs/>
        </w:rPr>
        <w:t>(1)</w:t>
      </w:r>
      <w:r>
        <w:rPr>
          <w:rFonts w:ascii="Calibri" w:hAnsi="Calibri"/>
          <w:b/>
          <w:bCs/>
        </w:rPr>
        <w:t xml:space="preserve"> </w:t>
      </w:r>
      <w:r w:rsidRPr="0067610E">
        <w:rPr>
          <w:rFonts w:ascii="Calibri" w:hAnsi="Calibri"/>
          <w:b/>
          <w:bCs/>
        </w:rPr>
        <w:t>In general</w:t>
      </w:r>
      <w:r>
        <w:rPr>
          <w:rFonts w:ascii="Calibri" w:hAnsi="Calibri"/>
          <w:b/>
          <w:bCs/>
        </w:rPr>
        <w:t xml:space="preserve">.  </w:t>
      </w:r>
      <w:r w:rsidRPr="0067610E">
        <w:rPr>
          <w:rFonts w:ascii="Calibri" w:hAnsi="Calibri"/>
        </w:rPr>
        <w:t xml:space="preserve">The basis of any property to which subsection (a) applies </w:t>
      </w:r>
      <w:r w:rsidRPr="0067610E">
        <w:rPr>
          <w:rFonts w:ascii="Calibri" w:hAnsi="Calibri"/>
          <w:b/>
          <w:i/>
        </w:rPr>
        <w:t>shall not exceed</w:t>
      </w:r>
      <w:r w:rsidRPr="0067610E">
        <w:rPr>
          <w:rFonts w:ascii="Calibri" w:hAnsi="Calibri"/>
        </w:rPr>
        <w:t>—</w:t>
      </w:r>
    </w:p>
    <w:p w14:paraId="55BEC9DB" w14:textId="77777777" w:rsidR="0067610E" w:rsidRPr="0067610E" w:rsidRDefault="0067610E" w:rsidP="0067610E">
      <w:pPr>
        <w:tabs>
          <w:tab w:val="left" w:pos="540"/>
        </w:tabs>
        <w:autoSpaceDE w:val="0"/>
        <w:autoSpaceDN w:val="0"/>
        <w:adjustRightInd w:val="0"/>
        <w:ind w:left="547"/>
        <w:rPr>
          <w:rFonts w:ascii="Calibri" w:hAnsi="Calibri"/>
        </w:rPr>
      </w:pPr>
      <w:r w:rsidRPr="0067610E">
        <w:rPr>
          <w:rFonts w:ascii="Calibri" w:hAnsi="Calibri"/>
          <w:b/>
          <w:bCs/>
        </w:rPr>
        <w:t>(A)</w:t>
      </w:r>
      <w:r>
        <w:rPr>
          <w:rFonts w:ascii="Calibri" w:hAnsi="Calibri"/>
          <w:b/>
          <w:bCs/>
        </w:rPr>
        <w:t xml:space="preserve"> </w:t>
      </w:r>
      <w:r w:rsidRPr="0067610E">
        <w:rPr>
          <w:rFonts w:ascii="Calibri" w:hAnsi="Calibri"/>
        </w:rPr>
        <w:t xml:space="preserve">in the case of property the final value of which has been determined for purposes of the tax imposed by chapter 11 on the estate of such decedent, </w:t>
      </w:r>
      <w:r w:rsidRPr="0067610E">
        <w:rPr>
          <w:rFonts w:ascii="Calibri" w:hAnsi="Calibri"/>
          <w:b/>
        </w:rPr>
        <w:t>such value</w:t>
      </w:r>
      <w:r w:rsidRPr="0067610E">
        <w:rPr>
          <w:rFonts w:ascii="Calibri" w:hAnsi="Calibri"/>
        </w:rPr>
        <w:t>, and</w:t>
      </w:r>
    </w:p>
    <w:p w14:paraId="1352CAA0" w14:textId="77777777" w:rsidR="0067610E" w:rsidRPr="0067610E" w:rsidRDefault="0067610E" w:rsidP="0067610E">
      <w:pPr>
        <w:tabs>
          <w:tab w:val="left" w:pos="540"/>
        </w:tabs>
        <w:autoSpaceDE w:val="0"/>
        <w:autoSpaceDN w:val="0"/>
        <w:adjustRightInd w:val="0"/>
        <w:ind w:left="547"/>
        <w:rPr>
          <w:rFonts w:ascii="Calibri" w:hAnsi="Calibri"/>
        </w:rPr>
      </w:pPr>
      <w:r w:rsidRPr="0067610E">
        <w:rPr>
          <w:rFonts w:ascii="Calibri" w:hAnsi="Calibri"/>
          <w:b/>
          <w:bCs/>
        </w:rPr>
        <w:t>(B)</w:t>
      </w:r>
      <w:r>
        <w:rPr>
          <w:rFonts w:ascii="Calibri" w:hAnsi="Calibri"/>
          <w:b/>
          <w:bCs/>
        </w:rPr>
        <w:t xml:space="preserve"> </w:t>
      </w:r>
      <w:r w:rsidRPr="0067610E">
        <w:rPr>
          <w:rFonts w:ascii="Calibri" w:hAnsi="Calibri"/>
        </w:rPr>
        <w:t xml:space="preserve">in the case of property not described in subparagraph (A) and with respect to which a statement has been furnished under section 6035(a) identifying the value of such property, </w:t>
      </w:r>
      <w:r w:rsidRPr="00E92C7C">
        <w:rPr>
          <w:rFonts w:ascii="Calibri" w:hAnsi="Calibri"/>
          <w:b/>
        </w:rPr>
        <w:t>such value</w:t>
      </w:r>
      <w:r w:rsidRPr="0067610E">
        <w:rPr>
          <w:rFonts w:ascii="Calibri" w:hAnsi="Calibri"/>
        </w:rPr>
        <w:t>.</w:t>
      </w:r>
    </w:p>
    <w:p w14:paraId="6A341D76" w14:textId="77777777" w:rsidR="0067610E" w:rsidRPr="0067610E" w:rsidRDefault="0067610E" w:rsidP="0067610E">
      <w:pPr>
        <w:tabs>
          <w:tab w:val="left" w:pos="540"/>
        </w:tabs>
        <w:autoSpaceDE w:val="0"/>
        <w:autoSpaceDN w:val="0"/>
        <w:adjustRightInd w:val="0"/>
        <w:ind w:left="547"/>
        <w:rPr>
          <w:rFonts w:ascii="Calibri" w:hAnsi="Calibri"/>
        </w:rPr>
      </w:pPr>
      <w:r w:rsidRPr="0067610E">
        <w:rPr>
          <w:rFonts w:ascii="Calibri" w:hAnsi="Calibri"/>
          <w:b/>
          <w:bCs/>
        </w:rPr>
        <w:t>(2)</w:t>
      </w:r>
      <w:r>
        <w:rPr>
          <w:rFonts w:ascii="Calibri" w:hAnsi="Calibri"/>
          <w:b/>
          <w:bCs/>
        </w:rPr>
        <w:t xml:space="preserve"> </w:t>
      </w:r>
      <w:r w:rsidRPr="0067610E">
        <w:rPr>
          <w:rFonts w:ascii="Calibri" w:hAnsi="Calibri"/>
          <w:b/>
          <w:bCs/>
        </w:rPr>
        <w:t>Exception</w:t>
      </w:r>
    </w:p>
    <w:p w14:paraId="6C5B20B1" w14:textId="77777777" w:rsidR="0067610E" w:rsidRPr="0067610E" w:rsidRDefault="0067610E" w:rsidP="0067610E">
      <w:pPr>
        <w:tabs>
          <w:tab w:val="left" w:pos="540"/>
        </w:tabs>
        <w:autoSpaceDE w:val="0"/>
        <w:autoSpaceDN w:val="0"/>
        <w:adjustRightInd w:val="0"/>
        <w:ind w:left="547"/>
        <w:rPr>
          <w:rFonts w:ascii="Calibri" w:hAnsi="Calibri"/>
        </w:rPr>
      </w:pPr>
      <w:r w:rsidRPr="0067610E">
        <w:rPr>
          <w:rFonts w:ascii="Calibri" w:hAnsi="Calibri"/>
        </w:rPr>
        <w:t>Paragraph (1) shall only apply to any property whose inclusion in the decedent’s estate increased the liability for the tax imposed by chapter 11 (reduced by credits allowable against such tax) on such estate.</w:t>
      </w:r>
      <w:r>
        <w:rPr>
          <w:rStyle w:val="FootnoteReference"/>
          <w:rFonts w:ascii="Calibri" w:hAnsi="Calibri"/>
        </w:rPr>
        <w:footnoteReference w:id="251"/>
      </w:r>
    </w:p>
    <w:p w14:paraId="0B75CF46" w14:textId="77777777" w:rsidR="0067610E" w:rsidRDefault="0067610E" w:rsidP="00C962E9">
      <w:pPr>
        <w:tabs>
          <w:tab w:val="left" w:pos="540"/>
        </w:tabs>
        <w:autoSpaceDE w:val="0"/>
        <w:autoSpaceDN w:val="0"/>
        <w:adjustRightInd w:val="0"/>
        <w:spacing w:line="360" w:lineRule="auto"/>
        <w:rPr>
          <w:rFonts w:ascii="Calibri" w:hAnsi="Calibri"/>
        </w:rPr>
      </w:pPr>
    </w:p>
    <w:p w14:paraId="419D6481" w14:textId="77777777" w:rsidR="0067610E" w:rsidRDefault="0067610E" w:rsidP="00C962E9">
      <w:pPr>
        <w:tabs>
          <w:tab w:val="left" w:pos="540"/>
        </w:tabs>
        <w:autoSpaceDE w:val="0"/>
        <w:autoSpaceDN w:val="0"/>
        <w:adjustRightInd w:val="0"/>
        <w:spacing w:line="360" w:lineRule="auto"/>
        <w:rPr>
          <w:rFonts w:ascii="Calibri" w:hAnsi="Calibri"/>
        </w:rPr>
      </w:pPr>
      <w:r>
        <w:rPr>
          <w:rFonts w:ascii="Calibri" w:hAnsi="Calibri"/>
        </w:rPr>
        <w:tab/>
      </w:r>
      <w:r w:rsidR="00E92C7C">
        <w:rPr>
          <w:rFonts w:ascii="Calibri" w:hAnsi="Calibri"/>
        </w:rPr>
        <w:t>Thankfully</w:t>
      </w:r>
      <w:r>
        <w:rPr>
          <w:rFonts w:ascii="Calibri" w:hAnsi="Calibri"/>
        </w:rPr>
        <w:t xml:space="preserve">, the </w:t>
      </w:r>
      <w:r w:rsidR="00D60AB9">
        <w:rPr>
          <w:rFonts w:ascii="Calibri" w:hAnsi="Calibri"/>
        </w:rPr>
        <w:t xml:space="preserve">proposed </w:t>
      </w:r>
      <w:r>
        <w:rPr>
          <w:rFonts w:ascii="Calibri" w:hAnsi="Calibri"/>
        </w:rPr>
        <w:t xml:space="preserve">regulations clarify that this new code section </w:t>
      </w:r>
      <w:r w:rsidR="00D60AB9">
        <w:rPr>
          <w:rFonts w:ascii="Calibri" w:hAnsi="Calibri"/>
        </w:rPr>
        <w:t>should</w:t>
      </w:r>
      <w:r>
        <w:rPr>
          <w:rFonts w:ascii="Calibri" w:hAnsi="Calibri"/>
        </w:rPr>
        <w:t xml:space="preserve"> not affect additions </w:t>
      </w:r>
      <w:r w:rsidR="00D60AB9">
        <w:rPr>
          <w:rFonts w:ascii="Calibri" w:hAnsi="Calibri"/>
        </w:rPr>
        <w:t xml:space="preserve">to basis for debt </w:t>
      </w:r>
      <w:r w:rsidR="00AB537E">
        <w:rPr>
          <w:rFonts w:ascii="Calibri" w:hAnsi="Calibri"/>
        </w:rPr>
        <w:t>above</w:t>
      </w:r>
      <w:r>
        <w:rPr>
          <w:rFonts w:ascii="Calibri" w:hAnsi="Calibri"/>
        </w:rPr>
        <w:t xml:space="preserve"> the value reported on the </w:t>
      </w:r>
      <w:r w:rsidR="00D60AB9">
        <w:rPr>
          <w:rFonts w:ascii="Calibri" w:hAnsi="Calibri"/>
        </w:rPr>
        <w:t>Form 706</w:t>
      </w:r>
      <w:r w:rsidR="00AB537E">
        <w:rPr>
          <w:rFonts w:ascii="Calibri" w:hAnsi="Calibri"/>
        </w:rPr>
        <w:t xml:space="preserve"> – </w:t>
      </w:r>
      <w:r w:rsidR="00AB537E" w:rsidRPr="00E92C7C">
        <w:rPr>
          <w:rFonts w:ascii="Calibri" w:hAnsi="Calibri"/>
          <w:b/>
        </w:rPr>
        <w:t>the basis for the inheritor</w:t>
      </w:r>
      <w:r w:rsidR="00E92C7C">
        <w:rPr>
          <w:rFonts w:ascii="Calibri" w:hAnsi="Calibri"/>
        </w:rPr>
        <w:t>, and that</w:t>
      </w:r>
      <w:r w:rsidR="00AB537E">
        <w:rPr>
          <w:rFonts w:ascii="Calibri" w:hAnsi="Calibri"/>
        </w:rPr>
        <w:t xml:space="preserve"> reported under §6035 and Form 8971</w:t>
      </w:r>
      <w:r w:rsidR="00E92C7C">
        <w:rPr>
          <w:rFonts w:ascii="Calibri" w:hAnsi="Calibri"/>
        </w:rPr>
        <w:t>,</w:t>
      </w:r>
      <w:r w:rsidR="00AB537E">
        <w:rPr>
          <w:rFonts w:ascii="Calibri" w:hAnsi="Calibri"/>
        </w:rPr>
        <w:t xml:space="preserve"> </w:t>
      </w:r>
      <w:r w:rsidR="00AB537E" w:rsidRPr="00E92C7C">
        <w:rPr>
          <w:rFonts w:ascii="Calibri" w:hAnsi="Calibri"/>
          <w:b/>
          <w:i/>
        </w:rPr>
        <w:t xml:space="preserve">includes the </w:t>
      </w:r>
      <w:r w:rsidR="00E92C7C">
        <w:rPr>
          <w:rFonts w:ascii="Calibri" w:hAnsi="Calibri"/>
          <w:b/>
          <w:i/>
        </w:rPr>
        <w:t xml:space="preserve">nonrecourse </w:t>
      </w:r>
      <w:r w:rsidR="00AB537E" w:rsidRPr="00E92C7C">
        <w:rPr>
          <w:rFonts w:ascii="Calibri" w:hAnsi="Calibri"/>
          <w:b/>
          <w:i/>
        </w:rPr>
        <w:t>debt</w:t>
      </w:r>
      <w:r w:rsidR="007E6BC2">
        <w:rPr>
          <w:rFonts w:ascii="Calibri" w:hAnsi="Calibri"/>
        </w:rPr>
        <w:t>:</w:t>
      </w:r>
    </w:p>
    <w:p w14:paraId="4E258BEB" w14:textId="77777777" w:rsidR="007E6BC2" w:rsidRDefault="00D60AB9" w:rsidP="00D60AB9">
      <w:pPr>
        <w:tabs>
          <w:tab w:val="left" w:pos="540"/>
        </w:tabs>
        <w:autoSpaceDE w:val="0"/>
        <w:autoSpaceDN w:val="0"/>
        <w:adjustRightInd w:val="0"/>
        <w:ind w:left="547"/>
        <w:rPr>
          <w:rFonts w:ascii="Calibri" w:hAnsi="Calibri"/>
        </w:rPr>
      </w:pPr>
      <w:r w:rsidRPr="00D60AB9">
        <w:rPr>
          <w:rFonts w:ascii="Calibri" w:hAnsi="Calibri"/>
        </w:rPr>
        <w:t xml:space="preserve">Example 4. (i) At D’s death, D’s gross estate includes a residence valued at </w:t>
      </w:r>
      <w:r w:rsidRPr="00AB537E">
        <w:rPr>
          <w:rFonts w:ascii="Calibri" w:hAnsi="Calibri"/>
          <w:b/>
        </w:rPr>
        <w:t>$300,000</w:t>
      </w:r>
      <w:r w:rsidRPr="00D60AB9">
        <w:rPr>
          <w:rFonts w:ascii="Calibri" w:hAnsi="Calibri"/>
        </w:rPr>
        <w:t xml:space="preserve"> encumbered by </w:t>
      </w:r>
      <w:r w:rsidRPr="00AB537E">
        <w:rPr>
          <w:rFonts w:ascii="Calibri" w:hAnsi="Calibri"/>
          <w:b/>
        </w:rPr>
        <w:t>nonrecourse debt in the amount of $100,000</w:t>
      </w:r>
      <w:r w:rsidRPr="00D60AB9">
        <w:rPr>
          <w:rFonts w:ascii="Calibri" w:hAnsi="Calibri"/>
        </w:rPr>
        <w:t xml:space="preserve">. Title to the residence is </w:t>
      </w:r>
      <w:r w:rsidRPr="00D60AB9">
        <w:rPr>
          <w:rFonts w:ascii="Calibri" w:hAnsi="Calibri"/>
        </w:rPr>
        <w:lastRenderedPageBreak/>
        <w:t xml:space="preserve">held jointly by D and C (D’s daughter) with rights of survivorship. D provided all the consideration for the residence and the entire value of the residence was included in D’s gross estate. The executor </w:t>
      </w:r>
      <w:r w:rsidRPr="00AB537E">
        <w:rPr>
          <w:rFonts w:ascii="Calibri" w:hAnsi="Calibri"/>
          <w:b/>
        </w:rPr>
        <w:t>reports the value of the residence as $200,000</w:t>
      </w:r>
      <w:r w:rsidRPr="00D60AB9">
        <w:rPr>
          <w:rFonts w:ascii="Calibri" w:hAnsi="Calibri"/>
        </w:rPr>
        <w:t xml:space="preserve"> on the return required by section 6018 filed with the IRS for D’s estate and claims no other deduction for the debt. </w:t>
      </w:r>
      <w:r w:rsidRPr="00AB537E">
        <w:rPr>
          <w:rFonts w:ascii="Calibri" w:hAnsi="Calibri"/>
          <w:b/>
        </w:rPr>
        <w:t>The statement required by section 6035 reports the value of the residence as $300,000</w:t>
      </w:r>
      <w:r w:rsidRPr="00D60AB9">
        <w:rPr>
          <w:rFonts w:ascii="Calibri" w:hAnsi="Calibri"/>
        </w:rPr>
        <w:t>.</w:t>
      </w:r>
      <w:r>
        <w:rPr>
          <w:rStyle w:val="FootnoteReference"/>
          <w:rFonts w:ascii="Calibri" w:hAnsi="Calibri"/>
        </w:rPr>
        <w:footnoteReference w:id="252"/>
      </w:r>
    </w:p>
    <w:p w14:paraId="66E7F0C0" w14:textId="77777777" w:rsidR="00D60AB9" w:rsidRDefault="007370D8" w:rsidP="00C962E9">
      <w:pPr>
        <w:tabs>
          <w:tab w:val="left" w:pos="540"/>
        </w:tabs>
        <w:autoSpaceDE w:val="0"/>
        <w:autoSpaceDN w:val="0"/>
        <w:adjustRightInd w:val="0"/>
        <w:spacing w:line="360" w:lineRule="auto"/>
        <w:rPr>
          <w:rFonts w:ascii="Calibri" w:hAnsi="Calibri"/>
        </w:rPr>
      </w:pPr>
      <w:r>
        <w:rPr>
          <w:rFonts w:ascii="Calibri" w:hAnsi="Calibri"/>
        </w:rPr>
        <w:tab/>
      </w:r>
    </w:p>
    <w:p w14:paraId="6B0BF20E" w14:textId="77777777" w:rsidR="00E92C7C" w:rsidRDefault="00E92C7C" w:rsidP="00E92C7C">
      <w:pPr>
        <w:tabs>
          <w:tab w:val="left" w:pos="540"/>
        </w:tabs>
        <w:autoSpaceDE w:val="0"/>
        <w:autoSpaceDN w:val="0"/>
        <w:adjustRightInd w:val="0"/>
        <w:ind w:left="540"/>
        <w:rPr>
          <w:rFonts w:ascii="Calibri" w:hAnsi="Calibri"/>
        </w:rPr>
      </w:pPr>
      <w:r w:rsidRPr="00E92C7C">
        <w:rPr>
          <w:rFonts w:ascii="Calibri" w:hAnsi="Calibri"/>
        </w:rPr>
        <w:t xml:space="preserve">Example 1. (i) At D’s death, D owned 50% of Partnership P, which owned a rental building with a </w:t>
      </w:r>
      <w:r w:rsidRPr="00E92C7C">
        <w:rPr>
          <w:rFonts w:ascii="Calibri" w:hAnsi="Calibri"/>
          <w:b/>
        </w:rPr>
        <w:t>fair market value of $10 million subject to nonrecourse debt of $2 million</w:t>
      </w:r>
      <w:r w:rsidRPr="00E92C7C">
        <w:rPr>
          <w:rFonts w:ascii="Calibri" w:hAnsi="Calibri"/>
        </w:rPr>
        <w:t xml:space="preserve">. D’s sole beneficiary is C, D’s child. </w:t>
      </w:r>
      <w:r w:rsidRPr="00E92C7C">
        <w:rPr>
          <w:rFonts w:ascii="Calibri" w:hAnsi="Calibri"/>
          <w:b/>
        </w:rPr>
        <w:t>P is valued at $8 million</w:t>
      </w:r>
      <w:r w:rsidRPr="00E92C7C">
        <w:rPr>
          <w:rFonts w:ascii="Calibri" w:hAnsi="Calibri"/>
        </w:rPr>
        <w:t xml:space="preserve">. </w:t>
      </w:r>
      <w:r w:rsidRPr="00E92C7C">
        <w:rPr>
          <w:rFonts w:ascii="Calibri" w:hAnsi="Calibri"/>
          <w:b/>
        </w:rPr>
        <w:t>D’s interest in P is reported on the return required by section 6018(a) at $4 million</w:t>
      </w:r>
      <w:r>
        <w:rPr>
          <w:rFonts w:ascii="Calibri" w:hAnsi="Calibri"/>
        </w:rPr>
        <w:t xml:space="preserve"> [</w:t>
      </w:r>
      <w:r w:rsidRPr="00E92C7C">
        <w:rPr>
          <w:rFonts w:ascii="Calibri" w:hAnsi="Calibri"/>
          <w:color w:val="C0504D" w:themeColor="accent2"/>
        </w:rPr>
        <w:t>note the IRS did not apply any valuation discounts – that may or may not be accurate depending on the partnership agreement, etc</w:t>
      </w:r>
      <w:r>
        <w:rPr>
          <w:rFonts w:ascii="Calibri" w:hAnsi="Calibri"/>
        </w:rPr>
        <w:t>]</w:t>
      </w:r>
      <w:r w:rsidRPr="00E92C7C">
        <w:rPr>
          <w:rFonts w:ascii="Calibri" w:hAnsi="Calibri"/>
        </w:rPr>
        <w:t xml:space="preserve">. The IRS accepts the return as filed and the time for assessing the tax under chapter 11 expires. C sells the interest for $6 million in cash shortly thereafter. (ii) Under these facts, </w:t>
      </w:r>
      <w:r w:rsidRPr="00280276">
        <w:rPr>
          <w:rFonts w:ascii="Calibri" w:hAnsi="Calibri"/>
          <w:b/>
        </w:rPr>
        <w:t>the final value of D’s interest is $4 million</w:t>
      </w:r>
      <w:r w:rsidRPr="00E92C7C">
        <w:rPr>
          <w:rFonts w:ascii="Calibri" w:hAnsi="Calibri"/>
        </w:rPr>
        <w:t xml:space="preserve"> under paragraph (c)(1)(i) of this section. Under section 742 and §1.742-1, </w:t>
      </w:r>
      <w:r w:rsidRPr="00E92C7C">
        <w:rPr>
          <w:rFonts w:ascii="Calibri" w:hAnsi="Calibri"/>
          <w:b/>
        </w:rPr>
        <w:t>C’s basis in the interest in P at the time of its sale is $5 million (the final value of D’s interest ($4 million) plus 50% of the $2 million nonrecourse debt)</w:t>
      </w:r>
      <w:r w:rsidRPr="00E92C7C">
        <w:rPr>
          <w:rFonts w:ascii="Calibri" w:hAnsi="Calibri"/>
        </w:rPr>
        <w:t>.</w:t>
      </w:r>
      <w:r>
        <w:rPr>
          <w:rStyle w:val="FootnoteReference"/>
          <w:rFonts w:ascii="Calibri" w:hAnsi="Calibri"/>
        </w:rPr>
        <w:footnoteReference w:id="253"/>
      </w:r>
      <w:r w:rsidRPr="00E92C7C">
        <w:rPr>
          <w:rFonts w:ascii="Calibri" w:hAnsi="Calibri"/>
        </w:rPr>
        <w:t xml:space="preserve"> </w:t>
      </w:r>
    </w:p>
    <w:p w14:paraId="158C4B4A" w14:textId="77777777" w:rsidR="00E92C7C" w:rsidRDefault="00E92C7C" w:rsidP="00C962E9">
      <w:pPr>
        <w:tabs>
          <w:tab w:val="left" w:pos="540"/>
        </w:tabs>
        <w:autoSpaceDE w:val="0"/>
        <w:autoSpaceDN w:val="0"/>
        <w:adjustRightInd w:val="0"/>
        <w:spacing w:line="360" w:lineRule="auto"/>
        <w:rPr>
          <w:rFonts w:ascii="Calibri" w:hAnsi="Calibri"/>
        </w:rPr>
      </w:pPr>
    </w:p>
    <w:p w14:paraId="42311E90" w14:textId="77777777" w:rsidR="00280276" w:rsidRDefault="00E92C7C" w:rsidP="009833AE">
      <w:pPr>
        <w:tabs>
          <w:tab w:val="left" w:pos="540"/>
        </w:tabs>
        <w:autoSpaceDE w:val="0"/>
        <w:autoSpaceDN w:val="0"/>
        <w:adjustRightInd w:val="0"/>
        <w:spacing w:line="360" w:lineRule="auto"/>
        <w:rPr>
          <w:rFonts w:ascii="Calibri" w:hAnsi="Calibri"/>
        </w:rPr>
      </w:pPr>
      <w:r>
        <w:rPr>
          <w:rFonts w:ascii="Calibri" w:hAnsi="Calibri"/>
        </w:rPr>
        <w:tab/>
      </w:r>
      <w:r w:rsidR="00280276">
        <w:rPr>
          <w:rFonts w:ascii="Calibri" w:hAnsi="Calibri"/>
        </w:rPr>
        <w:t xml:space="preserve">Thus, we can see that leverage inside of an LLC, which is the most common use for this planning, </w:t>
      </w:r>
      <w:r w:rsidR="00AE5A34">
        <w:rPr>
          <w:rFonts w:ascii="Calibri" w:hAnsi="Calibri"/>
        </w:rPr>
        <w:t>will not impair</w:t>
      </w:r>
      <w:r w:rsidR="00280276">
        <w:rPr>
          <w:rFonts w:ascii="Calibri" w:hAnsi="Calibri"/>
        </w:rPr>
        <w:t xml:space="preserve"> an increase in basis to any inheritor</w:t>
      </w:r>
      <w:r w:rsidR="00AE5A34">
        <w:rPr>
          <w:rFonts w:ascii="Calibri" w:hAnsi="Calibri"/>
        </w:rPr>
        <w:t>, even if only the net equity value is what is reported on the decedent power holder’s estate tax return</w:t>
      </w:r>
      <w:r w:rsidR="00280276">
        <w:rPr>
          <w:rFonts w:ascii="Calibri" w:hAnsi="Calibri"/>
        </w:rPr>
        <w:t>.</w:t>
      </w:r>
      <w:r w:rsidR="00AE5A34">
        <w:rPr>
          <w:rFonts w:ascii="Calibri" w:hAnsi="Calibri"/>
        </w:rPr>
        <w:t xml:space="preserve">  Thus, to use an extreme example, a decedent power holder with a $450,000 estate or less of their own personal assets, who controls, via testamentary GPOA, a 50% of an LLC (ignoring discounts) that owns a $100 million LLC with $90 million of debt and zero basis, will report $5 million on their estate tax return pursuant to Treas. Reg. §1.742-1 and the inheritor’s basis will be $5 million plus the $45 million, which is </w:t>
      </w:r>
      <w:r w:rsidR="009833AE">
        <w:rPr>
          <w:rFonts w:ascii="Calibri" w:hAnsi="Calibri"/>
        </w:rPr>
        <w:t>the inheritor’s share of the LLC’s debt, or $50 million. To quote the new proposed regulations, “</w:t>
      </w:r>
      <w:r w:rsidR="009833AE" w:rsidRPr="009833AE">
        <w:rPr>
          <w:rFonts w:ascii="Calibri" w:hAnsi="Calibri"/>
        </w:rPr>
        <w:t>The existence of recourse or non-recourse debt secured by property at</w:t>
      </w:r>
      <w:r w:rsidR="009833AE">
        <w:rPr>
          <w:rFonts w:ascii="Calibri" w:hAnsi="Calibri"/>
        </w:rPr>
        <w:t xml:space="preserve"> </w:t>
      </w:r>
      <w:r w:rsidR="009833AE" w:rsidRPr="009833AE">
        <w:rPr>
          <w:rFonts w:ascii="Calibri" w:hAnsi="Calibri"/>
        </w:rPr>
        <w:t>the time of the decedent’s death does not affect the property’s basis, whether the gross</w:t>
      </w:r>
      <w:r w:rsidR="009833AE">
        <w:rPr>
          <w:rFonts w:ascii="Calibri" w:hAnsi="Calibri"/>
        </w:rPr>
        <w:t xml:space="preserve"> </w:t>
      </w:r>
      <w:r w:rsidR="009833AE" w:rsidRPr="009833AE">
        <w:rPr>
          <w:rFonts w:ascii="Calibri" w:hAnsi="Calibri"/>
        </w:rPr>
        <w:t>value of the property and the outstanding debt are reported separately on the estate tax</w:t>
      </w:r>
      <w:r w:rsidR="009833AE">
        <w:rPr>
          <w:rFonts w:ascii="Calibri" w:hAnsi="Calibri"/>
        </w:rPr>
        <w:t xml:space="preserve"> </w:t>
      </w:r>
      <w:r w:rsidR="009833AE" w:rsidRPr="009833AE">
        <w:rPr>
          <w:rFonts w:ascii="Calibri" w:hAnsi="Calibri"/>
        </w:rPr>
        <w:t xml:space="preserve">return or </w:t>
      </w:r>
      <w:r w:rsidR="009833AE" w:rsidRPr="009833AE">
        <w:rPr>
          <w:rFonts w:ascii="Calibri" w:hAnsi="Calibri"/>
        </w:rPr>
        <w:lastRenderedPageBreak/>
        <w:t>the net value of the property is reported. Therefore, post-death payments on</w:t>
      </w:r>
      <w:r w:rsidR="009833AE">
        <w:rPr>
          <w:rFonts w:ascii="Calibri" w:hAnsi="Calibri"/>
        </w:rPr>
        <w:t xml:space="preserve"> </w:t>
      </w:r>
      <w:r w:rsidR="009833AE" w:rsidRPr="009833AE">
        <w:rPr>
          <w:rFonts w:ascii="Calibri" w:hAnsi="Calibri"/>
        </w:rPr>
        <w:t>such debt do not result in an adjustment to the property’s basis</w:t>
      </w:r>
      <w:r w:rsidR="009833AE">
        <w:rPr>
          <w:rFonts w:ascii="Calibri" w:hAnsi="Calibri"/>
        </w:rPr>
        <w:t>.”</w:t>
      </w:r>
      <w:r w:rsidR="009833AE">
        <w:rPr>
          <w:rStyle w:val="FootnoteReference"/>
          <w:rFonts w:ascii="Calibri" w:hAnsi="Calibri"/>
        </w:rPr>
        <w:footnoteReference w:id="254"/>
      </w:r>
    </w:p>
    <w:p w14:paraId="31B8E12B" w14:textId="77777777" w:rsidR="009833AE" w:rsidRPr="009833AE" w:rsidRDefault="00280276" w:rsidP="00C962E9">
      <w:pPr>
        <w:tabs>
          <w:tab w:val="left" w:pos="540"/>
        </w:tabs>
        <w:autoSpaceDE w:val="0"/>
        <w:autoSpaceDN w:val="0"/>
        <w:adjustRightInd w:val="0"/>
        <w:spacing w:line="360" w:lineRule="auto"/>
        <w:rPr>
          <w:rFonts w:ascii="Calibri" w:hAnsi="Calibri"/>
          <w:b/>
        </w:rPr>
      </w:pPr>
      <w:r>
        <w:rPr>
          <w:rFonts w:ascii="Calibri" w:hAnsi="Calibri"/>
        </w:rPr>
        <w:tab/>
      </w:r>
      <w:r w:rsidR="009833AE">
        <w:rPr>
          <w:rFonts w:ascii="Calibri" w:hAnsi="Calibri"/>
          <w:b/>
        </w:rPr>
        <w:t>Crafting the power</w:t>
      </w:r>
    </w:p>
    <w:p w14:paraId="1CA2F3C8" w14:textId="77777777" w:rsidR="00C962E9" w:rsidRPr="00C962E9" w:rsidRDefault="009833AE"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The </w:t>
      </w:r>
      <w:r w:rsidR="007D7BB0">
        <w:rPr>
          <w:rFonts w:ascii="Calibri" w:hAnsi="Calibri"/>
        </w:rPr>
        <w:t xml:space="preserve">testamentary </w:t>
      </w:r>
      <w:r w:rsidR="00C962E9" w:rsidRPr="00C962E9">
        <w:rPr>
          <w:rFonts w:ascii="Calibri" w:hAnsi="Calibri"/>
        </w:rPr>
        <w:t>power can be granted to only the first to die (</w:t>
      </w:r>
      <w:r w:rsidR="00C962E9" w:rsidRPr="00C962E9">
        <w:rPr>
          <w:rFonts w:ascii="Calibri" w:hAnsi="Calibri"/>
          <w:i/>
        </w:rPr>
        <w:t>a reverse tontine</w:t>
      </w:r>
      <w:r w:rsidR="00C962E9" w:rsidRPr="00C962E9">
        <w:rPr>
          <w:rFonts w:ascii="Calibri" w:hAnsi="Calibri"/>
        </w:rPr>
        <w:t>),</w:t>
      </w:r>
      <w:r w:rsidR="00C962E9" w:rsidRPr="00C962E9">
        <w:rPr>
          <w:rFonts w:ascii="Calibri" w:hAnsi="Calibri"/>
          <w:vertAlign w:val="superscript"/>
        </w:rPr>
        <w:footnoteReference w:id="255"/>
      </w:r>
      <w:r w:rsidR="00C962E9" w:rsidRPr="00C962E9">
        <w:rPr>
          <w:rFonts w:ascii="Calibri" w:hAnsi="Calibri"/>
        </w:rPr>
        <w:t xml:space="preserve"> to avoid any issues with a lapse of the remaining powers, but of course, similar powers might arise in subsequent appointive trusts, allowing a cascading increasing basis with additional disregarded purchases between the settlors and their grantor trusts. </w:t>
      </w:r>
    </w:p>
    <w:p w14:paraId="693525B2" w14:textId="77777777" w:rsidR="00C962E9" w:rsidRPr="00C962E9" w:rsidRDefault="00ED5B85"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The </w:t>
      </w:r>
      <w:r w:rsidR="00CE7332">
        <w:rPr>
          <w:rFonts w:ascii="Calibri" w:hAnsi="Calibri"/>
        </w:rPr>
        <w:t xml:space="preserve">testamentary </w:t>
      </w:r>
      <w:r w:rsidR="00C962E9" w:rsidRPr="00C962E9">
        <w:rPr>
          <w:rFonts w:ascii="Calibri" w:hAnsi="Calibri"/>
        </w:rPr>
        <w:t>power could be a general power or a limited power exercised in such a way as to trigger the Delaware Tax Trap. Either one can be very narrowly crafted</w:t>
      </w:r>
      <w:r>
        <w:rPr>
          <w:rFonts w:ascii="Calibri" w:hAnsi="Calibri"/>
        </w:rPr>
        <w:t>, as discussed in Part III</w:t>
      </w:r>
      <w:r w:rsidR="00C962E9" w:rsidRPr="00C962E9">
        <w:rPr>
          <w:rFonts w:ascii="Calibri" w:hAnsi="Calibri"/>
        </w:rPr>
        <w:t xml:space="preserve">. </w:t>
      </w:r>
      <w:r w:rsidR="00CE7332">
        <w:rPr>
          <w:rFonts w:ascii="Calibri" w:hAnsi="Calibri"/>
        </w:rPr>
        <w:t xml:space="preserve"> </w:t>
      </w:r>
      <w:r w:rsidR="00C962E9" w:rsidRPr="00C962E9">
        <w:rPr>
          <w:rFonts w:ascii="Calibri" w:hAnsi="Calibri"/>
        </w:rPr>
        <w:t>Although there are differences between these two methods of estate inclusion, either one may achieve the same result of a step up in basis. Which method to choose may depend on state creditor and asset protection trust law, the financial position of the parent and the importance of continuing asset protection</w:t>
      </w:r>
      <w:r w:rsidR="004F789E">
        <w:rPr>
          <w:rFonts w:ascii="Calibri" w:hAnsi="Calibri"/>
        </w:rPr>
        <w:t>, grantor trust status</w:t>
      </w:r>
      <w:r w:rsidR="00C962E9" w:rsidRPr="00C962E9">
        <w:rPr>
          <w:rFonts w:ascii="Calibri" w:hAnsi="Calibri"/>
        </w:rPr>
        <w:t xml:space="preserve"> and/or control to the settlor</w:t>
      </w:r>
      <w:r w:rsidR="00CE7332">
        <w:rPr>
          <w:rFonts w:ascii="Calibri" w:hAnsi="Calibri"/>
        </w:rPr>
        <w:t>, as discussed in Part III</w:t>
      </w:r>
      <w:r w:rsidR="00C962E9" w:rsidRPr="00C962E9">
        <w:rPr>
          <w:rFonts w:ascii="Calibri" w:hAnsi="Calibri"/>
        </w:rPr>
        <w:t>.</w:t>
      </w:r>
    </w:p>
    <w:p w14:paraId="36F41DF1" w14:textId="77777777" w:rsidR="007B5068" w:rsidRDefault="00ED5B85" w:rsidP="00C962E9">
      <w:pPr>
        <w:tabs>
          <w:tab w:val="left" w:pos="540"/>
        </w:tabs>
        <w:autoSpaceDE w:val="0"/>
        <w:autoSpaceDN w:val="0"/>
        <w:adjustRightInd w:val="0"/>
        <w:spacing w:line="360" w:lineRule="auto"/>
        <w:rPr>
          <w:rFonts w:ascii="Calibri" w:hAnsi="Calibri"/>
        </w:rPr>
      </w:pPr>
      <w:r>
        <w:rPr>
          <w:rFonts w:ascii="Calibri" w:hAnsi="Calibri"/>
        </w:rPr>
        <w:tab/>
      </w:r>
      <w:r w:rsidR="00074054">
        <w:rPr>
          <w:rFonts w:ascii="Calibri" w:hAnsi="Calibri"/>
        </w:rPr>
        <w:t xml:space="preserve">To ensure qualification for the annual exclusion gift under the </w:t>
      </w:r>
      <w:r w:rsidR="00074054" w:rsidRPr="00074054">
        <w:rPr>
          <w:rFonts w:ascii="Calibri" w:hAnsi="Calibri"/>
          <w:i/>
        </w:rPr>
        <w:t>Crummey</w:t>
      </w:r>
      <w:r w:rsidR="00074054">
        <w:rPr>
          <w:rFonts w:ascii="Calibri" w:hAnsi="Calibri"/>
        </w:rPr>
        <w:t xml:space="preserve"> case and its progeny, </w:t>
      </w:r>
      <w:r w:rsidR="00375DC3">
        <w:rPr>
          <w:rFonts w:ascii="Calibri" w:hAnsi="Calibri"/>
        </w:rPr>
        <w:t xml:space="preserve">the </w:t>
      </w:r>
      <w:r w:rsidR="006031D5">
        <w:rPr>
          <w:rFonts w:ascii="Calibri" w:hAnsi="Calibri"/>
        </w:rPr>
        <w:t>attorney might consider denying</w:t>
      </w:r>
      <w:r w:rsidR="00375DC3">
        <w:rPr>
          <w:rFonts w:ascii="Calibri" w:hAnsi="Calibri"/>
        </w:rPr>
        <w:t xml:space="preserve"> application of the te</w:t>
      </w:r>
      <w:r w:rsidR="000261F7">
        <w:rPr>
          <w:rFonts w:ascii="Calibri" w:hAnsi="Calibri"/>
        </w:rPr>
        <w:t>stamentary general power of appointment</w:t>
      </w:r>
      <w:r w:rsidR="00375DC3">
        <w:rPr>
          <w:rFonts w:ascii="Calibri" w:hAnsi="Calibri"/>
        </w:rPr>
        <w:t xml:space="preserve"> to any amount of the trust still subject to a withdrawal power (</w:t>
      </w:r>
      <w:r w:rsidR="006031D5">
        <w:rPr>
          <w:rFonts w:ascii="Calibri" w:hAnsi="Calibri"/>
        </w:rPr>
        <w:t>which</w:t>
      </w:r>
      <w:r w:rsidR="00375DC3">
        <w:rPr>
          <w:rFonts w:ascii="Calibri" w:hAnsi="Calibri"/>
        </w:rPr>
        <w:t xml:space="preserve"> typically </w:t>
      </w:r>
      <w:r w:rsidR="006031D5">
        <w:rPr>
          <w:rFonts w:ascii="Calibri" w:hAnsi="Calibri"/>
        </w:rPr>
        <w:t xml:space="preserve">lapses </w:t>
      </w:r>
      <w:r w:rsidR="00375DC3">
        <w:rPr>
          <w:rFonts w:ascii="Calibri" w:hAnsi="Calibri"/>
        </w:rPr>
        <w:t>30-60 days after the gift</w:t>
      </w:r>
      <w:r w:rsidR="006031D5">
        <w:rPr>
          <w:rFonts w:ascii="Calibri" w:hAnsi="Calibri"/>
        </w:rPr>
        <w:t xml:space="preserve">).  Otherwise, there is a remote chance the IRS could argue there was no “present interest” due to the possibility of a powerholder dying before the beneficiary had an exercisable right to demand the </w:t>
      </w:r>
      <w:r w:rsidR="000261F7">
        <w:rPr>
          <w:rFonts w:ascii="Calibri" w:hAnsi="Calibri"/>
        </w:rPr>
        <w:t>gift</w:t>
      </w:r>
      <w:r w:rsidR="006031D5">
        <w:rPr>
          <w:rFonts w:ascii="Calibri" w:hAnsi="Calibri"/>
        </w:rPr>
        <w:t xml:space="preserve">.  This tack </w:t>
      </w:r>
      <w:r w:rsidR="00CE7332">
        <w:rPr>
          <w:rFonts w:ascii="Calibri" w:hAnsi="Calibri"/>
        </w:rPr>
        <w:t>is probably</w:t>
      </w:r>
      <w:r w:rsidR="006031D5">
        <w:rPr>
          <w:rFonts w:ascii="Calibri" w:hAnsi="Calibri"/>
        </w:rPr>
        <w:t xml:space="preserve"> overly conservative – there is no case </w:t>
      </w:r>
      <w:r w:rsidR="000261F7">
        <w:rPr>
          <w:rFonts w:ascii="Calibri" w:hAnsi="Calibri"/>
        </w:rPr>
        <w:t>denying the annual exclusion for any similar provision</w:t>
      </w:r>
      <w:r w:rsidR="006031D5">
        <w:rPr>
          <w:rFonts w:ascii="Calibri" w:hAnsi="Calibri"/>
        </w:rPr>
        <w:t xml:space="preserve">, the death would probably be considered an act of independent significance, it’s not so different from the remote chance of someone stealing the money or losing the funds with a bad </w:t>
      </w:r>
      <w:r w:rsidR="006031D5">
        <w:rPr>
          <w:rFonts w:ascii="Calibri" w:hAnsi="Calibri"/>
        </w:rPr>
        <w:lastRenderedPageBreak/>
        <w:t xml:space="preserve">investment, and the IRS can’t help but lose every </w:t>
      </w:r>
      <w:r w:rsidR="006031D5" w:rsidRPr="000261F7">
        <w:rPr>
          <w:rFonts w:ascii="Calibri" w:hAnsi="Calibri"/>
          <w:i/>
        </w:rPr>
        <w:t>Crummey</w:t>
      </w:r>
      <w:r w:rsidR="006031D5">
        <w:rPr>
          <w:rFonts w:ascii="Calibri" w:hAnsi="Calibri"/>
        </w:rPr>
        <w:t xml:space="preserve"> case it tries to attack.  </w:t>
      </w:r>
      <w:r w:rsidR="000261F7">
        <w:rPr>
          <w:rFonts w:ascii="Calibri" w:hAnsi="Calibri"/>
        </w:rPr>
        <w:t>Nevertheless</w:t>
      </w:r>
      <w:r w:rsidR="006031D5">
        <w:rPr>
          <w:rFonts w:ascii="Calibri" w:hAnsi="Calibri"/>
        </w:rPr>
        <w:t xml:space="preserve">, in most cases this </w:t>
      </w:r>
      <w:r w:rsidR="000261F7">
        <w:rPr>
          <w:rFonts w:ascii="Calibri" w:hAnsi="Calibri"/>
        </w:rPr>
        <w:t>provision would not impair any benefits.</w:t>
      </w:r>
      <w:r w:rsidR="006031D5">
        <w:rPr>
          <w:rFonts w:ascii="Calibri" w:hAnsi="Calibri"/>
        </w:rPr>
        <w:t xml:space="preserve"> </w:t>
      </w:r>
      <w:r w:rsidR="000261F7">
        <w:rPr>
          <w:rFonts w:ascii="Calibri" w:hAnsi="Calibri"/>
        </w:rPr>
        <w:t xml:space="preserve">  </w:t>
      </w:r>
    </w:p>
    <w:p w14:paraId="4E2D7F31" w14:textId="77777777" w:rsidR="00074054" w:rsidRDefault="007B5068" w:rsidP="00C962E9">
      <w:pPr>
        <w:tabs>
          <w:tab w:val="left" w:pos="540"/>
        </w:tabs>
        <w:autoSpaceDE w:val="0"/>
        <w:autoSpaceDN w:val="0"/>
        <w:adjustRightInd w:val="0"/>
        <w:spacing w:line="360" w:lineRule="auto"/>
        <w:rPr>
          <w:rFonts w:ascii="Calibri" w:hAnsi="Calibri"/>
        </w:rPr>
      </w:pPr>
      <w:r>
        <w:rPr>
          <w:rFonts w:ascii="Calibri" w:hAnsi="Calibri"/>
        </w:rPr>
        <w:tab/>
      </w:r>
      <w:r w:rsidR="000261F7">
        <w:rPr>
          <w:rFonts w:ascii="Calibri" w:hAnsi="Calibri"/>
        </w:rPr>
        <w:t xml:space="preserve">Another method of ensuring a present interest, yet enabling a testamentary power that could still step up the basis in the assets, would be use a limited testamentary power of appointment that could only appoint to a trust which keeps the existing withdrawal right intact – as discussed in Part III of this paper, </w:t>
      </w:r>
      <w:r>
        <w:rPr>
          <w:rFonts w:ascii="Calibri" w:hAnsi="Calibri"/>
        </w:rPr>
        <w:t xml:space="preserve">because </w:t>
      </w:r>
      <w:r w:rsidR="000261F7">
        <w:rPr>
          <w:rFonts w:ascii="Calibri" w:hAnsi="Calibri"/>
        </w:rPr>
        <w:t xml:space="preserve">such a trust would </w:t>
      </w:r>
      <w:r>
        <w:rPr>
          <w:rFonts w:ascii="Calibri" w:hAnsi="Calibri"/>
        </w:rPr>
        <w:t>have a presently exercisable general power of appointment (</w:t>
      </w:r>
      <w:r w:rsidRPr="00DE400C">
        <w:rPr>
          <w:rFonts w:ascii="Calibri" w:hAnsi="Calibri"/>
          <w:i/>
        </w:rPr>
        <w:t>Crummey</w:t>
      </w:r>
      <w:r>
        <w:rPr>
          <w:rFonts w:ascii="Calibri" w:hAnsi="Calibri"/>
        </w:rPr>
        <w:t xml:space="preserve"> power), the exercise of the limited power of appointment would </w:t>
      </w:r>
      <w:r w:rsidR="000261F7">
        <w:rPr>
          <w:rFonts w:ascii="Calibri" w:hAnsi="Calibri"/>
        </w:rPr>
        <w:t>trigger the Delaware Tax Trap under most every state law.</w:t>
      </w:r>
    </w:p>
    <w:p w14:paraId="42755012" w14:textId="77777777" w:rsidR="00C962E9" w:rsidRPr="00C962E9" w:rsidRDefault="00074054"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If the powerholder dies within one year of the gift, a step up is denied if the </w:t>
      </w:r>
      <w:r w:rsidR="00280276">
        <w:rPr>
          <w:rFonts w:ascii="Calibri" w:hAnsi="Calibri"/>
        </w:rPr>
        <w:t xml:space="preserve">same </w:t>
      </w:r>
      <w:r w:rsidR="00C962E9" w:rsidRPr="00C962E9">
        <w:rPr>
          <w:rFonts w:ascii="Calibri" w:hAnsi="Calibri"/>
        </w:rPr>
        <w:t xml:space="preserve">assets come back to John or Jane outright, under </w:t>
      </w:r>
      <w:r w:rsidR="00ED5B85">
        <w:rPr>
          <w:rFonts w:ascii="Calibri" w:hAnsi="Calibri"/>
        </w:rPr>
        <w:t>IRC §</w:t>
      </w:r>
      <w:r w:rsidR="00C962E9" w:rsidRPr="00C962E9">
        <w:rPr>
          <w:rFonts w:ascii="Calibri" w:hAnsi="Calibri"/>
        </w:rPr>
        <w:t>1014(e).</w:t>
      </w:r>
      <w:r w:rsidR="00A30625">
        <w:rPr>
          <w:rStyle w:val="FootnoteReference"/>
          <w:rFonts w:ascii="Calibri" w:hAnsi="Calibri"/>
        </w:rPr>
        <w:footnoteReference w:id="256"/>
      </w:r>
      <w:r w:rsidR="00C962E9" w:rsidRPr="00C962E9">
        <w:rPr>
          <w:rFonts w:ascii="Calibri" w:hAnsi="Calibri"/>
        </w:rPr>
        <w:t xml:space="preserve"> If the assets pass to a trust for either of them within one year, the issue is much murkier, and it may well depend on the terms of the trust and even, surprisingly, whether the property is sold.</w:t>
      </w:r>
      <w:r w:rsidR="00C962E9" w:rsidRPr="00C962E9">
        <w:rPr>
          <w:rFonts w:ascii="Calibri" w:hAnsi="Calibri"/>
          <w:vertAlign w:val="superscript"/>
        </w:rPr>
        <w:footnoteReference w:id="257"/>
      </w:r>
      <w:r w:rsidR="00C962E9" w:rsidRPr="00C962E9">
        <w:rPr>
          <w:rFonts w:ascii="Calibri" w:hAnsi="Calibri"/>
        </w:rPr>
        <w:t xml:space="preserve"> </w:t>
      </w:r>
      <w:r w:rsidR="00DE400C">
        <w:rPr>
          <w:rFonts w:ascii="Calibri" w:hAnsi="Calibri"/>
        </w:rPr>
        <w:t xml:space="preserve"> </w:t>
      </w:r>
      <w:r w:rsidR="00C962E9" w:rsidRPr="00C962E9">
        <w:rPr>
          <w:rFonts w:ascii="Calibri" w:hAnsi="Calibri"/>
        </w:rPr>
        <w:t xml:space="preserve">To avoid some of those issues John’s trust may require a one-year curing period before any testamentary GPOA/LPOA is effective, </w:t>
      </w:r>
      <w:r w:rsidR="008942F4">
        <w:rPr>
          <w:rFonts w:ascii="Calibri" w:hAnsi="Calibri"/>
        </w:rPr>
        <w:t xml:space="preserve">the power holder may appoint the property gifted within one year to a non-donor child and bequeath other property of equal value to the donor child, </w:t>
      </w:r>
      <w:r w:rsidR="00ED5B85">
        <w:rPr>
          <w:rFonts w:ascii="Calibri" w:hAnsi="Calibri"/>
        </w:rPr>
        <w:t xml:space="preserve">the successors might simply </w:t>
      </w:r>
      <w:r w:rsidR="00C962E9" w:rsidRPr="00C962E9">
        <w:rPr>
          <w:rFonts w:ascii="Calibri" w:hAnsi="Calibri"/>
        </w:rPr>
        <w:t>avoid sale</w:t>
      </w:r>
      <w:r w:rsidR="00ED5B85">
        <w:rPr>
          <w:rFonts w:ascii="Calibri" w:hAnsi="Calibri"/>
        </w:rPr>
        <w:t xml:space="preserve"> of property until the next death</w:t>
      </w:r>
      <w:r w:rsidR="008942F4">
        <w:rPr>
          <w:rFonts w:ascii="Calibri" w:hAnsi="Calibri"/>
        </w:rPr>
        <w:t xml:space="preserve"> and still exploit the additional depreciation</w:t>
      </w:r>
      <w:r w:rsidR="00C962E9" w:rsidRPr="00C962E9">
        <w:rPr>
          <w:rFonts w:ascii="Calibri" w:hAnsi="Calibri"/>
        </w:rPr>
        <w:t xml:space="preserve">, or simply take care that any permitted appointment within one year would not include payment to them outright or to a trust </w:t>
      </w:r>
      <w:r w:rsidR="008942F4">
        <w:rPr>
          <w:rFonts w:ascii="Calibri" w:hAnsi="Calibri"/>
        </w:rPr>
        <w:t xml:space="preserve">for them </w:t>
      </w:r>
      <w:r w:rsidR="00C962E9" w:rsidRPr="00C962E9">
        <w:rPr>
          <w:rFonts w:ascii="Calibri" w:hAnsi="Calibri"/>
        </w:rPr>
        <w:t xml:space="preserve">that </w:t>
      </w:r>
      <w:r w:rsidR="009C1833">
        <w:rPr>
          <w:rFonts w:ascii="Calibri" w:hAnsi="Calibri"/>
        </w:rPr>
        <w:t>might</w:t>
      </w:r>
      <w:r w:rsidR="00C962E9" w:rsidRPr="00C962E9">
        <w:rPr>
          <w:rFonts w:ascii="Calibri" w:hAnsi="Calibri"/>
        </w:rPr>
        <w:t xml:space="preserve"> be disqualified for a step up in basis.</w:t>
      </w:r>
      <w:r w:rsidR="00903614">
        <w:rPr>
          <w:rFonts w:ascii="Calibri" w:hAnsi="Calibri"/>
        </w:rPr>
        <w:t xml:space="preserve">  But even if </w:t>
      </w:r>
      <w:r w:rsidR="00903614" w:rsidRPr="00280276">
        <w:rPr>
          <w:rFonts w:ascii="Calibri" w:hAnsi="Calibri"/>
          <w:i/>
        </w:rPr>
        <w:t>some</w:t>
      </w:r>
      <w:r w:rsidR="00903614">
        <w:rPr>
          <w:rFonts w:ascii="Calibri" w:hAnsi="Calibri"/>
        </w:rPr>
        <w:t xml:space="preserve"> assets come back to the donor within one year, are they </w:t>
      </w:r>
      <w:r w:rsidR="00903614" w:rsidRPr="00903614">
        <w:rPr>
          <w:rFonts w:ascii="Calibri" w:hAnsi="Calibri"/>
          <w:i/>
        </w:rPr>
        <w:t>the same assets</w:t>
      </w:r>
      <w:r w:rsidR="00903614">
        <w:rPr>
          <w:rFonts w:ascii="Calibri" w:hAnsi="Calibri"/>
        </w:rPr>
        <w:t>?  Were those appreciated assets “acquired by gift”</w:t>
      </w:r>
      <w:r w:rsidR="007B5068">
        <w:rPr>
          <w:rFonts w:ascii="Calibri" w:hAnsi="Calibri"/>
        </w:rPr>
        <w:t xml:space="preserve"> </w:t>
      </w:r>
      <w:r w:rsidR="00280276">
        <w:rPr>
          <w:rFonts w:ascii="Calibri" w:hAnsi="Calibri"/>
        </w:rPr>
        <w:t xml:space="preserve">by the decedent power holder, </w:t>
      </w:r>
      <w:r w:rsidR="007B5068">
        <w:rPr>
          <w:rFonts w:ascii="Calibri" w:hAnsi="Calibri"/>
        </w:rPr>
        <w:t>as required by §1014</w:t>
      </w:r>
      <w:r w:rsidR="00280276">
        <w:rPr>
          <w:rFonts w:ascii="Calibri" w:hAnsi="Calibri"/>
        </w:rPr>
        <w:t>(e)</w:t>
      </w:r>
      <w:r w:rsidR="00903614">
        <w:rPr>
          <w:rFonts w:ascii="Calibri" w:hAnsi="Calibri"/>
        </w:rPr>
        <w:t>?  Arguably</w:t>
      </w:r>
      <w:r w:rsidR="00903614" w:rsidRPr="00903614">
        <w:rPr>
          <w:rFonts w:ascii="Calibri" w:hAnsi="Calibri"/>
          <w:b/>
        </w:rPr>
        <w:t xml:space="preserve"> no</w:t>
      </w:r>
      <w:r w:rsidR="00622202">
        <w:rPr>
          <w:rFonts w:ascii="Calibri" w:hAnsi="Calibri"/>
        </w:rPr>
        <w:t xml:space="preserve"> - i</w:t>
      </w:r>
      <w:r w:rsidR="00903614">
        <w:rPr>
          <w:rFonts w:ascii="Calibri" w:hAnsi="Calibri"/>
        </w:rPr>
        <w:t xml:space="preserve">f a donor puts in cash, and what comes back is real estate acquired by FMV </w:t>
      </w:r>
      <w:r w:rsidR="00903614" w:rsidRPr="00280276">
        <w:rPr>
          <w:rFonts w:ascii="Calibri" w:hAnsi="Calibri"/>
          <w:i/>
        </w:rPr>
        <w:t>purchase</w:t>
      </w:r>
      <w:r w:rsidR="00622202">
        <w:rPr>
          <w:rFonts w:ascii="Calibri" w:hAnsi="Calibri"/>
        </w:rPr>
        <w:t>,</w:t>
      </w:r>
      <w:r w:rsidR="00903614">
        <w:rPr>
          <w:rFonts w:ascii="Calibri" w:hAnsi="Calibri"/>
        </w:rPr>
        <w:t xml:space="preserve"> </w:t>
      </w:r>
      <w:r w:rsidR="00622202" w:rsidRPr="003A4FC5">
        <w:rPr>
          <w:rFonts w:ascii="Calibri" w:hAnsi="Calibri"/>
          <w:i/>
        </w:rPr>
        <w:t xml:space="preserve">the plain language of </w:t>
      </w:r>
      <w:r w:rsidR="00903614" w:rsidRPr="003A4FC5">
        <w:rPr>
          <w:rFonts w:ascii="Calibri" w:hAnsi="Calibri"/>
          <w:i/>
        </w:rPr>
        <w:t>§1014(e) is not triggered</w:t>
      </w:r>
      <w:r w:rsidR="00903614">
        <w:rPr>
          <w:rFonts w:ascii="Calibri" w:hAnsi="Calibri"/>
        </w:rPr>
        <w:t xml:space="preserve">. </w:t>
      </w:r>
      <w:r w:rsidR="008942F4">
        <w:rPr>
          <w:rFonts w:ascii="Calibri" w:hAnsi="Calibri"/>
        </w:rPr>
        <w:t xml:space="preserve"> </w:t>
      </w:r>
    </w:p>
    <w:p w14:paraId="7694E66E" w14:textId="77777777" w:rsidR="00A27471" w:rsidRDefault="009C1833"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But wait! Don’t “bad things” happen if someone dies with a note to a grantor trust outstanding? There has been spirited debate among practitioners about whether the death of </w:t>
      </w:r>
      <w:r w:rsidR="00C962E9" w:rsidRPr="00C962E9">
        <w:rPr>
          <w:rFonts w:ascii="Calibri" w:hAnsi="Calibri"/>
        </w:rPr>
        <w:lastRenderedPageBreak/>
        <w:t>a settlor of an irrevocable grantor trust in the midst of repayment of an installment sale note with the settlor triggers income tax on the sale at death. And there is a regulation to trigger gain to the extent the outstanding liabilities owed by the trust exceed the trust’s basis in the assets if such status changes during the grantor’s life.</w:t>
      </w:r>
      <w:r w:rsidR="00C962E9" w:rsidRPr="00C962E9">
        <w:rPr>
          <w:rFonts w:ascii="Calibri" w:hAnsi="Calibri"/>
          <w:vertAlign w:val="superscript"/>
        </w:rPr>
        <w:footnoteReference w:id="258"/>
      </w:r>
      <w:r w:rsidR="00C962E9" w:rsidRPr="00C962E9">
        <w:rPr>
          <w:rFonts w:ascii="Calibri" w:hAnsi="Calibri"/>
        </w:rPr>
        <w:t xml:space="preserve"> Thankfully, neither would be an issue here, unless John were to die first.</w:t>
      </w:r>
      <w:r w:rsidR="00C962E9" w:rsidRPr="00C962E9">
        <w:rPr>
          <w:rFonts w:ascii="Calibri" w:hAnsi="Calibri"/>
          <w:vertAlign w:val="superscript"/>
        </w:rPr>
        <w:footnoteReference w:id="259"/>
      </w:r>
      <w:r w:rsidR="00C962E9" w:rsidRPr="00C962E9">
        <w:rPr>
          <w:rFonts w:ascii="Calibri" w:hAnsi="Calibri"/>
        </w:rPr>
        <w:t xml:space="preserve"> </w:t>
      </w:r>
    </w:p>
    <w:p w14:paraId="53558294" w14:textId="77777777" w:rsidR="00C962E9" w:rsidRPr="00C962E9" w:rsidRDefault="00A27471"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Why isn’t the </w:t>
      </w:r>
      <w:r w:rsidR="00C962E9" w:rsidRPr="00C962E9">
        <w:rPr>
          <w:rFonts w:ascii="Calibri" w:hAnsi="Calibri"/>
          <w:i/>
        </w:rPr>
        <w:t>powerholder’s</w:t>
      </w:r>
      <w:r w:rsidR="00C962E9" w:rsidRPr="00C962E9">
        <w:rPr>
          <w:rFonts w:ascii="Calibri" w:hAnsi="Calibri"/>
        </w:rPr>
        <w:t xml:space="preserve"> death as negative for income tax purposes as the death of the </w:t>
      </w:r>
      <w:r w:rsidR="00C962E9" w:rsidRPr="00C962E9">
        <w:rPr>
          <w:rFonts w:ascii="Calibri" w:hAnsi="Calibri"/>
          <w:i/>
        </w:rPr>
        <w:t>settlor</w:t>
      </w:r>
      <w:r w:rsidR="00C962E9" w:rsidRPr="00C962E9">
        <w:rPr>
          <w:rFonts w:ascii="Calibri" w:hAnsi="Calibri"/>
        </w:rPr>
        <w:t xml:space="preserve">? Well, for one thing, the basis increases to the fair market value date of death, so the trust’s liabilities would unlikely exceed the basis, unless the value had gone down precipitously post-gift. But, more importantly, it is highly likely that the parent powerholder (or John, via lapse provisions in the trust) would structure any appointment or lapse so that </w:t>
      </w:r>
      <w:r w:rsidR="003A4FC5" w:rsidRPr="003A4FC5">
        <w:rPr>
          <w:rFonts w:ascii="Calibri" w:hAnsi="Calibri"/>
          <w:i/>
        </w:rPr>
        <w:t xml:space="preserve">the </w:t>
      </w:r>
      <w:r w:rsidR="00C962E9" w:rsidRPr="003A4FC5">
        <w:rPr>
          <w:rFonts w:ascii="Calibri" w:hAnsi="Calibri"/>
          <w:i/>
        </w:rPr>
        <w:t>taxpayer does not change for income tax purposes anyway</w:t>
      </w:r>
      <w:r w:rsidR="00C962E9" w:rsidRPr="00C962E9">
        <w:rPr>
          <w:rFonts w:ascii="Calibri" w:hAnsi="Calibri"/>
        </w:rPr>
        <w:t xml:space="preserve">. </w:t>
      </w:r>
    </w:p>
    <w:p w14:paraId="127F5A7C" w14:textId="77777777" w:rsidR="00C962E9" w:rsidRPr="00C962E9" w:rsidRDefault="00A27471"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How does the family make this happen? Well, there is the startlingly simple solution that the parent GPOA powerholder can appoint the trust assets to John outright directly,</w:t>
      </w:r>
      <w:r w:rsidR="00C962E9" w:rsidRPr="00C962E9">
        <w:rPr>
          <w:rFonts w:ascii="Calibri" w:hAnsi="Calibri"/>
          <w:vertAlign w:val="superscript"/>
        </w:rPr>
        <w:footnoteReference w:id="260"/>
      </w:r>
      <w:r w:rsidR="00C962E9" w:rsidRPr="00C962E9">
        <w:rPr>
          <w:rFonts w:ascii="Calibri" w:hAnsi="Calibri"/>
        </w:rPr>
        <w:t xml:space="preserve"> or to Jane, his wife.</w:t>
      </w:r>
      <w:r w:rsidR="00C962E9" w:rsidRPr="00C962E9">
        <w:rPr>
          <w:rFonts w:ascii="Calibri" w:hAnsi="Calibri"/>
          <w:vertAlign w:val="superscript"/>
        </w:rPr>
        <w:footnoteReference w:id="261"/>
      </w:r>
      <w:r w:rsidR="00C962E9" w:rsidRPr="00C962E9">
        <w:rPr>
          <w:rFonts w:ascii="Calibri" w:hAnsi="Calibri"/>
        </w:rPr>
        <w:t xml:space="preserve"> Or to a revocable trust or </w:t>
      </w:r>
      <w:r w:rsidR="006B1B60">
        <w:rPr>
          <w:rFonts w:ascii="Calibri" w:hAnsi="Calibri"/>
        </w:rPr>
        <w:t xml:space="preserve">any </w:t>
      </w:r>
      <w:r w:rsidR="00C962E9" w:rsidRPr="00C962E9">
        <w:rPr>
          <w:rFonts w:ascii="Calibri" w:hAnsi="Calibri"/>
        </w:rPr>
        <w:t>other trust that would qualify as a grantor trust for them due to a withdrawal power over all taxable income and/or principal</w:t>
      </w:r>
      <w:r w:rsidR="009C1833">
        <w:rPr>
          <w:rFonts w:ascii="Calibri" w:hAnsi="Calibri"/>
        </w:rPr>
        <w:t>, as discussed in Part VIII</w:t>
      </w:r>
      <w:r w:rsidR="00C962E9" w:rsidRPr="00C962E9">
        <w:rPr>
          <w:rFonts w:ascii="Calibri" w:hAnsi="Calibri"/>
        </w:rPr>
        <w:t xml:space="preserve">. </w:t>
      </w:r>
    </w:p>
    <w:p w14:paraId="3BA39EF2" w14:textId="77777777" w:rsidR="00C962E9" w:rsidRPr="00C962E9" w:rsidRDefault="009C1833"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But what if John and Jane want continuing tax or asset protection benefits of an irrevocable </w:t>
      </w:r>
      <w:r>
        <w:rPr>
          <w:rFonts w:ascii="Calibri" w:hAnsi="Calibri"/>
        </w:rPr>
        <w:t xml:space="preserve">wholly </w:t>
      </w:r>
      <w:r w:rsidR="00C962E9" w:rsidRPr="00C962E9">
        <w:rPr>
          <w:rFonts w:ascii="Calibri" w:hAnsi="Calibri"/>
        </w:rPr>
        <w:t>discretionary trust?</w:t>
      </w:r>
      <w:r>
        <w:rPr>
          <w:rFonts w:ascii="Calibri" w:hAnsi="Calibri"/>
        </w:rPr>
        <w:t xml:space="preserve"> </w:t>
      </w:r>
      <w:r w:rsidR="00C962E9" w:rsidRPr="00C962E9">
        <w:rPr>
          <w:rFonts w:ascii="Calibri" w:hAnsi="Calibri"/>
        </w:rPr>
        <w:t xml:space="preserve"> If the powerholder parent dies </w:t>
      </w:r>
      <w:r w:rsidR="00C962E9" w:rsidRPr="006B1B60">
        <w:rPr>
          <w:rFonts w:ascii="Calibri" w:hAnsi="Calibri"/>
          <w:b/>
          <w:i/>
        </w:rPr>
        <w:t>and exercises</w:t>
      </w:r>
      <w:r w:rsidR="00C962E9" w:rsidRPr="00C962E9">
        <w:rPr>
          <w:rFonts w:ascii="Calibri" w:hAnsi="Calibri"/>
        </w:rPr>
        <w:t xml:space="preserve"> a GPOA to a trust for John or Jane, it </w:t>
      </w:r>
      <w:r w:rsidR="005E1105">
        <w:rPr>
          <w:rFonts w:ascii="Calibri" w:hAnsi="Calibri"/>
        </w:rPr>
        <w:t>is</w:t>
      </w:r>
      <w:r w:rsidR="00C962E9" w:rsidRPr="00C962E9">
        <w:rPr>
          <w:rFonts w:ascii="Calibri" w:hAnsi="Calibri"/>
        </w:rPr>
        <w:t xml:space="preserve"> clear that the powerholder is the new grantor and the trust could only continue as a grantor trust as to them if a broad </w:t>
      </w:r>
      <w:r>
        <w:rPr>
          <w:rFonts w:ascii="Calibri" w:hAnsi="Calibri"/>
        </w:rPr>
        <w:t>IRC §</w:t>
      </w:r>
      <w:r w:rsidR="00C962E9" w:rsidRPr="00C962E9">
        <w:rPr>
          <w:rFonts w:ascii="Calibri" w:hAnsi="Calibri"/>
        </w:rPr>
        <w:t xml:space="preserve">678(a) power applies, which would eliminate </w:t>
      </w:r>
      <w:r>
        <w:rPr>
          <w:rFonts w:ascii="Calibri" w:hAnsi="Calibri"/>
        </w:rPr>
        <w:t>some, but not most,</w:t>
      </w:r>
      <w:r w:rsidR="00C962E9" w:rsidRPr="00C962E9">
        <w:rPr>
          <w:rFonts w:ascii="Calibri" w:hAnsi="Calibri"/>
        </w:rPr>
        <w:t xml:space="preserve"> of the creditor protection and estate tax benefit of the </w:t>
      </w:r>
      <w:r w:rsidR="00C962E9" w:rsidRPr="00C962E9">
        <w:rPr>
          <w:rFonts w:ascii="Calibri" w:hAnsi="Calibri"/>
        </w:rPr>
        <w:lastRenderedPageBreak/>
        <w:t>new appointed trust.</w:t>
      </w:r>
      <w:r w:rsidR="00C962E9" w:rsidRPr="00C962E9">
        <w:rPr>
          <w:rFonts w:ascii="Calibri" w:hAnsi="Calibri"/>
          <w:vertAlign w:val="superscript"/>
        </w:rPr>
        <w:footnoteReference w:id="262"/>
      </w:r>
      <w:r w:rsidR="00C962E9" w:rsidRPr="00C962E9">
        <w:rPr>
          <w:rFonts w:ascii="Calibri" w:hAnsi="Calibri"/>
        </w:rPr>
        <w:t xml:space="preserve"> Ordinary exercises of limited powers of appointment clearly have no effect on the grantor for income tax purposes.</w:t>
      </w:r>
      <w:r w:rsidR="00C962E9" w:rsidRPr="00C962E9">
        <w:rPr>
          <w:rFonts w:ascii="Calibri" w:hAnsi="Calibri"/>
          <w:vertAlign w:val="superscript"/>
        </w:rPr>
        <w:footnoteReference w:id="263"/>
      </w:r>
      <w:r w:rsidR="00C962E9" w:rsidRPr="00C962E9">
        <w:rPr>
          <w:rFonts w:ascii="Calibri" w:hAnsi="Calibri"/>
        </w:rPr>
        <w:t xml:space="preserve"> </w:t>
      </w:r>
    </w:p>
    <w:p w14:paraId="17FE93AA" w14:textId="77777777" w:rsidR="009C1833" w:rsidRDefault="009C1833"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However, if the GPOA merely lapses, or a limited power is exercised in such a way to trigger the Delaware tax trap under </w:t>
      </w:r>
      <w:r>
        <w:rPr>
          <w:rFonts w:ascii="Calibri" w:hAnsi="Calibri"/>
        </w:rPr>
        <w:t>IRC §</w:t>
      </w:r>
      <w:r w:rsidR="00C962E9" w:rsidRPr="00C962E9">
        <w:rPr>
          <w:rFonts w:ascii="Calibri" w:hAnsi="Calibri"/>
        </w:rPr>
        <w:t xml:space="preserve">2041(a)(3) or inclusion as an intervivos </w:t>
      </w:r>
      <w:r w:rsidR="005E1105">
        <w:rPr>
          <w:rFonts w:ascii="Calibri" w:hAnsi="Calibri"/>
        </w:rPr>
        <w:t xml:space="preserve">QTIP, the issue is much murkier - would this be an </w:t>
      </w:r>
      <w:r w:rsidR="005E1105" w:rsidRPr="005E1105">
        <w:rPr>
          <w:rFonts w:ascii="Calibri" w:hAnsi="Calibri"/>
          <w:i/>
        </w:rPr>
        <w:t>indirect</w:t>
      </w:r>
      <w:r w:rsidR="005E1105">
        <w:rPr>
          <w:rFonts w:ascii="Calibri" w:hAnsi="Calibri"/>
        </w:rPr>
        <w:t xml:space="preserve"> gratuitous transfer per §1.671-2(e)?  </w:t>
      </w:r>
      <w:r w:rsidR="00C962E9" w:rsidRPr="00C962E9">
        <w:rPr>
          <w:rFonts w:ascii="Calibri" w:hAnsi="Calibri"/>
        </w:rPr>
        <w:t xml:space="preserve">The mere lapse of a GPOA does not appear to override </w:t>
      </w:r>
      <w:r>
        <w:rPr>
          <w:rFonts w:ascii="Calibri" w:hAnsi="Calibri"/>
        </w:rPr>
        <w:t>§§</w:t>
      </w:r>
      <w:r w:rsidR="00C962E9" w:rsidRPr="00C962E9">
        <w:rPr>
          <w:rFonts w:ascii="Calibri" w:hAnsi="Calibri"/>
        </w:rPr>
        <w:t xml:space="preserve"> 671-677 for grantor trust purposes, not only because of its conspicuous absence of mention in paragraph (e)(5) of </w:t>
      </w:r>
      <w:r>
        <w:rPr>
          <w:rFonts w:ascii="Calibri" w:hAnsi="Calibri"/>
        </w:rPr>
        <w:t xml:space="preserve">Treas. </w:t>
      </w:r>
      <w:r w:rsidR="00C962E9" w:rsidRPr="00C962E9">
        <w:rPr>
          <w:rFonts w:ascii="Calibri" w:hAnsi="Calibri"/>
        </w:rPr>
        <w:t xml:space="preserve">Reg. §1.671-2, but also under the subsequent example 9, wherein the exercise of a GPOA clearly changes the grantor, but the mere presence (and presumably, lapse) of one does not override the original settlor being grantor under </w:t>
      </w:r>
      <w:r w:rsidR="005E1105">
        <w:rPr>
          <w:rFonts w:ascii="Calibri" w:hAnsi="Calibri"/>
        </w:rPr>
        <w:t>IRC §§</w:t>
      </w:r>
      <w:r w:rsidR="00C962E9" w:rsidRPr="00C962E9">
        <w:rPr>
          <w:rFonts w:ascii="Calibri" w:hAnsi="Calibri"/>
        </w:rPr>
        <w:t xml:space="preserve"> 671-677. </w:t>
      </w:r>
      <w:r w:rsidR="00667C13">
        <w:rPr>
          <w:rFonts w:ascii="Calibri" w:hAnsi="Calibri"/>
        </w:rPr>
        <w:t xml:space="preserve"> Lapses are not necessarily “transfers”.</w:t>
      </w:r>
    </w:p>
    <w:p w14:paraId="1C73A698" w14:textId="77777777" w:rsidR="00C962E9" w:rsidRPr="00C962E9" w:rsidRDefault="009C1833"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LPOAs triggering the Delaware Tax Trap are equally uncertain as to whether they override the original settlor’s grantor trust status</w:t>
      </w:r>
      <w:r>
        <w:rPr>
          <w:rFonts w:ascii="Calibri" w:hAnsi="Calibri"/>
        </w:rPr>
        <w:t>.  D</w:t>
      </w:r>
      <w:r w:rsidR="00C962E9" w:rsidRPr="00C962E9">
        <w:rPr>
          <w:rFonts w:ascii="Calibri" w:hAnsi="Calibri"/>
        </w:rPr>
        <w:t xml:space="preserve">oes “generally” in the statute imply there are exceptions? </w:t>
      </w:r>
      <w:r w:rsidR="00667C13">
        <w:rPr>
          <w:rFonts w:ascii="Calibri" w:hAnsi="Calibri"/>
        </w:rPr>
        <w:t xml:space="preserve"> </w:t>
      </w:r>
      <w:r w:rsidR="00C962E9" w:rsidRPr="00C962E9">
        <w:rPr>
          <w:rFonts w:ascii="Calibri" w:hAnsi="Calibri"/>
        </w:rPr>
        <w:t xml:space="preserve">Should </w:t>
      </w:r>
      <w:r>
        <w:rPr>
          <w:rFonts w:ascii="Calibri" w:hAnsi="Calibri"/>
        </w:rPr>
        <w:t>limited</w:t>
      </w:r>
      <w:r w:rsidR="00C962E9" w:rsidRPr="00C962E9">
        <w:rPr>
          <w:rFonts w:ascii="Calibri" w:hAnsi="Calibri"/>
        </w:rPr>
        <w:t xml:space="preserve"> powers </w:t>
      </w:r>
      <w:r>
        <w:rPr>
          <w:rFonts w:ascii="Calibri" w:hAnsi="Calibri"/>
        </w:rPr>
        <w:t xml:space="preserve">that are treated like general powers for tax purposes </w:t>
      </w:r>
      <w:r w:rsidR="00C962E9" w:rsidRPr="00C962E9">
        <w:rPr>
          <w:rFonts w:ascii="Calibri" w:hAnsi="Calibri"/>
        </w:rPr>
        <w:t>be treated more like exercised GPOAs</w:t>
      </w:r>
      <w:r>
        <w:rPr>
          <w:rFonts w:ascii="Calibri" w:hAnsi="Calibri"/>
        </w:rPr>
        <w:t xml:space="preserve"> for income tax purposes</w:t>
      </w:r>
      <w:r w:rsidR="00C962E9" w:rsidRPr="00C962E9">
        <w:rPr>
          <w:rFonts w:ascii="Calibri" w:hAnsi="Calibri"/>
        </w:rPr>
        <w:t xml:space="preserve">? </w:t>
      </w:r>
    </w:p>
    <w:p w14:paraId="1BCAD3C9" w14:textId="77777777" w:rsidR="00C962E9" w:rsidRDefault="009C1833" w:rsidP="00C962E9">
      <w:pPr>
        <w:tabs>
          <w:tab w:val="left" w:pos="540"/>
        </w:tabs>
        <w:autoSpaceDE w:val="0"/>
        <w:autoSpaceDN w:val="0"/>
        <w:adjustRightInd w:val="0"/>
        <w:spacing w:line="360" w:lineRule="auto"/>
        <w:rPr>
          <w:rFonts w:ascii="Calibri" w:hAnsi="Calibri"/>
        </w:rPr>
      </w:pPr>
      <w:r>
        <w:rPr>
          <w:rFonts w:ascii="Calibri" w:hAnsi="Calibri"/>
        </w:rPr>
        <w:lastRenderedPageBreak/>
        <w:tab/>
      </w:r>
      <w:r w:rsidR="00C962E9" w:rsidRPr="00C962E9">
        <w:rPr>
          <w:rFonts w:ascii="Calibri" w:hAnsi="Calibri"/>
        </w:rPr>
        <w:t xml:space="preserve">Thus, if the parent’s GPOA merely </w:t>
      </w:r>
      <w:r w:rsidR="00C962E9" w:rsidRPr="006B1B60">
        <w:rPr>
          <w:rFonts w:ascii="Calibri" w:hAnsi="Calibri"/>
          <w:b/>
          <w:i/>
        </w:rPr>
        <w:t>lapsed</w:t>
      </w:r>
      <w:r w:rsidR="00C962E9" w:rsidRPr="00C962E9">
        <w:rPr>
          <w:rFonts w:ascii="Calibri" w:hAnsi="Calibri"/>
        </w:rPr>
        <w:t xml:space="preserve"> at their death, and the trust continued with terms that kept John as a grantor under </w:t>
      </w:r>
      <w:r>
        <w:rPr>
          <w:rFonts w:ascii="Calibri" w:hAnsi="Calibri"/>
        </w:rPr>
        <w:t>IRC §§</w:t>
      </w:r>
      <w:r w:rsidR="00C962E9" w:rsidRPr="00C962E9">
        <w:rPr>
          <w:rFonts w:ascii="Calibri" w:hAnsi="Calibri"/>
        </w:rPr>
        <w:t xml:space="preserve">671-677, such as power of substitution, provisions enabling income to be distributed to </w:t>
      </w:r>
      <w:r w:rsidR="00B66581">
        <w:rPr>
          <w:rFonts w:ascii="Calibri" w:hAnsi="Calibri"/>
        </w:rPr>
        <w:t xml:space="preserve">grantor’s </w:t>
      </w:r>
      <w:r w:rsidR="00C962E9" w:rsidRPr="00C962E9">
        <w:rPr>
          <w:rFonts w:ascii="Calibri" w:hAnsi="Calibri"/>
        </w:rPr>
        <w:t xml:space="preserve">spouse, etc., but no provisions that would trigger estate tax inclusion, then we apparently have the holy grail of a step up in basis, while keeping grantor trust status and still keeping the estate and asset protection benefits of the trust. </w:t>
      </w:r>
    </w:p>
    <w:p w14:paraId="4F2B9332" w14:textId="77777777" w:rsidR="00527275" w:rsidRDefault="00BB7C8D" w:rsidP="00C962E9">
      <w:pPr>
        <w:tabs>
          <w:tab w:val="left" w:pos="540"/>
        </w:tabs>
        <w:autoSpaceDE w:val="0"/>
        <w:autoSpaceDN w:val="0"/>
        <w:adjustRightInd w:val="0"/>
        <w:spacing w:line="360" w:lineRule="auto"/>
        <w:rPr>
          <w:rFonts w:ascii="Calibri" w:hAnsi="Calibri"/>
        </w:rPr>
      </w:pPr>
      <w:r>
        <w:rPr>
          <w:rFonts w:ascii="Calibri" w:hAnsi="Calibri"/>
        </w:rPr>
        <w:tab/>
      </w:r>
      <w:r w:rsidR="0067052E">
        <w:rPr>
          <w:rFonts w:ascii="Calibri" w:hAnsi="Calibri"/>
        </w:rPr>
        <w:t xml:space="preserve">Can the settlor also be a beneficiary at that point?  Who is the settlor when a GPOA lapses?  It matters greatly (unless it is a DAPT state) if the original settlor becomes a beneficiary.  </w:t>
      </w:r>
      <w:r w:rsidR="00527275">
        <w:rPr>
          <w:rFonts w:ascii="Calibri" w:hAnsi="Calibri"/>
        </w:rPr>
        <w:t xml:space="preserve">The </w:t>
      </w:r>
      <w:r w:rsidR="0067052E">
        <w:rPr>
          <w:rFonts w:ascii="Calibri" w:hAnsi="Calibri"/>
        </w:rPr>
        <w:t xml:space="preserve">answer </w:t>
      </w:r>
      <w:r w:rsidR="00527275">
        <w:rPr>
          <w:rFonts w:ascii="Calibri" w:hAnsi="Calibri"/>
        </w:rPr>
        <w:t xml:space="preserve">is </w:t>
      </w:r>
      <w:r w:rsidR="0067052E">
        <w:rPr>
          <w:rFonts w:ascii="Calibri" w:hAnsi="Calibri"/>
        </w:rPr>
        <w:t xml:space="preserve">actually quite </w:t>
      </w:r>
      <w:r w:rsidR="00527275">
        <w:rPr>
          <w:rFonts w:ascii="Calibri" w:hAnsi="Calibri"/>
        </w:rPr>
        <w:t xml:space="preserve">complex and may vary from state to state.  Under the Third Restatement, a powerholder is </w:t>
      </w:r>
      <w:r w:rsidR="0067052E">
        <w:rPr>
          <w:rFonts w:ascii="Calibri" w:hAnsi="Calibri"/>
        </w:rPr>
        <w:t xml:space="preserve">clearly </w:t>
      </w:r>
      <w:r w:rsidR="00527275">
        <w:rPr>
          <w:rFonts w:ascii="Calibri" w:hAnsi="Calibri"/>
        </w:rPr>
        <w:t>considered the settlor upon lapse.</w:t>
      </w:r>
      <w:r w:rsidR="00527275">
        <w:rPr>
          <w:rStyle w:val="FootnoteReference"/>
          <w:rFonts w:ascii="Calibri" w:hAnsi="Calibri"/>
        </w:rPr>
        <w:footnoteReference w:id="264"/>
      </w:r>
      <w:r w:rsidR="00527275">
        <w:rPr>
          <w:rFonts w:ascii="Calibri" w:hAnsi="Calibri"/>
        </w:rPr>
        <w:t xml:space="preserve">  Thus,</w:t>
      </w:r>
      <w:r w:rsidR="0067052E">
        <w:rPr>
          <w:rFonts w:ascii="Calibri" w:hAnsi="Calibri"/>
        </w:rPr>
        <w:t xml:space="preserve"> the decedent</w:t>
      </w:r>
      <w:r w:rsidR="00527275">
        <w:rPr>
          <w:rFonts w:ascii="Calibri" w:hAnsi="Calibri"/>
        </w:rPr>
        <w:t xml:space="preserve"> parent would be the settlor of the trust, so the original settlor could be a beneficiary without the trust being considered self-settled.  However, it’s unlikely that any state really follows the Restatement on this point.</w:t>
      </w:r>
      <w:r w:rsidR="00527275">
        <w:rPr>
          <w:rStyle w:val="FootnoteReference"/>
          <w:rFonts w:ascii="Calibri" w:hAnsi="Calibri"/>
        </w:rPr>
        <w:footnoteReference w:id="265"/>
      </w:r>
      <w:r w:rsidR="00527275">
        <w:rPr>
          <w:rFonts w:ascii="Calibri" w:hAnsi="Calibri"/>
        </w:rPr>
        <w:t xml:space="preserve">  Under common law, the original settlor would remain the settlor even after a lapse, but not after an exercise of a general power.  Thus, </w:t>
      </w:r>
      <w:r w:rsidR="00166006">
        <w:rPr>
          <w:rFonts w:ascii="Calibri" w:hAnsi="Calibri"/>
        </w:rPr>
        <w:t xml:space="preserve">in many states, in order </w:t>
      </w:r>
      <w:r w:rsidR="00527275">
        <w:rPr>
          <w:rFonts w:ascii="Calibri" w:hAnsi="Calibri"/>
        </w:rPr>
        <w:t>to preserve the creditor protection of the trust</w:t>
      </w:r>
      <w:r w:rsidR="00166006">
        <w:rPr>
          <w:rFonts w:ascii="Calibri" w:hAnsi="Calibri"/>
        </w:rPr>
        <w:t xml:space="preserve"> and enable the original settlor to become a beneficiary of the trust that is the taker in default post-lapse, the trust may have to come</w:t>
      </w:r>
      <w:r w:rsidR="00527275">
        <w:rPr>
          <w:rFonts w:ascii="Calibri" w:hAnsi="Calibri"/>
        </w:rPr>
        <w:t xml:space="preserve"> under a state’s DAPT statute or remain as a trust for spouse and children alone</w:t>
      </w:r>
      <w:r w:rsidR="00166006">
        <w:rPr>
          <w:rFonts w:ascii="Calibri" w:hAnsi="Calibri"/>
        </w:rPr>
        <w:t>, or, of course, the parent/powerholder could exercise the GPOA</w:t>
      </w:r>
      <w:r w:rsidR="00527275">
        <w:rPr>
          <w:rFonts w:ascii="Calibri" w:hAnsi="Calibri"/>
        </w:rPr>
        <w:t>.</w:t>
      </w:r>
    </w:p>
    <w:p w14:paraId="5BDE48A1" w14:textId="77777777" w:rsidR="00BB7C8D" w:rsidRPr="00C962E9" w:rsidRDefault="00527275" w:rsidP="00C962E9">
      <w:pPr>
        <w:tabs>
          <w:tab w:val="left" w:pos="540"/>
        </w:tabs>
        <w:autoSpaceDE w:val="0"/>
        <w:autoSpaceDN w:val="0"/>
        <w:adjustRightInd w:val="0"/>
        <w:spacing w:line="360" w:lineRule="auto"/>
        <w:rPr>
          <w:rFonts w:ascii="Calibri" w:hAnsi="Calibri"/>
        </w:rPr>
      </w:pPr>
      <w:r>
        <w:rPr>
          <w:rFonts w:ascii="Calibri" w:hAnsi="Calibri"/>
        </w:rPr>
        <w:tab/>
      </w:r>
      <w:r w:rsidR="00BB7C8D">
        <w:rPr>
          <w:rFonts w:ascii="Calibri" w:hAnsi="Calibri"/>
        </w:rPr>
        <w:t>Not all taxpayers would prefer to keep grantor trust status</w:t>
      </w:r>
      <w:r w:rsidR="009E3795">
        <w:rPr>
          <w:rFonts w:ascii="Calibri" w:hAnsi="Calibri"/>
        </w:rPr>
        <w:t>,</w:t>
      </w:r>
      <w:r w:rsidR="00BB7C8D">
        <w:rPr>
          <w:rFonts w:ascii="Calibri" w:hAnsi="Calibri"/>
        </w:rPr>
        <w:t xml:space="preserve"> however – as discussed in Part VIII of this paper, clients may prefer to </w:t>
      </w:r>
      <w:r w:rsidR="006F6994">
        <w:rPr>
          <w:rFonts w:ascii="Calibri" w:hAnsi="Calibri"/>
        </w:rPr>
        <w:t xml:space="preserve">exploit a </w:t>
      </w:r>
      <w:r w:rsidR="006F6994" w:rsidRPr="006F6994">
        <w:rPr>
          <w:rFonts w:ascii="Calibri" w:hAnsi="Calibri"/>
          <w:b/>
          <w:i/>
        </w:rPr>
        <w:t>non-grantor trust</w:t>
      </w:r>
      <w:r w:rsidR="006F6994">
        <w:rPr>
          <w:rFonts w:ascii="Calibri" w:hAnsi="Calibri"/>
        </w:rPr>
        <w:t xml:space="preserve"> to </w:t>
      </w:r>
      <w:r w:rsidR="00BB7C8D">
        <w:rPr>
          <w:rFonts w:ascii="Calibri" w:hAnsi="Calibri"/>
        </w:rPr>
        <w:t>shift future income to children/grandchildren who are likely sub</w:t>
      </w:r>
      <w:r w:rsidR="009E3795">
        <w:rPr>
          <w:rFonts w:ascii="Calibri" w:hAnsi="Calibri"/>
        </w:rPr>
        <w:t>ject to lower income tax rates,</w:t>
      </w:r>
      <w:r w:rsidR="00BB7C8D">
        <w:rPr>
          <w:rFonts w:ascii="Calibri" w:hAnsi="Calibri"/>
        </w:rPr>
        <w:t xml:space="preserve"> get better charitable deductions </w:t>
      </w:r>
      <w:r w:rsidR="009E3795">
        <w:rPr>
          <w:rFonts w:ascii="Calibri" w:hAnsi="Calibri"/>
        </w:rPr>
        <w:t xml:space="preserve">that avoid Pease limitations and the 3.8% surtax </w:t>
      </w:r>
      <w:r w:rsidR="00BB7C8D">
        <w:rPr>
          <w:rFonts w:ascii="Calibri" w:hAnsi="Calibri"/>
        </w:rPr>
        <w:t>and/or perhaps most importantly, avoid state income taxes.</w:t>
      </w:r>
      <w:r w:rsidR="00BB7C8D">
        <w:rPr>
          <w:rStyle w:val="FootnoteReference"/>
          <w:rFonts w:ascii="Calibri" w:hAnsi="Calibri"/>
        </w:rPr>
        <w:footnoteReference w:id="266"/>
      </w:r>
      <w:r w:rsidR="006B1B60">
        <w:rPr>
          <w:rFonts w:ascii="Calibri" w:hAnsi="Calibri"/>
        </w:rPr>
        <w:t xml:space="preserve">  The change from a grantor trust to a non-grantor </w:t>
      </w:r>
      <w:r w:rsidR="006B1B60">
        <w:rPr>
          <w:rFonts w:ascii="Calibri" w:hAnsi="Calibri"/>
        </w:rPr>
        <w:lastRenderedPageBreak/>
        <w:t xml:space="preserve">trust </w:t>
      </w:r>
      <w:r w:rsidR="006B1B60" w:rsidRPr="006B1B60">
        <w:rPr>
          <w:rFonts w:ascii="Calibri" w:hAnsi="Calibri"/>
          <w:i/>
        </w:rPr>
        <w:t>while the grantor is still living</w:t>
      </w:r>
      <w:r w:rsidR="00BB7C8D">
        <w:rPr>
          <w:rFonts w:ascii="Calibri" w:hAnsi="Calibri"/>
        </w:rPr>
        <w:t xml:space="preserve"> </w:t>
      </w:r>
      <w:r w:rsidR="006B1B60">
        <w:rPr>
          <w:rFonts w:ascii="Calibri" w:hAnsi="Calibri"/>
        </w:rPr>
        <w:t>causes the grantor to be</w:t>
      </w:r>
      <w:r w:rsidR="006B1B60" w:rsidRPr="006B1B60">
        <w:rPr>
          <w:rFonts w:ascii="Calibri" w:hAnsi="Calibri"/>
        </w:rPr>
        <w:t xml:space="preserve"> deemed </w:t>
      </w:r>
      <w:r w:rsidR="006B1B60">
        <w:rPr>
          <w:rFonts w:ascii="Calibri" w:hAnsi="Calibri"/>
        </w:rPr>
        <w:t xml:space="preserve">for income tax purposes </w:t>
      </w:r>
      <w:r w:rsidR="006B1B60" w:rsidRPr="006B1B60">
        <w:rPr>
          <w:rFonts w:ascii="Calibri" w:hAnsi="Calibri"/>
        </w:rPr>
        <w:t xml:space="preserve">to have transferred the assets and liabilities </w:t>
      </w:r>
      <w:r w:rsidR="006B1B60">
        <w:rPr>
          <w:rFonts w:ascii="Calibri" w:hAnsi="Calibri"/>
        </w:rPr>
        <w:t>to</w:t>
      </w:r>
      <w:r w:rsidR="006F6994">
        <w:rPr>
          <w:rFonts w:ascii="Calibri" w:hAnsi="Calibri"/>
        </w:rPr>
        <w:t xml:space="preserve"> the trust</w:t>
      </w:r>
      <w:r w:rsidR="006B1B60" w:rsidRPr="006B1B60">
        <w:rPr>
          <w:rFonts w:ascii="Calibri" w:hAnsi="Calibri"/>
        </w:rPr>
        <w:t>. The trust becomes a separate taxable entity for income tax purposes, and the grantor is taxed on consideration received by the grantor in excess of the basis in the property transferred.</w:t>
      </w:r>
      <w:r w:rsidR="006F6994">
        <w:rPr>
          <w:rStyle w:val="FootnoteReference"/>
          <w:rFonts w:ascii="Calibri" w:hAnsi="Calibri"/>
        </w:rPr>
        <w:footnoteReference w:id="267"/>
      </w:r>
      <w:r w:rsidR="006F6994">
        <w:rPr>
          <w:rFonts w:ascii="Calibri" w:hAnsi="Calibri"/>
        </w:rPr>
        <w:t xml:space="preserve">  This sounds bad, but in our case, the grantor would probably receive no consideration, and </w:t>
      </w:r>
      <w:r w:rsidR="00E5784F">
        <w:rPr>
          <w:rFonts w:ascii="Calibri" w:hAnsi="Calibri"/>
        </w:rPr>
        <w:t>more importantly</w:t>
      </w:r>
      <w:r w:rsidR="006F6994">
        <w:rPr>
          <w:rFonts w:ascii="Calibri" w:hAnsi="Calibri"/>
        </w:rPr>
        <w:t>, the basis would have been increased anyway by the power holder’s death</w:t>
      </w:r>
      <w:r w:rsidR="00E5784F">
        <w:rPr>
          <w:rFonts w:ascii="Calibri" w:hAnsi="Calibri"/>
        </w:rPr>
        <w:t>, which is not usually the case w/installment sales to IGTs</w:t>
      </w:r>
      <w:r w:rsidR="006F6994">
        <w:rPr>
          <w:rFonts w:ascii="Calibri" w:hAnsi="Calibri"/>
        </w:rPr>
        <w:t>.</w:t>
      </w:r>
    </w:p>
    <w:p w14:paraId="63D7F4AA" w14:textId="77777777" w:rsidR="00C962E9" w:rsidRPr="00C962E9" w:rsidRDefault="009C1833"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But, doesn’t the IRS ignore everything having to do with a grantor and grantor trust for income tax purposes, and couldn’t this include application of Code Sec. 1014 in the above instance?</w:t>
      </w:r>
      <w:r w:rsidR="00C962E9" w:rsidRPr="00C962E9">
        <w:rPr>
          <w:rFonts w:ascii="Calibri" w:hAnsi="Calibri"/>
          <w:vertAlign w:val="superscript"/>
        </w:rPr>
        <w:footnoteReference w:id="268"/>
      </w:r>
      <w:r w:rsidR="00C962E9" w:rsidRPr="00C962E9">
        <w:rPr>
          <w:rFonts w:ascii="Calibri" w:hAnsi="Calibri"/>
        </w:rPr>
        <w:t xml:space="preserve"> </w:t>
      </w:r>
      <w:r w:rsidR="00126927">
        <w:rPr>
          <w:rFonts w:ascii="Calibri" w:hAnsi="Calibri"/>
        </w:rPr>
        <w:t xml:space="preserve">Some fear that if the taxpayer does not change for income tax purposes that Section 1014 should not apply.  </w:t>
      </w:r>
      <w:r w:rsidR="00C962E9" w:rsidRPr="00C962E9">
        <w:rPr>
          <w:rFonts w:ascii="Calibri" w:hAnsi="Calibri"/>
        </w:rPr>
        <w:t xml:space="preserve">Rev. Rul. 85-13 does generally ignore transactions between a grantor and a grantor trust, but here </w:t>
      </w:r>
      <w:r w:rsidR="00E5784F">
        <w:rPr>
          <w:rFonts w:ascii="Calibri" w:hAnsi="Calibri"/>
        </w:rPr>
        <w:t>§</w:t>
      </w:r>
      <w:r w:rsidR="00C962E9" w:rsidRPr="00C962E9">
        <w:rPr>
          <w:rFonts w:ascii="Calibri" w:hAnsi="Calibri"/>
        </w:rPr>
        <w:t xml:space="preserve"> 2041 and </w:t>
      </w:r>
      <w:r w:rsidR="00E5784F">
        <w:rPr>
          <w:rFonts w:ascii="Calibri" w:hAnsi="Calibri"/>
        </w:rPr>
        <w:t>§</w:t>
      </w:r>
      <w:r w:rsidR="00C962E9" w:rsidRPr="00C962E9">
        <w:rPr>
          <w:rFonts w:ascii="Calibri" w:hAnsi="Calibri"/>
        </w:rPr>
        <w:t xml:space="preserve"> 1014 is applying not because of any </w:t>
      </w:r>
      <w:r w:rsidR="00C962E9" w:rsidRPr="00E5784F">
        <w:rPr>
          <w:rFonts w:ascii="Calibri" w:hAnsi="Calibri"/>
          <w:i/>
        </w:rPr>
        <w:t>transaction</w:t>
      </w:r>
      <w:r w:rsidR="00C962E9" w:rsidRPr="00C962E9">
        <w:rPr>
          <w:rFonts w:ascii="Calibri" w:hAnsi="Calibri"/>
        </w:rPr>
        <w:t xml:space="preserve"> between the grantor and his trust, but because of a </w:t>
      </w:r>
      <w:r w:rsidR="00C962E9" w:rsidRPr="00BB7C8D">
        <w:rPr>
          <w:rFonts w:ascii="Calibri" w:hAnsi="Calibri"/>
          <w:i/>
        </w:rPr>
        <w:t>powerholder’s</w:t>
      </w:r>
      <w:r w:rsidR="00C962E9" w:rsidRPr="00C962E9">
        <w:rPr>
          <w:rFonts w:ascii="Calibri" w:hAnsi="Calibri"/>
        </w:rPr>
        <w:t xml:space="preserve"> </w:t>
      </w:r>
      <w:r w:rsidR="00E5784F">
        <w:rPr>
          <w:rFonts w:ascii="Calibri" w:hAnsi="Calibri"/>
        </w:rPr>
        <w:t>property interest being subject to transfer tax</w:t>
      </w:r>
      <w:r w:rsidR="00C962E9" w:rsidRPr="00C962E9">
        <w:rPr>
          <w:rFonts w:ascii="Calibri" w:hAnsi="Calibri"/>
        </w:rPr>
        <w:t xml:space="preserve">. </w:t>
      </w:r>
      <w:r w:rsidR="00937AAB">
        <w:rPr>
          <w:rFonts w:ascii="Calibri" w:hAnsi="Calibri"/>
        </w:rPr>
        <w:t>There is one somewhat encouraging PLR somewhat on point but it is maddeningly inconclusive</w:t>
      </w:r>
      <w:r w:rsidR="00C37E2C">
        <w:rPr>
          <w:rFonts w:ascii="Calibri" w:hAnsi="Calibri"/>
        </w:rPr>
        <w:t>.</w:t>
      </w:r>
      <w:r w:rsidR="00C37E2C">
        <w:rPr>
          <w:rStyle w:val="FootnoteReference"/>
          <w:rFonts w:ascii="Calibri" w:hAnsi="Calibri"/>
        </w:rPr>
        <w:footnoteReference w:id="269"/>
      </w:r>
      <w:r w:rsidR="00C37E2C">
        <w:rPr>
          <w:rFonts w:ascii="Calibri" w:hAnsi="Calibri"/>
        </w:rPr>
        <w:t xml:space="preserve">  </w:t>
      </w:r>
      <w:r w:rsidR="00C962E9" w:rsidRPr="00C962E9">
        <w:rPr>
          <w:rFonts w:ascii="Calibri" w:hAnsi="Calibri"/>
        </w:rPr>
        <w:t>These two statutes</w:t>
      </w:r>
      <w:r w:rsidR="00C37E2C">
        <w:rPr>
          <w:rFonts w:ascii="Calibri" w:hAnsi="Calibri"/>
        </w:rPr>
        <w:t>, §2041 and §1014,</w:t>
      </w:r>
      <w:r w:rsidR="00C962E9" w:rsidRPr="00C962E9">
        <w:rPr>
          <w:rFonts w:ascii="Calibri" w:hAnsi="Calibri"/>
        </w:rPr>
        <w:t xml:space="preserve"> clearly apply to </w:t>
      </w:r>
      <w:r w:rsidR="00C962E9" w:rsidRPr="00234384">
        <w:rPr>
          <w:rFonts w:ascii="Calibri" w:hAnsi="Calibri"/>
          <w:i/>
        </w:rPr>
        <w:t>lapses</w:t>
      </w:r>
      <w:r w:rsidR="00C962E9" w:rsidRPr="00C962E9">
        <w:rPr>
          <w:rFonts w:ascii="Calibri" w:hAnsi="Calibri"/>
        </w:rPr>
        <w:t xml:space="preserve"> of testamentary GPOAs as well as exercises</w:t>
      </w:r>
      <w:r w:rsidR="00E5784F">
        <w:rPr>
          <w:rFonts w:ascii="Calibri" w:hAnsi="Calibri"/>
        </w:rPr>
        <w:t xml:space="preserve"> – who is taxed for income tax purposes before or after</w:t>
      </w:r>
      <w:r w:rsidR="00126927">
        <w:rPr>
          <w:rFonts w:ascii="Calibri" w:hAnsi="Calibri"/>
        </w:rPr>
        <w:t xml:space="preserve"> the event</w:t>
      </w:r>
      <w:r w:rsidR="00E5784F">
        <w:rPr>
          <w:rFonts w:ascii="Calibri" w:hAnsi="Calibri"/>
        </w:rPr>
        <w:t xml:space="preserve"> is irrelevant</w:t>
      </w:r>
      <w:r w:rsidR="00C962E9" w:rsidRPr="00C962E9">
        <w:rPr>
          <w:rFonts w:ascii="Calibri" w:hAnsi="Calibri"/>
        </w:rPr>
        <w:t>.</w:t>
      </w:r>
      <w:r w:rsidR="00C962E9" w:rsidRPr="00C962E9">
        <w:rPr>
          <w:rFonts w:ascii="Calibri" w:hAnsi="Calibri"/>
          <w:vertAlign w:val="superscript"/>
        </w:rPr>
        <w:footnoteReference w:id="270"/>
      </w:r>
      <w:r w:rsidR="00C962E9" w:rsidRPr="00C962E9">
        <w:rPr>
          <w:rFonts w:ascii="Calibri" w:hAnsi="Calibri"/>
        </w:rPr>
        <w:t xml:space="preserve">  </w:t>
      </w:r>
      <w:r w:rsidR="00126927">
        <w:rPr>
          <w:rFonts w:ascii="Calibri" w:hAnsi="Calibri"/>
        </w:rPr>
        <w:t xml:space="preserve">If a change in taxpayer were necessary for </w:t>
      </w:r>
      <w:r w:rsidR="00126927">
        <w:rPr>
          <w:rFonts w:ascii="Calibri" w:hAnsi="Calibri"/>
        </w:rPr>
        <w:lastRenderedPageBreak/>
        <w:t xml:space="preserve">Section 1014 to apply a step up in basis, as some fear, then no QTIP would ever receive a new basis at the surviving spouse’s death (nor any other non-grantor trust included in someone’s estate), since the taxpayer is typically not changing in such instances just because of estate inclusion.  Few would argue </w:t>
      </w:r>
      <w:r w:rsidR="00F377C6">
        <w:rPr>
          <w:rFonts w:ascii="Calibri" w:hAnsi="Calibri"/>
        </w:rPr>
        <w:t xml:space="preserve">for </w:t>
      </w:r>
      <w:r w:rsidR="00126927">
        <w:rPr>
          <w:rFonts w:ascii="Calibri" w:hAnsi="Calibri"/>
        </w:rPr>
        <w:t>such an absurd result</w:t>
      </w:r>
      <w:r w:rsidR="00F377C6">
        <w:rPr>
          <w:rFonts w:ascii="Calibri" w:hAnsi="Calibri"/>
        </w:rPr>
        <w:t xml:space="preserve"> in light of decades of marital trusts receiving a new basis</w:t>
      </w:r>
      <w:r w:rsidR="00126927">
        <w:rPr>
          <w:rFonts w:ascii="Calibri" w:hAnsi="Calibri"/>
        </w:rPr>
        <w:t>.</w:t>
      </w:r>
    </w:p>
    <w:p w14:paraId="14593CCD" w14:textId="77777777" w:rsidR="000664E2" w:rsidRDefault="009C1833" w:rsidP="000B5125">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But there is another potential quirk </w:t>
      </w:r>
      <w:r w:rsidR="00126927">
        <w:rPr>
          <w:rFonts w:ascii="Calibri" w:hAnsi="Calibri"/>
        </w:rPr>
        <w:t xml:space="preserve">in the second sentence of </w:t>
      </w:r>
      <w:r w:rsidR="00126927">
        <w:rPr>
          <w:rFonts w:ascii="Calibri" w:hAnsi="Calibri" w:cs="Calibri"/>
        </w:rPr>
        <w:t>§</w:t>
      </w:r>
      <w:r w:rsidR="00C962E9" w:rsidRPr="00C962E9">
        <w:rPr>
          <w:rFonts w:ascii="Calibri" w:hAnsi="Calibri"/>
        </w:rPr>
        <w:t>1014</w:t>
      </w:r>
      <w:r w:rsidR="00126927">
        <w:rPr>
          <w:rFonts w:ascii="Calibri" w:hAnsi="Calibri"/>
        </w:rPr>
        <w:t>(b)(9)</w:t>
      </w:r>
      <w:r w:rsidR="00C962E9" w:rsidRPr="00C962E9">
        <w:rPr>
          <w:rFonts w:ascii="Calibri" w:hAnsi="Calibri"/>
        </w:rPr>
        <w:t xml:space="preserve"> that might apply: if the property is acquired before the decedent powerholder’s death, </w:t>
      </w:r>
      <w:r w:rsidR="00F377C6">
        <w:rPr>
          <w:rFonts w:ascii="Calibri" w:hAnsi="Calibri"/>
        </w:rPr>
        <w:t>the basis</w:t>
      </w:r>
      <w:r w:rsidR="00C962E9" w:rsidRPr="00C962E9">
        <w:rPr>
          <w:rFonts w:ascii="Calibri" w:hAnsi="Calibri"/>
        </w:rPr>
        <w:t xml:space="preserve"> is reduced by depreciation. This second sentence of paragraph (b)(9) is meant to compensate for “string” gifts of depreciable property brought back into a donor’s estate. Would that apply here</w:t>
      </w:r>
      <w:r w:rsidR="00834B80">
        <w:rPr>
          <w:rFonts w:ascii="Calibri" w:hAnsi="Calibri"/>
        </w:rPr>
        <w:t>, since our hypothetical settlor</w:t>
      </w:r>
      <w:r w:rsidR="000664E2">
        <w:rPr>
          <w:rFonts w:ascii="Calibri" w:hAnsi="Calibri"/>
        </w:rPr>
        <w:t xml:space="preserve"> who is also the recipient for income tax purposes had </w:t>
      </w:r>
      <w:r w:rsidR="00F377C6">
        <w:rPr>
          <w:rFonts w:ascii="Calibri" w:hAnsi="Calibri"/>
        </w:rPr>
        <w:t xml:space="preserve">arguably </w:t>
      </w:r>
      <w:r w:rsidR="000664E2" w:rsidRPr="00F377C6">
        <w:rPr>
          <w:rFonts w:ascii="Calibri" w:hAnsi="Calibri"/>
          <w:i/>
        </w:rPr>
        <w:t>acquired</w:t>
      </w:r>
      <w:r w:rsidR="000664E2">
        <w:rPr>
          <w:rFonts w:ascii="Calibri" w:hAnsi="Calibri"/>
        </w:rPr>
        <w:t xml:space="preserve"> the property</w:t>
      </w:r>
      <w:r w:rsidR="00F377C6">
        <w:rPr>
          <w:rFonts w:ascii="Calibri" w:hAnsi="Calibri"/>
        </w:rPr>
        <w:t xml:space="preserve"> (for income tax purposes, if not for state law purposes)</w:t>
      </w:r>
      <w:r w:rsidR="000664E2">
        <w:rPr>
          <w:rFonts w:ascii="Calibri" w:hAnsi="Calibri"/>
        </w:rPr>
        <w:t xml:space="preserve"> </w:t>
      </w:r>
      <w:r w:rsidR="000664E2" w:rsidRPr="00F377C6">
        <w:rPr>
          <w:rFonts w:ascii="Calibri" w:hAnsi="Calibri"/>
          <w:i/>
        </w:rPr>
        <w:t>before</w:t>
      </w:r>
      <w:r w:rsidR="000664E2">
        <w:rPr>
          <w:rFonts w:ascii="Calibri" w:hAnsi="Calibri"/>
        </w:rPr>
        <w:t xml:space="preserve"> the decedent’s death</w:t>
      </w:r>
      <w:r w:rsidR="00C962E9" w:rsidRPr="00C962E9">
        <w:rPr>
          <w:rFonts w:ascii="Calibri" w:hAnsi="Calibri"/>
        </w:rPr>
        <w:t xml:space="preserve">? </w:t>
      </w:r>
      <w:r w:rsidR="00F377C6">
        <w:rPr>
          <w:rFonts w:ascii="Calibri" w:hAnsi="Calibri"/>
        </w:rPr>
        <w:t xml:space="preserve"> </w:t>
      </w:r>
      <w:r w:rsidR="00C962E9" w:rsidRPr="00C962E9">
        <w:rPr>
          <w:rFonts w:ascii="Calibri" w:hAnsi="Calibri"/>
        </w:rPr>
        <w:t>It should not</w:t>
      </w:r>
      <w:r w:rsidR="00F377C6">
        <w:rPr>
          <w:rFonts w:ascii="Calibri" w:hAnsi="Calibri"/>
        </w:rPr>
        <w:t>.  R</w:t>
      </w:r>
      <w:r w:rsidR="00C962E9" w:rsidRPr="00C962E9">
        <w:rPr>
          <w:rFonts w:ascii="Calibri" w:hAnsi="Calibri"/>
        </w:rPr>
        <w:t>eading the paragraph in its entirety</w:t>
      </w:r>
      <w:r w:rsidR="000B5125">
        <w:rPr>
          <w:rFonts w:ascii="Calibri" w:hAnsi="Calibri"/>
        </w:rPr>
        <w:t>, with the clarifying regulation,</w:t>
      </w:r>
      <w:r w:rsidR="00C962E9" w:rsidRPr="00C962E9">
        <w:rPr>
          <w:rFonts w:ascii="Calibri" w:hAnsi="Calibri"/>
        </w:rPr>
        <w:t xml:space="preserve"> it is clear that “acquire the property” refers to receiving it from the </w:t>
      </w:r>
      <w:r w:rsidR="00C962E9" w:rsidRPr="000538A4">
        <w:rPr>
          <w:rFonts w:ascii="Calibri" w:hAnsi="Calibri"/>
          <w:i/>
        </w:rPr>
        <w:t>decedent’s</w:t>
      </w:r>
      <w:r w:rsidR="00C962E9" w:rsidRPr="00C962E9">
        <w:rPr>
          <w:rFonts w:ascii="Calibri" w:hAnsi="Calibri"/>
        </w:rPr>
        <w:t xml:space="preserve"> direct or indirect transfer.</w:t>
      </w:r>
      <w:r w:rsidR="000A2797">
        <w:rPr>
          <w:rFonts w:ascii="Calibri" w:hAnsi="Calibri"/>
        </w:rPr>
        <w:t xml:space="preserve"> </w:t>
      </w:r>
      <w:r w:rsidR="00C962E9" w:rsidRPr="00C962E9">
        <w:rPr>
          <w:rFonts w:ascii="Calibri" w:hAnsi="Calibri"/>
        </w:rPr>
        <w:t xml:space="preserve"> </w:t>
      </w:r>
    </w:p>
    <w:p w14:paraId="3E7E3028" w14:textId="77777777" w:rsidR="00F377C6" w:rsidRDefault="000664E2" w:rsidP="000B5125">
      <w:pPr>
        <w:tabs>
          <w:tab w:val="left" w:pos="540"/>
        </w:tabs>
        <w:autoSpaceDE w:val="0"/>
        <w:autoSpaceDN w:val="0"/>
        <w:adjustRightInd w:val="0"/>
        <w:spacing w:line="360" w:lineRule="auto"/>
        <w:rPr>
          <w:rFonts w:ascii="Calibri" w:hAnsi="Calibri"/>
        </w:rPr>
      </w:pPr>
      <w:r>
        <w:rPr>
          <w:rFonts w:ascii="Calibri" w:hAnsi="Calibri"/>
        </w:rPr>
        <w:tab/>
      </w:r>
      <w:r w:rsidR="000B5125">
        <w:rPr>
          <w:rFonts w:ascii="Calibri" w:hAnsi="Calibri"/>
        </w:rPr>
        <w:t>Treas. Reg. § 1.1014-6(</w:t>
      </w:r>
      <w:r w:rsidR="000B5125" w:rsidRPr="000B5125">
        <w:rPr>
          <w:rFonts w:ascii="Calibri" w:hAnsi="Calibri"/>
        </w:rPr>
        <w:t xml:space="preserve">a)(1) </w:t>
      </w:r>
      <w:r w:rsidR="000B5125">
        <w:rPr>
          <w:rFonts w:ascii="Calibri" w:hAnsi="Calibri"/>
        </w:rPr>
        <w:t>provides that “</w:t>
      </w:r>
      <w:r w:rsidR="000B5125" w:rsidRPr="000B5125">
        <w:rPr>
          <w:rFonts w:ascii="Calibri" w:hAnsi="Calibri"/>
        </w:rPr>
        <w:t xml:space="preserve">The basis of property described in section 1014(b)(9) which is acquired </w:t>
      </w:r>
      <w:r w:rsidR="000B5125" w:rsidRPr="000B5125">
        <w:rPr>
          <w:rFonts w:ascii="Calibri" w:hAnsi="Calibri"/>
          <w:b/>
          <w:i/>
        </w:rPr>
        <w:t>from a decedent</w:t>
      </w:r>
      <w:r w:rsidR="000B5125" w:rsidRPr="000B5125">
        <w:rPr>
          <w:rFonts w:ascii="Calibri" w:hAnsi="Calibri"/>
        </w:rPr>
        <w:t xml:space="preserve"> prior to his death shall be adjusted for depreciation, obsolescence, amortization, and depletion allowed the taxpayer on such property for the period prior to the decedent's death.</w:t>
      </w:r>
      <w:r w:rsidR="000B5125">
        <w:rPr>
          <w:rFonts w:ascii="Calibri" w:hAnsi="Calibri"/>
        </w:rPr>
        <w:t>”</w:t>
      </w:r>
      <w:r w:rsidR="000B5125">
        <w:rPr>
          <w:rStyle w:val="FootnoteReference"/>
          <w:rFonts w:ascii="Calibri" w:hAnsi="Calibri"/>
        </w:rPr>
        <w:footnoteReference w:id="271"/>
      </w:r>
      <w:r w:rsidR="000B5125" w:rsidRPr="000B5125">
        <w:rPr>
          <w:rFonts w:ascii="Calibri" w:hAnsi="Calibri"/>
        </w:rPr>
        <w:t xml:space="preserve"> </w:t>
      </w:r>
      <w:r w:rsidR="00C962E9" w:rsidRPr="00C962E9">
        <w:rPr>
          <w:rFonts w:ascii="Calibri" w:hAnsi="Calibri"/>
        </w:rPr>
        <w:t>John</w:t>
      </w:r>
      <w:r w:rsidR="00F377C6">
        <w:rPr>
          <w:rFonts w:ascii="Calibri" w:hAnsi="Calibri"/>
        </w:rPr>
        <w:t>, our hypothetical settlor,</w:t>
      </w:r>
      <w:r w:rsidR="00C962E9" w:rsidRPr="00C962E9">
        <w:rPr>
          <w:rFonts w:ascii="Calibri" w:hAnsi="Calibri"/>
        </w:rPr>
        <w:t xml:space="preserve"> would not be acquiring the property </w:t>
      </w:r>
      <w:r w:rsidR="00C962E9" w:rsidRPr="00C962E9">
        <w:rPr>
          <w:rFonts w:ascii="Calibri" w:hAnsi="Calibri"/>
          <w:i/>
        </w:rPr>
        <w:t>from the decedent</w:t>
      </w:r>
      <w:r w:rsidR="00EF649C">
        <w:rPr>
          <w:rFonts w:ascii="Calibri" w:hAnsi="Calibri"/>
          <w:i/>
        </w:rPr>
        <w:t>,</w:t>
      </w:r>
      <w:r w:rsidR="00C962E9" w:rsidRPr="00C962E9">
        <w:rPr>
          <w:rFonts w:ascii="Calibri" w:hAnsi="Calibri"/>
          <w:i/>
        </w:rPr>
        <w:t xml:space="preserve"> </w:t>
      </w:r>
      <w:r>
        <w:rPr>
          <w:rFonts w:ascii="Calibri" w:hAnsi="Calibri"/>
          <w:i/>
        </w:rPr>
        <w:t>prior to</w:t>
      </w:r>
      <w:r w:rsidR="00C962E9" w:rsidRPr="00EF649C">
        <w:rPr>
          <w:rFonts w:ascii="Calibri" w:hAnsi="Calibri"/>
          <w:i/>
        </w:rPr>
        <w:t xml:space="preserve"> the decedent’s death</w:t>
      </w:r>
      <w:r w:rsidR="00C962E9" w:rsidRPr="00C962E9">
        <w:rPr>
          <w:rFonts w:ascii="Calibri" w:hAnsi="Calibri"/>
        </w:rPr>
        <w:t xml:space="preserve"> as with a “string” gift. </w:t>
      </w:r>
    </w:p>
    <w:p w14:paraId="46EEDD0A" w14:textId="77777777" w:rsidR="00C962E9" w:rsidRPr="00C962E9" w:rsidRDefault="00F377C6" w:rsidP="000B5125">
      <w:pPr>
        <w:tabs>
          <w:tab w:val="left" w:pos="540"/>
        </w:tabs>
        <w:autoSpaceDE w:val="0"/>
        <w:autoSpaceDN w:val="0"/>
        <w:adjustRightInd w:val="0"/>
        <w:spacing w:line="360" w:lineRule="auto"/>
        <w:rPr>
          <w:rFonts w:ascii="Calibri" w:hAnsi="Calibri"/>
        </w:rPr>
      </w:pPr>
      <w:r>
        <w:rPr>
          <w:rFonts w:ascii="Calibri" w:hAnsi="Calibri"/>
        </w:rPr>
        <w:tab/>
        <w:t>That said</w:t>
      </w:r>
      <w:r w:rsidR="00C962E9" w:rsidRPr="00C962E9">
        <w:rPr>
          <w:rFonts w:ascii="Calibri" w:hAnsi="Calibri"/>
        </w:rPr>
        <w:t xml:space="preserve">, </w:t>
      </w:r>
      <w:r w:rsidR="000B5125">
        <w:rPr>
          <w:rFonts w:ascii="Calibri" w:hAnsi="Calibri"/>
        </w:rPr>
        <w:t>if one does not believe the regulation provides sufficient clarity, o</w:t>
      </w:r>
      <w:r w:rsidR="003A66FE">
        <w:rPr>
          <w:rFonts w:ascii="Calibri" w:hAnsi="Calibri"/>
        </w:rPr>
        <w:t>ne solution to get around this issue altogether would be to have</w:t>
      </w:r>
      <w:r w:rsidR="00C962E9" w:rsidRPr="00C962E9">
        <w:rPr>
          <w:rFonts w:ascii="Calibri" w:hAnsi="Calibri"/>
        </w:rPr>
        <w:t xml:space="preserve"> the </w:t>
      </w:r>
      <w:r w:rsidR="000538A4">
        <w:rPr>
          <w:rFonts w:ascii="Calibri" w:hAnsi="Calibri"/>
        </w:rPr>
        <w:t xml:space="preserve">taker in default be </w:t>
      </w:r>
      <w:r w:rsidR="00C962E9" w:rsidRPr="00C962E9">
        <w:rPr>
          <w:rFonts w:ascii="Calibri" w:hAnsi="Calibri"/>
        </w:rPr>
        <w:t xml:space="preserve">the grantor’s spouse Jane instead (or a grantor trust therefore), or </w:t>
      </w:r>
      <w:r w:rsidR="00482B64">
        <w:rPr>
          <w:rFonts w:ascii="Calibri" w:hAnsi="Calibri"/>
        </w:rPr>
        <w:t xml:space="preserve">the powerholder could </w:t>
      </w:r>
      <w:r w:rsidR="000A2797">
        <w:rPr>
          <w:rFonts w:ascii="Calibri" w:hAnsi="Calibri"/>
        </w:rPr>
        <w:t xml:space="preserve">simply </w:t>
      </w:r>
      <w:r w:rsidR="00C962E9" w:rsidRPr="00C962E9">
        <w:rPr>
          <w:rFonts w:ascii="Calibri" w:hAnsi="Calibri"/>
        </w:rPr>
        <w:t>exercise the GPOA</w:t>
      </w:r>
      <w:r>
        <w:rPr>
          <w:rFonts w:ascii="Calibri" w:hAnsi="Calibri"/>
        </w:rPr>
        <w:t>.  Recall that</w:t>
      </w:r>
      <w:r w:rsidR="00FA6EED">
        <w:rPr>
          <w:rFonts w:ascii="Calibri" w:hAnsi="Calibri"/>
        </w:rPr>
        <w:t xml:space="preserve"> the</w:t>
      </w:r>
      <w:r w:rsidR="00C962E9" w:rsidRPr="00C962E9">
        <w:rPr>
          <w:rFonts w:ascii="Calibri" w:hAnsi="Calibri"/>
        </w:rPr>
        <w:t xml:space="preserve"> </w:t>
      </w:r>
      <w:r w:rsidR="00C962E9" w:rsidRPr="00EF649C">
        <w:rPr>
          <w:rFonts w:ascii="Calibri" w:hAnsi="Calibri"/>
          <w:i/>
        </w:rPr>
        <w:t>exercise</w:t>
      </w:r>
      <w:r w:rsidR="00C962E9" w:rsidRPr="00C962E9">
        <w:rPr>
          <w:rFonts w:ascii="Calibri" w:hAnsi="Calibri"/>
        </w:rPr>
        <w:t xml:space="preserve"> of a </w:t>
      </w:r>
      <w:r>
        <w:rPr>
          <w:rFonts w:ascii="Calibri" w:hAnsi="Calibri"/>
        </w:rPr>
        <w:t xml:space="preserve">testamentary </w:t>
      </w:r>
      <w:r w:rsidR="00C962E9" w:rsidRPr="00C962E9">
        <w:rPr>
          <w:rFonts w:ascii="Calibri" w:hAnsi="Calibri"/>
        </w:rPr>
        <w:t xml:space="preserve">GPOA </w:t>
      </w:r>
      <w:r w:rsidR="00EF649C">
        <w:rPr>
          <w:rFonts w:ascii="Calibri" w:hAnsi="Calibri"/>
        </w:rPr>
        <w:t>(as opposed to a lapse)</w:t>
      </w:r>
      <w:r w:rsidR="00C962E9" w:rsidRPr="00C962E9">
        <w:rPr>
          <w:rFonts w:ascii="Calibri" w:hAnsi="Calibri"/>
        </w:rPr>
        <w:t xml:space="preserve"> comes under Code Sec. 1014(b)(4), </w:t>
      </w:r>
      <w:r w:rsidR="00C962E9" w:rsidRPr="00EF649C">
        <w:rPr>
          <w:rFonts w:ascii="Calibri" w:hAnsi="Calibri"/>
          <w:b/>
          <w:i/>
        </w:rPr>
        <w:t>not</w:t>
      </w:r>
      <w:r w:rsidR="00C962E9" w:rsidRPr="00C962E9">
        <w:rPr>
          <w:rFonts w:ascii="Calibri" w:hAnsi="Calibri"/>
        </w:rPr>
        <w:t xml:space="preserve"> </w:t>
      </w:r>
      <w:r w:rsidR="000A2797">
        <w:rPr>
          <w:rFonts w:ascii="Calibri" w:hAnsi="Calibri"/>
        </w:rPr>
        <w:t>1014</w:t>
      </w:r>
      <w:r w:rsidR="00C962E9" w:rsidRPr="00C962E9">
        <w:rPr>
          <w:rFonts w:ascii="Calibri" w:hAnsi="Calibri"/>
        </w:rPr>
        <w:t>(b)(9)</w:t>
      </w:r>
      <w:r w:rsidR="000B5125">
        <w:rPr>
          <w:rFonts w:ascii="Calibri" w:hAnsi="Calibri"/>
        </w:rPr>
        <w:t xml:space="preserve">, </w:t>
      </w:r>
      <w:r>
        <w:rPr>
          <w:rFonts w:ascii="Calibri" w:hAnsi="Calibri"/>
        </w:rPr>
        <w:t>which would</w:t>
      </w:r>
      <w:r w:rsidR="000B5125">
        <w:rPr>
          <w:rFonts w:ascii="Calibri" w:hAnsi="Calibri"/>
        </w:rPr>
        <w:t xml:space="preserve"> furthermore change the taxpayer </w:t>
      </w:r>
      <w:r w:rsidR="000B5125">
        <w:rPr>
          <w:rFonts w:ascii="Calibri" w:hAnsi="Calibri"/>
        </w:rPr>
        <w:lastRenderedPageBreak/>
        <w:t>receiving the property</w:t>
      </w:r>
      <w:r>
        <w:rPr>
          <w:rFonts w:ascii="Calibri" w:hAnsi="Calibri"/>
        </w:rPr>
        <w:t xml:space="preserve"> </w:t>
      </w:r>
      <w:r w:rsidR="00C704F0">
        <w:rPr>
          <w:rFonts w:ascii="Calibri" w:hAnsi="Calibri"/>
        </w:rPr>
        <w:t xml:space="preserve">(unless the appointment is to the original settlor outright) </w:t>
      </w:r>
      <w:r>
        <w:rPr>
          <w:rFonts w:ascii="Calibri" w:hAnsi="Calibri"/>
        </w:rPr>
        <w:t>since the powerholder would then be deemed the grantor</w:t>
      </w:r>
      <w:r w:rsidR="00C704F0">
        <w:rPr>
          <w:rFonts w:ascii="Calibri" w:hAnsi="Calibri"/>
        </w:rPr>
        <w:t xml:space="preserve"> or any trust</w:t>
      </w:r>
      <w:r w:rsidR="00C962E9" w:rsidRPr="00C962E9">
        <w:rPr>
          <w:rFonts w:ascii="Calibri" w:hAnsi="Calibri"/>
        </w:rPr>
        <w:t>.</w:t>
      </w:r>
      <w:r w:rsidR="00C962E9" w:rsidRPr="00C962E9">
        <w:rPr>
          <w:rFonts w:ascii="Calibri" w:hAnsi="Calibri"/>
          <w:vertAlign w:val="superscript"/>
        </w:rPr>
        <w:footnoteReference w:id="272"/>
      </w:r>
      <w:r w:rsidR="009E3795">
        <w:rPr>
          <w:rFonts w:ascii="Calibri" w:hAnsi="Calibri"/>
        </w:rPr>
        <w:t xml:space="preserve">  Any such exercise should be careful to avoid being exactly the same as the taker in default.</w:t>
      </w:r>
      <w:r w:rsidR="009E3795">
        <w:rPr>
          <w:rStyle w:val="FootnoteReference"/>
          <w:rFonts w:ascii="Calibri" w:hAnsi="Calibri"/>
        </w:rPr>
        <w:footnoteReference w:id="273"/>
      </w:r>
    </w:p>
    <w:p w14:paraId="39EB06B3" w14:textId="77777777" w:rsidR="00C962E9" w:rsidRDefault="009C1833"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Most taxpayers would prefer to keep things simple and more certain and be happy to receive the assets back outright, or in trust wit</w:t>
      </w:r>
      <w:r>
        <w:rPr>
          <w:rFonts w:ascii="Calibri" w:hAnsi="Calibri"/>
        </w:rPr>
        <w:t xml:space="preserve">h a presently exercisable GPOA, or settle for a trust that grants a §678(a) power over income only.  </w:t>
      </w:r>
      <w:r w:rsidR="004E6D66">
        <w:rPr>
          <w:rFonts w:ascii="Calibri" w:hAnsi="Calibri"/>
        </w:rPr>
        <w:t>For poorer families where a power holder may be on Medicaid</w:t>
      </w:r>
      <w:r w:rsidR="00C962E9" w:rsidRPr="00C962E9">
        <w:rPr>
          <w:rFonts w:ascii="Calibri" w:hAnsi="Calibri"/>
        </w:rPr>
        <w:t xml:space="preserve"> or </w:t>
      </w:r>
      <w:r w:rsidR="004E6D66">
        <w:rPr>
          <w:rFonts w:ascii="Calibri" w:hAnsi="Calibri"/>
        </w:rPr>
        <w:t xml:space="preserve">otherwise close to insolvent, the </w:t>
      </w:r>
      <w:r w:rsidR="00C962E9" w:rsidRPr="00C962E9">
        <w:rPr>
          <w:rFonts w:ascii="Calibri" w:hAnsi="Calibri"/>
        </w:rPr>
        <w:t xml:space="preserve">use </w:t>
      </w:r>
      <w:r w:rsidR="004E6D66">
        <w:rPr>
          <w:rFonts w:ascii="Calibri" w:hAnsi="Calibri"/>
        </w:rPr>
        <w:t xml:space="preserve">of </w:t>
      </w:r>
      <w:r w:rsidR="00C962E9" w:rsidRPr="00C962E9">
        <w:rPr>
          <w:rFonts w:ascii="Calibri" w:hAnsi="Calibri"/>
        </w:rPr>
        <w:t xml:space="preserve">limited powers of appointment and the Delaware Tax Trap to </w:t>
      </w:r>
      <w:r w:rsidR="004E6D66">
        <w:rPr>
          <w:rFonts w:ascii="Calibri" w:hAnsi="Calibri"/>
        </w:rPr>
        <w:t>trigger inclusion/step up should avoid</w:t>
      </w:r>
      <w:r w:rsidR="00C962E9" w:rsidRPr="00C962E9">
        <w:rPr>
          <w:rFonts w:ascii="Calibri" w:hAnsi="Calibri"/>
        </w:rPr>
        <w:t xml:space="preserve"> any creditor/asset protection issues should the parent powerholder’s estate be insolvent or subject to claims.</w:t>
      </w:r>
      <w:r w:rsidR="00C962E9" w:rsidRPr="00C962E9">
        <w:rPr>
          <w:rFonts w:ascii="Calibri" w:hAnsi="Calibri"/>
          <w:vertAlign w:val="superscript"/>
        </w:rPr>
        <w:footnoteReference w:id="274"/>
      </w:r>
    </w:p>
    <w:p w14:paraId="53B64114" w14:textId="77777777" w:rsidR="00300D6D" w:rsidRPr="00C962E9" w:rsidRDefault="00300D6D" w:rsidP="00C962E9">
      <w:pPr>
        <w:tabs>
          <w:tab w:val="left" w:pos="540"/>
        </w:tabs>
        <w:autoSpaceDE w:val="0"/>
        <w:autoSpaceDN w:val="0"/>
        <w:adjustRightInd w:val="0"/>
        <w:spacing w:line="360" w:lineRule="auto"/>
        <w:rPr>
          <w:rFonts w:ascii="Calibri" w:hAnsi="Calibri"/>
        </w:rPr>
      </w:pPr>
      <w:r>
        <w:rPr>
          <w:rFonts w:ascii="Calibri" w:hAnsi="Calibri"/>
        </w:rPr>
        <w:tab/>
        <w:t xml:space="preserve">Of course, these trusts are natural pourover vehicles for GRATs at the end of the annuity term, or, similar terms could be incorporated into the GRAT itself to be applied at the end of the term (an </w:t>
      </w:r>
      <w:r w:rsidR="00C424B6">
        <w:rPr>
          <w:rFonts w:ascii="Calibri" w:hAnsi="Calibri"/>
        </w:rPr>
        <w:t>“</w:t>
      </w:r>
      <w:r>
        <w:rPr>
          <w:rFonts w:ascii="Calibri" w:hAnsi="Calibri"/>
        </w:rPr>
        <w:t>Upstream Optimal Basis Increase GRAT</w:t>
      </w:r>
      <w:r w:rsidR="00C424B6">
        <w:rPr>
          <w:rFonts w:ascii="Calibri" w:hAnsi="Calibri"/>
        </w:rPr>
        <w:t>”</w:t>
      </w:r>
      <w:r>
        <w:rPr>
          <w:rFonts w:ascii="Calibri" w:hAnsi="Calibri"/>
        </w:rPr>
        <w:t>).</w:t>
      </w:r>
    </w:p>
    <w:p w14:paraId="11EB750F" w14:textId="77777777" w:rsidR="004E6D66" w:rsidRDefault="004E6D66" w:rsidP="00C962E9">
      <w:pPr>
        <w:tabs>
          <w:tab w:val="left" w:pos="540"/>
        </w:tabs>
        <w:autoSpaceDE w:val="0"/>
        <w:autoSpaceDN w:val="0"/>
        <w:adjustRightInd w:val="0"/>
        <w:spacing w:line="360" w:lineRule="auto"/>
        <w:rPr>
          <w:rFonts w:ascii="Calibri" w:hAnsi="Calibri"/>
        </w:rPr>
      </w:pPr>
      <w:r>
        <w:rPr>
          <w:rFonts w:ascii="Calibri" w:hAnsi="Calibri"/>
        </w:rPr>
        <w:tab/>
        <w:t xml:space="preserve">What about sham or </w:t>
      </w:r>
      <w:r w:rsidR="00FC0614">
        <w:rPr>
          <w:rFonts w:ascii="Calibri" w:hAnsi="Calibri"/>
        </w:rPr>
        <w:t>economic substance</w:t>
      </w:r>
      <w:r>
        <w:rPr>
          <w:rFonts w:ascii="Calibri" w:hAnsi="Calibri"/>
        </w:rPr>
        <w:t xml:space="preserve"> arguments?  In contrast to naming strangers, i</w:t>
      </w:r>
      <w:r w:rsidR="00C962E9" w:rsidRPr="00C962E9">
        <w:rPr>
          <w:rFonts w:ascii="Calibri" w:hAnsi="Calibri"/>
        </w:rPr>
        <w:t>t is hardly a sham to name a parent a</w:t>
      </w:r>
      <w:r>
        <w:rPr>
          <w:rFonts w:ascii="Calibri" w:hAnsi="Calibri"/>
        </w:rPr>
        <w:t>s beneficiary of a family trust.  M</w:t>
      </w:r>
      <w:r w:rsidR="00C962E9" w:rsidRPr="00C962E9">
        <w:rPr>
          <w:rFonts w:ascii="Calibri" w:hAnsi="Calibri"/>
        </w:rPr>
        <w:t xml:space="preserve">illions of people assist their parents financially anyway, so why not make those gifts from a trust best designed to benefit the entire family? </w:t>
      </w:r>
      <w:r>
        <w:rPr>
          <w:rFonts w:ascii="Calibri" w:hAnsi="Calibri"/>
        </w:rPr>
        <w:t xml:space="preserve"> An analogy for drawing the line may be made in comparing </w:t>
      </w:r>
      <w:r w:rsidRPr="004E6D66">
        <w:rPr>
          <w:rFonts w:ascii="Calibri" w:hAnsi="Calibri"/>
        </w:rPr>
        <w:t xml:space="preserve">so-called “Vulture CLATs” using sick </w:t>
      </w:r>
      <w:r w:rsidRPr="00C424B6">
        <w:rPr>
          <w:rFonts w:ascii="Calibri" w:hAnsi="Calibri"/>
          <w:i/>
        </w:rPr>
        <w:t>non-relatives</w:t>
      </w:r>
      <w:r w:rsidRPr="004E6D66">
        <w:rPr>
          <w:rFonts w:ascii="Calibri" w:hAnsi="Calibri"/>
        </w:rPr>
        <w:t xml:space="preserve"> as measuring lives, </w:t>
      </w:r>
      <w:r>
        <w:rPr>
          <w:rFonts w:ascii="Calibri" w:hAnsi="Calibri"/>
        </w:rPr>
        <w:t xml:space="preserve">which the IRS ultimately shut down, with </w:t>
      </w:r>
      <w:r w:rsidRPr="004E6D66">
        <w:rPr>
          <w:rFonts w:ascii="Calibri" w:hAnsi="Calibri"/>
        </w:rPr>
        <w:t>CLTs that use relatives</w:t>
      </w:r>
      <w:r>
        <w:rPr>
          <w:rFonts w:ascii="Calibri" w:hAnsi="Calibri"/>
        </w:rPr>
        <w:t>, even sick relatives,</w:t>
      </w:r>
      <w:r w:rsidRPr="004E6D66">
        <w:rPr>
          <w:rFonts w:ascii="Calibri" w:hAnsi="Calibri"/>
        </w:rPr>
        <w:t xml:space="preserve"> as measuring lives</w:t>
      </w:r>
      <w:r>
        <w:rPr>
          <w:rFonts w:ascii="Calibri" w:hAnsi="Calibri"/>
        </w:rPr>
        <w:t>, which is explicitly approved.</w:t>
      </w:r>
      <w:r w:rsidR="00C764BA">
        <w:rPr>
          <w:rStyle w:val="FootnoteReference"/>
          <w:rFonts w:ascii="Calibri" w:hAnsi="Calibri"/>
        </w:rPr>
        <w:footnoteReference w:id="275"/>
      </w:r>
      <w:r>
        <w:rPr>
          <w:rFonts w:ascii="Calibri" w:hAnsi="Calibri"/>
        </w:rPr>
        <w:t xml:space="preserve">  Like regulations that govern using life expectancies of </w:t>
      </w:r>
      <w:r w:rsidRPr="00482B64">
        <w:rPr>
          <w:rFonts w:ascii="Calibri" w:hAnsi="Calibri"/>
          <w:i/>
        </w:rPr>
        <w:t>terminally ill</w:t>
      </w:r>
      <w:r>
        <w:rPr>
          <w:rFonts w:ascii="Calibri" w:hAnsi="Calibri"/>
        </w:rPr>
        <w:t xml:space="preserve"> relatives, §1014(e) effectively prevents “deathbed GPOA granting”.</w:t>
      </w:r>
      <w:r w:rsidRPr="004E6D66">
        <w:rPr>
          <w:rFonts w:ascii="Calibri" w:hAnsi="Calibri"/>
        </w:rPr>
        <w:t xml:space="preserve"> </w:t>
      </w:r>
    </w:p>
    <w:p w14:paraId="5B316C9A" w14:textId="77777777" w:rsidR="00C962E9" w:rsidRDefault="004E6D66"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The IRS has repeatedly tried these kinds of arguments against FLP/LLCs, </w:t>
      </w:r>
      <w:r w:rsidR="00C962E9" w:rsidRPr="00C962E9">
        <w:rPr>
          <w:rFonts w:ascii="Calibri" w:hAnsi="Calibri"/>
          <w:i/>
        </w:rPr>
        <w:t xml:space="preserve">Crummey </w:t>
      </w:r>
      <w:r w:rsidR="00C962E9" w:rsidRPr="00C962E9">
        <w:rPr>
          <w:rFonts w:ascii="Calibri" w:hAnsi="Calibri"/>
        </w:rPr>
        <w:t xml:space="preserve">trusts, spousal trusts and other various more egregious fact cases without success. It’s why every </w:t>
      </w:r>
      <w:r w:rsidR="00C962E9" w:rsidRPr="00C962E9">
        <w:rPr>
          <w:rFonts w:ascii="Calibri" w:hAnsi="Calibri"/>
        </w:rPr>
        <w:lastRenderedPageBreak/>
        <w:t xml:space="preserve">estate planning attorney comfortably drafts trusts for spouses and children without fear of “prearrangement” related arguments, even though parents are often forced by intestacy law to be beneficiaries of their minor children’s estates. It’s hardly a damning factor for an elderly parent to appoint trust assets back to their adult child any more than a spouse appointing </w:t>
      </w:r>
      <w:r w:rsidR="00A27471">
        <w:rPr>
          <w:rFonts w:ascii="Calibri" w:hAnsi="Calibri"/>
        </w:rPr>
        <w:t xml:space="preserve">back </w:t>
      </w:r>
      <w:r w:rsidR="00C962E9" w:rsidRPr="00C962E9">
        <w:rPr>
          <w:rFonts w:ascii="Calibri" w:hAnsi="Calibri"/>
        </w:rPr>
        <w:t xml:space="preserve">to their spouse </w:t>
      </w:r>
      <w:r w:rsidR="00A27471">
        <w:rPr>
          <w:rFonts w:ascii="Calibri" w:hAnsi="Calibri"/>
        </w:rPr>
        <w:t xml:space="preserve">in a SLAT or intervivos QTIP </w:t>
      </w:r>
      <w:r w:rsidR="00C962E9" w:rsidRPr="00C962E9">
        <w:rPr>
          <w:rFonts w:ascii="Calibri" w:hAnsi="Calibri"/>
        </w:rPr>
        <w:t>or a child appointing to their parent as beneficiary</w:t>
      </w:r>
      <w:r w:rsidR="00A27471">
        <w:rPr>
          <w:rFonts w:ascii="Calibri" w:hAnsi="Calibri"/>
        </w:rPr>
        <w:t xml:space="preserve"> if they predecease</w:t>
      </w:r>
      <w:r w:rsidR="00C962E9" w:rsidRPr="00C962E9">
        <w:rPr>
          <w:rFonts w:ascii="Calibri" w:hAnsi="Calibri"/>
        </w:rPr>
        <w:t xml:space="preserve">; rather, it’s completely natural. </w:t>
      </w:r>
      <w:r w:rsidR="002A7B98">
        <w:rPr>
          <w:rFonts w:ascii="Calibri" w:hAnsi="Calibri"/>
        </w:rPr>
        <w:t xml:space="preserve"> Even in an extreme case where the parent gifts to child and child gifts to trust for parent, the parent is not necessarily deemed the grantor.</w:t>
      </w:r>
      <w:r w:rsidR="002A7B98">
        <w:rPr>
          <w:rStyle w:val="FootnoteReference"/>
          <w:rFonts w:ascii="Calibri" w:hAnsi="Calibri"/>
        </w:rPr>
        <w:footnoteReference w:id="276"/>
      </w:r>
    </w:p>
    <w:p w14:paraId="7A28D092" w14:textId="77777777" w:rsidR="00FC0614" w:rsidRPr="00FC0614" w:rsidRDefault="00FC0614" w:rsidP="00FC0614">
      <w:pPr>
        <w:tabs>
          <w:tab w:val="left" w:pos="540"/>
        </w:tabs>
        <w:autoSpaceDE w:val="0"/>
        <w:autoSpaceDN w:val="0"/>
        <w:adjustRightInd w:val="0"/>
        <w:spacing w:line="360" w:lineRule="auto"/>
        <w:rPr>
          <w:rFonts w:ascii="Calibri" w:hAnsi="Calibri"/>
        </w:rPr>
      </w:pPr>
      <w:r>
        <w:rPr>
          <w:rFonts w:ascii="Calibri" w:hAnsi="Calibri"/>
        </w:rPr>
        <w:tab/>
      </w:r>
      <w:r w:rsidRPr="00FC0614">
        <w:rPr>
          <w:rFonts w:ascii="Calibri" w:hAnsi="Calibri"/>
        </w:rPr>
        <w:t>To quote one recent tax court case:</w:t>
      </w:r>
    </w:p>
    <w:p w14:paraId="0AD67750" w14:textId="77777777" w:rsidR="00FC0614" w:rsidRPr="00FC0614" w:rsidRDefault="00FC0614" w:rsidP="00BC6D40">
      <w:pPr>
        <w:tabs>
          <w:tab w:val="left" w:pos="540"/>
        </w:tabs>
        <w:autoSpaceDE w:val="0"/>
        <w:autoSpaceDN w:val="0"/>
        <w:adjustRightInd w:val="0"/>
        <w:ind w:left="547"/>
        <w:rPr>
          <w:rFonts w:ascii="Calibri" w:hAnsi="Calibri"/>
        </w:rPr>
      </w:pPr>
      <w:r w:rsidRPr="00FC0614">
        <w:rPr>
          <w:rFonts w:ascii="Calibri" w:hAnsi="Calibri"/>
        </w:rPr>
        <w:t xml:space="preserve">“A trust valid under state law can be treated as a nullity for federal income tax purposes if it lacks economic reality, but this would likely happen in only an extreme case.  Four factors determine whether a trust has economic substance: </w:t>
      </w:r>
    </w:p>
    <w:p w14:paraId="60ABFEB8" w14:textId="77777777" w:rsidR="00FC0614" w:rsidRPr="00FC0614" w:rsidRDefault="00FC0614" w:rsidP="00BC6D40">
      <w:pPr>
        <w:tabs>
          <w:tab w:val="left" w:pos="540"/>
        </w:tabs>
        <w:autoSpaceDE w:val="0"/>
        <w:autoSpaceDN w:val="0"/>
        <w:adjustRightInd w:val="0"/>
        <w:ind w:left="547"/>
        <w:rPr>
          <w:rFonts w:ascii="Calibri" w:hAnsi="Calibri"/>
        </w:rPr>
      </w:pPr>
    </w:p>
    <w:p w14:paraId="4157BDB3" w14:textId="77777777" w:rsidR="00FC0614" w:rsidRPr="00FC0614" w:rsidRDefault="00FC0614" w:rsidP="00BC6D40">
      <w:pPr>
        <w:tabs>
          <w:tab w:val="left" w:pos="540"/>
        </w:tabs>
        <w:autoSpaceDE w:val="0"/>
        <w:autoSpaceDN w:val="0"/>
        <w:adjustRightInd w:val="0"/>
        <w:ind w:left="547"/>
        <w:rPr>
          <w:rFonts w:ascii="Calibri" w:hAnsi="Calibri"/>
        </w:rPr>
      </w:pPr>
      <w:r w:rsidRPr="00FC0614">
        <w:rPr>
          <w:rFonts w:ascii="Calibri" w:hAnsi="Calibri"/>
        </w:rPr>
        <w:t xml:space="preserve">(1) Did the taxpayer's relationship to the transferred property differ materially before and after the trust's creation? </w:t>
      </w:r>
    </w:p>
    <w:p w14:paraId="5E15423C" w14:textId="77777777" w:rsidR="00FC0614" w:rsidRPr="00FC0614" w:rsidRDefault="00FC0614" w:rsidP="00BC6D40">
      <w:pPr>
        <w:tabs>
          <w:tab w:val="left" w:pos="540"/>
        </w:tabs>
        <w:autoSpaceDE w:val="0"/>
        <w:autoSpaceDN w:val="0"/>
        <w:adjustRightInd w:val="0"/>
        <w:ind w:left="547"/>
        <w:rPr>
          <w:rFonts w:ascii="Calibri" w:hAnsi="Calibri"/>
        </w:rPr>
      </w:pPr>
      <w:r w:rsidRPr="00FC0614">
        <w:rPr>
          <w:rFonts w:ascii="Calibri" w:hAnsi="Calibri"/>
        </w:rPr>
        <w:t xml:space="preserve">(2) Did the trust have an independent trustee? </w:t>
      </w:r>
    </w:p>
    <w:p w14:paraId="709AD933" w14:textId="77777777" w:rsidR="00FC0614" w:rsidRPr="00FC0614" w:rsidRDefault="00FC0614" w:rsidP="00BC6D40">
      <w:pPr>
        <w:tabs>
          <w:tab w:val="left" w:pos="540"/>
        </w:tabs>
        <w:autoSpaceDE w:val="0"/>
        <w:autoSpaceDN w:val="0"/>
        <w:adjustRightInd w:val="0"/>
        <w:ind w:left="547"/>
        <w:rPr>
          <w:rFonts w:ascii="Calibri" w:hAnsi="Calibri"/>
        </w:rPr>
      </w:pPr>
      <w:r w:rsidRPr="00FC0614">
        <w:rPr>
          <w:rFonts w:ascii="Calibri" w:hAnsi="Calibri"/>
        </w:rPr>
        <w:t xml:space="preserve">(3) Did an economic interest pass to the other trust beneficiaries? </w:t>
      </w:r>
    </w:p>
    <w:p w14:paraId="7F8B7ED2" w14:textId="77777777" w:rsidR="00FC0614" w:rsidRPr="00FC0614" w:rsidRDefault="00FC0614" w:rsidP="00BC6D40">
      <w:pPr>
        <w:tabs>
          <w:tab w:val="left" w:pos="540"/>
        </w:tabs>
        <w:autoSpaceDE w:val="0"/>
        <w:autoSpaceDN w:val="0"/>
        <w:adjustRightInd w:val="0"/>
        <w:ind w:left="547"/>
        <w:rPr>
          <w:rFonts w:ascii="Calibri" w:hAnsi="Calibri"/>
        </w:rPr>
      </w:pPr>
      <w:r w:rsidRPr="00FC0614">
        <w:rPr>
          <w:rFonts w:ascii="Calibri" w:hAnsi="Calibri"/>
        </w:rPr>
        <w:t>(4) Did the taxpayer respect restrictions imposed on the trust's operation as set forth in the trust documents or by the law of the trusts?”</w:t>
      </w:r>
      <w:r>
        <w:rPr>
          <w:rStyle w:val="FootnoteReference"/>
          <w:rFonts w:ascii="Calibri" w:hAnsi="Calibri"/>
        </w:rPr>
        <w:footnoteReference w:id="277"/>
      </w:r>
      <w:r w:rsidRPr="00FC0614">
        <w:rPr>
          <w:rFonts w:ascii="Calibri" w:hAnsi="Calibri"/>
        </w:rPr>
        <w:t xml:space="preserve"> </w:t>
      </w:r>
    </w:p>
    <w:p w14:paraId="37723036" w14:textId="77777777" w:rsidR="00FC0614" w:rsidRPr="00FC0614" w:rsidRDefault="00FC0614" w:rsidP="00FC0614">
      <w:pPr>
        <w:tabs>
          <w:tab w:val="left" w:pos="540"/>
        </w:tabs>
        <w:autoSpaceDE w:val="0"/>
        <w:autoSpaceDN w:val="0"/>
        <w:adjustRightInd w:val="0"/>
        <w:spacing w:line="360" w:lineRule="auto"/>
        <w:rPr>
          <w:rFonts w:ascii="Calibri" w:hAnsi="Calibri"/>
        </w:rPr>
      </w:pPr>
    </w:p>
    <w:p w14:paraId="32B04BCE" w14:textId="77777777" w:rsidR="00FC0614" w:rsidRPr="00C962E9" w:rsidRDefault="00FC0614" w:rsidP="00FC0614">
      <w:pPr>
        <w:tabs>
          <w:tab w:val="left" w:pos="540"/>
        </w:tabs>
        <w:autoSpaceDE w:val="0"/>
        <w:autoSpaceDN w:val="0"/>
        <w:adjustRightInd w:val="0"/>
        <w:spacing w:line="360" w:lineRule="auto"/>
        <w:rPr>
          <w:rFonts w:ascii="Calibri" w:hAnsi="Calibri"/>
        </w:rPr>
      </w:pPr>
      <w:r>
        <w:rPr>
          <w:rFonts w:ascii="Calibri" w:hAnsi="Calibri"/>
        </w:rPr>
        <w:tab/>
      </w:r>
      <w:r w:rsidRPr="00FC0614">
        <w:rPr>
          <w:rFonts w:ascii="Calibri" w:hAnsi="Calibri"/>
        </w:rPr>
        <w:t>As long as an independent trustee is used, none of these four factors would even come close.  Using a family member</w:t>
      </w:r>
      <w:r w:rsidR="006C5788">
        <w:rPr>
          <w:rFonts w:ascii="Calibri" w:hAnsi="Calibri"/>
        </w:rPr>
        <w:t xml:space="preserve"> as trustee</w:t>
      </w:r>
      <w:r w:rsidRPr="00FC0614">
        <w:rPr>
          <w:rFonts w:ascii="Calibri" w:hAnsi="Calibri"/>
        </w:rPr>
        <w:t xml:space="preserve"> might be more likely to implicate the other factors listed, but it would still be a very rare and abusive case indeed for the tax court to invalidate a trust – the </w:t>
      </w:r>
      <w:r w:rsidRPr="00FC0614">
        <w:rPr>
          <w:rFonts w:ascii="Calibri" w:hAnsi="Calibri"/>
          <w:i/>
        </w:rPr>
        <w:t>Close</w:t>
      </w:r>
      <w:r w:rsidRPr="00FC0614">
        <w:rPr>
          <w:rFonts w:ascii="Calibri" w:hAnsi="Calibri"/>
        </w:rPr>
        <w:t xml:space="preserve"> case </w:t>
      </w:r>
      <w:r w:rsidR="006C5788">
        <w:rPr>
          <w:rFonts w:ascii="Calibri" w:hAnsi="Calibri"/>
        </w:rPr>
        <w:t xml:space="preserve">cited above </w:t>
      </w:r>
      <w:r w:rsidRPr="00FC0614">
        <w:rPr>
          <w:rFonts w:ascii="Calibri" w:hAnsi="Calibri"/>
        </w:rPr>
        <w:t>even concerned a taxpayer found guilty of fraud, money laundering and obstructing investigations</w:t>
      </w:r>
      <w:r w:rsidR="006C5788">
        <w:rPr>
          <w:rFonts w:ascii="Calibri" w:hAnsi="Calibri"/>
        </w:rPr>
        <w:t>, appearing</w:t>
      </w:r>
      <w:r w:rsidRPr="00FC0614">
        <w:rPr>
          <w:rFonts w:ascii="Calibri" w:hAnsi="Calibri"/>
        </w:rPr>
        <w:t xml:space="preserve"> </w:t>
      </w:r>
      <w:r w:rsidR="006C5788" w:rsidRPr="006C5788">
        <w:rPr>
          <w:rFonts w:ascii="Calibri" w:hAnsi="Calibri"/>
          <w:i/>
        </w:rPr>
        <w:t>pro se</w:t>
      </w:r>
      <w:r w:rsidR="006C5788">
        <w:rPr>
          <w:rFonts w:ascii="Calibri" w:hAnsi="Calibri"/>
          <w:i/>
        </w:rPr>
        <w:t>,</w:t>
      </w:r>
      <w:r w:rsidR="006C5788" w:rsidRPr="00FC0614">
        <w:rPr>
          <w:rFonts w:ascii="Calibri" w:hAnsi="Calibri"/>
        </w:rPr>
        <w:t xml:space="preserve"> </w:t>
      </w:r>
      <w:r w:rsidRPr="00FC0614">
        <w:rPr>
          <w:rFonts w:ascii="Calibri" w:hAnsi="Calibri"/>
        </w:rPr>
        <w:t xml:space="preserve">and </w:t>
      </w:r>
      <w:r w:rsidR="006C5788">
        <w:rPr>
          <w:rFonts w:ascii="Calibri" w:hAnsi="Calibri"/>
        </w:rPr>
        <w:t xml:space="preserve">even </w:t>
      </w:r>
      <w:r w:rsidRPr="00FC0614">
        <w:rPr>
          <w:rFonts w:ascii="Calibri" w:hAnsi="Calibri"/>
        </w:rPr>
        <w:t>his trust was not busted</w:t>
      </w:r>
      <w:r>
        <w:rPr>
          <w:rFonts w:ascii="Calibri" w:hAnsi="Calibri"/>
        </w:rPr>
        <w:t xml:space="preserve"> </w:t>
      </w:r>
      <w:r w:rsidR="00BC6D40">
        <w:rPr>
          <w:rFonts w:ascii="Calibri" w:hAnsi="Calibri"/>
        </w:rPr>
        <w:t xml:space="preserve">- </w:t>
      </w:r>
      <w:r>
        <w:rPr>
          <w:rFonts w:ascii="Calibri" w:hAnsi="Calibri"/>
        </w:rPr>
        <w:t>despite dubious circumstances and individual trustees</w:t>
      </w:r>
      <w:r w:rsidRPr="00FC0614">
        <w:rPr>
          <w:rFonts w:ascii="Calibri" w:hAnsi="Calibri"/>
        </w:rPr>
        <w:t>.</w:t>
      </w:r>
    </w:p>
    <w:p w14:paraId="3058DC8D" w14:textId="77777777" w:rsidR="00C962E9" w:rsidRPr="00C962E9" w:rsidRDefault="00A27471" w:rsidP="00C962E9">
      <w:pPr>
        <w:tabs>
          <w:tab w:val="left" w:pos="540"/>
        </w:tabs>
        <w:autoSpaceDE w:val="0"/>
        <w:autoSpaceDN w:val="0"/>
        <w:adjustRightInd w:val="0"/>
        <w:spacing w:line="360" w:lineRule="auto"/>
        <w:rPr>
          <w:rFonts w:ascii="Calibri" w:hAnsi="Calibri"/>
        </w:rPr>
      </w:pPr>
      <w:r>
        <w:rPr>
          <w:rFonts w:ascii="Calibri" w:hAnsi="Calibri"/>
        </w:rPr>
        <w:lastRenderedPageBreak/>
        <w:tab/>
      </w:r>
      <w:r w:rsidR="00C962E9" w:rsidRPr="00C962E9">
        <w:rPr>
          <w:rFonts w:ascii="Calibri" w:hAnsi="Calibri"/>
        </w:rPr>
        <w:t xml:space="preserve">What about the “step transaction” doctrine: could this be applied to ignore the taxable gift and power of appointment? This judicial doctrine generally requires several transactions that are so interdependent that they can’t be viewed separately, in order to collapse the steps into one integrated transaction. A court may invoke this doctrine when: (1) each step is connected by a </w:t>
      </w:r>
      <w:r w:rsidR="00C962E9" w:rsidRPr="00C962E9">
        <w:rPr>
          <w:rFonts w:ascii="Calibri" w:hAnsi="Calibri"/>
          <w:i/>
        </w:rPr>
        <w:t>binding commitment</w:t>
      </w:r>
      <w:r w:rsidR="00C962E9" w:rsidRPr="00C962E9">
        <w:rPr>
          <w:rFonts w:ascii="Calibri" w:hAnsi="Calibri"/>
        </w:rPr>
        <w:t xml:space="preserve">, (2) each step is </w:t>
      </w:r>
      <w:r w:rsidR="00C962E9" w:rsidRPr="00C962E9">
        <w:rPr>
          <w:rFonts w:ascii="Calibri" w:hAnsi="Calibri"/>
          <w:i/>
        </w:rPr>
        <w:t>mutually interdependent</w:t>
      </w:r>
      <w:r w:rsidR="00C962E9" w:rsidRPr="00C962E9">
        <w:rPr>
          <w:rFonts w:ascii="Calibri" w:hAnsi="Calibri"/>
        </w:rPr>
        <w:t xml:space="preserve">, or (3) a series of closely related separate steps to achieve an </w:t>
      </w:r>
      <w:r w:rsidR="00C962E9" w:rsidRPr="00C962E9">
        <w:rPr>
          <w:rFonts w:ascii="Calibri" w:hAnsi="Calibri"/>
          <w:i/>
        </w:rPr>
        <w:t>end result</w:t>
      </w:r>
      <w:r w:rsidR="00C962E9" w:rsidRPr="00C962E9">
        <w:rPr>
          <w:rFonts w:ascii="Calibri" w:hAnsi="Calibri"/>
        </w:rPr>
        <w:t xml:space="preserve"> as part of a </w:t>
      </w:r>
      <w:r w:rsidR="00C962E9" w:rsidRPr="00C962E9">
        <w:rPr>
          <w:rFonts w:ascii="Calibri" w:hAnsi="Calibri"/>
          <w:i/>
        </w:rPr>
        <w:t>prearranged plan</w:t>
      </w:r>
      <w:r w:rsidR="00C962E9" w:rsidRPr="00C962E9">
        <w:rPr>
          <w:rFonts w:ascii="Calibri" w:hAnsi="Calibri"/>
        </w:rPr>
        <w:t xml:space="preserve"> agreed to by all the parties prior to the transaction. The first two hardly apply, but the last one could with enough bad facts, such as a deathbed transaction, just as with many FLP/LLC or trust transactions.</w:t>
      </w:r>
      <w:r w:rsidR="00BC6D40">
        <w:rPr>
          <w:rFonts w:ascii="Calibri" w:hAnsi="Calibri"/>
        </w:rPr>
        <w:t xml:space="preserve"> </w:t>
      </w:r>
      <w:r w:rsidR="00C962E9" w:rsidRPr="00C962E9">
        <w:rPr>
          <w:rFonts w:ascii="Calibri" w:hAnsi="Calibri"/>
        </w:rPr>
        <w:t xml:space="preserve"> Just as with any other </w:t>
      </w:r>
      <w:r w:rsidR="00C962E9" w:rsidRPr="00C962E9">
        <w:rPr>
          <w:rFonts w:ascii="Calibri" w:hAnsi="Calibri"/>
          <w:i/>
        </w:rPr>
        <w:t>Crummey</w:t>
      </w:r>
      <w:r w:rsidR="00C962E9" w:rsidRPr="00C962E9">
        <w:rPr>
          <w:rFonts w:ascii="Calibri" w:hAnsi="Calibri"/>
        </w:rPr>
        <w:t xml:space="preserve"> trust, FLP/LLC gift, or spousal transaction, parties should take precautions to avoid any hint of prearrangement with any power</w:t>
      </w:r>
      <w:r>
        <w:rPr>
          <w:rFonts w:ascii="Calibri" w:hAnsi="Calibri"/>
        </w:rPr>
        <w:t xml:space="preserve"> </w:t>
      </w:r>
      <w:r w:rsidR="00C962E9" w:rsidRPr="00C962E9">
        <w:rPr>
          <w:rFonts w:ascii="Calibri" w:hAnsi="Calibri"/>
        </w:rPr>
        <w:t>holders.</w:t>
      </w:r>
      <w:r w:rsidR="00397868">
        <w:rPr>
          <w:rStyle w:val="FootnoteReference"/>
          <w:rFonts w:ascii="Calibri" w:hAnsi="Calibri"/>
        </w:rPr>
        <w:footnoteReference w:id="278"/>
      </w:r>
      <w:r w:rsidR="00C962E9" w:rsidRPr="00C962E9">
        <w:rPr>
          <w:rFonts w:ascii="Calibri" w:hAnsi="Calibri"/>
        </w:rPr>
        <w:t xml:space="preserve"> But the IRS has lost much stronger cases where transactions occur only days apart, with the same parties involved, when it was clear to everyone involved beforehand what was going to happen.</w:t>
      </w:r>
      <w:r w:rsidR="00C962E9" w:rsidRPr="00C962E9">
        <w:rPr>
          <w:rFonts w:ascii="Calibri" w:hAnsi="Calibri"/>
          <w:vertAlign w:val="superscript"/>
        </w:rPr>
        <w:footnoteReference w:id="279"/>
      </w:r>
      <w:r w:rsidR="00C962E9" w:rsidRPr="00C962E9">
        <w:rPr>
          <w:rFonts w:ascii="Calibri" w:hAnsi="Calibri"/>
        </w:rPr>
        <w:t xml:space="preserve"> </w:t>
      </w:r>
      <w:r w:rsidR="006076E4">
        <w:rPr>
          <w:rFonts w:ascii="Calibri" w:hAnsi="Calibri"/>
        </w:rPr>
        <w:t xml:space="preserve">In a recent high profile case, the Sixth Circuit scathingly berated the IRS for its use of the </w:t>
      </w:r>
      <w:r w:rsidR="006076E4" w:rsidRPr="00176F5F">
        <w:rPr>
          <w:rFonts w:ascii="Calibri" w:hAnsi="Calibri"/>
          <w:i/>
        </w:rPr>
        <w:t>substance over form</w:t>
      </w:r>
      <w:r w:rsidR="006076E4">
        <w:rPr>
          <w:rFonts w:ascii="Calibri" w:hAnsi="Calibri"/>
        </w:rPr>
        <w:t xml:space="preserve"> doctrine to override the plain language of the tax code.</w:t>
      </w:r>
      <w:r w:rsidR="006076E4">
        <w:rPr>
          <w:rStyle w:val="FootnoteReference"/>
          <w:rFonts w:ascii="Calibri" w:hAnsi="Calibri"/>
        </w:rPr>
        <w:footnoteReference w:id="280"/>
      </w:r>
    </w:p>
    <w:p w14:paraId="094C925D" w14:textId="77777777" w:rsidR="00CF64EB" w:rsidRDefault="00A27471" w:rsidP="00C962E9">
      <w:pPr>
        <w:tabs>
          <w:tab w:val="left" w:pos="540"/>
        </w:tabs>
        <w:autoSpaceDE w:val="0"/>
        <w:autoSpaceDN w:val="0"/>
        <w:adjustRightInd w:val="0"/>
        <w:spacing w:line="360" w:lineRule="auto"/>
        <w:rPr>
          <w:rFonts w:ascii="Calibri" w:hAnsi="Calibri"/>
        </w:rPr>
      </w:pPr>
      <w:r>
        <w:rPr>
          <w:rFonts w:ascii="Calibri" w:hAnsi="Calibri"/>
        </w:rPr>
        <w:lastRenderedPageBreak/>
        <w:tab/>
      </w:r>
      <w:r w:rsidR="00D05B86">
        <w:rPr>
          <w:rFonts w:ascii="Calibri" w:hAnsi="Calibri"/>
        </w:rPr>
        <w:t>By contrast, h</w:t>
      </w:r>
      <w:r w:rsidR="00C962E9" w:rsidRPr="00C962E9">
        <w:rPr>
          <w:rFonts w:ascii="Calibri" w:hAnsi="Calibri"/>
        </w:rPr>
        <w:t xml:space="preserve">ere, </w:t>
      </w:r>
      <w:r w:rsidR="003A4FC5">
        <w:rPr>
          <w:rFonts w:ascii="Calibri" w:hAnsi="Calibri"/>
        </w:rPr>
        <w:t>older power holders</w:t>
      </w:r>
      <w:r w:rsidR="00C962E9" w:rsidRPr="00C962E9">
        <w:rPr>
          <w:rFonts w:ascii="Calibri" w:hAnsi="Calibri"/>
        </w:rPr>
        <w:t xml:space="preserve"> would not even be notified of the trust before</w:t>
      </w:r>
      <w:r w:rsidR="003A4FC5">
        <w:rPr>
          <w:rFonts w:ascii="Calibri" w:hAnsi="Calibri"/>
        </w:rPr>
        <w:t xml:space="preserve"> its execution</w:t>
      </w:r>
      <w:r w:rsidR="003A4FC5" w:rsidRPr="003A4FC5">
        <w:rPr>
          <w:rFonts w:ascii="Calibri" w:hAnsi="Calibri"/>
        </w:rPr>
        <w:t xml:space="preserve"> </w:t>
      </w:r>
      <w:r w:rsidR="003A4FC5">
        <w:rPr>
          <w:rFonts w:ascii="Calibri" w:hAnsi="Calibri"/>
        </w:rPr>
        <w:t xml:space="preserve">and many </w:t>
      </w:r>
      <w:r w:rsidR="003A4FC5" w:rsidRPr="00C962E9">
        <w:rPr>
          <w:rFonts w:ascii="Calibri" w:hAnsi="Calibri"/>
        </w:rPr>
        <w:t xml:space="preserve">years </w:t>
      </w:r>
      <w:r w:rsidR="00630A3F">
        <w:rPr>
          <w:rFonts w:ascii="Calibri" w:hAnsi="Calibri"/>
        </w:rPr>
        <w:t>would often</w:t>
      </w:r>
      <w:r w:rsidR="003A4FC5" w:rsidRPr="00C962E9">
        <w:rPr>
          <w:rFonts w:ascii="Calibri" w:hAnsi="Calibri"/>
        </w:rPr>
        <w:t xml:space="preserve"> pass before a powerholder dies</w:t>
      </w:r>
      <w:r w:rsidR="00C962E9" w:rsidRPr="00C962E9">
        <w:rPr>
          <w:rFonts w:ascii="Calibri" w:hAnsi="Calibri"/>
        </w:rPr>
        <w:t xml:space="preserve">. </w:t>
      </w:r>
      <w:r w:rsidR="003A4FC5">
        <w:rPr>
          <w:rFonts w:ascii="Calibri" w:hAnsi="Calibri"/>
        </w:rPr>
        <w:t xml:space="preserve"> </w:t>
      </w:r>
      <w:r w:rsidR="00C962E9" w:rsidRPr="00C962E9">
        <w:rPr>
          <w:rFonts w:ascii="Calibri" w:hAnsi="Calibri"/>
        </w:rPr>
        <w:t xml:space="preserve">During this time there would be ongoing trust administration, asset management and distributions. </w:t>
      </w:r>
      <w:r w:rsidR="00CF64EB">
        <w:rPr>
          <w:rFonts w:ascii="Calibri" w:hAnsi="Calibri"/>
        </w:rPr>
        <w:t xml:space="preserve"> Older generation</w:t>
      </w:r>
      <w:r w:rsidR="00C962E9" w:rsidRPr="00C962E9">
        <w:rPr>
          <w:rFonts w:ascii="Calibri" w:hAnsi="Calibri"/>
        </w:rPr>
        <w:t xml:space="preserve"> power</w:t>
      </w:r>
      <w:r>
        <w:rPr>
          <w:rFonts w:ascii="Calibri" w:hAnsi="Calibri"/>
        </w:rPr>
        <w:t xml:space="preserve"> </w:t>
      </w:r>
      <w:r w:rsidR="00C962E9" w:rsidRPr="00C962E9">
        <w:rPr>
          <w:rFonts w:ascii="Calibri" w:hAnsi="Calibri"/>
        </w:rPr>
        <w:t xml:space="preserve">holders would usually use a different attorney for their estate plan (and thus, appointments) as well.  There is a not merely a </w:t>
      </w:r>
      <w:r w:rsidR="00C962E9" w:rsidRPr="00C962E9">
        <w:rPr>
          <w:rFonts w:ascii="Calibri" w:hAnsi="Calibri"/>
          <w:i/>
        </w:rPr>
        <w:t>risk</w:t>
      </w:r>
      <w:r w:rsidR="00C962E9" w:rsidRPr="00C962E9">
        <w:rPr>
          <w:rFonts w:ascii="Calibri" w:hAnsi="Calibri"/>
        </w:rPr>
        <w:t xml:space="preserve"> of economic change of circumstance through trust administration by the time a powerholder dies, it’s a </w:t>
      </w:r>
      <w:r w:rsidR="00C962E9" w:rsidRPr="00CF64EB">
        <w:rPr>
          <w:rFonts w:ascii="Calibri" w:hAnsi="Calibri"/>
          <w:i/>
        </w:rPr>
        <w:t>very</w:t>
      </w:r>
      <w:r w:rsidR="00C962E9" w:rsidRPr="00C962E9">
        <w:rPr>
          <w:rFonts w:ascii="Calibri" w:hAnsi="Calibri"/>
        </w:rPr>
        <w:t xml:space="preserve"> </w:t>
      </w:r>
      <w:r w:rsidR="00C962E9" w:rsidRPr="00A27471">
        <w:rPr>
          <w:rFonts w:ascii="Calibri" w:hAnsi="Calibri"/>
          <w:i/>
        </w:rPr>
        <w:t>high likelihood</w:t>
      </w:r>
      <w:r w:rsidR="00C962E9" w:rsidRPr="00C962E9">
        <w:rPr>
          <w:rFonts w:ascii="Calibri" w:hAnsi="Calibri"/>
        </w:rPr>
        <w:t xml:space="preserve">. This kind of “prearrangement” is not so different </w:t>
      </w:r>
      <w:r w:rsidR="00B364EE">
        <w:rPr>
          <w:rFonts w:ascii="Calibri" w:hAnsi="Calibri"/>
        </w:rPr>
        <w:t>from</w:t>
      </w:r>
      <w:r w:rsidR="00C962E9" w:rsidRPr="00C962E9">
        <w:rPr>
          <w:rFonts w:ascii="Calibri" w:hAnsi="Calibri"/>
        </w:rPr>
        <w:t xml:space="preserve"> someone using a bypass or QTIP trust and the IRS trying to deny the marital deduction by claiming it was all “prearranged” to pass to the couple’s children at the spouse’s death</w:t>
      </w:r>
      <w:r w:rsidR="00300D6D">
        <w:rPr>
          <w:rFonts w:ascii="Calibri" w:hAnsi="Calibri"/>
        </w:rPr>
        <w:t>, or having an intervivos marital trust flow back to the settlor – which is even sanctioned by regulation</w:t>
      </w:r>
      <w:r w:rsidR="00C962E9" w:rsidRPr="00C962E9">
        <w:rPr>
          <w:rFonts w:ascii="Calibri" w:hAnsi="Calibri"/>
        </w:rPr>
        <w:t>.</w:t>
      </w:r>
      <w:r w:rsidR="00300D6D">
        <w:rPr>
          <w:rStyle w:val="FootnoteReference"/>
          <w:rFonts w:ascii="Calibri" w:hAnsi="Calibri"/>
        </w:rPr>
        <w:footnoteReference w:id="281"/>
      </w:r>
      <w:r w:rsidR="00C962E9" w:rsidRPr="00C962E9">
        <w:rPr>
          <w:rFonts w:ascii="Calibri" w:hAnsi="Calibri"/>
        </w:rPr>
        <w:t xml:space="preserve"> Quite simply, the step transaction should not apply here</w:t>
      </w:r>
      <w:r w:rsidR="00CF64EB">
        <w:rPr>
          <w:rFonts w:ascii="Calibri" w:hAnsi="Calibri"/>
        </w:rPr>
        <w:t>.  W</w:t>
      </w:r>
      <w:r w:rsidR="00D05B86">
        <w:rPr>
          <w:rFonts w:ascii="Calibri" w:hAnsi="Calibri"/>
        </w:rPr>
        <w:t>hile nearly all trusts are</w:t>
      </w:r>
      <w:r w:rsidR="00D05B86" w:rsidRPr="00D05B86">
        <w:rPr>
          <w:rFonts w:ascii="Calibri" w:hAnsi="Calibri"/>
        </w:rPr>
        <w:t xml:space="preserve"> motivated in part by tax considerations, </w:t>
      </w:r>
      <w:r w:rsidR="00D05B86">
        <w:rPr>
          <w:rFonts w:ascii="Calibri" w:hAnsi="Calibri"/>
        </w:rPr>
        <w:t xml:space="preserve">trusts for parents and spouses, such as an </w:t>
      </w:r>
      <w:r w:rsidR="00D05B86" w:rsidRPr="00176F5F">
        <w:rPr>
          <w:rFonts w:ascii="Calibri" w:hAnsi="Calibri"/>
          <w:i/>
        </w:rPr>
        <w:t>Upstream OBIT</w:t>
      </w:r>
      <w:r w:rsidR="00C31CD7">
        <w:rPr>
          <w:rFonts w:ascii="Calibri" w:hAnsi="Calibri"/>
        </w:rPr>
        <w:t>,</w:t>
      </w:r>
      <w:r w:rsidR="00D05B86">
        <w:rPr>
          <w:rFonts w:ascii="Calibri" w:hAnsi="Calibri"/>
        </w:rPr>
        <w:t xml:space="preserve"> also have a strong</w:t>
      </w:r>
      <w:r w:rsidR="00D05B86" w:rsidRPr="00D05B86">
        <w:rPr>
          <w:rFonts w:ascii="Calibri" w:hAnsi="Calibri"/>
        </w:rPr>
        <w:t xml:space="preserve"> independent purpose </w:t>
      </w:r>
      <w:r w:rsidR="00D05B86">
        <w:rPr>
          <w:rFonts w:ascii="Calibri" w:hAnsi="Calibri"/>
        </w:rPr>
        <w:t>and economic</w:t>
      </w:r>
      <w:r w:rsidR="00D05B86" w:rsidRPr="00D05B86">
        <w:rPr>
          <w:rFonts w:ascii="Calibri" w:hAnsi="Calibri"/>
        </w:rPr>
        <w:t xml:space="preserve"> </w:t>
      </w:r>
      <w:r w:rsidR="00176F5F">
        <w:rPr>
          <w:rFonts w:ascii="Calibri" w:hAnsi="Calibri"/>
        </w:rPr>
        <w:t xml:space="preserve">non-tax </w:t>
      </w:r>
      <w:r w:rsidR="00D05B86" w:rsidRPr="00D05B86">
        <w:rPr>
          <w:rFonts w:ascii="Calibri" w:hAnsi="Calibri"/>
        </w:rPr>
        <w:t xml:space="preserve">effect, </w:t>
      </w:r>
      <w:r w:rsidR="00D05B86">
        <w:rPr>
          <w:rFonts w:ascii="Calibri" w:hAnsi="Calibri"/>
        </w:rPr>
        <w:t xml:space="preserve">rather than no </w:t>
      </w:r>
      <w:r w:rsidR="00D05B86" w:rsidRPr="00D05B86">
        <w:rPr>
          <w:rFonts w:ascii="Calibri" w:hAnsi="Calibri"/>
        </w:rPr>
        <w:t>purpose or effect beyond tax liabilities.</w:t>
      </w:r>
    </w:p>
    <w:p w14:paraId="2B49103A" w14:textId="77777777" w:rsidR="0000285C" w:rsidRDefault="00CF64EB" w:rsidP="00FC0614">
      <w:pPr>
        <w:tabs>
          <w:tab w:val="left" w:pos="540"/>
        </w:tabs>
        <w:autoSpaceDE w:val="0"/>
        <w:autoSpaceDN w:val="0"/>
        <w:adjustRightInd w:val="0"/>
        <w:spacing w:line="360" w:lineRule="auto"/>
        <w:rPr>
          <w:rFonts w:ascii="Calibri" w:hAnsi="Calibri"/>
        </w:rPr>
      </w:pPr>
      <w:r>
        <w:rPr>
          <w:rFonts w:ascii="Calibri" w:hAnsi="Calibri"/>
        </w:rPr>
        <w:tab/>
        <w:t xml:space="preserve">Courts have been quite resistant to IRS attempts to inveigh prearrangement, implied promise or concert to invalidate a tax effect clearly permitted by law, even under </w:t>
      </w:r>
      <w:r w:rsidR="00187867">
        <w:rPr>
          <w:rFonts w:ascii="Calibri" w:hAnsi="Calibri"/>
        </w:rPr>
        <w:t xml:space="preserve">much </w:t>
      </w:r>
      <w:r>
        <w:rPr>
          <w:rFonts w:ascii="Calibri" w:hAnsi="Calibri"/>
        </w:rPr>
        <w:t>more dubious circumstances.</w:t>
      </w:r>
      <w:r>
        <w:rPr>
          <w:rStyle w:val="FootnoteReference"/>
          <w:rFonts w:ascii="Calibri" w:hAnsi="Calibri"/>
        </w:rPr>
        <w:footnoteReference w:id="282"/>
      </w:r>
    </w:p>
    <w:p w14:paraId="01C08D6A" w14:textId="77777777" w:rsidR="004C1898" w:rsidRDefault="001370FB" w:rsidP="00CF64EB">
      <w:pPr>
        <w:tabs>
          <w:tab w:val="left" w:pos="540"/>
        </w:tabs>
        <w:autoSpaceDE w:val="0"/>
        <w:autoSpaceDN w:val="0"/>
        <w:adjustRightInd w:val="0"/>
        <w:spacing w:line="360" w:lineRule="auto"/>
        <w:rPr>
          <w:rFonts w:ascii="Calibri" w:hAnsi="Calibri"/>
        </w:rPr>
      </w:pPr>
      <w:r>
        <w:rPr>
          <w:rFonts w:ascii="Calibri" w:hAnsi="Calibri"/>
        </w:rPr>
        <w:tab/>
      </w:r>
      <w:r w:rsidR="004C1898">
        <w:rPr>
          <w:rFonts w:ascii="Calibri" w:hAnsi="Calibri"/>
        </w:rPr>
        <w:t xml:space="preserve">What about the “tax benefit rule”?  Isn’t the family able to deduct depreciable property upon purchase and thereafter, then deduct it again at a higher basis after the death of the beneficiary?  Sometimes if it smells too good to be true it is - but not in this case.  Let’s explore how the tax benefit rule works and why it does not apply in a situation where an </w:t>
      </w:r>
      <w:r w:rsidR="004C1898">
        <w:rPr>
          <w:rFonts w:ascii="Calibri" w:hAnsi="Calibri"/>
        </w:rPr>
        <w:lastRenderedPageBreak/>
        <w:t>intervening death causes a step up in basis of depreciable assets.</w:t>
      </w:r>
      <w:r w:rsidR="00E844CF">
        <w:rPr>
          <w:rStyle w:val="FootnoteReference"/>
          <w:rFonts w:ascii="Calibri" w:hAnsi="Calibri"/>
        </w:rPr>
        <w:footnoteReference w:id="283"/>
      </w:r>
      <w:r w:rsidR="004C1898">
        <w:rPr>
          <w:rFonts w:ascii="Calibri" w:hAnsi="Calibri"/>
        </w:rPr>
        <w:t xml:space="preserve">  In </w:t>
      </w:r>
      <w:r w:rsidR="00E844CF" w:rsidRPr="00E844CF">
        <w:rPr>
          <w:rFonts w:ascii="Calibri" w:hAnsi="Calibri"/>
          <w:i/>
        </w:rPr>
        <w:t>Backemeyer</w:t>
      </w:r>
      <w:r w:rsidR="00E844CF">
        <w:rPr>
          <w:rFonts w:ascii="Calibri" w:hAnsi="Calibri"/>
        </w:rPr>
        <w:t>, a farmer died</w:t>
      </w:r>
      <w:r w:rsidR="00F033DB">
        <w:rPr>
          <w:rFonts w:ascii="Calibri" w:hAnsi="Calibri"/>
        </w:rPr>
        <w:t xml:space="preserve"> in early 2011</w:t>
      </w:r>
      <w:r w:rsidR="00E844CF">
        <w:rPr>
          <w:rFonts w:ascii="Calibri" w:hAnsi="Calibri"/>
        </w:rPr>
        <w:t xml:space="preserve">, having spent and </w:t>
      </w:r>
      <w:r w:rsidR="00BA2737">
        <w:rPr>
          <w:rFonts w:ascii="Calibri" w:hAnsi="Calibri"/>
        </w:rPr>
        <w:t xml:space="preserve">legitimately </w:t>
      </w:r>
      <w:r w:rsidR="00E844CF">
        <w:rPr>
          <w:rFonts w:ascii="Calibri" w:hAnsi="Calibri"/>
        </w:rPr>
        <w:t xml:space="preserve">expensed over $300,000 </w:t>
      </w:r>
      <w:r w:rsidR="00F033DB">
        <w:rPr>
          <w:rFonts w:ascii="Calibri" w:hAnsi="Calibri"/>
        </w:rPr>
        <w:t>for</w:t>
      </w:r>
      <w:r w:rsidR="00E844CF">
        <w:rPr>
          <w:rFonts w:ascii="Calibri" w:hAnsi="Calibri"/>
        </w:rPr>
        <w:t xml:space="preserve"> herbicides, seed, diesel fuel, fertilizer in the year before his death</w:t>
      </w:r>
      <w:r w:rsidR="00F033DB">
        <w:rPr>
          <w:rFonts w:ascii="Calibri" w:hAnsi="Calibri"/>
        </w:rPr>
        <w:t>, 2010</w:t>
      </w:r>
      <w:r w:rsidR="00E844CF">
        <w:rPr>
          <w:rFonts w:ascii="Calibri" w:hAnsi="Calibri"/>
        </w:rPr>
        <w:t xml:space="preserve">.  His widow inherited the farm and goods, </w:t>
      </w:r>
      <w:r w:rsidR="00F033DB">
        <w:rPr>
          <w:rFonts w:ascii="Calibri" w:hAnsi="Calibri"/>
        </w:rPr>
        <w:t>about $235,000</w:t>
      </w:r>
      <w:r w:rsidR="00E844CF">
        <w:rPr>
          <w:rFonts w:ascii="Calibri" w:hAnsi="Calibri"/>
        </w:rPr>
        <w:t xml:space="preserve"> of which had not been used, and she farmed the land using the assets, and deducted </w:t>
      </w:r>
      <w:r w:rsidR="00F033DB">
        <w:rPr>
          <w:rFonts w:ascii="Calibri" w:hAnsi="Calibri"/>
        </w:rPr>
        <w:t>those amounts in 2011 and 2012</w:t>
      </w:r>
      <w:r w:rsidR="00E844CF">
        <w:rPr>
          <w:rFonts w:ascii="Calibri" w:hAnsi="Calibri"/>
        </w:rPr>
        <w:t>.  The IRS initially denied the deductions</w:t>
      </w:r>
      <w:r w:rsidR="00F033DB">
        <w:rPr>
          <w:rFonts w:ascii="Calibri" w:hAnsi="Calibri"/>
        </w:rPr>
        <w:t xml:space="preserve">, claiming that it would be unfair to allow </w:t>
      </w:r>
      <w:r w:rsidR="00BA2737">
        <w:rPr>
          <w:rFonts w:ascii="Calibri" w:hAnsi="Calibri"/>
        </w:rPr>
        <w:t xml:space="preserve">her </w:t>
      </w:r>
      <w:r w:rsidR="00F033DB">
        <w:rPr>
          <w:rFonts w:ascii="Calibri" w:hAnsi="Calibri"/>
        </w:rPr>
        <w:t>“double deductions”</w:t>
      </w:r>
      <w:r w:rsidR="00E844CF">
        <w:rPr>
          <w:rFonts w:ascii="Calibri" w:hAnsi="Calibri"/>
        </w:rPr>
        <w:t>, citing</w:t>
      </w:r>
      <w:r w:rsidR="00BA2737">
        <w:rPr>
          <w:rFonts w:ascii="Calibri" w:hAnsi="Calibri"/>
        </w:rPr>
        <w:t xml:space="preserve"> the tax benefit rule, which is defined as</w:t>
      </w:r>
      <w:r w:rsidR="00E844CF">
        <w:rPr>
          <w:rFonts w:ascii="Calibri" w:hAnsi="Calibri"/>
        </w:rPr>
        <w:t>:</w:t>
      </w:r>
    </w:p>
    <w:p w14:paraId="6F563B92" w14:textId="77777777" w:rsidR="00BA2737" w:rsidRDefault="00BA2737" w:rsidP="00BA2737">
      <w:pPr>
        <w:tabs>
          <w:tab w:val="left" w:pos="540"/>
        </w:tabs>
        <w:autoSpaceDE w:val="0"/>
        <w:autoSpaceDN w:val="0"/>
        <w:adjustRightInd w:val="0"/>
        <w:ind w:left="547"/>
        <w:rPr>
          <w:rFonts w:ascii="Calibri" w:hAnsi="Calibri"/>
        </w:rPr>
      </w:pPr>
      <w:r>
        <w:rPr>
          <w:rFonts w:ascii="Calibri" w:hAnsi="Calibri"/>
        </w:rPr>
        <w:t>“</w:t>
      </w:r>
      <w:r w:rsidRPr="00BA2737">
        <w:rPr>
          <w:rFonts w:ascii="Calibri" w:hAnsi="Calibri"/>
        </w:rPr>
        <w:t>[A]n amount must be included in gross income in the current year if,</w:t>
      </w:r>
      <w:r>
        <w:rPr>
          <w:rFonts w:ascii="Calibri" w:hAnsi="Calibri"/>
        </w:rPr>
        <w:t xml:space="preserve"> </w:t>
      </w:r>
      <w:r w:rsidRPr="00BA2737">
        <w:rPr>
          <w:rFonts w:ascii="Calibri" w:hAnsi="Calibri"/>
        </w:rPr>
        <w:t>and to the extent that: (1) The amount was deducted in a year prior to</w:t>
      </w:r>
      <w:r>
        <w:rPr>
          <w:rFonts w:ascii="Calibri" w:hAnsi="Calibri"/>
        </w:rPr>
        <w:t xml:space="preserve"> </w:t>
      </w:r>
      <w:r w:rsidRPr="00BA2737">
        <w:rPr>
          <w:rFonts w:ascii="Calibri" w:hAnsi="Calibri"/>
        </w:rPr>
        <w:t>the current year, (2) the deduction resulted in a tax benefit, (3) an</w:t>
      </w:r>
      <w:r>
        <w:rPr>
          <w:rFonts w:ascii="Calibri" w:hAnsi="Calibri"/>
        </w:rPr>
        <w:t xml:space="preserve"> </w:t>
      </w:r>
      <w:r w:rsidRPr="00BA2737">
        <w:rPr>
          <w:rFonts w:ascii="Calibri" w:hAnsi="Calibri"/>
        </w:rPr>
        <w:t>event occurs in the current year that is fundamentally inconsistent</w:t>
      </w:r>
      <w:r>
        <w:rPr>
          <w:rFonts w:ascii="Calibri" w:hAnsi="Calibri"/>
        </w:rPr>
        <w:t xml:space="preserve"> </w:t>
      </w:r>
      <w:r w:rsidRPr="00BA2737">
        <w:rPr>
          <w:rFonts w:ascii="Calibri" w:hAnsi="Calibri"/>
        </w:rPr>
        <w:t>with the premises on which the deduction was originally based, and</w:t>
      </w:r>
      <w:r>
        <w:rPr>
          <w:rFonts w:ascii="Calibri" w:hAnsi="Calibri"/>
        </w:rPr>
        <w:t xml:space="preserve"> </w:t>
      </w:r>
      <w:r w:rsidRPr="00BA2737">
        <w:rPr>
          <w:rFonts w:ascii="Calibri" w:hAnsi="Calibri"/>
        </w:rPr>
        <w:t>(4) a nonrecognition provision of the Internal Revenue Code does not</w:t>
      </w:r>
      <w:r>
        <w:rPr>
          <w:rFonts w:ascii="Calibri" w:hAnsi="Calibri"/>
        </w:rPr>
        <w:t xml:space="preserve"> </w:t>
      </w:r>
      <w:r w:rsidRPr="00BA2737">
        <w:rPr>
          <w:rFonts w:ascii="Calibri" w:hAnsi="Calibri"/>
        </w:rPr>
        <w:t>prevent the inclusion in gross income.</w:t>
      </w:r>
      <w:r>
        <w:rPr>
          <w:rFonts w:ascii="Calibri" w:hAnsi="Calibri"/>
        </w:rPr>
        <w:t>”</w:t>
      </w:r>
    </w:p>
    <w:p w14:paraId="5A384081" w14:textId="77777777" w:rsidR="00BA2737" w:rsidRDefault="00BA2737" w:rsidP="00BA2737">
      <w:pPr>
        <w:tabs>
          <w:tab w:val="left" w:pos="540"/>
        </w:tabs>
        <w:autoSpaceDE w:val="0"/>
        <w:autoSpaceDN w:val="0"/>
        <w:adjustRightInd w:val="0"/>
        <w:ind w:left="547"/>
        <w:rPr>
          <w:rFonts w:ascii="Calibri" w:hAnsi="Calibri"/>
        </w:rPr>
      </w:pPr>
    </w:p>
    <w:p w14:paraId="3B0F876E" w14:textId="77777777" w:rsidR="00BA2737" w:rsidRDefault="00BA2737" w:rsidP="0073691F">
      <w:pPr>
        <w:tabs>
          <w:tab w:val="left" w:pos="0"/>
        </w:tabs>
        <w:autoSpaceDE w:val="0"/>
        <w:autoSpaceDN w:val="0"/>
        <w:adjustRightInd w:val="0"/>
        <w:spacing w:line="360" w:lineRule="auto"/>
        <w:ind w:firstLine="547"/>
        <w:rPr>
          <w:rFonts w:ascii="Calibri" w:hAnsi="Calibri"/>
        </w:rPr>
      </w:pPr>
      <w:r>
        <w:rPr>
          <w:rFonts w:ascii="Calibri" w:hAnsi="Calibri"/>
        </w:rPr>
        <w:t>While prongs #1 and #2 were clearly met, death was not to be deemed an event that is fundamentally inconsistent with the premises upon which the deduction was originally based and the tax court permitted the widow the $235,000 of “double deductions”:</w:t>
      </w:r>
    </w:p>
    <w:p w14:paraId="5DCB5662" w14:textId="77777777" w:rsidR="00BA2737" w:rsidRDefault="00BA2737" w:rsidP="005A7DDB">
      <w:pPr>
        <w:tabs>
          <w:tab w:val="left" w:pos="540"/>
        </w:tabs>
        <w:autoSpaceDE w:val="0"/>
        <w:autoSpaceDN w:val="0"/>
        <w:adjustRightInd w:val="0"/>
        <w:ind w:left="547"/>
        <w:rPr>
          <w:rFonts w:ascii="Calibri" w:hAnsi="Calibri"/>
        </w:rPr>
      </w:pPr>
    </w:p>
    <w:p w14:paraId="5CBDDC1F" w14:textId="77777777" w:rsidR="00BA2737" w:rsidRPr="00BA2737" w:rsidRDefault="00BA2737" w:rsidP="00BA2737">
      <w:pPr>
        <w:tabs>
          <w:tab w:val="left" w:pos="540"/>
        </w:tabs>
        <w:autoSpaceDE w:val="0"/>
        <w:autoSpaceDN w:val="0"/>
        <w:adjustRightInd w:val="0"/>
        <w:ind w:left="547"/>
        <w:rPr>
          <w:rFonts w:ascii="Calibri" w:hAnsi="Calibri"/>
        </w:rPr>
      </w:pPr>
      <w:r>
        <w:rPr>
          <w:rFonts w:ascii="Calibri" w:hAnsi="Calibri"/>
        </w:rPr>
        <w:t>“</w:t>
      </w:r>
      <w:r w:rsidRPr="00BA2737">
        <w:rPr>
          <w:rFonts w:ascii="Calibri" w:hAnsi="Calibri"/>
        </w:rPr>
        <w:t>The reason for this is that the estate tax effectively “recaptures” section 162</w:t>
      </w:r>
    </w:p>
    <w:p w14:paraId="7AB26807" w14:textId="77777777" w:rsidR="00BA2737" w:rsidRPr="00BA2737" w:rsidRDefault="00BA2737" w:rsidP="00BA2737">
      <w:pPr>
        <w:tabs>
          <w:tab w:val="left" w:pos="540"/>
        </w:tabs>
        <w:autoSpaceDE w:val="0"/>
        <w:autoSpaceDN w:val="0"/>
        <w:adjustRightInd w:val="0"/>
        <w:ind w:left="547"/>
        <w:rPr>
          <w:rFonts w:ascii="Calibri" w:hAnsi="Calibri"/>
        </w:rPr>
      </w:pPr>
      <w:r w:rsidRPr="00BA2737">
        <w:rPr>
          <w:rFonts w:ascii="Calibri" w:hAnsi="Calibri"/>
        </w:rPr>
        <w:t>deductions by way of its normal operation, obviating any need to separately apply</w:t>
      </w:r>
    </w:p>
    <w:p w14:paraId="294DBB6C" w14:textId="77777777" w:rsidR="00BA2737" w:rsidRPr="00BA2737" w:rsidRDefault="00BA2737" w:rsidP="00BA2737">
      <w:pPr>
        <w:tabs>
          <w:tab w:val="left" w:pos="540"/>
        </w:tabs>
        <w:autoSpaceDE w:val="0"/>
        <w:autoSpaceDN w:val="0"/>
        <w:adjustRightInd w:val="0"/>
        <w:ind w:left="547"/>
        <w:rPr>
          <w:rFonts w:ascii="Calibri" w:hAnsi="Calibri"/>
        </w:rPr>
      </w:pPr>
      <w:r w:rsidRPr="00BA2737">
        <w:rPr>
          <w:rFonts w:ascii="Calibri" w:hAnsi="Calibri"/>
        </w:rPr>
        <w:t>the tax benefit rule. When Mr. Backemeyer died, all of his assets, including the</w:t>
      </w:r>
    </w:p>
    <w:p w14:paraId="261BE0D9" w14:textId="77777777" w:rsidR="00BA2737" w:rsidRPr="00BA2737" w:rsidRDefault="00BA2737" w:rsidP="00BA2737">
      <w:pPr>
        <w:tabs>
          <w:tab w:val="left" w:pos="540"/>
        </w:tabs>
        <w:autoSpaceDE w:val="0"/>
        <w:autoSpaceDN w:val="0"/>
        <w:adjustRightInd w:val="0"/>
        <w:ind w:left="547"/>
        <w:rPr>
          <w:rFonts w:ascii="Calibri" w:hAnsi="Calibri"/>
        </w:rPr>
      </w:pPr>
      <w:r w:rsidRPr="00BA2737">
        <w:rPr>
          <w:rFonts w:ascii="Calibri" w:hAnsi="Calibri"/>
        </w:rPr>
        <w:t>farm inputs, became subject to the estate tax, which operates similarly to a mark-</w:t>
      </w:r>
    </w:p>
    <w:p w14:paraId="168DAAAB" w14:textId="77777777" w:rsidR="00BA2737" w:rsidRPr="00BA2737" w:rsidRDefault="00BA2737" w:rsidP="00BA2737">
      <w:pPr>
        <w:tabs>
          <w:tab w:val="left" w:pos="540"/>
        </w:tabs>
        <w:autoSpaceDE w:val="0"/>
        <w:autoSpaceDN w:val="0"/>
        <w:adjustRightInd w:val="0"/>
        <w:ind w:left="547"/>
        <w:rPr>
          <w:rFonts w:ascii="Calibri" w:hAnsi="Calibri"/>
        </w:rPr>
      </w:pPr>
      <w:r w:rsidRPr="00BA2737">
        <w:rPr>
          <w:rFonts w:ascii="Calibri" w:hAnsi="Calibri"/>
        </w:rPr>
        <w:t>to-market tax when the mark-to-market tax is imposed on zero-basis assets.</w:t>
      </w:r>
    </w:p>
    <w:p w14:paraId="53D920AF" w14:textId="77777777" w:rsidR="00BA2737" w:rsidRPr="00BA2737" w:rsidRDefault="00BA2737" w:rsidP="00BA2737">
      <w:pPr>
        <w:tabs>
          <w:tab w:val="left" w:pos="540"/>
        </w:tabs>
        <w:autoSpaceDE w:val="0"/>
        <w:autoSpaceDN w:val="0"/>
        <w:adjustRightInd w:val="0"/>
        <w:ind w:left="547"/>
        <w:rPr>
          <w:rFonts w:ascii="Calibri" w:hAnsi="Calibri"/>
          <w:b/>
        </w:rPr>
      </w:pPr>
      <w:r>
        <w:rPr>
          <w:rFonts w:ascii="Calibri" w:hAnsi="Calibri"/>
        </w:rPr>
        <w:t>***</w:t>
      </w:r>
      <w:r w:rsidRPr="00BA2737">
        <w:rPr>
          <w:rFonts w:ascii="Calibri" w:hAnsi="Calibri"/>
          <w:b/>
        </w:rPr>
        <w:t>The same result obtains even if Mr. Backemeyer’s estate did not actually owe any</w:t>
      </w:r>
    </w:p>
    <w:p w14:paraId="4BC7CD1D" w14:textId="77777777" w:rsidR="00BA2737" w:rsidRPr="00BA2737" w:rsidRDefault="00BA2737" w:rsidP="00BA2737">
      <w:pPr>
        <w:tabs>
          <w:tab w:val="left" w:pos="540"/>
        </w:tabs>
        <w:autoSpaceDE w:val="0"/>
        <w:autoSpaceDN w:val="0"/>
        <w:adjustRightInd w:val="0"/>
        <w:ind w:left="547"/>
        <w:rPr>
          <w:rFonts w:ascii="Calibri" w:hAnsi="Calibri"/>
          <w:b/>
        </w:rPr>
      </w:pPr>
      <w:r w:rsidRPr="00BA2737">
        <w:rPr>
          <w:rFonts w:ascii="Calibri" w:hAnsi="Calibri"/>
          <w:b/>
        </w:rPr>
        <w:t>amount payable as estate tax through the operation of the unified credit, see sec.</w:t>
      </w:r>
    </w:p>
    <w:p w14:paraId="4B14AED2" w14:textId="77777777" w:rsidR="00BA2737" w:rsidRPr="00BA2737" w:rsidRDefault="00BA2737" w:rsidP="00BA2737">
      <w:pPr>
        <w:tabs>
          <w:tab w:val="left" w:pos="540"/>
        </w:tabs>
        <w:autoSpaceDE w:val="0"/>
        <w:autoSpaceDN w:val="0"/>
        <w:adjustRightInd w:val="0"/>
        <w:ind w:left="547"/>
        <w:rPr>
          <w:rFonts w:ascii="Calibri" w:hAnsi="Calibri"/>
          <w:b/>
        </w:rPr>
      </w:pPr>
      <w:r w:rsidRPr="00BA2737">
        <w:rPr>
          <w:rFonts w:ascii="Calibri" w:hAnsi="Calibri"/>
          <w:b/>
        </w:rPr>
        <w:t>2010, or the marital deduction for bequests to a surviving spouse, see sec. 2056, so</w:t>
      </w:r>
    </w:p>
    <w:p w14:paraId="73838D98" w14:textId="77777777" w:rsidR="00BA2737" w:rsidRDefault="00BA2737" w:rsidP="00BA2737">
      <w:pPr>
        <w:tabs>
          <w:tab w:val="left" w:pos="540"/>
        </w:tabs>
        <w:autoSpaceDE w:val="0"/>
        <w:autoSpaceDN w:val="0"/>
        <w:adjustRightInd w:val="0"/>
        <w:ind w:left="547"/>
        <w:rPr>
          <w:rFonts w:ascii="Calibri" w:hAnsi="Calibri"/>
        </w:rPr>
      </w:pPr>
      <w:r w:rsidRPr="00BA2737">
        <w:rPr>
          <w:rFonts w:ascii="Calibri" w:hAnsi="Calibri"/>
          <w:b/>
        </w:rPr>
        <w:t>long as his estate was subject to the estate tax regime</w:t>
      </w:r>
      <w:r w:rsidRPr="00BA2737">
        <w:rPr>
          <w:rFonts w:ascii="Calibri" w:hAnsi="Calibri"/>
        </w:rPr>
        <w:t>.</w:t>
      </w:r>
    </w:p>
    <w:p w14:paraId="18DC0239" w14:textId="77777777" w:rsidR="00BA2737" w:rsidRDefault="004C1898" w:rsidP="005A7DDB">
      <w:pPr>
        <w:tabs>
          <w:tab w:val="left" w:pos="540"/>
        </w:tabs>
        <w:autoSpaceDE w:val="0"/>
        <w:autoSpaceDN w:val="0"/>
        <w:adjustRightInd w:val="0"/>
        <w:rPr>
          <w:rFonts w:ascii="Calibri" w:hAnsi="Calibri"/>
        </w:rPr>
      </w:pPr>
      <w:r>
        <w:rPr>
          <w:rFonts w:ascii="Calibri" w:hAnsi="Calibri"/>
        </w:rPr>
        <w:tab/>
      </w:r>
    </w:p>
    <w:p w14:paraId="4B4DFDE1" w14:textId="77777777" w:rsidR="00BA2737" w:rsidRDefault="00BA2737" w:rsidP="0073691F">
      <w:pPr>
        <w:tabs>
          <w:tab w:val="left" w:pos="540"/>
        </w:tabs>
        <w:autoSpaceDE w:val="0"/>
        <w:autoSpaceDN w:val="0"/>
        <w:adjustRightInd w:val="0"/>
        <w:spacing w:line="360" w:lineRule="auto"/>
        <w:rPr>
          <w:rFonts w:ascii="Calibri" w:hAnsi="Calibri"/>
        </w:rPr>
      </w:pPr>
      <w:r>
        <w:rPr>
          <w:rFonts w:ascii="Calibri" w:hAnsi="Calibri"/>
        </w:rPr>
        <w:tab/>
        <w:t xml:space="preserve">Thus, the step up in basis is not </w:t>
      </w:r>
      <w:r w:rsidR="005A7DDB">
        <w:rPr>
          <w:rFonts w:ascii="Calibri" w:hAnsi="Calibri"/>
        </w:rPr>
        <w:t xml:space="preserve">a </w:t>
      </w:r>
      <w:r w:rsidR="0073691F">
        <w:rPr>
          <w:rFonts w:ascii="Calibri" w:hAnsi="Calibri"/>
        </w:rPr>
        <w:t>reversible “</w:t>
      </w:r>
      <w:r w:rsidR="005A7DDB">
        <w:rPr>
          <w:rFonts w:ascii="Calibri" w:hAnsi="Calibri"/>
        </w:rPr>
        <w:t>tax benefit</w:t>
      </w:r>
      <w:r w:rsidR="0073691F">
        <w:rPr>
          <w:rFonts w:ascii="Calibri" w:hAnsi="Calibri"/>
        </w:rPr>
        <w:t>” even for depreciable property</w:t>
      </w:r>
      <w:r w:rsidR="005A7DDB">
        <w:rPr>
          <w:rFonts w:ascii="Calibri" w:hAnsi="Calibri"/>
        </w:rPr>
        <w:t xml:space="preserve">, because of the intervening estate tax regime, but it can </w:t>
      </w:r>
      <w:r w:rsidR="00630A3F">
        <w:rPr>
          <w:rFonts w:ascii="Calibri" w:hAnsi="Calibri"/>
        </w:rPr>
        <w:t xml:space="preserve">clearly </w:t>
      </w:r>
      <w:r w:rsidR="005A7DDB">
        <w:rPr>
          <w:rFonts w:ascii="Calibri" w:hAnsi="Calibri"/>
        </w:rPr>
        <w:t xml:space="preserve">be </w:t>
      </w:r>
      <w:r w:rsidR="0073691F">
        <w:rPr>
          <w:rFonts w:ascii="Calibri" w:hAnsi="Calibri"/>
        </w:rPr>
        <w:t xml:space="preserve">a free lunch </w:t>
      </w:r>
      <w:r w:rsidR="005A7DDB">
        <w:rPr>
          <w:rFonts w:ascii="Calibri" w:hAnsi="Calibri"/>
        </w:rPr>
        <w:t>when there is no actual estate tax</w:t>
      </w:r>
      <w:r w:rsidR="005F085F">
        <w:rPr>
          <w:rFonts w:ascii="Calibri" w:hAnsi="Calibri"/>
        </w:rPr>
        <w:t>,</w:t>
      </w:r>
      <w:r w:rsidR="005A7DDB">
        <w:rPr>
          <w:rFonts w:ascii="Calibri" w:hAnsi="Calibri"/>
        </w:rPr>
        <w:t xml:space="preserve"> because of the unified credit and/or marital deduction</w:t>
      </w:r>
      <w:r w:rsidR="0073691F">
        <w:rPr>
          <w:rFonts w:ascii="Calibri" w:hAnsi="Calibri"/>
        </w:rPr>
        <w:t xml:space="preserve"> (like any inheritance)</w:t>
      </w:r>
      <w:r w:rsidR="005A7DDB">
        <w:rPr>
          <w:rFonts w:ascii="Calibri" w:hAnsi="Calibri"/>
        </w:rPr>
        <w:t xml:space="preserve">.  With upstream </w:t>
      </w:r>
      <w:r w:rsidR="0073691F">
        <w:rPr>
          <w:rFonts w:ascii="Calibri" w:hAnsi="Calibri"/>
        </w:rPr>
        <w:t xml:space="preserve">“OBIT” </w:t>
      </w:r>
      <w:r w:rsidR="005A7DDB">
        <w:rPr>
          <w:rFonts w:ascii="Calibri" w:hAnsi="Calibri"/>
        </w:rPr>
        <w:t xml:space="preserve">planning, we’re </w:t>
      </w:r>
      <w:r w:rsidR="0073691F">
        <w:rPr>
          <w:rFonts w:ascii="Calibri" w:hAnsi="Calibri"/>
        </w:rPr>
        <w:t>utilizing</w:t>
      </w:r>
      <w:r w:rsidR="005A7DDB">
        <w:rPr>
          <w:rFonts w:ascii="Calibri" w:hAnsi="Calibri"/>
        </w:rPr>
        <w:t xml:space="preserve"> the unified credit, but </w:t>
      </w:r>
      <w:r w:rsidR="0073691F">
        <w:rPr>
          <w:rFonts w:ascii="Calibri" w:hAnsi="Calibri"/>
        </w:rPr>
        <w:t>we can</w:t>
      </w:r>
      <w:r w:rsidR="005A7DDB">
        <w:rPr>
          <w:rFonts w:ascii="Calibri" w:hAnsi="Calibri"/>
        </w:rPr>
        <w:t xml:space="preserve"> </w:t>
      </w:r>
      <w:r w:rsidR="005A7DDB">
        <w:rPr>
          <w:rFonts w:ascii="Calibri" w:hAnsi="Calibri"/>
        </w:rPr>
        <w:lastRenderedPageBreak/>
        <w:t>u</w:t>
      </w:r>
      <w:r w:rsidR="0073691F">
        <w:rPr>
          <w:rFonts w:ascii="Calibri" w:hAnsi="Calibri"/>
        </w:rPr>
        <w:t>se the marital deduction for very similar planning as well</w:t>
      </w:r>
      <w:r w:rsidR="005A7DDB">
        <w:rPr>
          <w:rFonts w:ascii="Calibri" w:hAnsi="Calibri"/>
        </w:rPr>
        <w:t>, as discussed in the following section</w:t>
      </w:r>
      <w:r w:rsidR="0073691F">
        <w:rPr>
          <w:rFonts w:ascii="Calibri" w:hAnsi="Calibri"/>
        </w:rPr>
        <w:t xml:space="preserve"> and the material on designing the Optimal Basis Increase LLC</w:t>
      </w:r>
      <w:r w:rsidR="005A7DDB">
        <w:rPr>
          <w:rFonts w:ascii="Calibri" w:hAnsi="Calibri"/>
        </w:rPr>
        <w:t>.</w:t>
      </w:r>
    </w:p>
    <w:p w14:paraId="0A116AEC" w14:textId="77777777" w:rsidR="001370FB" w:rsidRDefault="00BA2737" w:rsidP="00CF64EB">
      <w:pPr>
        <w:tabs>
          <w:tab w:val="left" w:pos="540"/>
        </w:tabs>
        <w:autoSpaceDE w:val="0"/>
        <w:autoSpaceDN w:val="0"/>
        <w:adjustRightInd w:val="0"/>
        <w:spacing w:line="360" w:lineRule="auto"/>
        <w:rPr>
          <w:rFonts w:ascii="Calibri" w:hAnsi="Calibri"/>
        </w:rPr>
      </w:pPr>
      <w:r>
        <w:rPr>
          <w:rFonts w:ascii="Calibri" w:hAnsi="Calibri"/>
        </w:rPr>
        <w:tab/>
      </w:r>
      <w:r w:rsidR="001370FB">
        <w:rPr>
          <w:rFonts w:ascii="Calibri" w:hAnsi="Calibri"/>
        </w:rPr>
        <w:t>Advisor</w:t>
      </w:r>
      <w:r>
        <w:rPr>
          <w:rFonts w:ascii="Calibri" w:hAnsi="Calibri"/>
        </w:rPr>
        <w:t>s</w:t>
      </w:r>
      <w:r w:rsidR="001370FB">
        <w:rPr>
          <w:rFonts w:ascii="Calibri" w:hAnsi="Calibri"/>
        </w:rPr>
        <w:t xml:space="preserve"> often ask whether this same technique can be accomplished by granting GPOAs to power holders in </w:t>
      </w:r>
      <w:r w:rsidR="001370FB" w:rsidRPr="001370FB">
        <w:rPr>
          <w:rFonts w:ascii="Calibri" w:hAnsi="Calibri"/>
          <w:i/>
        </w:rPr>
        <w:t>revocable</w:t>
      </w:r>
      <w:r w:rsidR="001370FB">
        <w:rPr>
          <w:rFonts w:ascii="Calibri" w:hAnsi="Calibri"/>
        </w:rPr>
        <w:t xml:space="preserve"> trusts</w:t>
      </w:r>
      <w:r w:rsidR="00630A3F">
        <w:rPr>
          <w:rFonts w:ascii="Calibri" w:hAnsi="Calibri"/>
        </w:rPr>
        <w:t xml:space="preserve"> (or incomplete gift trusts such as DAPTs or DINGs)</w:t>
      </w:r>
      <w:r w:rsidR="001370FB">
        <w:rPr>
          <w:rFonts w:ascii="Calibri" w:hAnsi="Calibri"/>
        </w:rPr>
        <w:t>.  Generally, NO – see detailed discussion above</w:t>
      </w:r>
      <w:r w:rsidR="005A0BD0">
        <w:rPr>
          <w:rFonts w:ascii="Calibri" w:hAnsi="Calibri"/>
        </w:rPr>
        <w:t xml:space="preserve"> regarding JEST trusts</w:t>
      </w:r>
      <w:r w:rsidR="001370FB">
        <w:rPr>
          <w:rFonts w:ascii="Calibri" w:hAnsi="Calibri"/>
        </w:rPr>
        <w:t>.  Not only would this cause a taxable gift to occur on the death of the power holder from the settlor to the power holder</w:t>
      </w:r>
      <w:r w:rsidR="005A0BD0">
        <w:rPr>
          <w:rFonts w:ascii="Calibri" w:hAnsi="Calibri"/>
        </w:rPr>
        <w:t xml:space="preserve"> that would obviously not qualify for the marital deduction</w:t>
      </w:r>
      <w:r w:rsidR="001370FB">
        <w:rPr>
          <w:rFonts w:ascii="Calibri" w:hAnsi="Calibri"/>
        </w:rPr>
        <w:t xml:space="preserve">, but it would also fail </w:t>
      </w:r>
      <w:r w:rsidR="005A7DDB">
        <w:rPr>
          <w:rFonts w:ascii="Calibri" w:hAnsi="Calibri"/>
        </w:rPr>
        <w:t xml:space="preserve">to achieve any step up in basis </w:t>
      </w:r>
      <w:r w:rsidR="001370FB">
        <w:rPr>
          <w:rFonts w:ascii="Calibri" w:hAnsi="Calibri"/>
        </w:rPr>
        <w:t>under §1014(e)</w:t>
      </w:r>
      <w:r w:rsidR="005A0BD0">
        <w:rPr>
          <w:rFonts w:ascii="Calibri" w:hAnsi="Calibri"/>
        </w:rPr>
        <w:t xml:space="preserve"> </w:t>
      </w:r>
      <w:r w:rsidR="005A7DDB">
        <w:rPr>
          <w:rFonts w:ascii="Calibri" w:hAnsi="Calibri"/>
        </w:rPr>
        <w:t>(yet could cause a step down)</w:t>
      </w:r>
      <w:r w:rsidR="005A0BD0">
        <w:rPr>
          <w:rFonts w:ascii="Calibri" w:hAnsi="Calibri"/>
        </w:rPr>
        <w:t xml:space="preserve">, because the transfer </w:t>
      </w:r>
      <w:r w:rsidR="00630A3F">
        <w:rPr>
          <w:rFonts w:ascii="Calibri" w:hAnsi="Calibri"/>
        </w:rPr>
        <w:t xml:space="preserve">back to the donor/spouse </w:t>
      </w:r>
      <w:r w:rsidR="005A0BD0">
        <w:rPr>
          <w:rFonts w:ascii="Calibri" w:hAnsi="Calibri"/>
        </w:rPr>
        <w:t xml:space="preserve">would be simultaneous, not just within one year.  </w:t>
      </w:r>
    </w:p>
    <w:p w14:paraId="593F8C77" w14:textId="77777777" w:rsidR="00CF66B2" w:rsidRPr="00C962E9" w:rsidRDefault="00CF66B2" w:rsidP="00CF64EB">
      <w:pPr>
        <w:tabs>
          <w:tab w:val="left" w:pos="540"/>
        </w:tabs>
        <w:autoSpaceDE w:val="0"/>
        <w:autoSpaceDN w:val="0"/>
        <w:adjustRightInd w:val="0"/>
        <w:spacing w:line="360" w:lineRule="auto"/>
        <w:rPr>
          <w:rFonts w:ascii="Calibri" w:hAnsi="Calibri"/>
        </w:rPr>
      </w:pPr>
    </w:p>
    <w:p w14:paraId="75FC9BED" w14:textId="77777777" w:rsidR="00C962E9" w:rsidRPr="00900346" w:rsidRDefault="00C962E9" w:rsidP="00180FD1">
      <w:pPr>
        <w:pStyle w:val="ListParagraph"/>
        <w:numPr>
          <w:ilvl w:val="0"/>
          <w:numId w:val="21"/>
        </w:numPr>
        <w:tabs>
          <w:tab w:val="left" w:pos="540"/>
        </w:tabs>
        <w:autoSpaceDE w:val="0"/>
        <w:autoSpaceDN w:val="0"/>
        <w:adjustRightInd w:val="0"/>
        <w:spacing w:line="360" w:lineRule="auto"/>
        <w:ind w:hanging="720"/>
        <w:rPr>
          <w:rFonts w:ascii="Calibri" w:hAnsi="Calibri"/>
          <w:b/>
        </w:rPr>
      </w:pPr>
      <w:r w:rsidRPr="00900346">
        <w:rPr>
          <w:rFonts w:ascii="Calibri" w:hAnsi="Calibri"/>
          <w:b/>
        </w:rPr>
        <w:t xml:space="preserve">Intra-Spousal Planning: Building on the Joint Exempt Step Up (JEST) </w:t>
      </w:r>
      <w:r w:rsidR="00A27471" w:rsidRPr="00900346">
        <w:rPr>
          <w:rFonts w:ascii="Calibri" w:hAnsi="Calibri"/>
          <w:b/>
        </w:rPr>
        <w:t xml:space="preserve">Trust </w:t>
      </w:r>
      <w:r w:rsidRPr="00900346">
        <w:rPr>
          <w:rFonts w:ascii="Calibri" w:hAnsi="Calibri"/>
          <w:b/>
        </w:rPr>
        <w:t xml:space="preserve">concept </w:t>
      </w:r>
    </w:p>
    <w:p w14:paraId="76F6C61C" w14:textId="77777777" w:rsidR="00C962E9" w:rsidRPr="00C962E9" w:rsidRDefault="00D05B86"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One of the potential issues in planning for a step up in basis for joint GPOA trusts (aka, JESTs) is the uncertainty of whether the gift tax marital deduction will apply for the first transfer of assets from the original owner/spouse to the first decedent spouse.</w:t>
      </w:r>
      <w:r w:rsidR="00C962E9" w:rsidRPr="00C962E9">
        <w:rPr>
          <w:rFonts w:ascii="Calibri" w:hAnsi="Calibri"/>
          <w:vertAlign w:val="superscript"/>
        </w:rPr>
        <w:footnoteReference w:id="284"/>
      </w:r>
      <w:r w:rsidR="00C962E9" w:rsidRPr="00C962E9">
        <w:rPr>
          <w:rFonts w:ascii="Calibri" w:hAnsi="Calibri"/>
        </w:rPr>
        <w:t xml:space="preserve"> </w:t>
      </w:r>
      <w:r w:rsidR="002A6618">
        <w:rPr>
          <w:rFonts w:ascii="Calibri" w:hAnsi="Calibri"/>
        </w:rPr>
        <w:t xml:space="preserve"> </w:t>
      </w:r>
      <w:r w:rsidR="00C962E9" w:rsidRPr="00C962E9">
        <w:rPr>
          <w:rFonts w:ascii="Calibri" w:hAnsi="Calibri"/>
        </w:rPr>
        <w:t xml:space="preserve">The IRS could easily reverse their position on </w:t>
      </w:r>
      <w:r>
        <w:rPr>
          <w:rFonts w:ascii="Calibri" w:hAnsi="Calibri"/>
        </w:rPr>
        <w:t>the marital deduction</w:t>
      </w:r>
      <w:r w:rsidR="00C962E9" w:rsidRPr="00C962E9">
        <w:rPr>
          <w:rFonts w:ascii="Calibri" w:hAnsi="Calibri"/>
        </w:rPr>
        <w:t xml:space="preserve"> taken in several private letter rulings, since there are good arguments for and against. The </w:t>
      </w:r>
      <w:r w:rsidR="00C962E9" w:rsidRPr="00C962E9">
        <w:rPr>
          <w:rFonts w:ascii="Calibri" w:hAnsi="Calibri"/>
          <w:i/>
        </w:rPr>
        <w:t>Crummey</w:t>
      </w:r>
      <w:r w:rsidR="00C962E9" w:rsidRPr="00C962E9">
        <w:rPr>
          <w:rFonts w:ascii="Calibri" w:hAnsi="Calibri"/>
        </w:rPr>
        <w:t xml:space="preserve"> Optimal Basis Increase Trust (OBIT) technique basically eliminates that concern altogether by substituting the marital gift tax deduction for this first gift with the annual exclusion gift tax deduction.</w:t>
      </w:r>
      <w:r w:rsidR="00C962E9" w:rsidRPr="00C962E9">
        <w:rPr>
          <w:rFonts w:ascii="Calibri" w:hAnsi="Calibri"/>
          <w:vertAlign w:val="superscript"/>
        </w:rPr>
        <w:footnoteReference w:id="285"/>
      </w:r>
    </w:p>
    <w:p w14:paraId="6C5CAA40" w14:textId="77777777" w:rsidR="00C962E9" w:rsidRPr="00C962E9" w:rsidRDefault="00C962E9" w:rsidP="00C962E9">
      <w:pPr>
        <w:tabs>
          <w:tab w:val="left" w:pos="540"/>
        </w:tabs>
        <w:autoSpaceDE w:val="0"/>
        <w:autoSpaceDN w:val="0"/>
        <w:adjustRightInd w:val="0"/>
        <w:spacing w:line="360" w:lineRule="auto"/>
        <w:rPr>
          <w:rFonts w:ascii="Calibri" w:hAnsi="Calibri"/>
        </w:rPr>
      </w:pPr>
      <w:r w:rsidRPr="00C962E9">
        <w:rPr>
          <w:rFonts w:ascii="Calibri" w:hAnsi="Calibri"/>
        </w:rPr>
        <w:tab/>
        <w:t xml:space="preserve">Let’s take the above example with John and Jane and assume instead that they have no parents or other older “objects of their natural bounty” living that they would want to name as beneficiary or grant a power of appointment. They are in a stable long-term marriage. If John structures the same transaction as above, this works well if his wife dies first, because it can clearly be included in her gross estate with a testamentary power of appointment and there is no potential issue as to whether the granting of the POA qualifies for the marital </w:t>
      </w:r>
      <w:r w:rsidRPr="00C962E9">
        <w:rPr>
          <w:rFonts w:ascii="Calibri" w:hAnsi="Calibri"/>
        </w:rPr>
        <w:lastRenderedPageBreak/>
        <w:t xml:space="preserve">deduction under Code Sec. 2523. Unlike an </w:t>
      </w:r>
      <w:r w:rsidRPr="00C962E9">
        <w:rPr>
          <w:rFonts w:ascii="Calibri" w:hAnsi="Calibri"/>
          <w:i/>
        </w:rPr>
        <w:t>inter vivos</w:t>
      </w:r>
      <w:r w:rsidRPr="00C962E9">
        <w:rPr>
          <w:rFonts w:ascii="Calibri" w:hAnsi="Calibri"/>
        </w:rPr>
        <w:t xml:space="preserve"> QTIP, we can </w:t>
      </w:r>
      <w:r w:rsidR="00D05B86">
        <w:rPr>
          <w:rFonts w:ascii="Calibri" w:hAnsi="Calibri"/>
        </w:rPr>
        <w:t xml:space="preserve">also </w:t>
      </w:r>
      <w:r w:rsidRPr="00C962E9">
        <w:rPr>
          <w:rFonts w:ascii="Calibri" w:hAnsi="Calibri"/>
        </w:rPr>
        <w:t xml:space="preserve">avoid step downs in basis and be much more flexible in planning. </w:t>
      </w:r>
    </w:p>
    <w:p w14:paraId="39FC5495" w14:textId="77777777" w:rsidR="00C962E9" w:rsidRPr="00C962E9" w:rsidRDefault="00D05B86"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Furthermore, there is </w:t>
      </w:r>
      <w:r>
        <w:rPr>
          <w:rFonts w:ascii="Calibri" w:hAnsi="Calibri"/>
        </w:rPr>
        <w:t xml:space="preserve">much </w:t>
      </w:r>
      <w:r w:rsidR="00C962E9" w:rsidRPr="00C962E9">
        <w:rPr>
          <w:rFonts w:ascii="Calibri" w:hAnsi="Calibri"/>
        </w:rPr>
        <w:t xml:space="preserve">less likelihood of Code Sec. 1014(e) applying, since Jane will probably live a year after the transfer, and the </w:t>
      </w:r>
      <w:r w:rsidR="000E2288">
        <w:rPr>
          <w:rFonts w:ascii="Calibri" w:hAnsi="Calibri"/>
        </w:rPr>
        <w:t>trust</w:t>
      </w:r>
      <w:r w:rsidR="00C962E9" w:rsidRPr="00C962E9">
        <w:rPr>
          <w:rFonts w:ascii="Calibri" w:hAnsi="Calibri"/>
        </w:rPr>
        <w:t xml:space="preserve">, of course, can have </w:t>
      </w:r>
      <w:r w:rsidR="000E2288">
        <w:rPr>
          <w:rFonts w:ascii="Calibri" w:hAnsi="Calibri"/>
        </w:rPr>
        <w:t xml:space="preserve">springing GPOAs or </w:t>
      </w:r>
      <w:r w:rsidR="00C962E9" w:rsidRPr="00C962E9">
        <w:rPr>
          <w:rFonts w:ascii="Calibri" w:hAnsi="Calibri"/>
        </w:rPr>
        <w:t>alternative dispositions if Jane dies before or after one year of the initial gift to address that possibility.</w:t>
      </w:r>
    </w:p>
    <w:p w14:paraId="2045B15F" w14:textId="77777777" w:rsidR="00C962E9" w:rsidRPr="00C962E9" w:rsidRDefault="00C962E9" w:rsidP="00C962E9">
      <w:pPr>
        <w:tabs>
          <w:tab w:val="left" w:pos="540"/>
        </w:tabs>
        <w:autoSpaceDE w:val="0"/>
        <w:autoSpaceDN w:val="0"/>
        <w:adjustRightInd w:val="0"/>
        <w:spacing w:line="360" w:lineRule="auto"/>
        <w:rPr>
          <w:rFonts w:ascii="Calibri" w:hAnsi="Calibri"/>
        </w:rPr>
      </w:pPr>
      <w:r w:rsidRPr="00C962E9">
        <w:rPr>
          <w:rFonts w:ascii="Calibri" w:hAnsi="Calibri"/>
        </w:rPr>
        <w:tab/>
        <w:t xml:space="preserve">But what if John dies first? If he has enough warning before death, he or his agent can swap assets, cancel the note and </w:t>
      </w:r>
      <w:r w:rsidR="000E2288">
        <w:rPr>
          <w:rFonts w:ascii="Calibri" w:hAnsi="Calibri"/>
        </w:rPr>
        <w:t xml:space="preserve">ideally </w:t>
      </w:r>
      <w:r w:rsidRPr="00C962E9">
        <w:rPr>
          <w:rFonts w:ascii="Calibri" w:hAnsi="Calibri"/>
        </w:rPr>
        <w:t>put high basis assets in the trust. But sometimes life (and death) can surprise us. Could the family avoid that risk and trigger inclusion in his estate somehow?</w:t>
      </w:r>
    </w:p>
    <w:p w14:paraId="2CB249CD" w14:textId="77777777" w:rsidR="00C962E9" w:rsidRPr="00C962E9" w:rsidRDefault="00D05B86"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Actually, triggering estate inclusion is easy through various retained powers; the more difficult task is triggering it without making the gift incomplete. This is the exact opposite of Delaware Incomplete </w:t>
      </w:r>
      <w:r w:rsidR="00FF793F">
        <w:rPr>
          <w:rFonts w:ascii="Calibri" w:hAnsi="Calibri"/>
        </w:rPr>
        <w:t xml:space="preserve">Gift </w:t>
      </w:r>
      <w:r w:rsidR="00C962E9" w:rsidRPr="00C962E9">
        <w:rPr>
          <w:rFonts w:ascii="Calibri" w:hAnsi="Calibri"/>
        </w:rPr>
        <w:t>Non-Grantor</w:t>
      </w:r>
      <w:r w:rsidR="00FF793F">
        <w:rPr>
          <w:rFonts w:ascii="Calibri" w:hAnsi="Calibri"/>
        </w:rPr>
        <w:t xml:space="preserve"> Trust</w:t>
      </w:r>
      <w:r w:rsidR="00C962E9" w:rsidRPr="00C962E9">
        <w:rPr>
          <w:rFonts w:ascii="Calibri" w:hAnsi="Calibri"/>
        </w:rPr>
        <w:t xml:space="preserve"> (DING) planning, where the goal is to deftly cause a transfer for income tax filing purposes but not gift tax purposes. It is completely opposite of how we typically planned pre-ATRA, or still plan for wealthier clients.</w:t>
      </w:r>
    </w:p>
    <w:p w14:paraId="4EC61177" w14:textId="5B18175A" w:rsidR="00C962E9" w:rsidRPr="00C962E9" w:rsidRDefault="000E2288"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Generally, retaining a testamentary power of appointment or power of disposition makes the gift at least partially incomplete.</w:t>
      </w:r>
      <w:r w:rsidR="00C962E9" w:rsidRPr="00C962E9">
        <w:rPr>
          <w:rFonts w:ascii="Calibri" w:hAnsi="Calibri"/>
          <w:vertAlign w:val="superscript"/>
        </w:rPr>
        <w:footnoteReference w:id="286"/>
      </w:r>
      <w:r w:rsidR="00C962E9" w:rsidRPr="00C962E9">
        <w:rPr>
          <w:rFonts w:ascii="Calibri" w:hAnsi="Calibri"/>
        </w:rPr>
        <w:t xml:space="preserve"> Recall th</w:t>
      </w:r>
      <w:r w:rsidR="00487C59">
        <w:rPr>
          <w:rFonts w:ascii="Calibri" w:hAnsi="Calibri"/>
        </w:rPr>
        <w:t>e</w:t>
      </w:r>
      <w:r w:rsidR="00C962E9" w:rsidRPr="00C962E9">
        <w:rPr>
          <w:rFonts w:ascii="Calibri" w:hAnsi="Calibri"/>
        </w:rPr>
        <w:t xml:space="preserve"> recent stir caused by CCA 2012-08026</w:t>
      </w:r>
      <w:r w:rsidR="005F2BA2">
        <w:rPr>
          <w:rFonts w:ascii="Calibri" w:hAnsi="Calibri"/>
        </w:rPr>
        <w:t>,</w:t>
      </w:r>
      <w:r w:rsidR="00C962E9" w:rsidRPr="00C962E9">
        <w:rPr>
          <w:rFonts w:ascii="Calibri" w:hAnsi="Calibri"/>
        </w:rPr>
        <w:t xml:space="preserve"> in which the IRS claimed that a mere testamentary POA retained is NOT enough</w:t>
      </w:r>
      <w:r w:rsidR="005F2BA2">
        <w:rPr>
          <w:rFonts w:ascii="Calibri" w:hAnsi="Calibri"/>
        </w:rPr>
        <w:t xml:space="preserve"> by itself</w:t>
      </w:r>
      <w:r w:rsidR="00C962E9" w:rsidRPr="00C962E9">
        <w:rPr>
          <w:rFonts w:ascii="Calibri" w:hAnsi="Calibri"/>
        </w:rPr>
        <w:t xml:space="preserve"> to make a gift wholly incomplete, it merely makes the remainder interest incomplete, and the lifetime interest </w:t>
      </w:r>
      <w:r w:rsidR="00AB5398">
        <w:rPr>
          <w:rFonts w:ascii="Calibri" w:hAnsi="Calibri"/>
        </w:rPr>
        <w:t>may be</w:t>
      </w:r>
      <w:r w:rsidR="00C962E9" w:rsidRPr="00C962E9">
        <w:rPr>
          <w:rFonts w:ascii="Calibri" w:hAnsi="Calibri"/>
        </w:rPr>
        <w:t xml:space="preserve"> complete.</w:t>
      </w:r>
      <w:r w:rsidR="00C962E9" w:rsidRPr="00C962E9">
        <w:rPr>
          <w:rFonts w:ascii="Calibri" w:hAnsi="Calibri"/>
          <w:vertAlign w:val="superscript"/>
        </w:rPr>
        <w:footnoteReference w:id="287"/>
      </w:r>
      <w:r w:rsidR="00C962E9" w:rsidRPr="00C962E9">
        <w:rPr>
          <w:rFonts w:ascii="Calibri" w:hAnsi="Calibri"/>
        </w:rPr>
        <w:t xml:space="preserve"> </w:t>
      </w:r>
    </w:p>
    <w:p w14:paraId="17F1C05A" w14:textId="0C413970" w:rsidR="00C962E9" w:rsidRDefault="000E2288"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If, however, a trustee via decanting or trust protector </w:t>
      </w:r>
      <w:r w:rsidR="00142199">
        <w:rPr>
          <w:rFonts w:ascii="Calibri" w:hAnsi="Calibri"/>
        </w:rPr>
        <w:t xml:space="preserve">or court </w:t>
      </w:r>
      <w:r w:rsidR="00AB5398">
        <w:rPr>
          <w:rFonts w:ascii="Calibri" w:hAnsi="Calibri"/>
        </w:rPr>
        <w:t xml:space="preserve">reformation </w:t>
      </w:r>
      <w:r w:rsidR="00C962E9" w:rsidRPr="00C962E9">
        <w:rPr>
          <w:rFonts w:ascii="Calibri" w:hAnsi="Calibri"/>
        </w:rPr>
        <w:t>were to later grant a limited formula testamentary power of appointment to John, the gift will still have been complete, but there would now be a “string” causing partial estate inclus</w:t>
      </w:r>
      <w:r w:rsidR="00E966CD">
        <w:rPr>
          <w:rFonts w:ascii="Calibri" w:hAnsi="Calibri"/>
        </w:rPr>
        <w:t xml:space="preserve">ion to the extent of the power </w:t>
      </w:r>
      <w:r w:rsidR="00C962E9" w:rsidRPr="00C962E9">
        <w:rPr>
          <w:rFonts w:ascii="Calibri" w:hAnsi="Calibri"/>
        </w:rPr>
        <w:t xml:space="preserve">under </w:t>
      </w:r>
      <w:r w:rsidR="00E966CD">
        <w:rPr>
          <w:rFonts w:ascii="Calibri" w:hAnsi="Calibri"/>
        </w:rPr>
        <w:t>§</w:t>
      </w:r>
      <w:r w:rsidR="00C962E9" w:rsidRPr="00C962E9">
        <w:rPr>
          <w:rFonts w:ascii="Calibri" w:hAnsi="Calibri"/>
        </w:rPr>
        <w:t xml:space="preserve"> 2038.</w:t>
      </w:r>
      <w:r w:rsidR="00E966CD">
        <w:rPr>
          <w:rStyle w:val="FootnoteReference"/>
          <w:rFonts w:ascii="Calibri" w:hAnsi="Calibri"/>
        </w:rPr>
        <w:footnoteReference w:id="288"/>
      </w:r>
      <w:r w:rsidR="00C962E9" w:rsidRPr="00C962E9">
        <w:rPr>
          <w:rFonts w:ascii="Calibri" w:hAnsi="Calibri"/>
        </w:rPr>
        <w:t xml:space="preserve"> </w:t>
      </w:r>
      <w:r w:rsidR="001B79A8">
        <w:rPr>
          <w:rFonts w:ascii="Calibri" w:hAnsi="Calibri"/>
        </w:rPr>
        <w:t xml:space="preserve"> </w:t>
      </w:r>
      <w:r w:rsidR="00C962E9" w:rsidRPr="00C962E9">
        <w:rPr>
          <w:rFonts w:ascii="Calibri" w:hAnsi="Calibri"/>
        </w:rPr>
        <w:t xml:space="preserve">If there is a cap or limit on the power (e.g., as to the </w:t>
      </w:r>
      <w:r w:rsidR="00C962E9" w:rsidRPr="00C962E9">
        <w:rPr>
          <w:rFonts w:ascii="Calibri" w:hAnsi="Calibri"/>
        </w:rPr>
        <w:lastRenderedPageBreak/>
        <w:t xml:space="preserve">appreciated real estate, but not the cash or loss assets), this limit would correspondingly reduce the assets subject to inclusion under </w:t>
      </w:r>
      <w:r w:rsidR="00E966CD">
        <w:rPr>
          <w:rFonts w:ascii="Calibri" w:hAnsi="Calibri"/>
        </w:rPr>
        <w:t>§</w:t>
      </w:r>
      <w:r w:rsidR="00C962E9" w:rsidRPr="00C962E9">
        <w:rPr>
          <w:rFonts w:ascii="Calibri" w:hAnsi="Calibri"/>
        </w:rPr>
        <w:t>2038.</w:t>
      </w:r>
      <w:r w:rsidR="00C962E9" w:rsidRPr="00C962E9">
        <w:rPr>
          <w:rFonts w:ascii="Calibri" w:hAnsi="Calibri"/>
          <w:vertAlign w:val="superscript"/>
        </w:rPr>
        <w:footnoteReference w:id="289"/>
      </w:r>
      <w:r w:rsidR="00C962E9" w:rsidRPr="00C962E9">
        <w:rPr>
          <w:rFonts w:ascii="Calibri" w:hAnsi="Calibri"/>
        </w:rPr>
        <w:t xml:space="preserve"> </w:t>
      </w:r>
      <w:r w:rsidR="002A6618">
        <w:rPr>
          <w:rFonts w:ascii="Calibri" w:hAnsi="Calibri"/>
        </w:rPr>
        <w:t xml:space="preserve">This is </w:t>
      </w:r>
      <w:r w:rsidR="00E723F1">
        <w:rPr>
          <w:rFonts w:ascii="Calibri" w:hAnsi="Calibri"/>
        </w:rPr>
        <w:t>similar to</w:t>
      </w:r>
      <w:r w:rsidR="002A6618">
        <w:rPr>
          <w:rFonts w:ascii="Calibri" w:hAnsi="Calibri"/>
        </w:rPr>
        <w:t xml:space="preserve"> the recent ruling outlining </w:t>
      </w:r>
      <w:r w:rsidR="00E723F1">
        <w:rPr>
          <w:rFonts w:ascii="Calibri" w:hAnsi="Calibri"/>
        </w:rPr>
        <w:t xml:space="preserve">that only a </w:t>
      </w:r>
      <w:r w:rsidR="00E723F1" w:rsidRPr="001B79A8">
        <w:rPr>
          <w:rFonts w:ascii="Calibri" w:hAnsi="Calibri"/>
          <w:i/>
        </w:rPr>
        <w:t>portion</w:t>
      </w:r>
      <w:r w:rsidR="00E723F1">
        <w:rPr>
          <w:rFonts w:ascii="Calibri" w:hAnsi="Calibri"/>
        </w:rPr>
        <w:t xml:space="preserve"> of a GRAT is </w:t>
      </w:r>
      <w:r w:rsidR="002A6618">
        <w:rPr>
          <w:rFonts w:ascii="Calibri" w:hAnsi="Calibri"/>
        </w:rPr>
        <w:t xml:space="preserve">included in a settlor’s estate </w:t>
      </w:r>
      <w:r w:rsidR="00E723F1">
        <w:rPr>
          <w:rFonts w:ascii="Calibri" w:hAnsi="Calibri"/>
        </w:rPr>
        <w:t xml:space="preserve">under §2036 </w:t>
      </w:r>
      <w:r w:rsidR="002A6618">
        <w:rPr>
          <w:rFonts w:ascii="Calibri" w:hAnsi="Calibri"/>
        </w:rPr>
        <w:t>should they die during the annuity term.</w:t>
      </w:r>
      <w:r w:rsidR="00E723F1">
        <w:rPr>
          <w:rStyle w:val="FootnoteReference"/>
          <w:rFonts w:ascii="Calibri" w:hAnsi="Calibri"/>
        </w:rPr>
        <w:footnoteReference w:id="290"/>
      </w:r>
      <w:r w:rsidR="002A6618">
        <w:rPr>
          <w:rFonts w:ascii="Calibri" w:hAnsi="Calibri"/>
        </w:rPr>
        <w:t xml:space="preserve">  </w:t>
      </w:r>
      <w:r w:rsidR="00C962E9" w:rsidRPr="00C962E9">
        <w:rPr>
          <w:rFonts w:ascii="Calibri" w:hAnsi="Calibri"/>
        </w:rPr>
        <w:t>Furthermore, such a power could easily be removed or released later to remove the estate inclusion taint, though a formula might effectively avoid the need to.</w:t>
      </w:r>
      <w:r w:rsidR="00C962E9" w:rsidRPr="00C962E9">
        <w:rPr>
          <w:rFonts w:ascii="Calibri" w:hAnsi="Calibri"/>
          <w:vertAlign w:val="superscript"/>
        </w:rPr>
        <w:footnoteReference w:id="291"/>
      </w:r>
    </w:p>
    <w:p w14:paraId="7ACCE981" w14:textId="77777777" w:rsidR="00143518" w:rsidRDefault="009A0F69" w:rsidP="00C962E9">
      <w:pPr>
        <w:tabs>
          <w:tab w:val="left" w:pos="540"/>
        </w:tabs>
        <w:autoSpaceDE w:val="0"/>
        <w:autoSpaceDN w:val="0"/>
        <w:adjustRightInd w:val="0"/>
        <w:spacing w:line="360" w:lineRule="auto"/>
        <w:rPr>
          <w:rFonts w:ascii="Calibri" w:hAnsi="Calibri"/>
        </w:rPr>
      </w:pPr>
      <w:r>
        <w:rPr>
          <w:rFonts w:ascii="Calibri" w:hAnsi="Calibri"/>
        </w:rPr>
        <w:tab/>
      </w:r>
      <w:r w:rsidR="001B79A8">
        <w:rPr>
          <w:rFonts w:ascii="Calibri" w:hAnsi="Calibri"/>
        </w:rPr>
        <w:t>However, such change</w:t>
      </w:r>
      <w:r w:rsidR="00E966CD">
        <w:rPr>
          <w:rFonts w:ascii="Calibri" w:hAnsi="Calibri"/>
        </w:rPr>
        <w:t>s risk</w:t>
      </w:r>
      <w:r w:rsidR="001B79A8">
        <w:rPr>
          <w:rFonts w:ascii="Calibri" w:hAnsi="Calibri"/>
        </w:rPr>
        <w:t xml:space="preserve"> the IRS arguing that there is a prearrangement</w:t>
      </w:r>
      <w:r w:rsidR="00400019">
        <w:rPr>
          <w:rFonts w:ascii="Calibri" w:hAnsi="Calibri"/>
        </w:rPr>
        <w:t xml:space="preserve"> or step transaction</w:t>
      </w:r>
      <w:r w:rsidR="001B79A8">
        <w:rPr>
          <w:rFonts w:ascii="Calibri" w:hAnsi="Calibri"/>
        </w:rPr>
        <w:t xml:space="preserve"> with the trustee/trust protector</w:t>
      </w:r>
      <w:r w:rsidR="00E966CD">
        <w:rPr>
          <w:rFonts w:ascii="Calibri" w:hAnsi="Calibri"/>
        </w:rPr>
        <w:t xml:space="preserve"> (ergo, never really a complete gift</w:t>
      </w:r>
      <w:r w:rsidR="00143518">
        <w:rPr>
          <w:rFonts w:ascii="Calibri" w:hAnsi="Calibri"/>
        </w:rPr>
        <w:t xml:space="preserve"> or causing inclusion of the full amount under §2036</w:t>
      </w:r>
      <w:r w:rsidR="00E966CD">
        <w:rPr>
          <w:rFonts w:ascii="Calibri" w:hAnsi="Calibri"/>
        </w:rPr>
        <w:t>)</w:t>
      </w:r>
      <w:r w:rsidR="001B79A8">
        <w:rPr>
          <w:rFonts w:ascii="Calibri" w:hAnsi="Calibri"/>
        </w:rPr>
        <w:t xml:space="preserve">, or that it will simply </w:t>
      </w:r>
      <w:r w:rsidR="00E966CD">
        <w:rPr>
          <w:rFonts w:ascii="Calibri" w:hAnsi="Calibri"/>
        </w:rPr>
        <w:t>never</w:t>
      </w:r>
      <w:r w:rsidR="001B79A8">
        <w:rPr>
          <w:rFonts w:ascii="Calibri" w:hAnsi="Calibri"/>
        </w:rPr>
        <w:t xml:space="preserve"> be accomplished.</w:t>
      </w:r>
      <w:r w:rsidR="00143518">
        <w:rPr>
          <w:rFonts w:ascii="Calibri" w:hAnsi="Calibri"/>
        </w:rPr>
        <w:t xml:space="preserve">  The latter is probably the greater risk, especially if there are no bad facts indicating prearrangement or control, or better, if the trustee or trust protector acting was not even appointed at the time of funding.</w:t>
      </w:r>
    </w:p>
    <w:p w14:paraId="2226E9A9" w14:textId="77777777" w:rsidR="00C12DBD" w:rsidRDefault="00143518" w:rsidP="00C962E9">
      <w:pPr>
        <w:tabs>
          <w:tab w:val="left" w:pos="540"/>
        </w:tabs>
        <w:autoSpaceDE w:val="0"/>
        <w:autoSpaceDN w:val="0"/>
        <w:adjustRightInd w:val="0"/>
        <w:spacing w:line="360" w:lineRule="auto"/>
        <w:rPr>
          <w:rFonts w:ascii="Calibri" w:hAnsi="Calibri"/>
        </w:rPr>
      </w:pPr>
      <w:r>
        <w:rPr>
          <w:rFonts w:ascii="Calibri" w:hAnsi="Calibri"/>
        </w:rPr>
        <w:tab/>
      </w:r>
      <w:r w:rsidR="009A0F69">
        <w:rPr>
          <w:rFonts w:ascii="Calibri" w:hAnsi="Calibri"/>
        </w:rPr>
        <w:t>Rather than relying</w:t>
      </w:r>
      <w:r w:rsidR="001B79A8">
        <w:rPr>
          <w:rFonts w:ascii="Calibri" w:hAnsi="Calibri"/>
        </w:rPr>
        <w:t xml:space="preserve"> on later changes, the settlor </w:t>
      </w:r>
      <w:r>
        <w:rPr>
          <w:rFonts w:ascii="Calibri" w:hAnsi="Calibri"/>
        </w:rPr>
        <w:t>c</w:t>
      </w:r>
      <w:r w:rsidR="009A0F69">
        <w:rPr>
          <w:rFonts w:ascii="Calibri" w:hAnsi="Calibri"/>
        </w:rPr>
        <w:t xml:space="preserve">ould simply </w:t>
      </w:r>
      <w:r w:rsidR="009A0F69" w:rsidRPr="001B79A8">
        <w:rPr>
          <w:rFonts w:ascii="Calibri" w:hAnsi="Calibri"/>
          <w:i/>
        </w:rPr>
        <w:t xml:space="preserve">retain a power that causes estate inclusion over </w:t>
      </w:r>
      <w:r w:rsidR="001B79A8">
        <w:rPr>
          <w:rFonts w:ascii="Calibri" w:hAnsi="Calibri"/>
          <w:i/>
        </w:rPr>
        <w:t xml:space="preserve">only </w:t>
      </w:r>
      <w:r w:rsidR="009A0F69" w:rsidRPr="001B79A8">
        <w:rPr>
          <w:rFonts w:ascii="Calibri" w:hAnsi="Calibri"/>
          <w:i/>
        </w:rPr>
        <w:t>the intended assets, yet does not cause a gift</w:t>
      </w:r>
      <w:r w:rsidR="005F402F">
        <w:rPr>
          <w:rFonts w:ascii="Calibri" w:hAnsi="Calibri"/>
          <w:i/>
        </w:rPr>
        <w:t xml:space="preserve"> to be incomplete</w:t>
      </w:r>
      <w:r w:rsidR="009A0F69">
        <w:rPr>
          <w:rFonts w:ascii="Calibri" w:hAnsi="Calibri"/>
        </w:rPr>
        <w:t xml:space="preserve">.  </w:t>
      </w:r>
      <w:r w:rsidR="007D61FD">
        <w:rPr>
          <w:rFonts w:ascii="Calibri" w:hAnsi="Calibri"/>
        </w:rPr>
        <w:t>Only the power to “</w:t>
      </w:r>
      <w:r w:rsidR="007D61FD" w:rsidRPr="007D61FD">
        <w:rPr>
          <w:rFonts w:ascii="Calibri" w:hAnsi="Calibri"/>
        </w:rPr>
        <w:t>change the manner or time of enjoyment</w:t>
      </w:r>
      <w:r w:rsidR="007D61FD">
        <w:rPr>
          <w:rFonts w:ascii="Calibri" w:hAnsi="Calibri"/>
        </w:rPr>
        <w:t>” would be retained.</w:t>
      </w:r>
      <w:r w:rsidR="007D61FD">
        <w:rPr>
          <w:rStyle w:val="FootnoteReference"/>
          <w:rFonts w:ascii="Calibri" w:hAnsi="Calibri"/>
        </w:rPr>
        <w:footnoteReference w:id="292"/>
      </w:r>
      <w:r w:rsidR="007D61FD">
        <w:rPr>
          <w:rFonts w:ascii="Calibri" w:hAnsi="Calibri"/>
        </w:rPr>
        <w:t xml:space="preserve"> </w:t>
      </w:r>
      <w:r w:rsidR="007D61FD" w:rsidRPr="007D61FD">
        <w:rPr>
          <w:rFonts w:ascii="Calibri" w:hAnsi="Calibri"/>
        </w:rPr>
        <w:t xml:space="preserve"> </w:t>
      </w:r>
      <w:r w:rsidR="009A0F69">
        <w:rPr>
          <w:rFonts w:ascii="Calibri" w:hAnsi="Calibri"/>
        </w:rPr>
        <w:t xml:space="preserve">For example, </w:t>
      </w:r>
      <w:r w:rsidR="00046602">
        <w:rPr>
          <w:rFonts w:ascii="Calibri" w:hAnsi="Calibri"/>
        </w:rPr>
        <w:t>the settlor could retain</w:t>
      </w:r>
      <w:r w:rsidR="009A0F69">
        <w:rPr>
          <w:rFonts w:ascii="Calibri" w:hAnsi="Calibri"/>
        </w:rPr>
        <w:t xml:space="preserve"> the power to veto </w:t>
      </w:r>
      <w:r w:rsidR="00CF66B2">
        <w:rPr>
          <w:rFonts w:ascii="Calibri" w:hAnsi="Calibri"/>
        </w:rPr>
        <w:t xml:space="preserve">early </w:t>
      </w:r>
      <w:r w:rsidR="009A0F69">
        <w:rPr>
          <w:rFonts w:ascii="Calibri" w:hAnsi="Calibri"/>
        </w:rPr>
        <w:t>distributions of appreciated assets to beneficiaries</w:t>
      </w:r>
      <w:r w:rsidR="00CF66B2">
        <w:rPr>
          <w:rFonts w:ascii="Calibri" w:hAnsi="Calibri"/>
        </w:rPr>
        <w:t>.  This would involve “changing the manner or timing of enjoyment”</w:t>
      </w:r>
      <w:r w:rsidR="009A0F69">
        <w:rPr>
          <w:rFonts w:ascii="Calibri" w:hAnsi="Calibri"/>
        </w:rPr>
        <w:t>, enough to trigger §2038 as to those assets</w:t>
      </w:r>
      <w:r w:rsidR="00046602">
        <w:rPr>
          <w:rFonts w:ascii="Calibri" w:hAnsi="Calibri"/>
        </w:rPr>
        <w:t xml:space="preserve">, </w:t>
      </w:r>
      <w:r w:rsidR="009A0F69">
        <w:rPr>
          <w:rFonts w:ascii="Calibri" w:hAnsi="Calibri"/>
        </w:rPr>
        <w:t>yet not</w:t>
      </w:r>
      <w:r w:rsidR="00046602">
        <w:rPr>
          <w:rFonts w:ascii="Calibri" w:hAnsi="Calibri"/>
        </w:rPr>
        <w:t xml:space="preserve"> be</w:t>
      </w:r>
      <w:r w:rsidR="009A0F69">
        <w:rPr>
          <w:rFonts w:ascii="Calibri" w:hAnsi="Calibri"/>
        </w:rPr>
        <w:t xml:space="preserve"> </w:t>
      </w:r>
      <w:r w:rsidR="00CF66B2">
        <w:rPr>
          <w:rFonts w:ascii="Calibri" w:hAnsi="Calibri"/>
        </w:rPr>
        <w:t xml:space="preserve">so much as to </w:t>
      </w:r>
      <w:r w:rsidR="00046602">
        <w:rPr>
          <w:rFonts w:ascii="Calibri" w:hAnsi="Calibri"/>
        </w:rPr>
        <w:t xml:space="preserve">“change the disposition” that would </w:t>
      </w:r>
      <w:r w:rsidR="009A0F69">
        <w:rPr>
          <w:rFonts w:ascii="Calibri" w:hAnsi="Calibri"/>
        </w:rPr>
        <w:t xml:space="preserve">make the </w:t>
      </w:r>
      <w:r w:rsidR="007D61FD">
        <w:rPr>
          <w:rFonts w:ascii="Calibri" w:hAnsi="Calibri"/>
        </w:rPr>
        <w:t xml:space="preserve">entire </w:t>
      </w:r>
      <w:r w:rsidR="009A0F69">
        <w:rPr>
          <w:rFonts w:ascii="Calibri" w:hAnsi="Calibri"/>
        </w:rPr>
        <w:t>gift</w:t>
      </w:r>
      <w:r w:rsidR="00CF66B2">
        <w:rPr>
          <w:rFonts w:ascii="Calibri" w:hAnsi="Calibri"/>
        </w:rPr>
        <w:t xml:space="preserve"> (or any part)</w:t>
      </w:r>
      <w:r w:rsidR="009A0F69">
        <w:rPr>
          <w:rFonts w:ascii="Calibri" w:hAnsi="Calibri"/>
        </w:rPr>
        <w:t xml:space="preserve"> incomplete</w:t>
      </w:r>
      <w:r w:rsidR="00CF66B2">
        <w:rPr>
          <w:rFonts w:ascii="Calibri" w:hAnsi="Calibri"/>
        </w:rPr>
        <w:t xml:space="preserve"> pursuant to §2511</w:t>
      </w:r>
      <w:r w:rsidR="009A0F69">
        <w:rPr>
          <w:rFonts w:ascii="Calibri" w:hAnsi="Calibri"/>
        </w:rPr>
        <w:t>.</w:t>
      </w:r>
      <w:r w:rsidR="00E966CD">
        <w:rPr>
          <w:rStyle w:val="FootnoteReference"/>
          <w:rFonts w:ascii="Calibri" w:hAnsi="Calibri"/>
        </w:rPr>
        <w:footnoteReference w:id="293"/>
      </w:r>
      <w:r w:rsidR="00046602">
        <w:rPr>
          <w:rFonts w:ascii="Calibri" w:hAnsi="Calibri"/>
        </w:rPr>
        <w:t xml:space="preserve">  </w:t>
      </w:r>
    </w:p>
    <w:p w14:paraId="0A07C988" w14:textId="77777777" w:rsidR="00656968" w:rsidRDefault="00C12DBD" w:rsidP="00C962E9">
      <w:pPr>
        <w:tabs>
          <w:tab w:val="left" w:pos="540"/>
        </w:tabs>
        <w:autoSpaceDE w:val="0"/>
        <w:autoSpaceDN w:val="0"/>
        <w:adjustRightInd w:val="0"/>
        <w:spacing w:line="360" w:lineRule="auto"/>
        <w:rPr>
          <w:rFonts w:ascii="Calibri" w:hAnsi="Calibri"/>
        </w:rPr>
      </w:pPr>
      <w:r>
        <w:rPr>
          <w:rFonts w:ascii="Calibri" w:hAnsi="Calibri"/>
        </w:rPr>
        <w:tab/>
      </w:r>
      <w:r w:rsidR="00046602">
        <w:rPr>
          <w:rFonts w:ascii="Calibri" w:hAnsi="Calibri"/>
        </w:rPr>
        <w:t xml:space="preserve"> </w:t>
      </w:r>
      <w:r w:rsidR="00656968">
        <w:rPr>
          <w:rFonts w:ascii="Calibri" w:hAnsi="Calibri"/>
        </w:rPr>
        <w:t xml:space="preserve">If the trust is to be funded partially with </w:t>
      </w:r>
      <w:r w:rsidR="00656968" w:rsidRPr="00656968">
        <w:rPr>
          <w:rFonts w:ascii="Calibri" w:hAnsi="Calibri"/>
          <w:i/>
        </w:rPr>
        <w:t>Crummey</w:t>
      </w:r>
      <w:r w:rsidR="00656968">
        <w:rPr>
          <w:rFonts w:ascii="Calibri" w:hAnsi="Calibri"/>
        </w:rPr>
        <w:t xml:space="preserve"> gifts, and the settlor still wants to be able to cause estate inclusion, yet not cause a gift to be incomplete, care should be taken to </w:t>
      </w:r>
      <w:r w:rsidR="00656968">
        <w:rPr>
          <w:rFonts w:ascii="Calibri" w:hAnsi="Calibri"/>
        </w:rPr>
        <w:lastRenderedPageBreak/>
        <w:t>avoid impairing the present interest.  Retaining a veto power over the withdrawal right would likely negate qualification for the annual exclusion.</w:t>
      </w:r>
      <w:r w:rsidR="00656968">
        <w:rPr>
          <w:rStyle w:val="FootnoteReference"/>
          <w:rFonts w:ascii="Calibri" w:hAnsi="Calibri"/>
        </w:rPr>
        <w:footnoteReference w:id="294"/>
      </w:r>
      <w:r w:rsidR="00656968">
        <w:rPr>
          <w:rFonts w:ascii="Calibri" w:hAnsi="Calibri"/>
        </w:rPr>
        <w:t xml:space="preserve">  Can we be certain that §2038 would be adequately triggered if the veto right only applied after the 30 day withdrawal period?  While it probably would be, this issue could also be addressed by including the power to accelerate the timing of a beneficiary’s enjoyment, e.g. the trustee may distribute, and </w:t>
      </w:r>
      <w:r w:rsidR="006960B7">
        <w:rPr>
          <w:rFonts w:ascii="Calibri" w:hAnsi="Calibri"/>
        </w:rPr>
        <w:t xml:space="preserve">for 30-60 days </w:t>
      </w:r>
      <w:r w:rsidR="00656968">
        <w:rPr>
          <w:rFonts w:ascii="Calibri" w:hAnsi="Calibri"/>
        </w:rPr>
        <w:t>the beneficiary may withdraw $28,000 worth of contribution to the trust.  The</w:t>
      </w:r>
      <w:r w:rsidR="005F085F">
        <w:rPr>
          <w:rFonts w:ascii="Calibri" w:hAnsi="Calibri"/>
        </w:rPr>
        <w:t>reby, the</w:t>
      </w:r>
      <w:r w:rsidR="00656968">
        <w:rPr>
          <w:rFonts w:ascii="Calibri" w:hAnsi="Calibri"/>
        </w:rPr>
        <w:t xml:space="preserve"> Settlor retains the power to force the trustee to</w:t>
      </w:r>
      <w:r w:rsidR="006960B7">
        <w:rPr>
          <w:rFonts w:ascii="Calibri" w:hAnsi="Calibri"/>
        </w:rPr>
        <w:t xml:space="preserve"> accelerate the distribution.</w:t>
      </w:r>
      <w:r w:rsidR="00656968">
        <w:rPr>
          <w:rFonts w:ascii="Calibri" w:hAnsi="Calibri"/>
        </w:rPr>
        <w:t xml:space="preserve"> </w:t>
      </w:r>
    </w:p>
    <w:p w14:paraId="742B961A" w14:textId="77777777" w:rsidR="00C12DBD" w:rsidRDefault="006960B7" w:rsidP="00C962E9">
      <w:pPr>
        <w:tabs>
          <w:tab w:val="left" w:pos="540"/>
        </w:tabs>
        <w:autoSpaceDE w:val="0"/>
        <w:autoSpaceDN w:val="0"/>
        <w:adjustRightInd w:val="0"/>
        <w:spacing w:line="360" w:lineRule="auto"/>
        <w:rPr>
          <w:rFonts w:ascii="Calibri" w:hAnsi="Calibri"/>
        </w:rPr>
      </w:pPr>
      <w:r>
        <w:rPr>
          <w:rFonts w:ascii="Calibri" w:hAnsi="Calibri"/>
        </w:rPr>
        <w:tab/>
        <w:t xml:space="preserve">Attorneys should avoid pot trusts that permit unequal distributions to beneficiaries prior to division – if the settlor can veto one beneficiary’s distribution, but not another’s, then such a power would indirectly change the </w:t>
      </w:r>
      <w:r w:rsidRPr="003714E2">
        <w:rPr>
          <w:rFonts w:ascii="Calibri" w:hAnsi="Calibri"/>
          <w:i/>
        </w:rPr>
        <w:t>disposition</w:t>
      </w:r>
      <w:r>
        <w:rPr>
          <w:rFonts w:ascii="Calibri" w:hAnsi="Calibri"/>
        </w:rPr>
        <w:t xml:space="preserve"> of the trust </w:t>
      </w:r>
      <w:r w:rsidR="003714E2">
        <w:rPr>
          <w:rFonts w:ascii="Calibri" w:hAnsi="Calibri"/>
        </w:rPr>
        <w:t xml:space="preserve">(making </w:t>
      </w:r>
      <w:r w:rsidR="004D41CD">
        <w:rPr>
          <w:rFonts w:ascii="Calibri" w:hAnsi="Calibri"/>
        </w:rPr>
        <w:t xml:space="preserve">the </w:t>
      </w:r>
      <w:r w:rsidR="003714E2">
        <w:rPr>
          <w:rFonts w:ascii="Calibri" w:hAnsi="Calibri"/>
        </w:rPr>
        <w:t xml:space="preserve">gift incomplete) </w:t>
      </w:r>
      <w:r>
        <w:rPr>
          <w:rFonts w:ascii="Calibri" w:hAnsi="Calibri"/>
        </w:rPr>
        <w:t>as well as the timing.  By contrast, if separate shares/subtrusts are used, or if unequal distributions are treated as advancements, then any veto would not change the disposition scheme, only the timing</w:t>
      </w:r>
      <w:r w:rsidR="003714E2">
        <w:rPr>
          <w:rFonts w:ascii="Calibri" w:hAnsi="Calibri"/>
        </w:rPr>
        <w:t xml:space="preserve"> (permitting the gift to be complete)</w:t>
      </w:r>
      <w:r>
        <w:rPr>
          <w:rFonts w:ascii="Calibri" w:hAnsi="Calibri"/>
        </w:rPr>
        <w:t xml:space="preserve">.  </w:t>
      </w:r>
    </w:p>
    <w:p w14:paraId="472A4BF8" w14:textId="77777777" w:rsidR="004D41CD" w:rsidRPr="004D41CD" w:rsidRDefault="004D41CD" w:rsidP="004D41CD">
      <w:pPr>
        <w:tabs>
          <w:tab w:val="left" w:pos="540"/>
        </w:tabs>
        <w:autoSpaceDE w:val="0"/>
        <w:autoSpaceDN w:val="0"/>
        <w:adjustRightInd w:val="0"/>
        <w:spacing w:line="360" w:lineRule="auto"/>
        <w:rPr>
          <w:rFonts w:ascii="Calibri" w:hAnsi="Calibri"/>
        </w:rPr>
      </w:pPr>
      <w:r>
        <w:rPr>
          <w:rFonts w:ascii="Calibri" w:hAnsi="Calibri"/>
        </w:rPr>
        <w:tab/>
      </w:r>
      <w:r w:rsidRPr="004D41CD">
        <w:rPr>
          <w:rFonts w:ascii="Calibri" w:hAnsi="Calibri"/>
        </w:rPr>
        <w:t>Another method of making a completed gift trust while retaining grantor access and spousal inclusion is to copy the structure in PLR 8727031.</w:t>
      </w:r>
      <w:r w:rsidRPr="004D41CD">
        <w:rPr>
          <w:rFonts w:ascii="Calibri" w:hAnsi="Calibri"/>
          <w:vertAlign w:val="superscript"/>
        </w:rPr>
        <w:footnoteReference w:id="295"/>
      </w:r>
      <w:r w:rsidRPr="004D41CD">
        <w:rPr>
          <w:rFonts w:ascii="Calibri" w:hAnsi="Calibri"/>
        </w:rPr>
        <w:t xml:space="preserve">  In this PLR, an 80-year old husband had established a trust that:</w:t>
      </w:r>
    </w:p>
    <w:p w14:paraId="79A082A1" w14:textId="77777777" w:rsidR="004D41CD" w:rsidRPr="004D41CD" w:rsidRDefault="004D41CD" w:rsidP="004D41CD">
      <w:pPr>
        <w:tabs>
          <w:tab w:val="left" w:pos="540"/>
        </w:tabs>
        <w:autoSpaceDE w:val="0"/>
        <w:autoSpaceDN w:val="0"/>
        <w:adjustRightInd w:val="0"/>
        <w:ind w:left="547"/>
        <w:rPr>
          <w:rFonts w:ascii="Calibri" w:hAnsi="Calibri"/>
        </w:rPr>
      </w:pPr>
      <w:r w:rsidRPr="004D41CD">
        <w:rPr>
          <w:rFonts w:ascii="Calibri" w:hAnsi="Calibri"/>
        </w:rPr>
        <w:t>“provides that the trustees are to hold the principal for a trust term to last until the first to occur of 1) the expiration of 3 years after the date of the trust; or 2) the donor's death. The trustees are to pay the net income to the donor during this term. If the trust term terminates upon the expiration of 3 years after the date of the trust, the trustees shall hold the principal in further trust for the benefit of the donor's wife and then living descendants. The trust instrument also provides that if the donor dies to before the expiration of the 3 year term, he has a general power to appoint the property of the trust by will.”</w:t>
      </w:r>
    </w:p>
    <w:p w14:paraId="1DC047A9" w14:textId="77777777" w:rsidR="004D41CD" w:rsidRPr="004D41CD" w:rsidRDefault="004D41CD" w:rsidP="004D41CD">
      <w:pPr>
        <w:tabs>
          <w:tab w:val="left" w:pos="540"/>
        </w:tabs>
        <w:autoSpaceDE w:val="0"/>
        <w:autoSpaceDN w:val="0"/>
        <w:adjustRightInd w:val="0"/>
        <w:spacing w:line="360" w:lineRule="auto"/>
        <w:rPr>
          <w:rFonts w:ascii="Calibri" w:hAnsi="Calibri"/>
        </w:rPr>
      </w:pPr>
    </w:p>
    <w:p w14:paraId="7489EAE5" w14:textId="77777777" w:rsidR="004D41CD" w:rsidRPr="004D41CD" w:rsidRDefault="004D41CD" w:rsidP="004D41CD">
      <w:pPr>
        <w:tabs>
          <w:tab w:val="left" w:pos="540"/>
        </w:tabs>
        <w:autoSpaceDE w:val="0"/>
        <w:autoSpaceDN w:val="0"/>
        <w:adjustRightInd w:val="0"/>
        <w:spacing w:line="360" w:lineRule="auto"/>
        <w:rPr>
          <w:rFonts w:ascii="Calibri" w:hAnsi="Calibri"/>
        </w:rPr>
      </w:pPr>
      <w:r w:rsidRPr="004D41CD">
        <w:rPr>
          <w:rFonts w:ascii="Calibri" w:hAnsi="Calibri"/>
        </w:rPr>
        <w:tab/>
        <w:t>Despite the husband retaining a testamentary GPOA, the IRS ruled that:</w:t>
      </w:r>
    </w:p>
    <w:p w14:paraId="6A053E7D" w14:textId="77777777" w:rsidR="004D41CD" w:rsidRPr="004D41CD" w:rsidRDefault="004D41CD" w:rsidP="004D41CD">
      <w:pPr>
        <w:tabs>
          <w:tab w:val="left" w:pos="540"/>
        </w:tabs>
        <w:autoSpaceDE w:val="0"/>
        <w:autoSpaceDN w:val="0"/>
        <w:adjustRightInd w:val="0"/>
        <w:ind w:left="540"/>
        <w:rPr>
          <w:rFonts w:ascii="Calibri" w:hAnsi="Calibri"/>
        </w:rPr>
      </w:pPr>
      <w:r>
        <w:rPr>
          <w:rFonts w:ascii="Calibri" w:hAnsi="Calibri"/>
        </w:rPr>
        <w:t>“</w:t>
      </w:r>
      <w:r w:rsidRPr="004D41CD">
        <w:rPr>
          <w:rFonts w:ascii="Calibri" w:hAnsi="Calibri"/>
        </w:rPr>
        <w:t xml:space="preserve">the donor's power to recapture the transferred property is not subject to a condition within the donor's control. The donor's testamentary power to appoint the trust assets is contingent upon the donor dying before a specified date, a condition which is, for legal purposes, beyond his control. Accordingly, </w:t>
      </w:r>
      <w:r w:rsidRPr="004D41CD">
        <w:rPr>
          <w:rFonts w:ascii="Calibri" w:hAnsi="Calibri"/>
          <w:b/>
        </w:rPr>
        <w:t xml:space="preserve">it is concluded that the donor has made a </w:t>
      </w:r>
      <w:r w:rsidRPr="004D41CD">
        <w:rPr>
          <w:rFonts w:ascii="Calibri" w:hAnsi="Calibri"/>
          <w:b/>
        </w:rPr>
        <w:lastRenderedPageBreak/>
        <w:t>completed gift</w:t>
      </w:r>
      <w:r w:rsidRPr="004D41CD">
        <w:rPr>
          <w:rFonts w:ascii="Calibri" w:hAnsi="Calibri"/>
        </w:rPr>
        <w:t>, under section 2511 of the Code and the regulations thereunder, of a remainder interest in the trust to his wife and descendants.</w:t>
      </w:r>
      <w:r>
        <w:rPr>
          <w:rFonts w:ascii="Calibri" w:hAnsi="Calibri"/>
        </w:rPr>
        <w:t>”</w:t>
      </w:r>
      <w:r w:rsidRPr="004D41CD">
        <w:rPr>
          <w:rFonts w:ascii="Calibri" w:hAnsi="Calibri"/>
        </w:rPr>
        <w:t xml:space="preserve"> </w:t>
      </w:r>
    </w:p>
    <w:p w14:paraId="663B1F71" w14:textId="77777777" w:rsidR="004D41CD" w:rsidRPr="004D41CD" w:rsidRDefault="004D41CD" w:rsidP="004D41CD">
      <w:pPr>
        <w:tabs>
          <w:tab w:val="left" w:pos="540"/>
        </w:tabs>
        <w:autoSpaceDE w:val="0"/>
        <w:autoSpaceDN w:val="0"/>
        <w:adjustRightInd w:val="0"/>
        <w:spacing w:line="360" w:lineRule="auto"/>
        <w:rPr>
          <w:rFonts w:ascii="Calibri" w:hAnsi="Calibri"/>
        </w:rPr>
      </w:pPr>
    </w:p>
    <w:p w14:paraId="053230AF" w14:textId="77777777" w:rsidR="004D41CD" w:rsidRPr="004D41CD" w:rsidRDefault="004D41CD" w:rsidP="004D41CD">
      <w:pPr>
        <w:tabs>
          <w:tab w:val="left" w:pos="540"/>
        </w:tabs>
        <w:autoSpaceDE w:val="0"/>
        <w:autoSpaceDN w:val="0"/>
        <w:adjustRightInd w:val="0"/>
        <w:spacing w:line="360" w:lineRule="auto"/>
        <w:rPr>
          <w:rFonts w:ascii="Calibri" w:hAnsi="Calibri"/>
        </w:rPr>
      </w:pPr>
      <w:r>
        <w:rPr>
          <w:rFonts w:ascii="Calibri" w:hAnsi="Calibri"/>
        </w:rPr>
        <w:tab/>
      </w:r>
      <w:r w:rsidRPr="004D41CD">
        <w:rPr>
          <w:rFonts w:ascii="Calibri" w:hAnsi="Calibri"/>
        </w:rPr>
        <w:t xml:space="preserve">If this transaction were done today it would be a completed gift of the entire corpus, not just the remainder interest, under Chapter 14, which was passed in 1990 after this PLR.  </w:t>
      </w:r>
      <w:r>
        <w:rPr>
          <w:rFonts w:ascii="Calibri" w:hAnsi="Calibri"/>
        </w:rPr>
        <w:t>This may be s</w:t>
      </w:r>
      <w:r w:rsidRPr="004D41CD">
        <w:rPr>
          <w:rFonts w:ascii="Calibri" w:hAnsi="Calibri"/>
        </w:rPr>
        <w:t>mall beer with a $11.4 million exclusion</w:t>
      </w:r>
      <w:r>
        <w:rPr>
          <w:rFonts w:ascii="Calibri" w:hAnsi="Calibri"/>
        </w:rPr>
        <w:t xml:space="preserve"> (at least for 2019)</w:t>
      </w:r>
      <w:r w:rsidRPr="004D41CD">
        <w:rPr>
          <w:rFonts w:ascii="Calibri" w:hAnsi="Calibri"/>
        </w:rPr>
        <w:t>.  There is nothing in the ruling that would change the result if the 3-year term were changed to 30 years.  Thus, this PLR gives us a road map to making a completed gift that will surely be in the grantor’s estate if they die while retaining the income and GPOA, pursuant to IRC §2036 as well as §2038, and could equally be in the spouse’s estate, if a testamentary GPOA were also granted to her.  Voila, double inclusion.</w:t>
      </w:r>
    </w:p>
    <w:p w14:paraId="71825C00" w14:textId="77777777" w:rsidR="0073691F" w:rsidRDefault="0073691F" w:rsidP="00C962E9">
      <w:pPr>
        <w:tabs>
          <w:tab w:val="left" w:pos="540"/>
        </w:tabs>
        <w:autoSpaceDE w:val="0"/>
        <w:autoSpaceDN w:val="0"/>
        <w:adjustRightInd w:val="0"/>
        <w:spacing w:line="360" w:lineRule="auto"/>
        <w:rPr>
          <w:rFonts w:ascii="Calibri" w:hAnsi="Calibri"/>
        </w:rPr>
      </w:pPr>
    </w:p>
    <w:p w14:paraId="31104F35" w14:textId="77777777" w:rsidR="00C962E9" w:rsidRPr="00900346" w:rsidRDefault="0073691F" w:rsidP="00180FD1">
      <w:pPr>
        <w:pStyle w:val="ListParagraph"/>
        <w:numPr>
          <w:ilvl w:val="0"/>
          <w:numId w:val="21"/>
        </w:numPr>
        <w:tabs>
          <w:tab w:val="left" w:pos="540"/>
        </w:tabs>
        <w:autoSpaceDE w:val="0"/>
        <w:autoSpaceDN w:val="0"/>
        <w:adjustRightInd w:val="0"/>
        <w:spacing w:line="360" w:lineRule="auto"/>
        <w:ind w:hanging="720"/>
        <w:rPr>
          <w:rFonts w:ascii="Calibri" w:hAnsi="Calibri"/>
          <w:b/>
        </w:rPr>
      </w:pPr>
      <w:r>
        <w:rPr>
          <w:rFonts w:ascii="Calibri" w:hAnsi="Calibri"/>
          <w:b/>
          <w:i/>
        </w:rPr>
        <w:t>Irrevocable</w:t>
      </w:r>
      <w:r w:rsidR="000E2288" w:rsidRPr="00900346">
        <w:rPr>
          <w:rFonts w:ascii="Calibri" w:hAnsi="Calibri"/>
          <w:b/>
        </w:rPr>
        <w:t xml:space="preserve"> OBITs: Preserving Basis of</w:t>
      </w:r>
      <w:r w:rsidR="00C962E9" w:rsidRPr="00900346">
        <w:rPr>
          <w:rFonts w:ascii="Calibri" w:hAnsi="Calibri"/>
          <w:b/>
        </w:rPr>
        <w:t xml:space="preserve"> Loss Property, especially Community Property</w:t>
      </w:r>
    </w:p>
    <w:p w14:paraId="59BB6A9C" w14:textId="77777777" w:rsidR="00C962E9" w:rsidRPr="00C962E9" w:rsidRDefault="000E2288"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Let’s take a different spin and imagine that John and Jane also have a wonderful second home purchased at the height of the real estate boom – the basis is $1,000,000, but the fair market value is now </w:t>
      </w:r>
      <w:r w:rsidR="00C962E9" w:rsidRPr="00815E28">
        <w:rPr>
          <w:rFonts w:ascii="Calibri" w:hAnsi="Calibri"/>
          <w:i/>
        </w:rPr>
        <w:t>only $600,000</w:t>
      </w:r>
      <w:r w:rsidR="00C962E9" w:rsidRPr="00C962E9">
        <w:rPr>
          <w:rFonts w:ascii="Calibri" w:hAnsi="Calibri"/>
        </w:rPr>
        <w:t xml:space="preserve">. If John or Jane dies and it is deemed community property, the </w:t>
      </w:r>
      <w:r w:rsidR="004D41CD">
        <w:rPr>
          <w:rFonts w:ascii="Calibri" w:hAnsi="Calibri"/>
        </w:rPr>
        <w:t>basis of the property</w:t>
      </w:r>
      <w:r w:rsidR="00C962E9" w:rsidRPr="00C962E9">
        <w:rPr>
          <w:rFonts w:ascii="Calibri" w:hAnsi="Calibri"/>
        </w:rPr>
        <w:t xml:space="preserve"> is </w:t>
      </w:r>
      <w:r w:rsidR="004D41CD">
        <w:rPr>
          <w:rFonts w:ascii="Calibri" w:hAnsi="Calibri"/>
        </w:rPr>
        <w:t xml:space="preserve">stepped </w:t>
      </w:r>
      <w:r w:rsidR="004D41CD" w:rsidRPr="004D41CD">
        <w:rPr>
          <w:rFonts w:ascii="Calibri" w:hAnsi="Calibri"/>
          <w:i/>
        </w:rPr>
        <w:t>down</w:t>
      </w:r>
      <w:r w:rsidR="002678DD">
        <w:rPr>
          <w:rFonts w:ascii="Calibri" w:hAnsi="Calibri"/>
        </w:rPr>
        <w:t xml:space="preserve"> to</w:t>
      </w:r>
      <w:r w:rsidR="004D41CD">
        <w:rPr>
          <w:rFonts w:ascii="Calibri" w:hAnsi="Calibri"/>
        </w:rPr>
        <w:t xml:space="preserve"> $600,000</w:t>
      </w:r>
      <w:r w:rsidR="00C962E9" w:rsidRPr="00C962E9">
        <w:rPr>
          <w:rFonts w:ascii="Calibri" w:hAnsi="Calibri"/>
        </w:rPr>
        <w:t>. The same occurs even in a separate property state if both die</w:t>
      </w:r>
      <w:r w:rsidR="00DE400C">
        <w:rPr>
          <w:rFonts w:ascii="Calibri" w:hAnsi="Calibri"/>
        </w:rPr>
        <w:t xml:space="preserve"> (or, with discounting, it could be worse if the survivor does not own 100%)</w:t>
      </w:r>
      <w:r w:rsidR="00C962E9" w:rsidRPr="00C962E9">
        <w:rPr>
          <w:rFonts w:ascii="Calibri" w:hAnsi="Calibri"/>
        </w:rPr>
        <w:t xml:space="preserve">, or if </w:t>
      </w:r>
      <w:r w:rsidR="00815E28">
        <w:rPr>
          <w:rFonts w:ascii="Calibri" w:hAnsi="Calibri"/>
        </w:rPr>
        <w:t>a spouse who is</w:t>
      </w:r>
      <w:r w:rsidR="00C962E9" w:rsidRPr="00C962E9">
        <w:rPr>
          <w:rFonts w:ascii="Calibri" w:hAnsi="Calibri"/>
        </w:rPr>
        <w:t xml:space="preserve"> 100 percent owner dies.</w:t>
      </w:r>
      <w:r w:rsidR="00C962E9" w:rsidRPr="00C962E9">
        <w:rPr>
          <w:rFonts w:ascii="Calibri" w:hAnsi="Calibri"/>
          <w:vertAlign w:val="superscript"/>
        </w:rPr>
        <w:footnoteReference w:id="296"/>
      </w:r>
      <w:r w:rsidR="00C962E9" w:rsidRPr="00C962E9">
        <w:rPr>
          <w:rFonts w:ascii="Calibri" w:hAnsi="Calibri"/>
        </w:rPr>
        <w:t xml:space="preserve"> If it is held in equal joint tenancy with right of survivorship and one dies, the basis is still reduced, but only half as much.</w:t>
      </w:r>
      <w:r w:rsidR="00C962E9" w:rsidRPr="00C962E9">
        <w:rPr>
          <w:rFonts w:ascii="Calibri" w:hAnsi="Calibri"/>
          <w:vertAlign w:val="superscript"/>
        </w:rPr>
        <w:footnoteReference w:id="297"/>
      </w:r>
      <w:r w:rsidR="00C962E9" w:rsidRPr="00C962E9">
        <w:rPr>
          <w:rFonts w:ascii="Calibri" w:hAnsi="Calibri"/>
        </w:rPr>
        <w:t xml:space="preserve"> </w:t>
      </w:r>
    </w:p>
    <w:p w14:paraId="459FFD59" w14:textId="77777777" w:rsidR="00C962E9" w:rsidRPr="00C962E9" w:rsidRDefault="000E2288"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 xml:space="preserve">John can use a </w:t>
      </w:r>
      <w:r w:rsidR="00C962E9" w:rsidRPr="00C962E9">
        <w:rPr>
          <w:rFonts w:ascii="Calibri" w:hAnsi="Calibri"/>
          <w:i/>
        </w:rPr>
        <w:t>Crummey</w:t>
      </w:r>
      <w:r w:rsidR="00C962E9" w:rsidRPr="00C962E9">
        <w:rPr>
          <w:rFonts w:ascii="Calibri" w:hAnsi="Calibri"/>
        </w:rPr>
        <w:t xml:space="preserve"> OBIT to prevent any step down in basis at John and/or Jane’s death. The transaction would in essence be similar to the above, </w:t>
      </w:r>
      <w:r w:rsidR="0020326C">
        <w:rPr>
          <w:rFonts w:ascii="Calibri" w:hAnsi="Calibri"/>
        </w:rPr>
        <w:t>but the GPOA or LPOA would only be active or be used to trigger</w:t>
      </w:r>
      <w:r w:rsidR="00C962E9" w:rsidRPr="00C962E9">
        <w:rPr>
          <w:rFonts w:ascii="Calibri" w:hAnsi="Calibri"/>
        </w:rPr>
        <w:t xml:space="preserve"> estate inclusion at either of their deaths</w:t>
      </w:r>
      <w:r w:rsidR="0020326C">
        <w:rPr>
          <w:rFonts w:ascii="Calibri" w:hAnsi="Calibri"/>
        </w:rPr>
        <w:t xml:space="preserve"> if </w:t>
      </w:r>
      <w:r w:rsidR="00C962E9" w:rsidRPr="00C962E9">
        <w:rPr>
          <w:rFonts w:ascii="Calibri" w:hAnsi="Calibri"/>
        </w:rPr>
        <w:t xml:space="preserve">the asset increases in value above the $1,000,000 basis.  This preserves the </w:t>
      </w:r>
      <w:r w:rsidR="0020326C">
        <w:rPr>
          <w:rFonts w:ascii="Calibri" w:hAnsi="Calibri"/>
        </w:rPr>
        <w:t xml:space="preserve">higher </w:t>
      </w:r>
      <w:r w:rsidR="00C962E9" w:rsidRPr="00C962E9">
        <w:rPr>
          <w:rFonts w:ascii="Calibri" w:hAnsi="Calibri"/>
        </w:rPr>
        <w:t xml:space="preserve">$1,000,000 basis for the trust/family who later inherit, who might convert it to an asset </w:t>
      </w:r>
      <w:r w:rsidR="0020326C">
        <w:rPr>
          <w:rFonts w:ascii="Calibri" w:hAnsi="Calibri"/>
        </w:rPr>
        <w:t xml:space="preserve">held for </w:t>
      </w:r>
      <w:r w:rsidR="0020326C" w:rsidRPr="00C962E9">
        <w:rPr>
          <w:rFonts w:ascii="Calibri" w:hAnsi="Calibri"/>
        </w:rPr>
        <w:t xml:space="preserve">investment </w:t>
      </w:r>
      <w:r w:rsidR="00C962E9" w:rsidRPr="00C962E9">
        <w:rPr>
          <w:rFonts w:ascii="Calibri" w:hAnsi="Calibri"/>
        </w:rPr>
        <w:t xml:space="preserve">and </w:t>
      </w:r>
      <w:r w:rsidR="00DA0B08">
        <w:rPr>
          <w:rFonts w:ascii="Calibri" w:hAnsi="Calibri"/>
        </w:rPr>
        <w:t>depreciate,</w:t>
      </w:r>
      <w:r w:rsidR="00C962E9" w:rsidRPr="00C962E9">
        <w:rPr>
          <w:rFonts w:ascii="Calibri" w:hAnsi="Calibri"/>
        </w:rPr>
        <w:t xml:space="preserve"> sell</w:t>
      </w:r>
      <w:r w:rsidR="0020326C">
        <w:rPr>
          <w:rFonts w:ascii="Calibri" w:hAnsi="Calibri"/>
        </w:rPr>
        <w:t xml:space="preserve"> or rent</w:t>
      </w:r>
      <w:r w:rsidR="00C962E9" w:rsidRPr="00C962E9">
        <w:rPr>
          <w:rFonts w:ascii="Calibri" w:hAnsi="Calibri"/>
        </w:rPr>
        <w:t xml:space="preserve"> the property. One quirk to the carry over basis rules</w:t>
      </w:r>
      <w:r w:rsidR="0020326C">
        <w:rPr>
          <w:rFonts w:ascii="Calibri" w:hAnsi="Calibri"/>
        </w:rPr>
        <w:t xml:space="preserve"> for gifts</w:t>
      </w:r>
      <w:r w:rsidR="00C962E9" w:rsidRPr="00C962E9">
        <w:rPr>
          <w:rFonts w:ascii="Calibri" w:hAnsi="Calibri"/>
        </w:rPr>
        <w:t xml:space="preserve"> is that, if the family sells the property for anywhere between $600,000 and $1,000,000 (ignoring any </w:t>
      </w:r>
      <w:r w:rsidR="00C962E9" w:rsidRPr="00C962E9">
        <w:rPr>
          <w:rFonts w:ascii="Calibri" w:hAnsi="Calibri"/>
        </w:rPr>
        <w:lastRenderedPageBreak/>
        <w:t>later depreciation or capital improvements), there is neither gain nor loss.</w:t>
      </w:r>
      <w:r w:rsidR="00C962E9" w:rsidRPr="00C962E9">
        <w:rPr>
          <w:rFonts w:ascii="Calibri" w:hAnsi="Calibri"/>
          <w:vertAlign w:val="superscript"/>
        </w:rPr>
        <w:footnoteReference w:id="298"/>
      </w:r>
      <w:r w:rsidR="00C962E9" w:rsidRPr="00C962E9">
        <w:rPr>
          <w:rFonts w:ascii="Calibri" w:hAnsi="Calibri"/>
        </w:rPr>
        <w:t xml:space="preserve"> If the family later sells for $1.1 million, the capital gain is $100,000, not $500,000. If the family</w:t>
      </w:r>
      <w:r w:rsidR="00815E28">
        <w:rPr>
          <w:rFonts w:ascii="Calibri" w:hAnsi="Calibri"/>
        </w:rPr>
        <w:t xml:space="preserve"> (trustee)</w:t>
      </w:r>
      <w:r w:rsidR="00C962E9" w:rsidRPr="00C962E9">
        <w:rPr>
          <w:rFonts w:ascii="Calibri" w:hAnsi="Calibri"/>
        </w:rPr>
        <w:t xml:space="preserve"> later sells for $800,000, there is no capital gain (and no loss), not $200,000 in gain. </w:t>
      </w:r>
      <w:r w:rsidR="00C12DBD">
        <w:rPr>
          <w:rFonts w:ascii="Calibri" w:hAnsi="Calibri"/>
        </w:rPr>
        <w:t xml:space="preserve"> </w:t>
      </w:r>
      <w:r w:rsidR="0020326C">
        <w:rPr>
          <w:rFonts w:ascii="Calibri" w:hAnsi="Calibri"/>
        </w:rPr>
        <w:t>Despite these limitations, saving</w:t>
      </w:r>
      <w:r w:rsidR="00C962E9" w:rsidRPr="00C962E9">
        <w:rPr>
          <w:rFonts w:ascii="Calibri" w:hAnsi="Calibri"/>
        </w:rPr>
        <w:t xml:space="preserve"> $400,000 of basis can be a huge advantage for the family.</w:t>
      </w:r>
    </w:p>
    <w:p w14:paraId="64FD5D8C" w14:textId="77777777" w:rsidR="008972F3" w:rsidRPr="001B5DC1" w:rsidRDefault="0020326C" w:rsidP="00C962E9">
      <w:pPr>
        <w:tabs>
          <w:tab w:val="left" w:pos="540"/>
        </w:tabs>
        <w:autoSpaceDE w:val="0"/>
        <w:autoSpaceDN w:val="0"/>
        <w:adjustRightInd w:val="0"/>
        <w:spacing w:line="360" w:lineRule="auto"/>
        <w:rPr>
          <w:rFonts w:ascii="Calibri" w:hAnsi="Calibri"/>
        </w:rPr>
      </w:pPr>
      <w:r>
        <w:rPr>
          <w:rFonts w:ascii="Calibri" w:hAnsi="Calibri"/>
        </w:rPr>
        <w:tab/>
      </w:r>
      <w:r w:rsidR="00C962E9" w:rsidRPr="00C962E9">
        <w:rPr>
          <w:rFonts w:ascii="Calibri" w:hAnsi="Calibri"/>
        </w:rPr>
        <w:t>Note that in this instance, the debate about whether an ongoing installment sale triggers gain at death might still lead to some uncertainty as to whether a realization event occurs upon change to non-grantor trust status (though, presumably no gain in the above example). Thus, transfer to spouse, or completing the gifting using repeated annual exclusion gifts or gifts beyond the annual exclusion might be considered.</w:t>
      </w:r>
    </w:p>
    <w:p w14:paraId="66FAB06E" w14:textId="77777777" w:rsidR="00C962E9" w:rsidRPr="00C962E9" w:rsidRDefault="002678DD" w:rsidP="00C962E9">
      <w:pPr>
        <w:tabs>
          <w:tab w:val="left" w:pos="540"/>
        </w:tabs>
        <w:autoSpaceDE w:val="0"/>
        <w:autoSpaceDN w:val="0"/>
        <w:adjustRightInd w:val="0"/>
        <w:spacing w:line="360" w:lineRule="auto"/>
        <w:rPr>
          <w:rFonts w:ascii="Calibri" w:hAnsi="Calibri"/>
          <w:b/>
        </w:rPr>
      </w:pPr>
      <w:r>
        <w:rPr>
          <w:rFonts w:ascii="Calibri" w:hAnsi="Calibri"/>
          <w:b/>
        </w:rPr>
        <w:tab/>
      </w:r>
      <w:r w:rsidR="00815E28">
        <w:rPr>
          <w:rFonts w:ascii="Calibri" w:hAnsi="Calibri"/>
          <w:b/>
        </w:rPr>
        <w:t xml:space="preserve"> Not limited to </w:t>
      </w:r>
      <w:r w:rsidR="00815E28" w:rsidRPr="003279C2">
        <w:rPr>
          <w:rFonts w:ascii="Calibri" w:hAnsi="Calibri"/>
          <w:b/>
          <w:i/>
        </w:rPr>
        <w:t>Crummey</w:t>
      </w:r>
      <w:r w:rsidR="00815E28">
        <w:rPr>
          <w:rFonts w:ascii="Calibri" w:hAnsi="Calibri"/>
          <w:b/>
        </w:rPr>
        <w:t xml:space="preserve"> powers or real estate holdings</w:t>
      </w:r>
    </w:p>
    <w:p w14:paraId="3A4F4D5E" w14:textId="77777777" w:rsidR="00C962E9" w:rsidRPr="00C962E9" w:rsidRDefault="00C962E9" w:rsidP="00C962E9">
      <w:pPr>
        <w:tabs>
          <w:tab w:val="left" w:pos="540"/>
        </w:tabs>
        <w:autoSpaceDE w:val="0"/>
        <w:autoSpaceDN w:val="0"/>
        <w:adjustRightInd w:val="0"/>
        <w:spacing w:line="360" w:lineRule="auto"/>
        <w:rPr>
          <w:rFonts w:ascii="Calibri" w:hAnsi="Calibri"/>
        </w:rPr>
      </w:pPr>
      <w:r w:rsidRPr="00C962E9">
        <w:rPr>
          <w:rFonts w:ascii="Calibri" w:hAnsi="Calibri"/>
          <w:b/>
        </w:rPr>
        <w:tab/>
      </w:r>
      <w:r w:rsidRPr="00C962E9">
        <w:rPr>
          <w:rFonts w:ascii="Calibri" w:hAnsi="Calibri"/>
        </w:rPr>
        <w:t>The above examples used one parcel of real estate for simplicity, but this could easily be extended to a portfolio of stocks and bonds. The beauty of such planning is that, unlike an ordinary portfolio, the estate inclusion or exclusion via formula powers of appointment can adapt to a sustained dip in the market, as with the most recent financial crisis. We should not assume that clients and their spouses will not die during a market downturn</w:t>
      </w:r>
      <w:r w:rsidR="004534E9">
        <w:rPr>
          <w:rFonts w:ascii="Calibri" w:hAnsi="Calibri"/>
        </w:rPr>
        <w:t xml:space="preserve"> (including the bond market, which is often overlooked by many planners as a potential source of volatility)</w:t>
      </w:r>
      <w:r w:rsidRPr="00C962E9">
        <w:rPr>
          <w:rFonts w:ascii="Calibri" w:hAnsi="Calibri"/>
        </w:rPr>
        <w:t>.</w:t>
      </w:r>
    </w:p>
    <w:p w14:paraId="0F57EE16" w14:textId="77777777" w:rsidR="00C962E9" w:rsidRDefault="00C962E9" w:rsidP="00C962E9">
      <w:pPr>
        <w:tabs>
          <w:tab w:val="left" w:pos="540"/>
        </w:tabs>
        <w:autoSpaceDE w:val="0"/>
        <w:autoSpaceDN w:val="0"/>
        <w:adjustRightInd w:val="0"/>
        <w:spacing w:line="360" w:lineRule="auto"/>
        <w:rPr>
          <w:rFonts w:ascii="Calibri" w:hAnsi="Calibri"/>
        </w:rPr>
      </w:pPr>
      <w:r w:rsidRPr="00C962E9">
        <w:rPr>
          <w:rFonts w:ascii="Calibri" w:hAnsi="Calibri"/>
        </w:rPr>
        <w:tab/>
        <w:t xml:space="preserve">In the above example, we presumed that John and Jane would </w:t>
      </w:r>
      <w:r w:rsidR="004534E9">
        <w:rPr>
          <w:rFonts w:ascii="Calibri" w:hAnsi="Calibri"/>
        </w:rPr>
        <w:t xml:space="preserve">prefer to use annual gift tax rather than lifetime </w:t>
      </w:r>
      <w:r w:rsidRPr="00C962E9">
        <w:rPr>
          <w:rFonts w:ascii="Calibri" w:hAnsi="Calibri"/>
        </w:rPr>
        <w:t>gift tax exclusion, but with $</w:t>
      </w:r>
      <w:r w:rsidR="003279C2">
        <w:rPr>
          <w:rFonts w:ascii="Calibri" w:hAnsi="Calibri"/>
        </w:rPr>
        <w:t>10.9</w:t>
      </w:r>
      <w:r w:rsidRPr="00C962E9">
        <w:rPr>
          <w:rFonts w:ascii="Calibri" w:hAnsi="Calibri"/>
        </w:rPr>
        <w:t xml:space="preserve"> million, many taxpayers could make upstream gifts with impunity and simply forget about the </w:t>
      </w:r>
      <w:r w:rsidRPr="00C962E9">
        <w:rPr>
          <w:rFonts w:ascii="Calibri" w:hAnsi="Calibri"/>
          <w:i/>
        </w:rPr>
        <w:t>Crummey</w:t>
      </w:r>
      <w:r w:rsidRPr="00C962E9">
        <w:rPr>
          <w:rFonts w:ascii="Calibri" w:hAnsi="Calibri"/>
        </w:rPr>
        <w:t xml:space="preserve"> annual exclusion gifts, or supplement them. </w:t>
      </w:r>
    </w:p>
    <w:p w14:paraId="3B557ACA" w14:textId="77777777" w:rsidR="0020326C" w:rsidRPr="00C962E9" w:rsidRDefault="0020326C" w:rsidP="00C962E9">
      <w:pPr>
        <w:tabs>
          <w:tab w:val="left" w:pos="540"/>
        </w:tabs>
        <w:autoSpaceDE w:val="0"/>
        <w:autoSpaceDN w:val="0"/>
        <w:adjustRightInd w:val="0"/>
        <w:spacing w:line="360" w:lineRule="auto"/>
        <w:rPr>
          <w:rFonts w:ascii="Calibri" w:hAnsi="Calibri"/>
        </w:rPr>
      </w:pPr>
      <w:r>
        <w:rPr>
          <w:rFonts w:ascii="Calibri" w:hAnsi="Calibri"/>
        </w:rPr>
        <w:tab/>
        <w:t>We used a $1 million property in the above example, but remember that, with leverage and multiple older power holders, it might easily be $45 million or $90 million.</w:t>
      </w:r>
      <w:r w:rsidR="001B5DC1">
        <w:rPr>
          <w:rStyle w:val="FootnoteReference"/>
          <w:rFonts w:ascii="Calibri" w:hAnsi="Calibri"/>
        </w:rPr>
        <w:footnoteReference w:id="299"/>
      </w:r>
      <w:r>
        <w:rPr>
          <w:rFonts w:ascii="Calibri" w:hAnsi="Calibri"/>
        </w:rPr>
        <w:t xml:space="preserve">  In some circumstances, existing SLATs, IGTs and other previously funded trusts may be modified to exploit this.  Part VII discusses tax aspects of modifications </w:t>
      </w:r>
      <w:r w:rsidR="003279C2">
        <w:rPr>
          <w:rFonts w:ascii="Calibri" w:hAnsi="Calibri"/>
        </w:rPr>
        <w:t>such as adding powers of appointment to</w:t>
      </w:r>
      <w:r>
        <w:rPr>
          <w:rFonts w:ascii="Calibri" w:hAnsi="Calibri"/>
        </w:rPr>
        <w:t xml:space="preserve"> existing irrevocable trusts. </w:t>
      </w:r>
    </w:p>
    <w:p w14:paraId="15B6BE55" w14:textId="77777777" w:rsidR="00C962E9" w:rsidRDefault="004534E9" w:rsidP="00C962E9">
      <w:pPr>
        <w:tabs>
          <w:tab w:val="left" w:pos="540"/>
        </w:tabs>
        <w:autoSpaceDE w:val="0"/>
        <w:autoSpaceDN w:val="0"/>
        <w:adjustRightInd w:val="0"/>
        <w:spacing w:line="360" w:lineRule="auto"/>
        <w:rPr>
          <w:rFonts w:ascii="Calibri" w:hAnsi="Calibri"/>
        </w:rPr>
      </w:pPr>
      <w:r>
        <w:rPr>
          <w:rFonts w:ascii="Calibri" w:hAnsi="Calibri"/>
        </w:rPr>
        <w:lastRenderedPageBreak/>
        <w:tab/>
      </w:r>
      <w:r w:rsidR="00C962E9" w:rsidRPr="00C962E9">
        <w:rPr>
          <w:rFonts w:ascii="Calibri" w:hAnsi="Calibri"/>
        </w:rPr>
        <w:t xml:space="preserve">The new paradigm in financial and estate planning is to view the applicable exclusion amount as more than a mere estate tax benefit, but as an asset to be used for income tax planning as well. Congress and the courts have appropriately called the gift tax a “back stop” to the income tax. Practitioners have a duty to explore </w:t>
      </w:r>
      <w:r w:rsidR="008972F3">
        <w:rPr>
          <w:rFonts w:ascii="Calibri" w:hAnsi="Calibri"/>
        </w:rPr>
        <w:t>the</w:t>
      </w:r>
      <w:r w:rsidR="00C962E9" w:rsidRPr="00C962E9">
        <w:rPr>
          <w:rFonts w:ascii="Calibri" w:hAnsi="Calibri"/>
        </w:rPr>
        <w:t xml:space="preserve"> </w:t>
      </w:r>
      <w:r w:rsidR="008972F3">
        <w:rPr>
          <w:rFonts w:ascii="Calibri" w:hAnsi="Calibri"/>
        </w:rPr>
        <w:t xml:space="preserve">planning </w:t>
      </w:r>
      <w:r w:rsidR="00C962E9" w:rsidRPr="00C962E9">
        <w:rPr>
          <w:rFonts w:ascii="Calibri" w:hAnsi="Calibri"/>
        </w:rPr>
        <w:t xml:space="preserve">possibilities </w:t>
      </w:r>
      <w:r w:rsidR="008972F3">
        <w:rPr>
          <w:rFonts w:ascii="Calibri" w:hAnsi="Calibri"/>
        </w:rPr>
        <w:t>for families</w:t>
      </w:r>
      <w:r w:rsidR="00C962E9" w:rsidRPr="00C962E9">
        <w:rPr>
          <w:rFonts w:ascii="Calibri" w:hAnsi="Calibri"/>
        </w:rPr>
        <w:t xml:space="preserve"> with that back stop effectively removed for over 99 percent of the population.</w:t>
      </w:r>
    </w:p>
    <w:p w14:paraId="1EB08558" w14:textId="77777777" w:rsidR="008972F3" w:rsidRPr="00C962E9" w:rsidRDefault="008972F3" w:rsidP="00C962E9">
      <w:pPr>
        <w:tabs>
          <w:tab w:val="left" w:pos="540"/>
        </w:tabs>
        <w:autoSpaceDE w:val="0"/>
        <w:autoSpaceDN w:val="0"/>
        <w:adjustRightInd w:val="0"/>
        <w:spacing w:line="360" w:lineRule="auto"/>
        <w:rPr>
          <w:rFonts w:ascii="Calibri" w:hAnsi="Calibri"/>
        </w:rPr>
      </w:pPr>
    </w:p>
    <w:p w14:paraId="74F838DD" w14:textId="77777777" w:rsidR="00D629FE" w:rsidRDefault="00D629FE">
      <w:pPr>
        <w:rPr>
          <w:rFonts w:ascii="Calibri" w:hAnsi="Calibri"/>
          <w:b/>
        </w:rPr>
      </w:pPr>
      <w:r>
        <w:rPr>
          <w:rFonts w:ascii="Calibri" w:hAnsi="Calibri"/>
          <w:b/>
        </w:rPr>
        <w:br w:type="page"/>
      </w:r>
    </w:p>
    <w:p w14:paraId="71AA6374" w14:textId="77777777" w:rsidR="00C962E9" w:rsidRPr="008972F3" w:rsidRDefault="001208F5" w:rsidP="00C962E9">
      <w:pPr>
        <w:tabs>
          <w:tab w:val="left" w:pos="540"/>
        </w:tabs>
        <w:autoSpaceDE w:val="0"/>
        <w:autoSpaceDN w:val="0"/>
        <w:adjustRightInd w:val="0"/>
        <w:spacing w:line="360" w:lineRule="auto"/>
        <w:rPr>
          <w:rFonts w:ascii="Calibri" w:hAnsi="Calibri"/>
          <w:b/>
        </w:rPr>
      </w:pPr>
      <w:r>
        <w:rPr>
          <w:rFonts w:ascii="Calibri" w:hAnsi="Calibri"/>
          <w:b/>
        </w:rPr>
        <w:lastRenderedPageBreak/>
        <w:t>m</w:t>
      </w:r>
      <w:r w:rsidR="008972F3" w:rsidRPr="008972F3">
        <w:rPr>
          <w:rFonts w:ascii="Calibri" w:hAnsi="Calibri"/>
          <w:b/>
        </w:rPr>
        <w:t>.</w:t>
      </w:r>
      <w:r w:rsidR="008972F3" w:rsidRPr="008972F3">
        <w:rPr>
          <w:rFonts w:ascii="Calibri" w:hAnsi="Calibri"/>
          <w:b/>
        </w:rPr>
        <w:tab/>
        <w:t>The “Can’t BDIT” - ensuring step up at settlor/parent’s death</w:t>
      </w:r>
      <w:r w:rsidR="008972F3">
        <w:rPr>
          <w:rFonts w:ascii="Calibri" w:hAnsi="Calibri"/>
          <w:b/>
        </w:rPr>
        <w:t xml:space="preserve"> for BDITs</w:t>
      </w:r>
    </w:p>
    <w:p w14:paraId="30B64C02" w14:textId="77777777" w:rsidR="008972F3" w:rsidRPr="008972F3" w:rsidRDefault="008972F3" w:rsidP="008972F3">
      <w:pPr>
        <w:spacing w:line="360" w:lineRule="auto"/>
        <w:ind w:firstLine="720"/>
        <w:rPr>
          <w:rFonts w:asciiTheme="minorHAnsi" w:eastAsiaTheme="minorHAnsi" w:hAnsiTheme="minorHAnsi" w:cstheme="minorBidi"/>
          <w:szCs w:val="22"/>
        </w:rPr>
      </w:pPr>
      <w:r>
        <w:rPr>
          <w:rFonts w:asciiTheme="minorHAnsi" w:eastAsiaTheme="minorHAnsi" w:hAnsiTheme="minorHAnsi" w:cstheme="minorBidi"/>
          <w:szCs w:val="22"/>
        </w:rPr>
        <w:t>As discussed above</w:t>
      </w:r>
      <w:r w:rsidRPr="008972F3">
        <w:rPr>
          <w:rFonts w:asciiTheme="minorHAnsi" w:eastAsiaTheme="minorHAnsi" w:hAnsiTheme="minorHAnsi" w:cstheme="minorBidi"/>
          <w:szCs w:val="22"/>
        </w:rPr>
        <w:t>, OBIT power of appointment strategies can build upon the JEST concept.  What about another cutting edge strategy – the beneficiary def</w:t>
      </w:r>
      <w:r w:rsidR="00BA7AE9">
        <w:rPr>
          <w:rFonts w:asciiTheme="minorHAnsi" w:eastAsiaTheme="minorHAnsi" w:hAnsiTheme="minorHAnsi" w:cstheme="minorBidi"/>
          <w:szCs w:val="22"/>
        </w:rPr>
        <w:t>ective irrevocable</w:t>
      </w:r>
      <w:r w:rsidR="00137E0E">
        <w:rPr>
          <w:rFonts w:asciiTheme="minorHAnsi" w:eastAsiaTheme="minorHAnsi" w:hAnsiTheme="minorHAnsi" w:cstheme="minorBidi"/>
          <w:szCs w:val="22"/>
        </w:rPr>
        <w:t xml:space="preserve"> (inheritor’s)</w:t>
      </w:r>
      <w:r w:rsidR="00BA7AE9">
        <w:rPr>
          <w:rFonts w:asciiTheme="minorHAnsi" w:eastAsiaTheme="minorHAnsi" w:hAnsiTheme="minorHAnsi" w:cstheme="minorBidi"/>
          <w:szCs w:val="22"/>
        </w:rPr>
        <w:t xml:space="preserve"> trust (BDIT)?</w:t>
      </w:r>
      <w:r w:rsidRPr="008972F3">
        <w:rPr>
          <w:rFonts w:asciiTheme="minorHAnsi" w:eastAsiaTheme="minorHAnsi" w:hAnsiTheme="minorHAnsi" w:cstheme="minorBidi"/>
          <w:szCs w:val="22"/>
        </w:rPr>
        <w:t xml:space="preserve">  Can we build a better BDIT?  There are </w:t>
      </w:r>
      <w:r w:rsidR="00BA7AE9">
        <w:rPr>
          <w:rFonts w:asciiTheme="minorHAnsi" w:eastAsiaTheme="minorHAnsi" w:hAnsiTheme="minorHAnsi" w:cstheme="minorBidi"/>
          <w:szCs w:val="22"/>
        </w:rPr>
        <w:t>three</w:t>
      </w:r>
      <w:r w:rsidRPr="008972F3">
        <w:rPr>
          <w:rFonts w:asciiTheme="minorHAnsi" w:eastAsiaTheme="minorHAnsi" w:hAnsiTheme="minorHAnsi" w:cstheme="minorBidi"/>
          <w:szCs w:val="22"/>
        </w:rPr>
        <w:t xml:space="preserve"> potential </w:t>
      </w:r>
      <w:r w:rsidR="00AB48C0">
        <w:rPr>
          <w:rFonts w:asciiTheme="minorHAnsi" w:eastAsiaTheme="minorHAnsi" w:hAnsiTheme="minorHAnsi" w:cstheme="minorBidi"/>
          <w:szCs w:val="22"/>
        </w:rPr>
        <w:t xml:space="preserve">perceived </w:t>
      </w:r>
      <w:r w:rsidRPr="008972F3">
        <w:rPr>
          <w:rFonts w:asciiTheme="minorHAnsi" w:eastAsiaTheme="minorHAnsi" w:hAnsiTheme="minorHAnsi" w:cstheme="minorBidi"/>
          <w:szCs w:val="22"/>
        </w:rPr>
        <w:t xml:space="preserve">drawbacks to the BDIT strategy that this paper addresses – this section will suggest a solution to the first, and Part VIII will suggest a solution to the </w:t>
      </w:r>
      <w:r w:rsidR="00BA7AE9">
        <w:rPr>
          <w:rFonts w:asciiTheme="minorHAnsi" w:eastAsiaTheme="minorHAnsi" w:hAnsiTheme="minorHAnsi" w:cstheme="minorBidi"/>
          <w:szCs w:val="22"/>
        </w:rPr>
        <w:t>latter two</w:t>
      </w:r>
      <w:r>
        <w:rPr>
          <w:rFonts w:asciiTheme="minorHAnsi" w:eastAsiaTheme="minorHAnsi" w:hAnsiTheme="minorHAnsi" w:cstheme="minorBidi"/>
          <w:szCs w:val="22"/>
        </w:rPr>
        <w:t xml:space="preserve"> and provide citations to relevant articles</w:t>
      </w:r>
      <w:r w:rsidRPr="008972F3">
        <w:rPr>
          <w:rFonts w:asciiTheme="minorHAnsi" w:eastAsiaTheme="minorHAnsi" w:hAnsiTheme="minorHAnsi" w:cstheme="minorBidi"/>
          <w:szCs w:val="22"/>
        </w:rPr>
        <w:t>.  But first, let’s review what the heck a BDIT is</w:t>
      </w:r>
      <w:r w:rsidR="00BA7AE9">
        <w:rPr>
          <w:rFonts w:asciiTheme="minorHAnsi" w:eastAsiaTheme="minorHAnsi" w:hAnsiTheme="minorHAnsi" w:cstheme="minorBidi"/>
          <w:szCs w:val="22"/>
        </w:rPr>
        <w:t>,</w:t>
      </w:r>
      <w:r w:rsidRPr="008972F3">
        <w:rPr>
          <w:rFonts w:asciiTheme="minorHAnsi" w:eastAsiaTheme="minorHAnsi" w:hAnsiTheme="minorHAnsi" w:cstheme="minorBidi"/>
          <w:szCs w:val="22"/>
        </w:rPr>
        <w:t xml:space="preserve"> and its pros and cons.</w:t>
      </w:r>
    </w:p>
    <w:p w14:paraId="5C8EADBC" w14:textId="77777777" w:rsidR="008972F3" w:rsidRPr="008972F3" w:rsidRDefault="008972F3" w:rsidP="008972F3">
      <w:pPr>
        <w:spacing w:line="360" w:lineRule="auto"/>
        <w:ind w:firstLine="720"/>
        <w:rPr>
          <w:rFonts w:asciiTheme="minorHAnsi" w:eastAsiaTheme="minorHAnsi" w:hAnsiTheme="minorHAnsi" w:cstheme="minorBidi"/>
          <w:szCs w:val="22"/>
        </w:rPr>
      </w:pPr>
      <w:r w:rsidRPr="008972F3">
        <w:rPr>
          <w:rFonts w:asciiTheme="minorHAnsi" w:eastAsiaTheme="minorHAnsi" w:hAnsiTheme="minorHAnsi" w:cstheme="minorBidi"/>
          <w:szCs w:val="22"/>
        </w:rPr>
        <w:t xml:space="preserve">A BDIT is an intervivos irrevocable trust.  It is usually established by a parent for a child, but may involve other relationships.  It attempts to thread a needle in three areas: income tax, estate tax and asset protection, with the most important differentiator from other third party created trusts being the income tax treatment. </w:t>
      </w:r>
    </w:p>
    <w:p w14:paraId="68ABEA4C" w14:textId="77777777" w:rsidR="008972F3" w:rsidRPr="008972F3" w:rsidRDefault="008972F3" w:rsidP="008972F3">
      <w:pPr>
        <w:spacing w:line="360" w:lineRule="auto"/>
        <w:ind w:firstLine="720"/>
        <w:rPr>
          <w:rFonts w:asciiTheme="minorHAnsi" w:eastAsiaTheme="minorHAnsi" w:hAnsiTheme="minorHAnsi" w:cstheme="minorBidi"/>
          <w:szCs w:val="22"/>
        </w:rPr>
      </w:pPr>
      <w:r w:rsidRPr="008972F3">
        <w:rPr>
          <w:rFonts w:asciiTheme="minorHAnsi" w:eastAsiaTheme="minorHAnsi" w:hAnsiTheme="minorHAnsi" w:cstheme="minorBidi"/>
          <w:szCs w:val="22"/>
        </w:rPr>
        <w:t xml:space="preserve"> For income tax purposes, its differentiating characteristic from other trusts lies in ensuring the trust is not a grantor trust as to the settlor, and that a withdrawal right causes the trust to be a “grantor” or</w:t>
      </w:r>
      <w:r w:rsidR="00BA7AE9">
        <w:rPr>
          <w:rFonts w:asciiTheme="minorHAnsi" w:eastAsiaTheme="minorHAnsi" w:hAnsiTheme="minorHAnsi" w:cstheme="minorBidi"/>
          <w:szCs w:val="22"/>
        </w:rPr>
        <w:t>, I prefer the term</w:t>
      </w:r>
      <w:r w:rsidRPr="008972F3">
        <w:rPr>
          <w:rFonts w:asciiTheme="minorHAnsi" w:eastAsiaTheme="minorHAnsi" w:hAnsiTheme="minorHAnsi" w:cstheme="minorBidi"/>
          <w:szCs w:val="22"/>
        </w:rPr>
        <w:t xml:space="preserve"> “beneficiary-deemed owner” trust as to the </w:t>
      </w:r>
      <w:r w:rsidRPr="008972F3">
        <w:rPr>
          <w:rFonts w:asciiTheme="minorHAnsi" w:eastAsiaTheme="minorHAnsi" w:hAnsiTheme="minorHAnsi" w:cstheme="minorBidi"/>
          <w:i/>
          <w:szCs w:val="22"/>
        </w:rPr>
        <w:t>beneficiary</w:t>
      </w:r>
      <w:r w:rsidRPr="008972F3">
        <w:rPr>
          <w:rFonts w:asciiTheme="minorHAnsi" w:eastAsiaTheme="minorHAnsi" w:hAnsiTheme="minorHAnsi" w:cstheme="minorBidi"/>
          <w:szCs w:val="22"/>
        </w:rPr>
        <w:t xml:space="preserve"> pursuant to IRC §678(a).  It does so by granting the beneficiary a </w:t>
      </w:r>
      <w:r w:rsidRPr="00137E0E">
        <w:rPr>
          <w:rFonts w:asciiTheme="minorHAnsi" w:eastAsiaTheme="minorHAnsi" w:hAnsiTheme="minorHAnsi" w:cstheme="minorBidi"/>
          <w:i/>
          <w:szCs w:val="22"/>
        </w:rPr>
        <w:t>Crummey</w:t>
      </w:r>
      <w:r w:rsidRPr="008972F3">
        <w:rPr>
          <w:rFonts w:asciiTheme="minorHAnsi" w:eastAsiaTheme="minorHAnsi" w:hAnsiTheme="minorHAnsi" w:cstheme="minorBidi"/>
          <w:szCs w:val="22"/>
        </w:rPr>
        <w:t xml:space="preserve"> power over the trust contribution – the lapse still deftly keeps the trust as a beneficiary deemed owner trust by keeping certain beneficiary retained rights pursuant to IRC §678(a)(2) and does not cause the trust to be self-settled by the beneficiary, by virtue of the IRC §2514 lapse protection and state law that typically references it.  It can accomplish this feat without sacrificing the estate tax and asset protection benefits of third party created trusts – that is, it should neither be in the estate of the settlor nor the beneficiary, nor be subject to their creditors, absent extreme scenarios such as a fraudulent transfer upon funding, or the beneficiary dying during the limited window of a withdrawal right.  </w:t>
      </w:r>
    </w:p>
    <w:p w14:paraId="2648601E" w14:textId="77777777" w:rsidR="008972F3" w:rsidRPr="008972F3" w:rsidRDefault="008972F3" w:rsidP="008972F3">
      <w:pPr>
        <w:spacing w:line="360" w:lineRule="auto"/>
        <w:ind w:firstLine="720"/>
        <w:rPr>
          <w:rFonts w:asciiTheme="minorHAnsi" w:eastAsiaTheme="minorHAnsi" w:hAnsiTheme="minorHAnsi" w:cstheme="minorBidi"/>
          <w:szCs w:val="22"/>
        </w:rPr>
      </w:pPr>
      <w:r w:rsidRPr="008972F3">
        <w:rPr>
          <w:rFonts w:asciiTheme="minorHAnsi" w:eastAsiaTheme="minorHAnsi" w:hAnsiTheme="minorHAnsi" w:cstheme="minorBidi"/>
          <w:szCs w:val="22"/>
        </w:rPr>
        <w:t xml:space="preserve">The deeming of the beneficiary as the owner for income tax purposes, yet not for estate/gift/GST and asset protection purposes, allows for installment sales and disregarded transactions between the beneficiary who is deemed the owner of the trust and the trust, just as with settlors and their revocable or other grantor trusts.  By contrast, transactions between a beneficiary and a non-grantor trust, or between a beneficiary and a grantor trust as to the settlor, would typically be taxable transactions.  </w:t>
      </w:r>
    </w:p>
    <w:p w14:paraId="419C3810" w14:textId="77777777" w:rsidR="008972F3" w:rsidRPr="008972F3" w:rsidRDefault="008972F3" w:rsidP="008972F3">
      <w:pPr>
        <w:spacing w:line="360" w:lineRule="auto"/>
        <w:ind w:firstLine="720"/>
        <w:rPr>
          <w:rFonts w:asciiTheme="minorHAnsi" w:eastAsiaTheme="minorHAnsi" w:hAnsiTheme="minorHAnsi" w:cstheme="minorBidi"/>
          <w:szCs w:val="22"/>
        </w:rPr>
      </w:pPr>
      <w:r w:rsidRPr="008972F3">
        <w:rPr>
          <w:rFonts w:asciiTheme="minorHAnsi" w:eastAsiaTheme="minorHAnsi" w:hAnsiTheme="minorHAnsi" w:cstheme="minorBidi"/>
          <w:szCs w:val="22"/>
        </w:rPr>
        <w:lastRenderedPageBreak/>
        <w:t>Of course, settlors can attempt to accomplish a similar result by making completed gifts to an irrevocable grantor trust with themselves as a beneficiary, using an offshore or domestic asset protection trust statute, such as Nevada, Ohio or Delaware, that permits self-settled trusts.  However, it is unclear how much protection courts in states without such statutes (including bankruptcy courts interpreting such statutes) will grant such trusts.</w:t>
      </w:r>
      <w:r>
        <w:rPr>
          <w:rStyle w:val="FootnoteReference"/>
          <w:rFonts w:asciiTheme="minorHAnsi" w:eastAsiaTheme="minorHAnsi" w:hAnsiTheme="minorHAnsi" w:cstheme="minorBidi"/>
          <w:szCs w:val="22"/>
        </w:rPr>
        <w:footnoteReference w:id="300"/>
      </w:r>
      <w:r w:rsidRPr="008972F3">
        <w:rPr>
          <w:rFonts w:asciiTheme="minorHAnsi" w:eastAsiaTheme="minorHAnsi" w:hAnsiTheme="minorHAnsi" w:cstheme="minorBidi"/>
          <w:szCs w:val="22"/>
        </w:rPr>
        <w:t xml:space="preserve">   This creditor protection uncertainty causes estate tax exclusion uncertainty.   But even aside from that concern, because the settlor would have contributed funds to such a trust and remained a beneficiary (perhaps even a potential beneficiary via trust protector), it is uncertain whether IRC §2036(a) may cause estate inclusion as a retained interest </w:t>
      </w:r>
      <w:r w:rsidR="00137E0E">
        <w:rPr>
          <w:rFonts w:asciiTheme="minorHAnsi" w:eastAsiaTheme="minorHAnsi" w:hAnsiTheme="minorHAnsi" w:cstheme="minorBidi"/>
          <w:szCs w:val="22"/>
        </w:rPr>
        <w:t>– in two PLRs, the IRS has ruled that transfers</w:t>
      </w:r>
      <w:r w:rsidR="005B6933">
        <w:rPr>
          <w:rFonts w:asciiTheme="minorHAnsi" w:eastAsiaTheme="minorHAnsi" w:hAnsiTheme="minorHAnsi" w:cstheme="minorBidi"/>
          <w:szCs w:val="22"/>
        </w:rPr>
        <w:t xml:space="preserve"> to self-settled APTs</w:t>
      </w:r>
      <w:r w:rsidR="00137E0E">
        <w:rPr>
          <w:rFonts w:asciiTheme="minorHAnsi" w:eastAsiaTheme="minorHAnsi" w:hAnsiTheme="minorHAnsi" w:cstheme="minorBidi"/>
          <w:szCs w:val="22"/>
        </w:rPr>
        <w:t xml:space="preserve"> can be completed gifts, but refuse</w:t>
      </w:r>
      <w:r w:rsidR="005B6933">
        <w:rPr>
          <w:rFonts w:asciiTheme="minorHAnsi" w:eastAsiaTheme="minorHAnsi" w:hAnsiTheme="minorHAnsi" w:cstheme="minorBidi"/>
          <w:szCs w:val="22"/>
        </w:rPr>
        <w:t>d</w:t>
      </w:r>
      <w:r w:rsidR="00137E0E">
        <w:rPr>
          <w:rFonts w:asciiTheme="minorHAnsi" w:eastAsiaTheme="minorHAnsi" w:hAnsiTheme="minorHAnsi" w:cstheme="minorBidi"/>
          <w:szCs w:val="22"/>
        </w:rPr>
        <w:t xml:space="preserve"> to rule on §2036</w:t>
      </w:r>
      <w:r w:rsidR="005B6933">
        <w:rPr>
          <w:rFonts w:asciiTheme="minorHAnsi" w:eastAsiaTheme="minorHAnsi" w:hAnsiTheme="minorHAnsi" w:cstheme="minorBidi"/>
          <w:szCs w:val="22"/>
        </w:rPr>
        <w:t xml:space="preserve"> inclusion</w:t>
      </w:r>
      <w:r w:rsidR="00137E0E">
        <w:rPr>
          <w:rFonts w:asciiTheme="minorHAnsi" w:eastAsiaTheme="minorHAnsi" w:hAnsiTheme="minorHAnsi" w:cstheme="minorBidi"/>
          <w:szCs w:val="22"/>
        </w:rPr>
        <w:t>, since that would be largely dependent on how the trust is administered</w:t>
      </w:r>
      <w:r w:rsidRPr="008972F3">
        <w:rPr>
          <w:rFonts w:asciiTheme="minorHAnsi" w:eastAsiaTheme="minorHAnsi" w:hAnsiTheme="minorHAnsi" w:cstheme="minorBidi"/>
          <w:szCs w:val="22"/>
        </w:rPr>
        <w:t>.</w:t>
      </w:r>
      <w:r w:rsidR="00137E0E">
        <w:rPr>
          <w:rStyle w:val="FootnoteReference"/>
          <w:rFonts w:asciiTheme="minorHAnsi" w:eastAsiaTheme="minorHAnsi" w:hAnsiTheme="minorHAnsi" w:cstheme="minorBidi"/>
          <w:szCs w:val="22"/>
        </w:rPr>
        <w:footnoteReference w:id="301"/>
      </w:r>
      <w:r w:rsidRPr="008972F3">
        <w:rPr>
          <w:rFonts w:asciiTheme="minorHAnsi" w:eastAsiaTheme="minorHAnsi" w:hAnsiTheme="minorHAnsi" w:cstheme="minorBidi"/>
          <w:szCs w:val="22"/>
        </w:rPr>
        <w:t xml:space="preserve">  </w:t>
      </w:r>
    </w:p>
    <w:p w14:paraId="2CA62D78" w14:textId="77777777" w:rsidR="008972F3" w:rsidRPr="008972F3" w:rsidRDefault="008972F3" w:rsidP="008972F3">
      <w:pPr>
        <w:spacing w:line="360" w:lineRule="auto"/>
        <w:ind w:firstLine="720"/>
        <w:rPr>
          <w:rFonts w:asciiTheme="minorHAnsi" w:eastAsiaTheme="minorHAnsi" w:hAnsiTheme="minorHAnsi" w:cstheme="minorBidi"/>
          <w:szCs w:val="22"/>
        </w:rPr>
      </w:pPr>
      <w:r w:rsidRPr="008972F3">
        <w:rPr>
          <w:rFonts w:asciiTheme="minorHAnsi" w:eastAsiaTheme="minorHAnsi" w:hAnsiTheme="minorHAnsi" w:cstheme="minorBidi"/>
          <w:szCs w:val="22"/>
        </w:rPr>
        <w:t>It is for these reasons that taxpayers have turned to the BDIT if they have cooperative family members willing to make gifts – they can enjoy continued access to an irrevocable trust as beneficiary and continued ability to make tax-free transactions, with less asset protection and estate inclusion risk</w:t>
      </w:r>
      <w:r>
        <w:rPr>
          <w:rFonts w:asciiTheme="minorHAnsi" w:eastAsiaTheme="minorHAnsi" w:hAnsiTheme="minorHAnsi" w:cstheme="minorBidi"/>
          <w:szCs w:val="22"/>
        </w:rPr>
        <w:t xml:space="preserve"> than a DAPT</w:t>
      </w:r>
      <w:r w:rsidRPr="008972F3">
        <w:rPr>
          <w:rFonts w:asciiTheme="minorHAnsi" w:eastAsiaTheme="minorHAnsi" w:hAnsiTheme="minorHAnsi" w:cstheme="minorBidi"/>
          <w:szCs w:val="22"/>
        </w:rPr>
        <w:t xml:space="preserve">. </w:t>
      </w:r>
    </w:p>
    <w:p w14:paraId="7E2B19AD" w14:textId="77777777" w:rsidR="008C7B79" w:rsidRDefault="008972F3" w:rsidP="008972F3">
      <w:pPr>
        <w:spacing w:line="360" w:lineRule="auto"/>
        <w:ind w:firstLine="720"/>
        <w:rPr>
          <w:rFonts w:asciiTheme="minorHAnsi" w:eastAsiaTheme="minorHAnsi" w:hAnsiTheme="minorHAnsi" w:cstheme="minorBidi"/>
          <w:szCs w:val="22"/>
        </w:rPr>
      </w:pPr>
      <w:r w:rsidRPr="008972F3">
        <w:rPr>
          <w:rFonts w:asciiTheme="minorHAnsi" w:eastAsiaTheme="minorHAnsi" w:hAnsiTheme="minorHAnsi" w:cstheme="minorBidi"/>
          <w:szCs w:val="22"/>
        </w:rPr>
        <w:t xml:space="preserve">Those are the pros – what of the cons to this structure?  There are </w:t>
      </w:r>
      <w:r w:rsidR="00BA7AE9">
        <w:rPr>
          <w:rFonts w:asciiTheme="minorHAnsi" w:eastAsiaTheme="minorHAnsi" w:hAnsiTheme="minorHAnsi" w:cstheme="minorBidi"/>
          <w:szCs w:val="22"/>
        </w:rPr>
        <w:t>three main ones</w:t>
      </w:r>
      <w:r w:rsidRPr="008972F3">
        <w:rPr>
          <w:rFonts w:asciiTheme="minorHAnsi" w:eastAsiaTheme="minorHAnsi" w:hAnsiTheme="minorHAnsi" w:cstheme="minorBidi"/>
          <w:szCs w:val="22"/>
        </w:rPr>
        <w:t>: the first is the minimal amount, typically only $5,000, of the seed gift.</w:t>
      </w:r>
      <w:r w:rsidR="00AB48C0">
        <w:rPr>
          <w:rStyle w:val="FootnoteReference"/>
          <w:rFonts w:asciiTheme="minorHAnsi" w:eastAsiaTheme="minorHAnsi" w:hAnsiTheme="minorHAnsi" w:cstheme="minorBidi"/>
          <w:szCs w:val="22"/>
        </w:rPr>
        <w:footnoteReference w:id="302"/>
      </w:r>
      <w:r w:rsidRPr="008972F3">
        <w:rPr>
          <w:rFonts w:asciiTheme="minorHAnsi" w:eastAsiaTheme="minorHAnsi" w:hAnsiTheme="minorHAnsi" w:cstheme="minorBidi"/>
          <w:szCs w:val="22"/>
        </w:rPr>
        <w:t xml:space="preserve">  </w:t>
      </w:r>
      <w:r w:rsidR="00BA7AE9">
        <w:rPr>
          <w:rFonts w:asciiTheme="minorHAnsi" w:eastAsiaTheme="minorHAnsi" w:hAnsiTheme="minorHAnsi" w:cstheme="minorBidi"/>
          <w:szCs w:val="22"/>
        </w:rPr>
        <w:t>The second is the uncertain conclusion of whether a lapse is a “partial release or other modification” necessary for continued beneficiary-deemed owner status under §678(a)(2).  These are</w:t>
      </w:r>
      <w:r w:rsidRPr="008972F3">
        <w:rPr>
          <w:rFonts w:asciiTheme="minorHAnsi" w:eastAsiaTheme="minorHAnsi" w:hAnsiTheme="minorHAnsi" w:cstheme="minorBidi"/>
          <w:szCs w:val="22"/>
        </w:rPr>
        <w:t xml:space="preserve"> addres</w:t>
      </w:r>
      <w:r w:rsidR="00BA7AE9">
        <w:rPr>
          <w:rFonts w:asciiTheme="minorHAnsi" w:eastAsiaTheme="minorHAnsi" w:hAnsiTheme="minorHAnsi" w:cstheme="minorBidi"/>
          <w:szCs w:val="22"/>
        </w:rPr>
        <w:t>sed in Part VIII.  The last one</w:t>
      </w:r>
      <w:r w:rsidRPr="008972F3">
        <w:rPr>
          <w:rFonts w:asciiTheme="minorHAnsi" w:eastAsiaTheme="minorHAnsi" w:hAnsiTheme="minorHAnsi" w:cstheme="minorBidi"/>
          <w:szCs w:val="22"/>
        </w:rPr>
        <w:t xml:space="preserve"> is that, while 99.5% of taxpayers do not have taxable estates, and parents establishing BDITs are often in this category, the lack of estate inclusion in the parent completely wastes the parent’s </w:t>
      </w:r>
      <w:r>
        <w:rPr>
          <w:rFonts w:asciiTheme="minorHAnsi" w:eastAsiaTheme="minorHAnsi" w:hAnsiTheme="minorHAnsi" w:cstheme="minorBidi"/>
          <w:szCs w:val="22"/>
        </w:rPr>
        <w:t xml:space="preserve">$5.43 million (or higher) </w:t>
      </w:r>
      <w:r w:rsidRPr="008972F3">
        <w:rPr>
          <w:rFonts w:asciiTheme="minorHAnsi" w:eastAsiaTheme="minorHAnsi" w:hAnsiTheme="minorHAnsi" w:cstheme="minorBidi"/>
          <w:szCs w:val="22"/>
        </w:rPr>
        <w:t>applicable exclusion amount and misses an opportunity to step up the basis on any assets contributed to the BDIT, which may include substantial assets sold</w:t>
      </w:r>
      <w:r>
        <w:rPr>
          <w:rFonts w:asciiTheme="minorHAnsi" w:eastAsiaTheme="minorHAnsi" w:hAnsiTheme="minorHAnsi" w:cstheme="minorBidi"/>
          <w:szCs w:val="22"/>
        </w:rPr>
        <w:t xml:space="preserve"> to</w:t>
      </w:r>
      <w:r w:rsidRPr="008972F3">
        <w:rPr>
          <w:rFonts w:asciiTheme="minorHAnsi" w:eastAsiaTheme="minorHAnsi" w:hAnsiTheme="minorHAnsi" w:cstheme="minorBidi"/>
          <w:szCs w:val="22"/>
        </w:rPr>
        <w:t xml:space="preserve"> the BDIT for a note</w:t>
      </w:r>
      <w:r>
        <w:rPr>
          <w:rFonts w:asciiTheme="minorHAnsi" w:eastAsiaTheme="minorHAnsi" w:hAnsiTheme="minorHAnsi" w:cstheme="minorBidi"/>
          <w:szCs w:val="22"/>
        </w:rPr>
        <w:t xml:space="preserve"> if growth exceeds the </w:t>
      </w:r>
      <w:r w:rsidR="00857CE2">
        <w:rPr>
          <w:rFonts w:asciiTheme="minorHAnsi" w:eastAsiaTheme="minorHAnsi" w:hAnsiTheme="minorHAnsi" w:cstheme="minorBidi"/>
          <w:szCs w:val="22"/>
        </w:rPr>
        <w:t>interest</w:t>
      </w:r>
      <w:r>
        <w:rPr>
          <w:rFonts w:asciiTheme="minorHAnsi" w:eastAsiaTheme="minorHAnsi" w:hAnsiTheme="minorHAnsi" w:cstheme="minorBidi"/>
          <w:szCs w:val="22"/>
        </w:rPr>
        <w:t xml:space="preserve"> rate </w:t>
      </w:r>
      <w:r w:rsidR="00857CE2">
        <w:rPr>
          <w:rFonts w:asciiTheme="minorHAnsi" w:eastAsiaTheme="minorHAnsi" w:hAnsiTheme="minorHAnsi" w:cstheme="minorBidi"/>
          <w:szCs w:val="22"/>
        </w:rPr>
        <w:t xml:space="preserve">on the loan </w:t>
      </w:r>
      <w:r>
        <w:rPr>
          <w:rFonts w:asciiTheme="minorHAnsi" w:eastAsiaTheme="minorHAnsi" w:hAnsiTheme="minorHAnsi" w:cstheme="minorBidi"/>
          <w:szCs w:val="22"/>
        </w:rPr>
        <w:t>over time</w:t>
      </w:r>
      <w:r w:rsidR="00857CE2">
        <w:rPr>
          <w:rFonts w:asciiTheme="minorHAnsi" w:eastAsiaTheme="minorHAnsi" w:hAnsiTheme="minorHAnsi" w:cstheme="minorBidi"/>
          <w:szCs w:val="22"/>
        </w:rPr>
        <w:t xml:space="preserve"> (which should be market rate, not AFR)</w:t>
      </w:r>
      <w:r w:rsidRPr="008972F3">
        <w:rPr>
          <w:rFonts w:asciiTheme="minorHAnsi" w:eastAsiaTheme="minorHAnsi" w:hAnsiTheme="minorHAnsi" w:cstheme="minorBidi"/>
          <w:szCs w:val="22"/>
        </w:rPr>
        <w:t xml:space="preserve">, not just </w:t>
      </w:r>
      <w:r>
        <w:rPr>
          <w:rFonts w:asciiTheme="minorHAnsi" w:eastAsiaTheme="minorHAnsi" w:hAnsiTheme="minorHAnsi" w:cstheme="minorBidi"/>
          <w:szCs w:val="22"/>
        </w:rPr>
        <w:t xml:space="preserve">the </w:t>
      </w:r>
      <w:r w:rsidRPr="008972F3">
        <w:rPr>
          <w:rFonts w:asciiTheme="minorHAnsi" w:eastAsiaTheme="minorHAnsi" w:hAnsiTheme="minorHAnsi" w:cstheme="minorBidi"/>
          <w:szCs w:val="22"/>
        </w:rPr>
        <w:t xml:space="preserve">$5,000 seed gift funding.  </w:t>
      </w:r>
    </w:p>
    <w:p w14:paraId="44A46163" w14:textId="77777777" w:rsidR="008972F3" w:rsidRPr="008972F3" w:rsidRDefault="008972F3" w:rsidP="008972F3">
      <w:pPr>
        <w:spacing w:line="360" w:lineRule="auto"/>
        <w:ind w:firstLine="720"/>
        <w:rPr>
          <w:rFonts w:asciiTheme="minorHAnsi" w:eastAsiaTheme="minorHAnsi" w:hAnsiTheme="minorHAnsi" w:cstheme="minorBidi"/>
          <w:szCs w:val="22"/>
        </w:rPr>
      </w:pPr>
      <w:r w:rsidRPr="008972F3">
        <w:rPr>
          <w:rFonts w:asciiTheme="minorHAnsi" w:eastAsiaTheme="minorHAnsi" w:hAnsiTheme="minorHAnsi" w:cstheme="minorBidi"/>
          <w:szCs w:val="22"/>
        </w:rPr>
        <w:lastRenderedPageBreak/>
        <w:t xml:space="preserve">So, how do we ensure that the settlor parent retains enough power to cause estate inclusion (with caps, of course), yet not </w:t>
      </w:r>
      <w:r w:rsidR="008C7B79">
        <w:rPr>
          <w:rFonts w:asciiTheme="minorHAnsi" w:eastAsiaTheme="minorHAnsi" w:hAnsiTheme="minorHAnsi" w:cstheme="minorBidi"/>
          <w:szCs w:val="22"/>
        </w:rPr>
        <w:t>so much of</w:t>
      </w:r>
      <w:r w:rsidRPr="008972F3">
        <w:rPr>
          <w:rFonts w:asciiTheme="minorHAnsi" w:eastAsiaTheme="minorHAnsi" w:hAnsiTheme="minorHAnsi" w:cstheme="minorBidi"/>
          <w:szCs w:val="22"/>
        </w:rPr>
        <w:t xml:space="preserve"> a power that would destroy the beneficiary deemed owner status pursuant to §678(a)?  How do we turn a BDIT into a “</w:t>
      </w:r>
      <w:r w:rsidRPr="008972F3">
        <w:rPr>
          <w:rFonts w:asciiTheme="minorHAnsi" w:eastAsiaTheme="minorHAnsi" w:hAnsiTheme="minorHAnsi" w:cstheme="minorBidi"/>
          <w:i/>
          <w:szCs w:val="22"/>
        </w:rPr>
        <w:t>Can’t Beat It</w:t>
      </w:r>
      <w:r w:rsidRPr="008972F3">
        <w:rPr>
          <w:rFonts w:asciiTheme="minorHAnsi" w:eastAsiaTheme="minorHAnsi" w:hAnsiTheme="minorHAnsi" w:cstheme="minorBidi"/>
          <w:szCs w:val="22"/>
        </w:rPr>
        <w:t>”?</w:t>
      </w:r>
    </w:p>
    <w:p w14:paraId="7138F378" w14:textId="77777777" w:rsidR="008972F3" w:rsidRPr="008972F3" w:rsidRDefault="008972F3" w:rsidP="008972F3">
      <w:pPr>
        <w:spacing w:line="360" w:lineRule="auto"/>
        <w:ind w:firstLine="720"/>
        <w:rPr>
          <w:rFonts w:asciiTheme="minorHAnsi" w:eastAsiaTheme="minorHAnsi" w:hAnsiTheme="minorHAnsi" w:cstheme="minorBidi"/>
          <w:szCs w:val="22"/>
        </w:rPr>
      </w:pPr>
      <w:r w:rsidRPr="008972F3">
        <w:rPr>
          <w:rFonts w:asciiTheme="minorHAnsi" w:eastAsiaTheme="minorHAnsi" w:hAnsiTheme="minorHAnsi" w:cstheme="minorBidi"/>
          <w:szCs w:val="22"/>
        </w:rPr>
        <w:t xml:space="preserve">The answer is for the settlor to simply retain a power that causes estate inclusion over </w:t>
      </w:r>
      <w:r w:rsidRPr="008972F3">
        <w:rPr>
          <w:rFonts w:asciiTheme="minorHAnsi" w:eastAsiaTheme="minorHAnsi" w:hAnsiTheme="minorHAnsi" w:cstheme="minorBidi"/>
          <w:i/>
          <w:szCs w:val="22"/>
        </w:rPr>
        <w:t>only</w:t>
      </w:r>
      <w:r w:rsidRPr="008972F3">
        <w:rPr>
          <w:rFonts w:asciiTheme="minorHAnsi" w:eastAsiaTheme="minorHAnsi" w:hAnsiTheme="minorHAnsi" w:cstheme="minorBidi"/>
          <w:szCs w:val="22"/>
        </w:rPr>
        <w:t xml:space="preserve"> the intended assets, yet does not cause grantor trust status, nor cause a gift to be incomplete, nor impair the withdrawal right necessary for §678(a) beneficiary deemed owner status</w:t>
      </w:r>
      <w:r w:rsidR="00115DAE">
        <w:rPr>
          <w:rFonts w:asciiTheme="minorHAnsi" w:eastAsiaTheme="minorHAnsi" w:hAnsiTheme="minorHAnsi" w:cstheme="minorBidi"/>
          <w:szCs w:val="22"/>
        </w:rPr>
        <w:t xml:space="preserve"> and present interest</w:t>
      </w:r>
      <w:r w:rsidRPr="008972F3">
        <w:rPr>
          <w:rFonts w:asciiTheme="minorHAnsi" w:eastAsiaTheme="minorHAnsi" w:hAnsiTheme="minorHAnsi" w:cstheme="minorBidi"/>
          <w:szCs w:val="22"/>
        </w:rPr>
        <w:t>.  This is not exactly a simple and straightforward</w:t>
      </w:r>
      <w:r w:rsidR="008C7B79">
        <w:rPr>
          <w:rFonts w:asciiTheme="minorHAnsi" w:eastAsiaTheme="minorHAnsi" w:hAnsiTheme="minorHAnsi" w:cstheme="minorBidi"/>
          <w:szCs w:val="22"/>
        </w:rPr>
        <w:t xml:space="preserve"> exercise.  Co</w:t>
      </w:r>
      <w:r w:rsidRPr="008972F3">
        <w:rPr>
          <w:rFonts w:asciiTheme="minorHAnsi" w:eastAsiaTheme="minorHAnsi" w:hAnsiTheme="minorHAnsi" w:cstheme="minorBidi"/>
          <w:szCs w:val="22"/>
        </w:rPr>
        <w:t xml:space="preserve">unterintuitively, we’ll have to borrow some concepts from </w:t>
      </w:r>
      <w:r w:rsidR="00F050CA">
        <w:rPr>
          <w:rFonts w:asciiTheme="minorHAnsi" w:eastAsiaTheme="minorHAnsi" w:hAnsiTheme="minorHAnsi" w:cstheme="minorBidi"/>
          <w:szCs w:val="22"/>
        </w:rPr>
        <w:t>incomplete gift (ING)</w:t>
      </w:r>
      <w:r w:rsidRPr="008972F3">
        <w:rPr>
          <w:rFonts w:asciiTheme="minorHAnsi" w:eastAsiaTheme="minorHAnsi" w:hAnsiTheme="minorHAnsi" w:cstheme="minorBidi"/>
          <w:szCs w:val="22"/>
        </w:rPr>
        <w:t xml:space="preserve"> PLRs.</w:t>
      </w:r>
    </w:p>
    <w:p w14:paraId="30E14100" w14:textId="77777777" w:rsidR="008C7B79" w:rsidRPr="008C7B79" w:rsidRDefault="008C7B79" w:rsidP="008C7B79">
      <w:pPr>
        <w:spacing w:line="360" w:lineRule="auto"/>
        <w:ind w:firstLine="720"/>
        <w:rPr>
          <w:rFonts w:asciiTheme="minorHAnsi" w:eastAsiaTheme="minorHAnsi" w:hAnsiTheme="minorHAnsi" w:cstheme="minorBidi"/>
          <w:szCs w:val="22"/>
        </w:rPr>
      </w:pPr>
      <w:r w:rsidRPr="008C7B79">
        <w:rPr>
          <w:rFonts w:asciiTheme="minorHAnsi" w:eastAsiaTheme="minorHAnsi" w:hAnsiTheme="minorHAnsi" w:cstheme="minorBidi"/>
          <w:szCs w:val="22"/>
        </w:rPr>
        <w:t>As discussed in Part V.</w:t>
      </w:r>
      <w:r w:rsidR="001208F5">
        <w:rPr>
          <w:rFonts w:asciiTheme="minorHAnsi" w:eastAsiaTheme="minorHAnsi" w:hAnsiTheme="minorHAnsi" w:cstheme="minorBidi"/>
          <w:szCs w:val="22"/>
        </w:rPr>
        <w:t>j</w:t>
      </w:r>
      <w:r w:rsidRPr="008C7B79">
        <w:rPr>
          <w:rFonts w:asciiTheme="minorHAnsi" w:eastAsiaTheme="minorHAnsi" w:hAnsiTheme="minorHAnsi" w:cstheme="minorBidi"/>
          <w:szCs w:val="22"/>
        </w:rPr>
        <w:t xml:space="preserve">, we can cause targeted estate inclusion over completed gifts by retaining only the power to “change the manner or time of enjoyment” of a gift - enough to trigger §2038 as to those assets so targeted, yet not be so much as to “change the disposition” that would make the entire gift (or any part of the gift) incomplete pursuant to §2511.   </w:t>
      </w:r>
    </w:p>
    <w:p w14:paraId="4C8760F6" w14:textId="77777777" w:rsidR="008C7B79" w:rsidRPr="008C7B79" w:rsidRDefault="008C7B79" w:rsidP="008C7B79">
      <w:pPr>
        <w:spacing w:line="360" w:lineRule="auto"/>
        <w:ind w:firstLine="720"/>
        <w:rPr>
          <w:rFonts w:asciiTheme="minorHAnsi" w:eastAsiaTheme="minorHAnsi" w:hAnsiTheme="minorHAnsi" w:cstheme="minorBidi"/>
          <w:szCs w:val="22"/>
        </w:rPr>
      </w:pPr>
      <w:r w:rsidRPr="008C7B79">
        <w:rPr>
          <w:rFonts w:asciiTheme="minorHAnsi" w:eastAsiaTheme="minorHAnsi" w:hAnsiTheme="minorHAnsi" w:cstheme="minorBidi"/>
          <w:szCs w:val="22"/>
        </w:rPr>
        <w:t xml:space="preserve">It’s especially difficult for </w:t>
      </w:r>
      <w:r w:rsidRPr="00857CE2">
        <w:rPr>
          <w:rFonts w:asciiTheme="minorHAnsi" w:eastAsiaTheme="minorHAnsi" w:hAnsiTheme="minorHAnsi" w:cstheme="minorBidi"/>
          <w:i/>
          <w:szCs w:val="22"/>
        </w:rPr>
        <w:t>Crummey</w:t>
      </w:r>
      <w:r w:rsidRPr="008C7B79">
        <w:rPr>
          <w:rFonts w:asciiTheme="minorHAnsi" w:eastAsiaTheme="minorHAnsi" w:hAnsiTheme="minorHAnsi" w:cstheme="minorBidi"/>
          <w:szCs w:val="22"/>
        </w:rPr>
        <w:t xml:space="preserve"> gifts and BDITs, because not only do we have to avoid impairing the present interest for annual exclusion purposes, but, more importantly, we do not want to interfere with the unfettered withdrawal right necessary for §678(a) beneficiary deemed owner status.  If the settlor retains a veto power over the withdrawal right it would negate qualification for the annual exclusion and prevent §678(a) beneficiary deemed owner status.   What if, instead, we merely include the power to accelerate the timing of a beneficiary’s enjoyment?  For example, a trust might provide that normal settlement upon demand must be accomplished by the trustee within 30 days, but the settlor may cause the trustee to accelerate the distribution sooner.  Or, a trust may provide that the trustee may distribute, and for 30 days the beneficiary may withdraw the contribution to the trust.  The Settlor retains the power to force the trustee to </w:t>
      </w:r>
      <w:r w:rsidRPr="008C7B79">
        <w:rPr>
          <w:rFonts w:asciiTheme="minorHAnsi" w:eastAsiaTheme="minorHAnsi" w:hAnsiTheme="minorHAnsi" w:cstheme="minorBidi"/>
          <w:i/>
          <w:szCs w:val="22"/>
        </w:rPr>
        <w:t>accelerate</w:t>
      </w:r>
      <w:r w:rsidRPr="008C7B79">
        <w:rPr>
          <w:rFonts w:asciiTheme="minorHAnsi" w:eastAsiaTheme="minorHAnsi" w:hAnsiTheme="minorHAnsi" w:cstheme="minorBidi"/>
          <w:szCs w:val="22"/>
        </w:rPr>
        <w:t xml:space="preserve"> the distribution, but in no way impair the beneficiary receiving the income upon request.  </w:t>
      </w:r>
    </w:p>
    <w:p w14:paraId="009F8D8B" w14:textId="77777777" w:rsidR="00122706" w:rsidRDefault="008C7B79" w:rsidP="008C7B79">
      <w:pPr>
        <w:spacing w:line="360" w:lineRule="auto"/>
        <w:ind w:firstLine="720"/>
        <w:rPr>
          <w:rFonts w:asciiTheme="minorHAnsi" w:eastAsiaTheme="minorHAnsi" w:hAnsiTheme="minorHAnsi" w:cstheme="minorBidi"/>
          <w:szCs w:val="22"/>
        </w:rPr>
      </w:pPr>
      <w:r w:rsidRPr="008C7B79">
        <w:rPr>
          <w:rFonts w:asciiTheme="minorHAnsi" w:eastAsiaTheme="minorHAnsi" w:hAnsiTheme="minorHAnsi" w:cstheme="minorBidi"/>
          <w:szCs w:val="22"/>
        </w:rPr>
        <w:t xml:space="preserve">Normally, </w:t>
      </w:r>
      <w:r w:rsidR="00F050CA">
        <w:rPr>
          <w:rFonts w:asciiTheme="minorHAnsi" w:eastAsiaTheme="minorHAnsi" w:hAnsiTheme="minorHAnsi" w:cstheme="minorBidi"/>
          <w:szCs w:val="22"/>
        </w:rPr>
        <w:t>settlor retention of any distribution powers</w:t>
      </w:r>
      <w:r w:rsidRPr="008C7B79">
        <w:rPr>
          <w:rFonts w:asciiTheme="minorHAnsi" w:eastAsiaTheme="minorHAnsi" w:hAnsiTheme="minorHAnsi" w:cstheme="minorBidi"/>
          <w:szCs w:val="22"/>
        </w:rPr>
        <w:t xml:space="preserve"> causes grantor trust status.  </w:t>
      </w:r>
      <w:r w:rsidR="00115DAE">
        <w:rPr>
          <w:rFonts w:asciiTheme="minorHAnsi" w:eastAsiaTheme="minorHAnsi" w:hAnsiTheme="minorHAnsi" w:cstheme="minorBidi"/>
          <w:szCs w:val="22"/>
        </w:rPr>
        <w:t>Let’s</w:t>
      </w:r>
      <w:r w:rsidRPr="008C7B79">
        <w:rPr>
          <w:rFonts w:asciiTheme="minorHAnsi" w:eastAsiaTheme="minorHAnsi" w:hAnsiTheme="minorHAnsi" w:cstheme="minorBidi"/>
          <w:szCs w:val="22"/>
        </w:rPr>
        <w:t xml:space="preserve"> borrow from </w:t>
      </w:r>
      <w:r w:rsidR="00115DAE">
        <w:rPr>
          <w:rFonts w:asciiTheme="minorHAnsi" w:eastAsiaTheme="minorHAnsi" w:hAnsiTheme="minorHAnsi" w:cstheme="minorBidi"/>
          <w:szCs w:val="22"/>
        </w:rPr>
        <w:t>techniques used</w:t>
      </w:r>
      <w:r w:rsidRPr="008C7B79">
        <w:rPr>
          <w:rFonts w:asciiTheme="minorHAnsi" w:eastAsiaTheme="minorHAnsi" w:hAnsiTheme="minorHAnsi" w:cstheme="minorBidi"/>
          <w:szCs w:val="22"/>
        </w:rPr>
        <w:t xml:space="preserve"> in dozens of </w:t>
      </w:r>
      <w:r w:rsidR="00F050CA">
        <w:rPr>
          <w:rFonts w:asciiTheme="minorHAnsi" w:eastAsiaTheme="minorHAnsi" w:hAnsiTheme="minorHAnsi" w:cstheme="minorBidi"/>
          <w:szCs w:val="22"/>
        </w:rPr>
        <w:t>incomplete gift, non</w:t>
      </w:r>
      <w:r w:rsidR="00726267">
        <w:rPr>
          <w:rFonts w:asciiTheme="minorHAnsi" w:eastAsiaTheme="minorHAnsi" w:hAnsiTheme="minorHAnsi" w:cstheme="minorBidi"/>
          <w:szCs w:val="22"/>
        </w:rPr>
        <w:t>-</w:t>
      </w:r>
      <w:r w:rsidR="00F050CA">
        <w:rPr>
          <w:rFonts w:asciiTheme="minorHAnsi" w:eastAsiaTheme="minorHAnsi" w:hAnsiTheme="minorHAnsi" w:cstheme="minorBidi"/>
          <w:szCs w:val="22"/>
        </w:rPr>
        <w:t>grantor trust (ING)</w:t>
      </w:r>
      <w:r w:rsidR="00CB53B7">
        <w:rPr>
          <w:rFonts w:asciiTheme="minorHAnsi" w:eastAsiaTheme="minorHAnsi" w:hAnsiTheme="minorHAnsi" w:cstheme="minorBidi"/>
          <w:szCs w:val="22"/>
        </w:rPr>
        <w:t xml:space="preserve"> related PLRs:</w:t>
      </w:r>
      <w:r w:rsidRPr="008C7B79">
        <w:rPr>
          <w:rFonts w:asciiTheme="minorHAnsi" w:eastAsiaTheme="minorHAnsi" w:hAnsiTheme="minorHAnsi" w:cstheme="minorBidi"/>
          <w:szCs w:val="22"/>
        </w:rPr>
        <w:t xml:space="preserve">  The settlor </w:t>
      </w:r>
      <w:r w:rsidR="00CB53B7">
        <w:rPr>
          <w:rFonts w:asciiTheme="minorHAnsi" w:eastAsiaTheme="minorHAnsi" w:hAnsiTheme="minorHAnsi" w:cstheme="minorBidi"/>
          <w:szCs w:val="22"/>
        </w:rPr>
        <w:t>may retain</w:t>
      </w:r>
      <w:r w:rsidRPr="008C7B79">
        <w:rPr>
          <w:rFonts w:asciiTheme="minorHAnsi" w:eastAsiaTheme="minorHAnsi" w:hAnsiTheme="minorHAnsi" w:cstheme="minorBidi"/>
          <w:szCs w:val="22"/>
        </w:rPr>
        <w:t xml:space="preserve"> a </w:t>
      </w:r>
      <w:r w:rsidRPr="00115DAE">
        <w:rPr>
          <w:rFonts w:asciiTheme="minorHAnsi" w:eastAsiaTheme="minorHAnsi" w:hAnsiTheme="minorHAnsi" w:cstheme="minorBidi"/>
          <w:i/>
          <w:szCs w:val="22"/>
        </w:rPr>
        <w:t>non-fiduciary</w:t>
      </w:r>
      <w:r w:rsidRPr="008C7B79">
        <w:rPr>
          <w:rFonts w:asciiTheme="minorHAnsi" w:eastAsiaTheme="minorHAnsi" w:hAnsiTheme="minorHAnsi" w:cstheme="minorBidi"/>
          <w:szCs w:val="22"/>
        </w:rPr>
        <w:t xml:space="preserve"> lifetime limited power of appointment, limited to ascertainable standards, to enable such acceleration of benefits</w:t>
      </w:r>
      <w:r w:rsidR="00CB53B7">
        <w:rPr>
          <w:rFonts w:asciiTheme="minorHAnsi" w:eastAsiaTheme="minorHAnsi" w:hAnsiTheme="minorHAnsi" w:cstheme="minorBidi"/>
          <w:szCs w:val="22"/>
        </w:rPr>
        <w:t xml:space="preserve">, or perhaps better, </w:t>
      </w:r>
      <w:r w:rsidR="00CB53B7">
        <w:rPr>
          <w:rFonts w:asciiTheme="minorHAnsi" w:eastAsiaTheme="minorHAnsi" w:hAnsiTheme="minorHAnsi" w:cstheme="minorBidi"/>
          <w:szCs w:val="22"/>
        </w:rPr>
        <w:lastRenderedPageBreak/>
        <w:t>retain</w:t>
      </w:r>
      <w:r w:rsidR="00F050CA">
        <w:rPr>
          <w:rFonts w:asciiTheme="minorHAnsi" w:eastAsiaTheme="minorHAnsi" w:hAnsiTheme="minorHAnsi" w:cstheme="minorBidi"/>
          <w:szCs w:val="22"/>
        </w:rPr>
        <w:t xml:space="preserve"> unlimited</w:t>
      </w:r>
      <w:r w:rsidR="00115DAE">
        <w:rPr>
          <w:rFonts w:asciiTheme="minorHAnsi" w:eastAsiaTheme="minorHAnsi" w:hAnsiTheme="minorHAnsi" w:cstheme="minorBidi"/>
          <w:szCs w:val="22"/>
        </w:rPr>
        <w:t xml:space="preserve"> powers, but exercisable only with consent of an adverse party (thus avoiding </w:t>
      </w:r>
      <w:r w:rsidR="00F050CA">
        <w:rPr>
          <w:rFonts w:asciiTheme="minorHAnsi" w:eastAsiaTheme="minorHAnsi" w:hAnsiTheme="minorHAnsi" w:cstheme="minorBidi"/>
          <w:szCs w:val="22"/>
        </w:rPr>
        <w:t xml:space="preserve">triggering </w:t>
      </w:r>
      <w:r w:rsidR="00115DAE">
        <w:rPr>
          <w:rFonts w:asciiTheme="minorHAnsi" w:eastAsiaTheme="minorHAnsi" w:hAnsiTheme="minorHAnsi" w:cstheme="minorBidi"/>
          <w:szCs w:val="22"/>
        </w:rPr>
        <w:t>§674)</w:t>
      </w:r>
      <w:r w:rsidRPr="008C7B79">
        <w:rPr>
          <w:rFonts w:asciiTheme="minorHAnsi" w:eastAsiaTheme="minorHAnsi" w:hAnsiTheme="minorHAnsi" w:cstheme="minorBidi"/>
          <w:szCs w:val="22"/>
        </w:rPr>
        <w:t xml:space="preserve">.  </w:t>
      </w:r>
      <w:r w:rsidR="00122706">
        <w:rPr>
          <w:rFonts w:asciiTheme="minorHAnsi" w:eastAsiaTheme="minorHAnsi" w:hAnsiTheme="minorHAnsi" w:cstheme="minorBidi"/>
          <w:szCs w:val="22"/>
        </w:rPr>
        <w:t>The latter would more clearly enable greater inclusion/step up.</w:t>
      </w:r>
    </w:p>
    <w:p w14:paraId="0405CE9D" w14:textId="77777777" w:rsidR="00115DAE" w:rsidRDefault="00F050CA" w:rsidP="00CB53B7">
      <w:pPr>
        <w:spacing w:line="360" w:lineRule="auto"/>
        <w:ind w:firstLine="720"/>
        <w:rPr>
          <w:rFonts w:ascii="Calibri" w:hAnsi="Calibri"/>
          <w:b/>
        </w:rPr>
      </w:pPr>
      <w:r>
        <w:rPr>
          <w:rFonts w:asciiTheme="minorHAnsi" w:eastAsiaTheme="minorHAnsi" w:hAnsiTheme="minorHAnsi" w:cstheme="minorBidi"/>
          <w:szCs w:val="22"/>
        </w:rPr>
        <w:t>Such</w:t>
      </w:r>
      <w:r w:rsidR="008C7B79" w:rsidRPr="008C7B79">
        <w:rPr>
          <w:rFonts w:asciiTheme="minorHAnsi" w:eastAsiaTheme="minorHAnsi" w:hAnsiTheme="minorHAnsi" w:cstheme="minorBidi"/>
          <w:szCs w:val="22"/>
        </w:rPr>
        <w:t xml:space="preserve"> power</w:t>
      </w:r>
      <w:r>
        <w:rPr>
          <w:rFonts w:asciiTheme="minorHAnsi" w:eastAsiaTheme="minorHAnsi" w:hAnsiTheme="minorHAnsi" w:cstheme="minorBidi"/>
          <w:szCs w:val="22"/>
        </w:rPr>
        <w:t>s do</w:t>
      </w:r>
      <w:r w:rsidR="008C7B79" w:rsidRPr="008C7B79">
        <w:rPr>
          <w:rFonts w:asciiTheme="minorHAnsi" w:eastAsiaTheme="minorHAnsi" w:hAnsiTheme="minorHAnsi" w:cstheme="minorBidi"/>
          <w:szCs w:val="22"/>
        </w:rPr>
        <w:t xml:space="preserve"> </w:t>
      </w:r>
      <w:r w:rsidR="008C7B79" w:rsidRPr="008C7B79">
        <w:rPr>
          <w:rFonts w:asciiTheme="minorHAnsi" w:eastAsiaTheme="minorHAnsi" w:hAnsiTheme="minorHAnsi" w:cstheme="minorBidi"/>
          <w:i/>
          <w:szCs w:val="22"/>
        </w:rPr>
        <w:t>not</w:t>
      </w:r>
      <w:r w:rsidR="008C7B79" w:rsidRPr="008C7B79">
        <w:rPr>
          <w:rFonts w:asciiTheme="minorHAnsi" w:eastAsiaTheme="minorHAnsi" w:hAnsiTheme="minorHAnsi" w:cstheme="minorBidi"/>
          <w:szCs w:val="22"/>
        </w:rPr>
        <w:t xml:space="preserve"> cause grantor trust status (as confirmed in all the recent DING PLRs), </w:t>
      </w:r>
      <w:r>
        <w:rPr>
          <w:rFonts w:asciiTheme="minorHAnsi" w:eastAsiaTheme="minorHAnsi" w:hAnsiTheme="minorHAnsi" w:cstheme="minorBidi"/>
          <w:szCs w:val="22"/>
        </w:rPr>
        <w:t>do</w:t>
      </w:r>
      <w:r w:rsidR="008C7B79" w:rsidRPr="008C7B79">
        <w:rPr>
          <w:rFonts w:asciiTheme="minorHAnsi" w:eastAsiaTheme="minorHAnsi" w:hAnsiTheme="minorHAnsi" w:cstheme="minorBidi"/>
          <w:szCs w:val="22"/>
        </w:rPr>
        <w:t xml:space="preserve"> not inhibit §678(a) beneficiary deemed owner status, do not prevent a completed gift from occurring, and yet its retention may still trigger a targeted inclusion under </w:t>
      </w:r>
      <w:r w:rsidR="00857CE2">
        <w:rPr>
          <w:rFonts w:asciiTheme="minorHAnsi" w:eastAsiaTheme="minorHAnsi" w:hAnsiTheme="minorHAnsi" w:cstheme="minorBidi"/>
          <w:szCs w:val="22"/>
        </w:rPr>
        <w:t>§</w:t>
      </w:r>
      <w:r w:rsidR="008C7B79" w:rsidRPr="008C7B79">
        <w:rPr>
          <w:rFonts w:asciiTheme="minorHAnsi" w:eastAsiaTheme="minorHAnsi" w:hAnsiTheme="minorHAnsi" w:cstheme="minorBidi"/>
          <w:szCs w:val="22"/>
        </w:rPr>
        <w:t>2038 to the extent it is not otherwise capped.</w:t>
      </w:r>
      <w:r w:rsidR="00122706">
        <w:rPr>
          <w:rFonts w:asciiTheme="minorHAnsi" w:eastAsiaTheme="minorHAnsi" w:hAnsiTheme="minorHAnsi" w:cstheme="minorBidi"/>
          <w:szCs w:val="22"/>
        </w:rPr>
        <w:t xml:space="preserve">  While §2038 does have an exception for powers only exercisable with adverse party consent, it is quite different from grantor trust exceptions – to get around </w:t>
      </w:r>
      <w:r w:rsidR="00857CE2">
        <w:rPr>
          <w:rFonts w:asciiTheme="minorHAnsi" w:eastAsiaTheme="minorHAnsi" w:hAnsiTheme="minorHAnsi" w:cstheme="minorBidi"/>
          <w:szCs w:val="22"/>
        </w:rPr>
        <w:t>§</w:t>
      </w:r>
      <w:r w:rsidR="00122706">
        <w:rPr>
          <w:rFonts w:asciiTheme="minorHAnsi" w:eastAsiaTheme="minorHAnsi" w:hAnsiTheme="minorHAnsi" w:cstheme="minorBidi"/>
          <w:szCs w:val="22"/>
        </w:rPr>
        <w:t>2038 inclusion requires that “</w:t>
      </w:r>
      <w:r w:rsidR="00122706" w:rsidRPr="00122706">
        <w:rPr>
          <w:rFonts w:asciiTheme="minorHAnsi" w:eastAsiaTheme="minorHAnsi" w:hAnsiTheme="minorHAnsi" w:cstheme="minorBidi"/>
          <w:szCs w:val="22"/>
        </w:rPr>
        <w:t xml:space="preserve">the decedent's power could be exercised only with the consent of </w:t>
      </w:r>
      <w:r w:rsidR="00122706" w:rsidRPr="00122706">
        <w:rPr>
          <w:rFonts w:asciiTheme="minorHAnsi" w:eastAsiaTheme="minorHAnsi" w:hAnsiTheme="minorHAnsi" w:cstheme="minorBidi"/>
          <w:b/>
          <w:szCs w:val="22"/>
        </w:rPr>
        <w:t>all parties</w:t>
      </w:r>
      <w:r w:rsidR="00122706" w:rsidRPr="00122706">
        <w:rPr>
          <w:rFonts w:asciiTheme="minorHAnsi" w:eastAsiaTheme="minorHAnsi" w:hAnsiTheme="minorHAnsi" w:cstheme="minorBidi"/>
          <w:szCs w:val="22"/>
        </w:rPr>
        <w:t xml:space="preserve"> having an interest (vested or continge</w:t>
      </w:r>
      <w:r w:rsidR="00122706">
        <w:rPr>
          <w:rFonts w:asciiTheme="minorHAnsi" w:eastAsiaTheme="minorHAnsi" w:hAnsiTheme="minorHAnsi" w:cstheme="minorBidi"/>
          <w:szCs w:val="22"/>
        </w:rPr>
        <w:t>nt) in the transferred property”.</w:t>
      </w:r>
      <w:r w:rsidR="00122706">
        <w:rPr>
          <w:rStyle w:val="FootnoteReference"/>
          <w:rFonts w:asciiTheme="minorHAnsi" w:eastAsiaTheme="minorHAnsi" w:hAnsiTheme="minorHAnsi" w:cstheme="minorBidi"/>
          <w:szCs w:val="22"/>
        </w:rPr>
        <w:footnoteReference w:id="303"/>
      </w:r>
      <w:r w:rsidR="00122706">
        <w:rPr>
          <w:rFonts w:asciiTheme="minorHAnsi" w:eastAsiaTheme="minorHAnsi" w:hAnsiTheme="minorHAnsi" w:cstheme="minorBidi"/>
          <w:szCs w:val="22"/>
        </w:rPr>
        <w:t xml:space="preserve">  Thus, a limited power requiring consent from “an” adverse party, but not “all parties having an interest, vested or contingent” can successfully thread the needle </w:t>
      </w:r>
      <w:r w:rsidR="001A6DE4">
        <w:rPr>
          <w:rFonts w:asciiTheme="minorHAnsi" w:eastAsiaTheme="minorHAnsi" w:hAnsiTheme="minorHAnsi" w:cstheme="minorBidi"/>
          <w:szCs w:val="22"/>
        </w:rPr>
        <w:t>to</w:t>
      </w:r>
      <w:r w:rsidR="00CD3331">
        <w:rPr>
          <w:rFonts w:asciiTheme="minorHAnsi" w:eastAsiaTheme="minorHAnsi" w:hAnsiTheme="minorHAnsi" w:cstheme="minorBidi"/>
          <w:szCs w:val="22"/>
        </w:rPr>
        <w:t xml:space="preserve"> cause</w:t>
      </w:r>
      <w:r w:rsidR="00122706">
        <w:rPr>
          <w:rFonts w:asciiTheme="minorHAnsi" w:eastAsiaTheme="minorHAnsi" w:hAnsiTheme="minorHAnsi" w:cstheme="minorBidi"/>
          <w:szCs w:val="22"/>
        </w:rPr>
        <w:t xml:space="preserve"> estate tax inclusion</w:t>
      </w:r>
      <w:r w:rsidR="00CD3331" w:rsidRPr="00CD3331">
        <w:rPr>
          <w:rFonts w:asciiTheme="minorHAnsi" w:eastAsiaTheme="minorHAnsi" w:hAnsiTheme="minorHAnsi" w:cstheme="minorBidi"/>
          <w:szCs w:val="22"/>
        </w:rPr>
        <w:t xml:space="preserve"> </w:t>
      </w:r>
      <w:r w:rsidR="00CD3331">
        <w:rPr>
          <w:rFonts w:asciiTheme="minorHAnsi" w:eastAsiaTheme="minorHAnsi" w:hAnsiTheme="minorHAnsi" w:cstheme="minorBidi"/>
          <w:szCs w:val="22"/>
        </w:rPr>
        <w:t>without triggering grantor trust status</w:t>
      </w:r>
      <w:r w:rsidR="00122706">
        <w:rPr>
          <w:rFonts w:asciiTheme="minorHAnsi" w:eastAsiaTheme="minorHAnsi" w:hAnsiTheme="minorHAnsi" w:cstheme="minorBidi"/>
          <w:szCs w:val="22"/>
        </w:rPr>
        <w:t>.</w:t>
      </w:r>
      <w:r w:rsidR="00115DAE">
        <w:rPr>
          <w:rFonts w:ascii="Calibri" w:hAnsi="Calibri"/>
          <w:b/>
        </w:rPr>
        <w:br w:type="page"/>
      </w:r>
    </w:p>
    <w:p w14:paraId="7AA738F9" w14:textId="77777777" w:rsidR="00943B23" w:rsidRDefault="00935EAB" w:rsidP="00872291">
      <w:pPr>
        <w:tabs>
          <w:tab w:val="left" w:pos="540"/>
        </w:tabs>
        <w:autoSpaceDE w:val="0"/>
        <w:autoSpaceDN w:val="0"/>
        <w:adjustRightInd w:val="0"/>
        <w:spacing w:line="360" w:lineRule="auto"/>
        <w:rPr>
          <w:rFonts w:ascii="Calibri" w:hAnsi="Calibri"/>
          <w:b/>
        </w:rPr>
      </w:pPr>
      <w:r>
        <w:rPr>
          <w:rFonts w:ascii="Calibri" w:hAnsi="Calibri"/>
          <w:b/>
        </w:rPr>
        <w:lastRenderedPageBreak/>
        <w:t>VI</w:t>
      </w:r>
      <w:r w:rsidR="00D63814">
        <w:rPr>
          <w:rFonts w:ascii="Calibri" w:hAnsi="Calibri"/>
          <w:b/>
        </w:rPr>
        <w:t xml:space="preserve">. </w:t>
      </w:r>
      <w:r w:rsidR="00D63814">
        <w:rPr>
          <w:rFonts w:ascii="Calibri" w:hAnsi="Calibri"/>
          <w:b/>
        </w:rPr>
        <w:tab/>
      </w:r>
      <w:r w:rsidR="00491FB5">
        <w:rPr>
          <w:rFonts w:ascii="Calibri" w:hAnsi="Calibri"/>
          <w:b/>
        </w:rPr>
        <w:t>Increased Asset Protection Opportunities Mimicking DAPTs Due to Larger Exclusion</w:t>
      </w:r>
    </w:p>
    <w:p w14:paraId="7C419B9E" w14:textId="77777777" w:rsidR="00491FB5" w:rsidRPr="00943B23" w:rsidRDefault="00943B23" w:rsidP="00180FD1">
      <w:pPr>
        <w:pStyle w:val="ListParagraph"/>
        <w:numPr>
          <w:ilvl w:val="0"/>
          <w:numId w:val="22"/>
        </w:numPr>
        <w:tabs>
          <w:tab w:val="left" w:pos="720"/>
        </w:tabs>
        <w:autoSpaceDE w:val="0"/>
        <w:autoSpaceDN w:val="0"/>
        <w:adjustRightInd w:val="0"/>
        <w:spacing w:line="360" w:lineRule="auto"/>
        <w:ind w:left="720" w:hanging="660"/>
        <w:rPr>
          <w:rFonts w:ascii="Calibri" w:hAnsi="Calibri"/>
          <w:b/>
          <w:i/>
        </w:rPr>
      </w:pPr>
      <w:r w:rsidRPr="00943B23">
        <w:rPr>
          <w:rFonts w:ascii="Calibri" w:hAnsi="Calibri"/>
          <w:b/>
          <w:i/>
        </w:rPr>
        <w:t>T</w:t>
      </w:r>
      <w:r w:rsidR="00491FB5" w:rsidRPr="00943B23">
        <w:rPr>
          <w:rFonts w:ascii="Calibri" w:hAnsi="Calibri"/>
          <w:b/>
          <w:i/>
        </w:rPr>
        <w:t>he “poor man’s DAPT”?</w:t>
      </w:r>
      <w:r w:rsidR="00C16B52" w:rsidRPr="00943B23">
        <w:rPr>
          <w:rFonts w:ascii="Calibri" w:hAnsi="Calibri"/>
          <w:b/>
          <w:i/>
        </w:rPr>
        <w:t xml:space="preserve"> – Using SLATs, </w:t>
      </w:r>
      <w:r w:rsidR="00682089">
        <w:rPr>
          <w:rFonts w:ascii="Calibri" w:hAnsi="Calibri"/>
          <w:b/>
          <w:i/>
        </w:rPr>
        <w:t>“</w:t>
      </w:r>
      <w:r w:rsidR="008B69A2" w:rsidRPr="00943B23">
        <w:rPr>
          <w:rFonts w:ascii="Calibri" w:hAnsi="Calibri"/>
          <w:b/>
          <w:i/>
        </w:rPr>
        <w:t>Power Trusts</w:t>
      </w:r>
      <w:r w:rsidR="00682089">
        <w:rPr>
          <w:rFonts w:ascii="Calibri" w:hAnsi="Calibri"/>
          <w:b/>
          <w:i/>
        </w:rPr>
        <w:t xml:space="preserve">” and </w:t>
      </w:r>
      <w:r w:rsidR="00C16B52" w:rsidRPr="00943B23">
        <w:rPr>
          <w:rFonts w:ascii="Calibri" w:hAnsi="Calibri"/>
          <w:b/>
          <w:i/>
        </w:rPr>
        <w:t>ILITs w/OBIT clauses</w:t>
      </w:r>
    </w:p>
    <w:p w14:paraId="7BFC03A4" w14:textId="77777777" w:rsidR="00B066D9" w:rsidRDefault="007019F4" w:rsidP="002E116F">
      <w:pPr>
        <w:autoSpaceDE w:val="0"/>
        <w:autoSpaceDN w:val="0"/>
        <w:adjustRightInd w:val="0"/>
        <w:spacing w:line="360" w:lineRule="auto"/>
        <w:ind w:firstLine="720"/>
        <w:jc w:val="both"/>
        <w:rPr>
          <w:rFonts w:ascii="Calibri" w:hAnsi="Calibri"/>
        </w:rPr>
      </w:pPr>
      <w:r>
        <w:rPr>
          <w:rFonts w:ascii="Calibri" w:hAnsi="Calibri"/>
        </w:rPr>
        <w:t xml:space="preserve">In addition to </w:t>
      </w:r>
      <w:r w:rsidR="002678DD">
        <w:rPr>
          <w:rFonts w:ascii="Calibri" w:hAnsi="Calibri"/>
        </w:rPr>
        <w:t xml:space="preserve">the increased gift tax exclusion expanding the </w:t>
      </w:r>
      <w:r>
        <w:rPr>
          <w:rFonts w:ascii="Calibri" w:hAnsi="Calibri"/>
        </w:rPr>
        <w:t xml:space="preserve">income tax opportunities, </w:t>
      </w:r>
      <w:r w:rsidR="002678DD">
        <w:rPr>
          <w:rFonts w:ascii="Calibri" w:hAnsi="Calibri"/>
        </w:rPr>
        <w:t>the increase exemptions afforded by ATRA and now the TJCA also offer</w:t>
      </w:r>
      <w:r w:rsidR="00491FB5">
        <w:rPr>
          <w:rFonts w:ascii="Calibri" w:hAnsi="Calibri"/>
        </w:rPr>
        <w:t xml:space="preserve"> up greater asset protection planning opportunities.  Consider this variant </w:t>
      </w:r>
      <w:r w:rsidR="00C16B52">
        <w:rPr>
          <w:rFonts w:ascii="Calibri" w:hAnsi="Calibri"/>
        </w:rPr>
        <w:t xml:space="preserve">of a DAPT </w:t>
      </w:r>
      <w:r w:rsidR="00491FB5">
        <w:rPr>
          <w:rFonts w:ascii="Calibri" w:hAnsi="Calibri"/>
        </w:rPr>
        <w:t>for smaller estates: Husband sets up an irrevocable trust (a</w:t>
      </w:r>
      <w:r w:rsidR="001B5DC1">
        <w:rPr>
          <w:rFonts w:ascii="Calibri" w:hAnsi="Calibri"/>
        </w:rPr>
        <w:t>.</w:t>
      </w:r>
      <w:r w:rsidR="00491FB5">
        <w:rPr>
          <w:rFonts w:ascii="Calibri" w:hAnsi="Calibri"/>
        </w:rPr>
        <w:t>k</w:t>
      </w:r>
      <w:r w:rsidR="001B5DC1">
        <w:rPr>
          <w:rFonts w:ascii="Calibri" w:hAnsi="Calibri"/>
        </w:rPr>
        <w:t>.</w:t>
      </w:r>
      <w:r w:rsidR="00491FB5">
        <w:rPr>
          <w:rFonts w:ascii="Calibri" w:hAnsi="Calibri"/>
        </w:rPr>
        <w:t>a</w:t>
      </w:r>
      <w:r w:rsidR="001B5DC1">
        <w:rPr>
          <w:rFonts w:ascii="Calibri" w:hAnsi="Calibri"/>
        </w:rPr>
        <w:t>.</w:t>
      </w:r>
      <w:r w:rsidR="00491FB5">
        <w:rPr>
          <w:rFonts w:ascii="Calibri" w:hAnsi="Calibri"/>
        </w:rPr>
        <w:t xml:space="preserve"> SLAT</w:t>
      </w:r>
      <w:r w:rsidR="00F0101C">
        <w:rPr>
          <w:rFonts w:ascii="Calibri" w:hAnsi="Calibri"/>
        </w:rPr>
        <w:t xml:space="preserve"> – spousal lifetime access trust</w:t>
      </w:r>
      <w:r w:rsidR="00491FB5">
        <w:rPr>
          <w:rFonts w:ascii="Calibri" w:hAnsi="Calibri"/>
        </w:rPr>
        <w:t>) for Wife (</w:t>
      </w:r>
      <w:r w:rsidR="00943ED4">
        <w:rPr>
          <w:rFonts w:ascii="Calibri" w:hAnsi="Calibri"/>
        </w:rPr>
        <w:t xml:space="preserve">which may be </w:t>
      </w:r>
      <w:r w:rsidR="00491FB5">
        <w:rPr>
          <w:rFonts w:ascii="Calibri" w:hAnsi="Calibri"/>
        </w:rPr>
        <w:t>defined as whomever he is married to at the time, since we do not need to qualify for the marital deduction as an intervivos QTIP or GPOA</w:t>
      </w:r>
      <w:r w:rsidR="00F0101C">
        <w:rPr>
          <w:rFonts w:ascii="Calibri" w:hAnsi="Calibri"/>
        </w:rPr>
        <w:t xml:space="preserve"> marital trust</w:t>
      </w:r>
      <w:r w:rsidR="00C16B52">
        <w:rPr>
          <w:rFonts w:ascii="Calibri" w:hAnsi="Calibri"/>
        </w:rPr>
        <w:t>, aka “floating spouse”</w:t>
      </w:r>
      <w:r w:rsidR="00491FB5">
        <w:rPr>
          <w:rFonts w:ascii="Calibri" w:hAnsi="Calibri"/>
        </w:rPr>
        <w:t xml:space="preserve">).  Wife has a </w:t>
      </w:r>
      <w:r w:rsidR="00F0101C">
        <w:rPr>
          <w:rFonts w:ascii="Calibri" w:hAnsi="Calibri"/>
        </w:rPr>
        <w:t xml:space="preserve">formula </w:t>
      </w:r>
      <w:r w:rsidR="00491FB5">
        <w:rPr>
          <w:rFonts w:ascii="Calibri" w:hAnsi="Calibri"/>
        </w:rPr>
        <w:t>testamentary GPOA</w:t>
      </w:r>
      <w:r w:rsidR="001B5DC1">
        <w:rPr>
          <w:rFonts w:ascii="Calibri" w:hAnsi="Calibri"/>
        </w:rPr>
        <w:t>/LPOA</w:t>
      </w:r>
      <w:r w:rsidR="00491FB5">
        <w:rPr>
          <w:rFonts w:ascii="Calibri" w:hAnsi="Calibri"/>
        </w:rPr>
        <w:t xml:space="preserve">, circumscribed as discussed above.  Wife and children have a </w:t>
      </w:r>
      <w:r w:rsidR="00491FB5" w:rsidRPr="00401024">
        <w:rPr>
          <w:rFonts w:ascii="Calibri" w:hAnsi="Calibri"/>
          <w:i/>
        </w:rPr>
        <w:t>lifetime</w:t>
      </w:r>
      <w:r w:rsidR="00491FB5">
        <w:rPr>
          <w:rFonts w:ascii="Calibri" w:hAnsi="Calibri"/>
        </w:rPr>
        <w:t xml:space="preserve"> limited power of appointment to appoint to Husband/Father.  Merely being a permissive appointee of a limited power of appointment should not threaten asset protection, even if the donor of the power is a permissive appointee.</w:t>
      </w:r>
      <w:r w:rsidR="00411031">
        <w:rPr>
          <w:rStyle w:val="FootnoteReference"/>
          <w:rFonts w:ascii="Calibri" w:hAnsi="Calibri"/>
        </w:rPr>
        <w:footnoteReference w:id="304"/>
      </w:r>
      <w:r w:rsidR="00491FB5">
        <w:rPr>
          <w:rFonts w:ascii="Calibri" w:hAnsi="Calibri"/>
        </w:rPr>
        <w:t xml:space="preserve"> If wife dies first, and the GPOA is exercised successfully in favor of </w:t>
      </w:r>
      <w:r>
        <w:rPr>
          <w:rFonts w:ascii="Calibri" w:hAnsi="Calibri"/>
        </w:rPr>
        <w:t xml:space="preserve">a trust for the </w:t>
      </w:r>
      <w:r w:rsidR="00491FB5">
        <w:rPr>
          <w:rFonts w:ascii="Calibri" w:hAnsi="Calibri"/>
        </w:rPr>
        <w:t xml:space="preserve">husband, husband </w:t>
      </w:r>
      <w:r>
        <w:rPr>
          <w:rFonts w:ascii="Calibri" w:hAnsi="Calibri"/>
        </w:rPr>
        <w:t>is now the</w:t>
      </w:r>
      <w:r w:rsidR="00491FB5">
        <w:rPr>
          <w:rFonts w:ascii="Calibri" w:hAnsi="Calibri"/>
        </w:rPr>
        <w:t xml:space="preserve"> beneficiary of the trust</w:t>
      </w:r>
      <w:r>
        <w:rPr>
          <w:rFonts w:ascii="Calibri" w:hAnsi="Calibri"/>
        </w:rPr>
        <w:t xml:space="preserve">, but it is </w:t>
      </w:r>
      <w:r w:rsidRPr="000F2964">
        <w:rPr>
          <w:rFonts w:ascii="Calibri" w:hAnsi="Calibri"/>
          <w:b/>
          <w:i/>
        </w:rPr>
        <w:t>not</w:t>
      </w:r>
      <w:r>
        <w:rPr>
          <w:rFonts w:ascii="Calibri" w:hAnsi="Calibri"/>
        </w:rPr>
        <w:t xml:space="preserve"> “self-settled”, since the wife is the settlor</w:t>
      </w:r>
      <w:r w:rsidR="00491FB5">
        <w:rPr>
          <w:rFonts w:ascii="Calibri" w:hAnsi="Calibri"/>
        </w:rPr>
        <w:t>.</w:t>
      </w:r>
      <w:r w:rsidR="003B1E9B">
        <w:rPr>
          <w:rStyle w:val="FootnoteReference"/>
          <w:rFonts w:ascii="Calibri" w:hAnsi="Calibri"/>
        </w:rPr>
        <w:footnoteReference w:id="305"/>
      </w:r>
      <w:r w:rsidR="00491FB5">
        <w:rPr>
          <w:rFonts w:ascii="Calibri" w:hAnsi="Calibri"/>
        </w:rPr>
        <w:t xml:space="preserve">  </w:t>
      </w:r>
    </w:p>
    <w:p w14:paraId="2EAE376E" w14:textId="77777777" w:rsidR="0079034D" w:rsidRDefault="00491FB5" w:rsidP="002E116F">
      <w:pPr>
        <w:autoSpaceDE w:val="0"/>
        <w:autoSpaceDN w:val="0"/>
        <w:adjustRightInd w:val="0"/>
        <w:spacing w:line="360" w:lineRule="auto"/>
        <w:ind w:firstLine="720"/>
        <w:jc w:val="both"/>
        <w:rPr>
          <w:rFonts w:ascii="Calibri" w:hAnsi="Calibri"/>
        </w:rPr>
      </w:pPr>
      <w:r>
        <w:rPr>
          <w:rFonts w:ascii="Calibri" w:hAnsi="Calibri"/>
        </w:rPr>
        <w:t xml:space="preserve">Unlike intervivos QTIPs or exercises </w:t>
      </w:r>
      <w:r w:rsidR="00C16B52">
        <w:rPr>
          <w:rFonts w:ascii="Calibri" w:hAnsi="Calibri"/>
        </w:rPr>
        <w:t xml:space="preserve">of limited powers of appointment </w:t>
      </w:r>
      <w:r>
        <w:rPr>
          <w:rFonts w:ascii="Calibri" w:hAnsi="Calibri"/>
        </w:rPr>
        <w:t>that “relate back”</w:t>
      </w:r>
      <w:r w:rsidR="00C16B52">
        <w:rPr>
          <w:rFonts w:ascii="Calibri" w:hAnsi="Calibri"/>
        </w:rPr>
        <w:t xml:space="preserve"> to the original donor of the power</w:t>
      </w:r>
      <w:r>
        <w:rPr>
          <w:rFonts w:ascii="Calibri" w:hAnsi="Calibri"/>
        </w:rPr>
        <w:t xml:space="preserve">, the settlor changes at Wife’s death pursuant to a GPOA (though with a lapse of the GPOA, </w:t>
      </w:r>
      <w:r w:rsidR="007019F4">
        <w:rPr>
          <w:rFonts w:ascii="Calibri" w:hAnsi="Calibri"/>
        </w:rPr>
        <w:t xml:space="preserve">the issue is murkier and </w:t>
      </w:r>
      <w:r>
        <w:rPr>
          <w:rFonts w:ascii="Calibri" w:hAnsi="Calibri"/>
        </w:rPr>
        <w:t>it may only change as to 95%).</w:t>
      </w:r>
      <w:r>
        <w:rPr>
          <w:rStyle w:val="FootnoteReference"/>
          <w:rFonts w:ascii="Calibri" w:hAnsi="Calibri"/>
        </w:rPr>
        <w:footnoteReference w:id="306"/>
      </w:r>
      <w:r>
        <w:rPr>
          <w:rFonts w:ascii="Calibri" w:hAnsi="Calibri"/>
        </w:rPr>
        <w:t xml:space="preserve">  This means that the trust is </w:t>
      </w:r>
      <w:r w:rsidRPr="00AB6EEC">
        <w:rPr>
          <w:rFonts w:ascii="Calibri" w:hAnsi="Calibri"/>
          <w:b/>
        </w:rPr>
        <w:t>not</w:t>
      </w:r>
      <w:r>
        <w:rPr>
          <w:rFonts w:ascii="Calibri" w:hAnsi="Calibri"/>
        </w:rPr>
        <w:t xml:space="preserve"> self-settled if Husband </w:t>
      </w:r>
      <w:r w:rsidR="00AB6EEC">
        <w:rPr>
          <w:rFonts w:ascii="Calibri" w:hAnsi="Calibri"/>
        </w:rPr>
        <w:t xml:space="preserve">later </w:t>
      </w:r>
      <w:r>
        <w:rPr>
          <w:rFonts w:ascii="Calibri" w:hAnsi="Calibri"/>
        </w:rPr>
        <w:t>becomes beneficiary</w:t>
      </w:r>
      <w:r w:rsidR="00B066D9">
        <w:rPr>
          <w:rFonts w:ascii="Calibri" w:hAnsi="Calibri"/>
        </w:rPr>
        <w:t xml:space="preserve"> in a trust established by his Wife under the SLAT’s GPOA</w:t>
      </w:r>
      <w:r>
        <w:rPr>
          <w:rFonts w:ascii="Calibri" w:hAnsi="Calibri"/>
        </w:rPr>
        <w:t>.</w:t>
      </w:r>
      <w:r w:rsidR="00872291">
        <w:rPr>
          <w:rFonts w:ascii="Calibri" w:hAnsi="Calibri"/>
        </w:rPr>
        <w:t xml:space="preserve">  This eliminates the main concern that </w:t>
      </w:r>
      <w:r w:rsidR="00872291">
        <w:rPr>
          <w:rFonts w:ascii="Calibri" w:hAnsi="Calibri"/>
        </w:rPr>
        <w:lastRenderedPageBreak/>
        <w:t xml:space="preserve">people have with “SLAT” planning </w:t>
      </w:r>
      <w:r w:rsidR="004D31C2">
        <w:rPr>
          <w:rFonts w:ascii="Calibri" w:hAnsi="Calibri"/>
        </w:rPr>
        <w:t xml:space="preserve">without a DAPT </w:t>
      </w:r>
      <w:r w:rsidR="00872291">
        <w:rPr>
          <w:rFonts w:ascii="Calibri" w:hAnsi="Calibri"/>
        </w:rPr>
        <w:t xml:space="preserve">– the lack of access by a </w:t>
      </w:r>
      <w:r w:rsidR="002678DD">
        <w:rPr>
          <w:rFonts w:ascii="Calibri" w:hAnsi="Calibri"/>
        </w:rPr>
        <w:t>settlor/</w:t>
      </w:r>
      <w:r w:rsidR="00872291">
        <w:rPr>
          <w:rFonts w:ascii="Calibri" w:hAnsi="Calibri"/>
        </w:rPr>
        <w:t xml:space="preserve">surviving spouse.  </w:t>
      </w:r>
    </w:p>
    <w:p w14:paraId="1D4BA05B" w14:textId="77777777" w:rsidR="00491FB5" w:rsidRDefault="00872291" w:rsidP="002E116F">
      <w:pPr>
        <w:autoSpaceDE w:val="0"/>
        <w:autoSpaceDN w:val="0"/>
        <w:adjustRightInd w:val="0"/>
        <w:spacing w:line="360" w:lineRule="auto"/>
        <w:ind w:firstLine="720"/>
        <w:jc w:val="both"/>
        <w:rPr>
          <w:rFonts w:ascii="Calibri" w:hAnsi="Calibri"/>
        </w:rPr>
      </w:pPr>
      <w:r>
        <w:rPr>
          <w:rFonts w:ascii="Calibri" w:hAnsi="Calibri"/>
        </w:rPr>
        <w:t>For inter-vivos SLAT</w:t>
      </w:r>
      <w:r w:rsidR="00C16B52">
        <w:rPr>
          <w:rFonts w:ascii="Calibri" w:hAnsi="Calibri"/>
        </w:rPr>
        <w:t xml:space="preserve"> (bypass) trust</w:t>
      </w:r>
      <w:r>
        <w:rPr>
          <w:rFonts w:ascii="Calibri" w:hAnsi="Calibri"/>
        </w:rPr>
        <w:t xml:space="preserve"> planning, remember the one-year rule in IRC §1014(e) discussed in Section V of this paper.</w:t>
      </w:r>
      <w:r w:rsidR="0079034D">
        <w:rPr>
          <w:rFonts w:ascii="Calibri" w:hAnsi="Calibri"/>
        </w:rPr>
        <w:t xml:space="preserve">  As discussed in the above section, this can </w:t>
      </w:r>
      <w:r w:rsidR="000F2964">
        <w:rPr>
          <w:rFonts w:ascii="Calibri" w:hAnsi="Calibri"/>
        </w:rPr>
        <w:t xml:space="preserve">be </w:t>
      </w:r>
      <w:r w:rsidR="0079034D">
        <w:rPr>
          <w:rFonts w:ascii="Calibri" w:hAnsi="Calibri"/>
        </w:rPr>
        <w:t>avoide</w:t>
      </w:r>
      <w:r w:rsidR="00B066D9">
        <w:rPr>
          <w:rFonts w:ascii="Calibri" w:hAnsi="Calibri"/>
        </w:rPr>
        <w:t>d by structuring the appointive trust</w:t>
      </w:r>
      <w:r w:rsidR="0079034D">
        <w:rPr>
          <w:rFonts w:ascii="Calibri" w:hAnsi="Calibri"/>
        </w:rPr>
        <w:t xml:space="preserve"> differently if the donee/beneficiary spouse dies withi</w:t>
      </w:r>
      <w:r w:rsidR="00B066D9">
        <w:rPr>
          <w:rFonts w:ascii="Calibri" w:hAnsi="Calibri"/>
        </w:rPr>
        <w:t>n one year of the trust funding, but these entirely avoid the 1014(e) debate if one year passes.</w:t>
      </w:r>
      <w:r w:rsidR="00C16B52">
        <w:rPr>
          <w:rFonts w:ascii="Calibri" w:hAnsi="Calibri"/>
        </w:rPr>
        <w:t xml:space="preserve">  Realize – this comes at a cost of double use of gift tax exclusion, unless a </w:t>
      </w:r>
      <w:r w:rsidR="00C16B52" w:rsidRPr="00850162">
        <w:rPr>
          <w:rFonts w:ascii="Calibri" w:hAnsi="Calibri"/>
          <w:i/>
        </w:rPr>
        <w:t>Crummey/Cristofani</w:t>
      </w:r>
      <w:r w:rsidR="00C16B52">
        <w:rPr>
          <w:rFonts w:ascii="Calibri" w:hAnsi="Calibri"/>
        </w:rPr>
        <w:t xml:space="preserve"> type structure is used, as discussed in the above section, but even with that caveat, most couples have plenty of Applicable Exclusion Amount to soak up double use of exclusion</w:t>
      </w:r>
      <w:r w:rsidR="00454966">
        <w:rPr>
          <w:rFonts w:ascii="Calibri" w:hAnsi="Calibri"/>
        </w:rPr>
        <w:t xml:space="preserve"> for their highly appreciated assets – remember, ¾ of a couple’s assets are very often cash, short term bonds, IRAs, annuities, qualified plans and their home</w:t>
      </w:r>
      <w:r w:rsidR="00C16B52">
        <w:rPr>
          <w:rFonts w:ascii="Calibri" w:hAnsi="Calibri"/>
        </w:rPr>
        <w:t>.</w:t>
      </w:r>
    </w:p>
    <w:p w14:paraId="79537C3A" w14:textId="77777777" w:rsidR="001F7ED9" w:rsidRDefault="001F7ED9" w:rsidP="002E116F">
      <w:pPr>
        <w:autoSpaceDE w:val="0"/>
        <w:autoSpaceDN w:val="0"/>
        <w:adjustRightInd w:val="0"/>
        <w:spacing w:line="360" w:lineRule="auto"/>
        <w:ind w:firstLine="720"/>
        <w:jc w:val="both"/>
        <w:rPr>
          <w:rFonts w:ascii="Calibri" w:hAnsi="Calibri"/>
        </w:rPr>
      </w:pPr>
      <w:r>
        <w:rPr>
          <w:rFonts w:ascii="Calibri" w:hAnsi="Calibri"/>
        </w:rPr>
        <w:t xml:space="preserve">Of course, </w:t>
      </w:r>
      <w:r w:rsidR="0079034D">
        <w:rPr>
          <w:rFonts w:ascii="Calibri" w:hAnsi="Calibri"/>
        </w:rPr>
        <w:t>the power of appointment in the SLAT</w:t>
      </w:r>
      <w:r w:rsidR="007019F4">
        <w:rPr>
          <w:rFonts w:ascii="Calibri" w:hAnsi="Calibri"/>
        </w:rPr>
        <w:t xml:space="preserve"> can be structured as a formula GPOA</w:t>
      </w:r>
      <w:r w:rsidR="00872291">
        <w:rPr>
          <w:rFonts w:ascii="Calibri" w:hAnsi="Calibri"/>
        </w:rPr>
        <w:t>/LPOA</w:t>
      </w:r>
      <w:r w:rsidR="007019F4">
        <w:rPr>
          <w:rFonts w:ascii="Calibri" w:hAnsi="Calibri"/>
        </w:rPr>
        <w:t xml:space="preserve"> </w:t>
      </w:r>
      <w:r w:rsidR="00B066D9">
        <w:rPr>
          <w:rFonts w:ascii="Calibri" w:hAnsi="Calibri"/>
        </w:rPr>
        <w:t xml:space="preserve">as discussed in Section III of this paper, </w:t>
      </w:r>
      <w:r w:rsidR="007019F4">
        <w:rPr>
          <w:rFonts w:ascii="Calibri" w:hAnsi="Calibri"/>
        </w:rPr>
        <w:t xml:space="preserve">so as not to inadvertently cause any step </w:t>
      </w:r>
      <w:r w:rsidR="007019F4" w:rsidRPr="007019F4">
        <w:rPr>
          <w:rFonts w:ascii="Calibri" w:hAnsi="Calibri"/>
          <w:b/>
        </w:rPr>
        <w:t>down</w:t>
      </w:r>
      <w:r w:rsidR="007019F4">
        <w:rPr>
          <w:rFonts w:ascii="Calibri" w:hAnsi="Calibri"/>
        </w:rPr>
        <w:t xml:space="preserve"> in basis, but this </w:t>
      </w:r>
      <w:r w:rsidR="001218A1">
        <w:rPr>
          <w:rFonts w:ascii="Calibri" w:hAnsi="Calibri"/>
        </w:rPr>
        <w:t xml:space="preserve">use </w:t>
      </w:r>
      <w:r w:rsidR="007019F4">
        <w:rPr>
          <w:rFonts w:ascii="Calibri" w:hAnsi="Calibri"/>
        </w:rPr>
        <w:t xml:space="preserve">may mean giving up </w:t>
      </w:r>
      <w:r w:rsidR="001218A1">
        <w:rPr>
          <w:rFonts w:ascii="Calibri" w:hAnsi="Calibri"/>
        </w:rPr>
        <w:t xml:space="preserve">some </w:t>
      </w:r>
      <w:r w:rsidR="007019F4">
        <w:rPr>
          <w:rFonts w:ascii="Calibri" w:hAnsi="Calibri"/>
        </w:rPr>
        <w:t xml:space="preserve">asset protection </w:t>
      </w:r>
      <w:r w:rsidR="001218A1">
        <w:rPr>
          <w:rFonts w:ascii="Calibri" w:hAnsi="Calibri"/>
        </w:rPr>
        <w:t xml:space="preserve">as to </w:t>
      </w:r>
      <w:r w:rsidR="00C16B52">
        <w:rPr>
          <w:rFonts w:ascii="Calibri" w:hAnsi="Calibri"/>
        </w:rPr>
        <w:t xml:space="preserve">the </w:t>
      </w:r>
      <w:r w:rsidR="009B14AF">
        <w:rPr>
          <w:rFonts w:ascii="Calibri" w:hAnsi="Calibri"/>
        </w:rPr>
        <w:t xml:space="preserve">LPOA </w:t>
      </w:r>
      <w:r w:rsidR="001218A1">
        <w:rPr>
          <w:rFonts w:ascii="Calibri" w:hAnsi="Calibri"/>
        </w:rPr>
        <w:t xml:space="preserve">appointive assets </w:t>
      </w:r>
      <w:r w:rsidR="007019F4">
        <w:rPr>
          <w:rFonts w:ascii="Calibri" w:hAnsi="Calibri"/>
        </w:rPr>
        <w:t xml:space="preserve">or </w:t>
      </w:r>
      <w:r w:rsidR="0079034D">
        <w:rPr>
          <w:rFonts w:ascii="Calibri" w:hAnsi="Calibri"/>
        </w:rPr>
        <w:t>forcing the use of</w:t>
      </w:r>
      <w:r w:rsidR="007019F4">
        <w:rPr>
          <w:rFonts w:ascii="Calibri" w:hAnsi="Calibri"/>
        </w:rPr>
        <w:t xml:space="preserve"> a domestic </w:t>
      </w:r>
      <w:r w:rsidR="00850162">
        <w:rPr>
          <w:rFonts w:ascii="Calibri" w:hAnsi="Calibri"/>
        </w:rPr>
        <w:t xml:space="preserve">self-settled </w:t>
      </w:r>
      <w:r w:rsidR="007019F4">
        <w:rPr>
          <w:rFonts w:ascii="Calibri" w:hAnsi="Calibri"/>
        </w:rPr>
        <w:t>asset protection trust statute such as the Ohio Legacy Trust Act</w:t>
      </w:r>
      <w:r w:rsidR="0079034D">
        <w:rPr>
          <w:rFonts w:ascii="Calibri" w:hAnsi="Calibri"/>
        </w:rPr>
        <w:t>.</w:t>
      </w:r>
      <w:r w:rsidR="00850162">
        <w:rPr>
          <w:rStyle w:val="FootnoteReference"/>
          <w:rFonts w:ascii="Calibri" w:hAnsi="Calibri"/>
        </w:rPr>
        <w:footnoteReference w:id="307"/>
      </w:r>
      <w:r w:rsidR="0079034D">
        <w:rPr>
          <w:rFonts w:ascii="Calibri" w:hAnsi="Calibri"/>
        </w:rPr>
        <w:t xml:space="preserve">  This is because</w:t>
      </w:r>
      <w:r w:rsidR="007019F4">
        <w:rPr>
          <w:rFonts w:ascii="Calibri" w:hAnsi="Calibri"/>
        </w:rPr>
        <w:t xml:space="preserve">, if W uses a </w:t>
      </w:r>
      <w:r w:rsidR="00C16B52">
        <w:rPr>
          <w:rFonts w:ascii="Calibri" w:hAnsi="Calibri"/>
        </w:rPr>
        <w:t xml:space="preserve">testamentary </w:t>
      </w:r>
      <w:r w:rsidR="007019F4" w:rsidRPr="00872291">
        <w:rPr>
          <w:rFonts w:ascii="Calibri" w:hAnsi="Calibri"/>
          <w:b/>
        </w:rPr>
        <w:t>LPOA</w:t>
      </w:r>
      <w:r w:rsidR="007019F4">
        <w:rPr>
          <w:rFonts w:ascii="Calibri" w:hAnsi="Calibri"/>
        </w:rPr>
        <w:t xml:space="preserve"> to appoint back to </w:t>
      </w:r>
      <w:r w:rsidR="00872291">
        <w:rPr>
          <w:rFonts w:ascii="Calibri" w:hAnsi="Calibri"/>
        </w:rPr>
        <w:t xml:space="preserve">a trust for </w:t>
      </w:r>
      <w:r w:rsidR="007019F4">
        <w:rPr>
          <w:rFonts w:ascii="Calibri" w:hAnsi="Calibri"/>
        </w:rPr>
        <w:t xml:space="preserve">H, it would </w:t>
      </w:r>
      <w:r w:rsidR="000F2964">
        <w:rPr>
          <w:rFonts w:ascii="Calibri" w:hAnsi="Calibri"/>
        </w:rPr>
        <w:t xml:space="preserve">probably </w:t>
      </w:r>
      <w:r w:rsidR="007019F4" w:rsidRPr="00C16B52">
        <w:rPr>
          <w:rFonts w:ascii="Calibri" w:hAnsi="Calibri"/>
          <w:b/>
        </w:rPr>
        <w:t>not</w:t>
      </w:r>
      <w:r w:rsidR="007019F4">
        <w:rPr>
          <w:rFonts w:ascii="Calibri" w:hAnsi="Calibri"/>
        </w:rPr>
        <w:t xml:space="preserve"> change the settlor for asset protection purposes</w:t>
      </w:r>
      <w:r w:rsidR="0079034D">
        <w:rPr>
          <w:rFonts w:ascii="Calibri" w:hAnsi="Calibri"/>
        </w:rPr>
        <w:t xml:space="preserve"> (the “relation back” doctrine applies)</w:t>
      </w:r>
      <w:r w:rsidR="007019F4">
        <w:rPr>
          <w:rFonts w:ascii="Calibri" w:hAnsi="Calibri"/>
        </w:rPr>
        <w:t>.</w:t>
      </w:r>
      <w:r w:rsidR="0079034D">
        <w:rPr>
          <w:rStyle w:val="FootnoteReference"/>
          <w:rFonts w:ascii="Calibri" w:hAnsi="Calibri"/>
        </w:rPr>
        <w:footnoteReference w:id="308"/>
      </w:r>
    </w:p>
    <w:p w14:paraId="0302236E" w14:textId="77777777" w:rsidR="00FE3A8B" w:rsidRDefault="00491FB5" w:rsidP="00846431">
      <w:pPr>
        <w:autoSpaceDE w:val="0"/>
        <w:autoSpaceDN w:val="0"/>
        <w:adjustRightInd w:val="0"/>
        <w:spacing w:line="360" w:lineRule="auto"/>
        <w:ind w:firstLine="720"/>
        <w:jc w:val="both"/>
        <w:rPr>
          <w:rFonts w:ascii="Calibri" w:hAnsi="Calibri"/>
        </w:rPr>
      </w:pPr>
      <w:r>
        <w:rPr>
          <w:rFonts w:ascii="Calibri" w:hAnsi="Calibri"/>
        </w:rPr>
        <w:t xml:space="preserve">In some states, you can </w:t>
      </w:r>
      <w:r w:rsidR="001218A1">
        <w:rPr>
          <w:rFonts w:ascii="Calibri" w:hAnsi="Calibri"/>
        </w:rPr>
        <w:t xml:space="preserve">accomplish the same </w:t>
      </w:r>
      <w:r w:rsidR="001218A1" w:rsidRPr="001218A1">
        <w:rPr>
          <w:rFonts w:ascii="Calibri" w:hAnsi="Calibri"/>
          <w:i/>
        </w:rPr>
        <w:t>asset protection</w:t>
      </w:r>
      <w:r w:rsidR="001218A1">
        <w:rPr>
          <w:rFonts w:ascii="Calibri" w:hAnsi="Calibri"/>
        </w:rPr>
        <w:t xml:space="preserve"> result</w:t>
      </w:r>
      <w:r>
        <w:rPr>
          <w:rFonts w:ascii="Calibri" w:hAnsi="Calibri"/>
        </w:rPr>
        <w:t xml:space="preserve"> with an intervivos QTIP, so that less gift/estate tax exclusion is used</w:t>
      </w:r>
      <w:r w:rsidR="001218A1">
        <w:rPr>
          <w:rFonts w:ascii="Calibri" w:hAnsi="Calibri"/>
        </w:rPr>
        <w:t>, and it could come back to the donor-spouse</w:t>
      </w:r>
      <w:r>
        <w:rPr>
          <w:rFonts w:ascii="Calibri" w:hAnsi="Calibri"/>
        </w:rPr>
        <w:t>.</w:t>
      </w:r>
      <w:r w:rsidR="0072207F">
        <w:rPr>
          <w:rStyle w:val="FootnoteReference"/>
          <w:rFonts w:ascii="Calibri" w:hAnsi="Calibri"/>
        </w:rPr>
        <w:footnoteReference w:id="309"/>
      </w:r>
      <w:r>
        <w:rPr>
          <w:rFonts w:ascii="Calibri" w:hAnsi="Calibri"/>
        </w:rPr>
        <w:t xml:space="preserve">  In other states, an intervivos GPOA marital may be preferred to achieve the same asset protection result, but recall that the GPOA for a marital trust must be more open to use</w:t>
      </w:r>
      <w:r w:rsidR="00AB6EEC">
        <w:rPr>
          <w:rFonts w:ascii="Calibri" w:hAnsi="Calibri"/>
        </w:rPr>
        <w:t>/abuse</w:t>
      </w:r>
      <w:r>
        <w:rPr>
          <w:rFonts w:ascii="Calibri" w:hAnsi="Calibri"/>
        </w:rPr>
        <w:t>, and is therefore less protected</w:t>
      </w:r>
      <w:r w:rsidR="001218A1">
        <w:rPr>
          <w:rFonts w:ascii="Calibri" w:hAnsi="Calibri"/>
        </w:rPr>
        <w:t xml:space="preserve"> from the spouse’s undesired exercise and the donee spouse’s estate’s creditors</w:t>
      </w:r>
      <w:r w:rsidR="003D7AA9">
        <w:rPr>
          <w:rFonts w:ascii="Calibri" w:hAnsi="Calibri"/>
        </w:rPr>
        <w:t xml:space="preserve">.  Furthermore, </w:t>
      </w:r>
      <w:r w:rsidR="00B066D9">
        <w:rPr>
          <w:rFonts w:ascii="Calibri" w:hAnsi="Calibri"/>
        </w:rPr>
        <w:t xml:space="preserve">intervivos </w:t>
      </w:r>
      <w:r w:rsidR="0079034D">
        <w:rPr>
          <w:rFonts w:ascii="Calibri" w:hAnsi="Calibri"/>
        </w:rPr>
        <w:t>marital trusts cannot protect from 100% step downs in basis at the spouse’s death</w:t>
      </w:r>
      <w:r w:rsidR="000F2964">
        <w:rPr>
          <w:rFonts w:ascii="Calibri" w:hAnsi="Calibri"/>
        </w:rPr>
        <w:t>, and marital trusts have other limitations</w:t>
      </w:r>
      <w:r>
        <w:rPr>
          <w:rFonts w:ascii="Calibri" w:hAnsi="Calibri"/>
        </w:rPr>
        <w:t xml:space="preserve">. </w:t>
      </w:r>
      <w:r w:rsidR="00846431">
        <w:rPr>
          <w:rFonts w:ascii="Calibri" w:hAnsi="Calibri"/>
        </w:rPr>
        <w:t xml:space="preserve"> </w:t>
      </w:r>
    </w:p>
    <w:p w14:paraId="59BFCB22" w14:textId="77777777" w:rsidR="00846431" w:rsidRDefault="00846431" w:rsidP="00846431">
      <w:pPr>
        <w:autoSpaceDE w:val="0"/>
        <w:autoSpaceDN w:val="0"/>
        <w:adjustRightInd w:val="0"/>
        <w:spacing w:line="360" w:lineRule="auto"/>
        <w:ind w:firstLine="720"/>
        <w:jc w:val="both"/>
        <w:rPr>
          <w:rFonts w:ascii="Calibri" w:hAnsi="Calibri"/>
        </w:rPr>
      </w:pPr>
      <w:r w:rsidRPr="001218A1">
        <w:rPr>
          <w:rFonts w:ascii="Calibri" w:hAnsi="Calibri"/>
          <w:i/>
        </w:rPr>
        <w:lastRenderedPageBreak/>
        <w:t xml:space="preserve">Unlike DAPTs, which have to be done in certain states, use certain trustees, and have various uncertainties, requirements and drawbacks, </w:t>
      </w:r>
      <w:r w:rsidR="0079034D" w:rsidRPr="001218A1">
        <w:rPr>
          <w:rFonts w:ascii="Calibri" w:hAnsi="Calibri"/>
          <w:i/>
        </w:rPr>
        <w:t>SLATs with these kinds of provisions</w:t>
      </w:r>
      <w:r w:rsidRPr="001218A1">
        <w:rPr>
          <w:rFonts w:ascii="Calibri" w:hAnsi="Calibri"/>
          <w:i/>
        </w:rPr>
        <w:t xml:space="preserve"> can be done in any state</w:t>
      </w:r>
      <w:r w:rsidRPr="00641302">
        <w:rPr>
          <w:rFonts w:ascii="Calibri" w:hAnsi="Calibri"/>
        </w:rPr>
        <w:t>.</w:t>
      </w:r>
      <w:r w:rsidR="007E1312">
        <w:rPr>
          <w:rFonts w:ascii="Calibri" w:hAnsi="Calibri"/>
        </w:rPr>
        <w:t xml:space="preserve">  </w:t>
      </w:r>
    </w:p>
    <w:p w14:paraId="2DE0BD19" w14:textId="77777777" w:rsidR="003D7AA9" w:rsidRDefault="003D7AA9" w:rsidP="003D7AA9">
      <w:pPr>
        <w:autoSpaceDE w:val="0"/>
        <w:autoSpaceDN w:val="0"/>
        <w:adjustRightInd w:val="0"/>
        <w:spacing w:line="360" w:lineRule="auto"/>
        <w:ind w:firstLine="720"/>
        <w:rPr>
          <w:rFonts w:ascii="Calibri" w:hAnsi="Calibri"/>
        </w:rPr>
      </w:pPr>
      <w:r>
        <w:rPr>
          <w:rFonts w:ascii="Calibri" w:hAnsi="Calibri"/>
        </w:rPr>
        <w:t>G</w:t>
      </w:r>
      <w:r w:rsidR="00491FB5" w:rsidRPr="00641302">
        <w:rPr>
          <w:rFonts w:ascii="Calibri" w:hAnsi="Calibri"/>
        </w:rPr>
        <w:t xml:space="preserve">rantor trust status for </w:t>
      </w:r>
      <w:r>
        <w:rPr>
          <w:rFonts w:ascii="Calibri" w:hAnsi="Calibri"/>
        </w:rPr>
        <w:t>such a trust</w:t>
      </w:r>
      <w:r w:rsidR="00491FB5" w:rsidRPr="00641302">
        <w:rPr>
          <w:rFonts w:ascii="Calibri" w:hAnsi="Calibri"/>
        </w:rPr>
        <w:t xml:space="preserve"> after W’s death</w:t>
      </w:r>
      <w:r>
        <w:rPr>
          <w:rFonts w:ascii="Calibri" w:hAnsi="Calibri"/>
        </w:rPr>
        <w:t xml:space="preserve"> is</w:t>
      </w:r>
      <w:r w:rsidR="00641302" w:rsidRPr="00641302">
        <w:rPr>
          <w:rFonts w:ascii="Calibri" w:hAnsi="Calibri" w:cs="Helv"/>
          <w:color w:val="000000"/>
        </w:rPr>
        <w:t xml:space="preserve"> tricky.  If H establishe</w:t>
      </w:r>
      <w:r w:rsidR="00641302">
        <w:rPr>
          <w:rFonts w:ascii="Calibri" w:hAnsi="Calibri" w:cs="Helv"/>
          <w:color w:val="000000"/>
        </w:rPr>
        <w:t xml:space="preserve">s a trust for W and she exercises a </w:t>
      </w:r>
      <w:r w:rsidR="00641302" w:rsidRPr="00641302">
        <w:rPr>
          <w:rFonts w:ascii="Calibri" w:hAnsi="Calibri" w:cs="Helv"/>
          <w:color w:val="000000"/>
        </w:rPr>
        <w:t xml:space="preserve">GPOA to appoint back to a trust for H, W is </w:t>
      </w:r>
      <w:r w:rsidR="00846431">
        <w:rPr>
          <w:rFonts w:ascii="Calibri" w:hAnsi="Calibri" w:cs="Helv"/>
          <w:color w:val="000000"/>
        </w:rPr>
        <w:t xml:space="preserve">now </w:t>
      </w:r>
      <w:r w:rsidR="00641302" w:rsidRPr="00641302">
        <w:rPr>
          <w:rFonts w:ascii="Calibri" w:hAnsi="Calibri" w:cs="Helv"/>
          <w:color w:val="000000"/>
        </w:rPr>
        <w:t>the grantor for income tax purposes</w:t>
      </w:r>
      <w:r w:rsidR="00641302">
        <w:rPr>
          <w:rFonts w:ascii="Calibri" w:hAnsi="Calibri" w:cs="Helv"/>
          <w:color w:val="000000"/>
        </w:rPr>
        <w:t>, overriding H as the grantor</w:t>
      </w:r>
      <w:r w:rsidR="00641302" w:rsidRPr="00641302">
        <w:rPr>
          <w:rFonts w:ascii="Calibri" w:hAnsi="Calibri" w:cs="Helv"/>
          <w:color w:val="000000"/>
        </w:rPr>
        <w:t>.</w:t>
      </w:r>
      <w:r w:rsidR="00641302" w:rsidRPr="00641302">
        <w:rPr>
          <w:rStyle w:val="FootnoteReference"/>
          <w:rFonts w:ascii="Calibri" w:hAnsi="Calibri"/>
        </w:rPr>
        <w:t xml:space="preserve"> </w:t>
      </w:r>
      <w:r w:rsidR="00641302" w:rsidRPr="00641302">
        <w:rPr>
          <w:rStyle w:val="FootnoteReference"/>
          <w:rFonts w:ascii="Calibri" w:hAnsi="Calibri"/>
        </w:rPr>
        <w:footnoteReference w:id="310"/>
      </w:r>
      <w:r w:rsidR="00641302" w:rsidRPr="00641302">
        <w:rPr>
          <w:rFonts w:ascii="Calibri" w:hAnsi="Calibri"/>
        </w:rPr>
        <w:t xml:space="preserve"> </w:t>
      </w:r>
      <w:r w:rsidR="00641302" w:rsidRPr="00641302">
        <w:rPr>
          <w:rFonts w:ascii="Calibri" w:hAnsi="Calibri" w:cs="Helv"/>
          <w:color w:val="000000"/>
        </w:rPr>
        <w:t xml:space="preserve">  This overrides any provisions or conclusions that would otherwise </w:t>
      </w:r>
      <w:r w:rsidR="00641302">
        <w:rPr>
          <w:rFonts w:ascii="Calibri" w:hAnsi="Calibri" w:cs="Helv"/>
          <w:color w:val="000000"/>
        </w:rPr>
        <w:t>deem</w:t>
      </w:r>
      <w:r w:rsidR="00641302" w:rsidRPr="00641302">
        <w:rPr>
          <w:rFonts w:ascii="Calibri" w:hAnsi="Calibri" w:cs="Helv"/>
          <w:color w:val="000000"/>
        </w:rPr>
        <w:t xml:space="preserve"> H the grantor under IRC </w:t>
      </w:r>
      <w:r w:rsidR="00850162">
        <w:rPr>
          <w:rFonts w:ascii="Calibri" w:hAnsi="Calibri" w:cs="Helv"/>
          <w:color w:val="000000"/>
        </w:rPr>
        <w:t>§</w:t>
      </w:r>
      <w:r w:rsidR="00FE3A8B">
        <w:rPr>
          <w:rFonts w:ascii="Calibri" w:hAnsi="Calibri" w:cs="Helv"/>
          <w:color w:val="000000"/>
        </w:rPr>
        <w:t>§</w:t>
      </w:r>
      <w:r w:rsidR="00641302" w:rsidRPr="00641302">
        <w:rPr>
          <w:rFonts w:ascii="Calibri" w:hAnsi="Calibri" w:cs="Helv"/>
          <w:color w:val="000000"/>
        </w:rPr>
        <w:t>671-679</w:t>
      </w:r>
      <w:r w:rsidR="00FE3A8B">
        <w:rPr>
          <w:rFonts w:ascii="Calibri" w:hAnsi="Calibri" w:cs="Helv"/>
          <w:color w:val="000000"/>
        </w:rPr>
        <w:t>, making it a non-grantor trust</w:t>
      </w:r>
      <w:r w:rsidR="00641302" w:rsidRPr="00641302">
        <w:rPr>
          <w:rFonts w:ascii="Calibri" w:hAnsi="Calibri" w:cs="Helv"/>
          <w:color w:val="000000"/>
        </w:rPr>
        <w:t>.</w:t>
      </w:r>
      <w:r w:rsidR="00641302">
        <w:rPr>
          <w:rStyle w:val="FootnoteReference"/>
          <w:rFonts w:ascii="Calibri" w:hAnsi="Calibri" w:cs="Helv"/>
          <w:color w:val="000000"/>
        </w:rPr>
        <w:footnoteReference w:id="311"/>
      </w:r>
      <w:r w:rsidR="00641302" w:rsidRPr="00641302">
        <w:rPr>
          <w:rFonts w:ascii="Calibri" w:hAnsi="Calibri" w:cs="Helv"/>
          <w:color w:val="000000"/>
        </w:rPr>
        <w:t xml:space="preserve">    However, if W merely allows</w:t>
      </w:r>
      <w:r w:rsidR="00883142">
        <w:rPr>
          <w:rFonts w:ascii="Calibri" w:hAnsi="Calibri" w:cs="Helv"/>
          <w:color w:val="000000"/>
        </w:rPr>
        <w:t xml:space="preserve"> her GPOA</w:t>
      </w:r>
      <w:r w:rsidR="00641302" w:rsidRPr="00641302">
        <w:rPr>
          <w:rFonts w:ascii="Calibri" w:hAnsi="Calibri" w:cs="Helv"/>
          <w:color w:val="000000"/>
        </w:rPr>
        <w:t xml:space="preserve"> to lapse at her death, and the trust then continues for H, it is unclear</w:t>
      </w:r>
      <w:r w:rsidR="006B1FA2">
        <w:rPr>
          <w:rFonts w:ascii="Calibri" w:hAnsi="Calibri" w:cs="Helv"/>
          <w:color w:val="000000"/>
        </w:rPr>
        <w:t>, perhaps for state creditor protection law as well</w:t>
      </w:r>
      <w:r w:rsidR="00641302" w:rsidRPr="00641302">
        <w:rPr>
          <w:rFonts w:ascii="Calibri" w:hAnsi="Calibri" w:cs="Helv"/>
          <w:color w:val="000000"/>
        </w:rPr>
        <w:t>.</w:t>
      </w:r>
      <w:r w:rsidR="00196DF3">
        <w:rPr>
          <w:rStyle w:val="FootnoteReference"/>
          <w:rFonts w:ascii="Calibri" w:hAnsi="Calibri" w:cs="Helv"/>
          <w:color w:val="000000"/>
        </w:rPr>
        <w:footnoteReference w:id="312"/>
      </w:r>
      <w:r w:rsidR="00641302" w:rsidRPr="00641302">
        <w:rPr>
          <w:rFonts w:ascii="Calibri" w:hAnsi="Calibri" w:cs="Helv"/>
          <w:color w:val="000000"/>
        </w:rPr>
        <w:t xml:space="preserve">  </w:t>
      </w:r>
      <w:r w:rsidR="00641302">
        <w:rPr>
          <w:rFonts w:ascii="Calibri" w:hAnsi="Calibri" w:cs="Helv"/>
          <w:color w:val="000000"/>
        </w:rPr>
        <w:t xml:space="preserve">  </w:t>
      </w:r>
      <w:r w:rsidR="00491FB5" w:rsidRPr="00641302">
        <w:rPr>
          <w:rFonts w:ascii="Calibri" w:hAnsi="Calibri"/>
        </w:rPr>
        <w:t xml:space="preserve">This </w:t>
      </w:r>
      <w:r w:rsidR="00846431">
        <w:rPr>
          <w:rFonts w:ascii="Calibri" w:hAnsi="Calibri"/>
        </w:rPr>
        <w:t>may be</w:t>
      </w:r>
      <w:r w:rsidR="00491FB5" w:rsidRPr="00641302">
        <w:rPr>
          <w:rFonts w:ascii="Calibri" w:hAnsi="Calibri"/>
        </w:rPr>
        <w:t xml:space="preserve"> another area where state law, estate tax and income tax law do not necessarily stride in lock step.</w:t>
      </w:r>
    </w:p>
    <w:p w14:paraId="1E84B961" w14:textId="77777777" w:rsidR="0072207F" w:rsidRPr="00943B23" w:rsidRDefault="0072207F" w:rsidP="00180FD1">
      <w:pPr>
        <w:pStyle w:val="ListParagraph"/>
        <w:numPr>
          <w:ilvl w:val="0"/>
          <w:numId w:val="22"/>
        </w:numPr>
        <w:autoSpaceDE w:val="0"/>
        <w:autoSpaceDN w:val="0"/>
        <w:adjustRightInd w:val="0"/>
        <w:spacing w:line="360" w:lineRule="auto"/>
        <w:ind w:left="720" w:hanging="660"/>
        <w:jc w:val="both"/>
        <w:rPr>
          <w:rFonts w:ascii="Calibri" w:hAnsi="Calibri"/>
          <w:b/>
        </w:rPr>
      </w:pPr>
      <w:r w:rsidRPr="00943B23">
        <w:rPr>
          <w:rFonts w:ascii="Calibri" w:hAnsi="Calibri"/>
          <w:b/>
        </w:rPr>
        <w:t xml:space="preserve">ILITs </w:t>
      </w:r>
      <w:r w:rsidR="008B69A2" w:rsidRPr="00943B23">
        <w:rPr>
          <w:rFonts w:ascii="Calibri" w:hAnsi="Calibri"/>
          <w:b/>
        </w:rPr>
        <w:t>(also see section on the Upstream Crummey Optimal Basis Increase Trust)</w:t>
      </w:r>
    </w:p>
    <w:p w14:paraId="64C8705D" w14:textId="77777777" w:rsidR="0072207F" w:rsidRDefault="0072207F" w:rsidP="0072207F">
      <w:pPr>
        <w:autoSpaceDE w:val="0"/>
        <w:autoSpaceDN w:val="0"/>
        <w:adjustRightInd w:val="0"/>
        <w:spacing w:line="360" w:lineRule="auto"/>
        <w:ind w:firstLine="720"/>
        <w:jc w:val="both"/>
        <w:rPr>
          <w:rFonts w:ascii="Calibri" w:hAnsi="Calibri"/>
        </w:rPr>
      </w:pPr>
      <w:r w:rsidRPr="0072207F">
        <w:rPr>
          <w:rFonts w:ascii="Calibri" w:hAnsi="Calibri"/>
        </w:rPr>
        <w:t>ILITs</w:t>
      </w:r>
      <w:r>
        <w:rPr>
          <w:rFonts w:ascii="Calibri" w:hAnsi="Calibri"/>
        </w:rPr>
        <w:t xml:space="preserve"> should not be overlooked in considering optimizing basis clauses</w:t>
      </w:r>
      <w:r w:rsidR="002678DD">
        <w:rPr>
          <w:rFonts w:ascii="Calibri" w:hAnsi="Calibri"/>
        </w:rPr>
        <w:t>.  Often they</w:t>
      </w:r>
      <w:r w:rsidRPr="0072207F">
        <w:rPr>
          <w:rFonts w:ascii="Calibri" w:hAnsi="Calibri"/>
        </w:rPr>
        <w:t xml:space="preserve"> can benefit</w:t>
      </w:r>
      <w:r>
        <w:rPr>
          <w:rFonts w:ascii="Calibri" w:hAnsi="Calibri"/>
        </w:rPr>
        <w:t xml:space="preserve"> just as much as any bypass trust.  This is not to achieve a step up in basis </w:t>
      </w:r>
      <w:r w:rsidR="000F2964">
        <w:rPr>
          <w:rFonts w:ascii="Calibri" w:hAnsi="Calibri"/>
        </w:rPr>
        <w:t xml:space="preserve">at death </w:t>
      </w:r>
      <w:r>
        <w:rPr>
          <w:rFonts w:ascii="Calibri" w:hAnsi="Calibri"/>
        </w:rPr>
        <w:t>on the insurance policy</w:t>
      </w:r>
      <w:r w:rsidR="000F2964">
        <w:rPr>
          <w:rFonts w:ascii="Calibri" w:hAnsi="Calibri"/>
        </w:rPr>
        <w:t xml:space="preserve"> (though conceivably there could be some value to a step up for second to die policies)</w:t>
      </w:r>
      <w:r>
        <w:rPr>
          <w:rFonts w:ascii="Calibri" w:hAnsi="Calibri"/>
        </w:rPr>
        <w:t xml:space="preserve"> – it’s the investment </w:t>
      </w:r>
      <w:r w:rsidR="000F2964">
        <w:rPr>
          <w:rFonts w:ascii="Calibri" w:hAnsi="Calibri"/>
        </w:rPr>
        <w:t>appreciation</w:t>
      </w:r>
      <w:r>
        <w:rPr>
          <w:rFonts w:ascii="Calibri" w:hAnsi="Calibri"/>
        </w:rPr>
        <w:t xml:space="preserve"> </w:t>
      </w:r>
      <w:r w:rsidRPr="00943B23">
        <w:rPr>
          <w:rFonts w:ascii="Calibri" w:hAnsi="Calibri"/>
          <w:b/>
          <w:i/>
        </w:rPr>
        <w:t>after</w:t>
      </w:r>
      <w:r>
        <w:rPr>
          <w:rFonts w:ascii="Calibri" w:hAnsi="Calibri"/>
        </w:rPr>
        <w:t xml:space="preserve"> the insurance policy pays off.</w:t>
      </w:r>
    </w:p>
    <w:p w14:paraId="788B8D7A" w14:textId="77777777" w:rsidR="009950C3" w:rsidRPr="0072207F" w:rsidRDefault="0072207F" w:rsidP="009950C3">
      <w:pPr>
        <w:autoSpaceDE w:val="0"/>
        <w:autoSpaceDN w:val="0"/>
        <w:adjustRightInd w:val="0"/>
        <w:spacing w:line="360" w:lineRule="auto"/>
        <w:ind w:firstLine="720"/>
        <w:jc w:val="both"/>
        <w:rPr>
          <w:rFonts w:ascii="Calibri" w:hAnsi="Calibri"/>
        </w:rPr>
      </w:pPr>
      <w:r>
        <w:rPr>
          <w:rFonts w:ascii="Calibri" w:hAnsi="Calibri"/>
        </w:rPr>
        <w:t xml:space="preserve">Example: John establishes an ILIT for his wife and kids – he’s young, it’s a $2 million term policy.  </w:t>
      </w:r>
      <w:r w:rsidR="00D63017">
        <w:rPr>
          <w:rFonts w:ascii="Calibri" w:hAnsi="Calibri"/>
        </w:rPr>
        <w:t>John’s remaining estate is $1 million.  L</w:t>
      </w:r>
      <w:r>
        <w:rPr>
          <w:rFonts w:ascii="Calibri" w:hAnsi="Calibri"/>
        </w:rPr>
        <w:t>o and behold he dies.</w:t>
      </w:r>
      <w:r w:rsidR="00D63017">
        <w:rPr>
          <w:rFonts w:ascii="Calibri" w:hAnsi="Calibri"/>
        </w:rPr>
        <w:t xml:space="preserve">  His wife takes the $1 million in qualified plan and home outright, she has $10.68 million AEA.   Jane has an estate well under this amount.  Over time the ILIT </w:t>
      </w:r>
      <w:r w:rsidR="009950C3">
        <w:rPr>
          <w:rFonts w:ascii="Calibri" w:hAnsi="Calibri"/>
        </w:rPr>
        <w:t xml:space="preserve">investments </w:t>
      </w:r>
      <w:r w:rsidR="00D63017">
        <w:rPr>
          <w:rFonts w:ascii="Calibri" w:hAnsi="Calibri"/>
        </w:rPr>
        <w:t xml:space="preserve">triple in value – basis $2.5 million, FMV $6 million.  With an OBIT clause, we really have the best of all worlds – if Jane’s estate increases over time beyond her AEA (or if she loses her DSEU amount through remarriage), the ILIT can shelter funds from her estate, but if her estate remains under her AEA, </w:t>
      </w:r>
      <w:r w:rsidR="00D63017" w:rsidRPr="004F5A88">
        <w:rPr>
          <w:rFonts w:ascii="Calibri" w:hAnsi="Calibri"/>
          <w:b/>
        </w:rPr>
        <w:t xml:space="preserve">$3.5 million of basis is </w:t>
      </w:r>
      <w:r w:rsidR="002678DD" w:rsidRPr="004F5A88">
        <w:rPr>
          <w:rFonts w:ascii="Calibri" w:hAnsi="Calibri"/>
          <w:b/>
        </w:rPr>
        <w:t>protected</w:t>
      </w:r>
      <w:r w:rsidR="00D63017">
        <w:rPr>
          <w:rFonts w:ascii="Calibri" w:hAnsi="Calibri"/>
        </w:rPr>
        <w:t xml:space="preserve"> – over a million dollars of income tax saved depending on the </w:t>
      </w:r>
      <w:r w:rsidR="009950C3">
        <w:rPr>
          <w:rFonts w:ascii="Calibri" w:hAnsi="Calibri"/>
        </w:rPr>
        <w:lastRenderedPageBreak/>
        <w:t xml:space="preserve">brackets </w:t>
      </w:r>
      <w:r w:rsidR="00D63017">
        <w:rPr>
          <w:rFonts w:ascii="Calibri" w:hAnsi="Calibri"/>
        </w:rPr>
        <w:t>of the beneficiaries.</w:t>
      </w:r>
      <w:r w:rsidR="004F5A88">
        <w:rPr>
          <w:rFonts w:ascii="Calibri" w:hAnsi="Calibri"/>
        </w:rPr>
        <w:t xml:space="preserve">  And, as discussed in Section III, this </w:t>
      </w:r>
      <w:r w:rsidR="002678DD">
        <w:rPr>
          <w:rFonts w:ascii="Calibri" w:hAnsi="Calibri"/>
        </w:rPr>
        <w:t>can</w:t>
      </w:r>
      <w:r w:rsidR="004F5A88">
        <w:rPr>
          <w:rFonts w:ascii="Calibri" w:hAnsi="Calibri"/>
        </w:rPr>
        <w:t xml:space="preserve"> be crafted so as to avoid step downs on any loss assets and apply to the most appreciated assets first in the event the amount </w:t>
      </w:r>
      <w:r w:rsidR="002678DD">
        <w:rPr>
          <w:rFonts w:ascii="Calibri" w:hAnsi="Calibri"/>
        </w:rPr>
        <w:t xml:space="preserve">is </w:t>
      </w:r>
      <w:r w:rsidR="004F5A88">
        <w:rPr>
          <w:rFonts w:ascii="Calibri" w:hAnsi="Calibri"/>
        </w:rPr>
        <w:t>capped.</w:t>
      </w:r>
      <w:r w:rsidR="009950C3">
        <w:rPr>
          <w:rFonts w:ascii="Calibri" w:hAnsi="Calibri"/>
        </w:rPr>
        <w:t xml:space="preserve">  Needless to say, language should coordinate with the bypass trust to be read </w:t>
      </w:r>
      <w:r w:rsidR="009950C3" w:rsidRPr="009950C3">
        <w:rPr>
          <w:rFonts w:ascii="Calibri" w:hAnsi="Calibri"/>
          <w:i/>
        </w:rPr>
        <w:t>in pari materia</w:t>
      </w:r>
      <w:r w:rsidR="009950C3">
        <w:rPr>
          <w:rFonts w:ascii="Calibri" w:hAnsi="Calibri"/>
        </w:rPr>
        <w:t>.</w:t>
      </w:r>
    </w:p>
    <w:p w14:paraId="1CBF7E87" w14:textId="77777777" w:rsidR="00491FB5" w:rsidRPr="00812499" w:rsidRDefault="005354F6" w:rsidP="0072207F">
      <w:pPr>
        <w:autoSpaceDE w:val="0"/>
        <w:autoSpaceDN w:val="0"/>
        <w:adjustRightInd w:val="0"/>
        <w:spacing w:line="360" w:lineRule="auto"/>
        <w:ind w:firstLine="720"/>
        <w:jc w:val="both"/>
        <w:rPr>
          <w:rFonts w:ascii="Calibri" w:hAnsi="Calibri"/>
        </w:rPr>
      </w:pPr>
      <w:r>
        <w:rPr>
          <w:rFonts w:ascii="Calibri" w:hAnsi="Calibri"/>
          <w:b/>
        </w:rPr>
        <w:br w:type="page"/>
      </w:r>
      <w:r w:rsidR="00491FB5">
        <w:rPr>
          <w:rFonts w:ascii="Calibri" w:hAnsi="Calibri"/>
          <w:b/>
        </w:rPr>
        <w:lastRenderedPageBreak/>
        <w:t>V</w:t>
      </w:r>
      <w:r w:rsidR="00D63814">
        <w:rPr>
          <w:rFonts w:ascii="Calibri" w:hAnsi="Calibri"/>
          <w:b/>
        </w:rPr>
        <w:t>I</w:t>
      </w:r>
      <w:r w:rsidR="00935EAB">
        <w:rPr>
          <w:rFonts w:ascii="Calibri" w:hAnsi="Calibri"/>
          <w:b/>
        </w:rPr>
        <w:t>I.</w:t>
      </w:r>
      <w:r w:rsidR="00935EAB">
        <w:rPr>
          <w:rFonts w:ascii="Calibri" w:hAnsi="Calibri"/>
          <w:b/>
        </w:rPr>
        <w:tab/>
      </w:r>
      <w:r w:rsidR="00491FB5" w:rsidRPr="00484F3E">
        <w:rPr>
          <w:rFonts w:ascii="Calibri" w:hAnsi="Calibri"/>
          <w:b/>
        </w:rPr>
        <w:t xml:space="preserve">Use of </w:t>
      </w:r>
      <w:r w:rsidR="00491FB5">
        <w:rPr>
          <w:rFonts w:ascii="Calibri" w:hAnsi="Calibri"/>
          <w:b/>
        </w:rPr>
        <w:t>Optimal Basis Increase Techniques</w:t>
      </w:r>
      <w:r w:rsidR="00491FB5" w:rsidRPr="00484F3E">
        <w:rPr>
          <w:rFonts w:ascii="Calibri" w:hAnsi="Calibri"/>
          <w:b/>
        </w:rPr>
        <w:t xml:space="preserve"> by </w:t>
      </w:r>
      <w:r w:rsidR="00491FB5" w:rsidRPr="0047784A">
        <w:rPr>
          <w:rFonts w:ascii="Calibri" w:hAnsi="Calibri"/>
          <w:b/>
          <w:i/>
        </w:rPr>
        <w:t>Pre-Existing</w:t>
      </w:r>
      <w:r w:rsidR="00491FB5">
        <w:rPr>
          <w:rFonts w:ascii="Calibri" w:hAnsi="Calibri"/>
          <w:b/>
        </w:rPr>
        <w:t xml:space="preserve"> Irrevocable Trusts</w:t>
      </w:r>
    </w:p>
    <w:p w14:paraId="7965C899" w14:textId="77777777" w:rsidR="00491FB5" w:rsidRDefault="00491FB5"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The concepts herein can also be applied to inter-vivos irrevocable trusts and trusts continuing for additional generations.  Similar techniques can be incorporated in downstream dynastic trusts for better basis increases to grandchildren and beyond.  This would involve GST considerations as well.</w:t>
      </w:r>
    </w:p>
    <w:p w14:paraId="50CD8154" w14:textId="77777777" w:rsidR="00FA5B49" w:rsidRDefault="00491FB5"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Most importantly, practitioners should not overlook the significant value in adapting many pre-existing irrevocable bypass trusts (including intervivos SLATs</w:t>
      </w:r>
      <w:r w:rsidR="0035635F">
        <w:rPr>
          <w:rFonts w:ascii="Calibri" w:hAnsi="Calibri" w:cs="Helv"/>
          <w:bCs/>
          <w:color w:val="000000"/>
        </w:rPr>
        <w:t>, or other irrevocable trusts</w:t>
      </w:r>
      <w:r>
        <w:rPr>
          <w:rFonts w:ascii="Calibri" w:hAnsi="Calibri" w:cs="Helv"/>
          <w:bCs/>
          <w:color w:val="000000"/>
        </w:rPr>
        <w:t>) to fully use this $5.</w:t>
      </w:r>
      <w:r w:rsidR="00DF44B9">
        <w:rPr>
          <w:rFonts w:ascii="Calibri" w:hAnsi="Calibri" w:cs="Helv"/>
          <w:bCs/>
          <w:color w:val="000000"/>
        </w:rPr>
        <w:t xml:space="preserve">34 </w:t>
      </w:r>
      <w:r>
        <w:rPr>
          <w:rFonts w:ascii="Calibri" w:hAnsi="Calibri" w:cs="Helv"/>
          <w:bCs/>
          <w:color w:val="000000"/>
        </w:rPr>
        <w:t>million (and increasing) basis increasing “coupon”.  This may be done by various ways – triggering the Delaware Tax Trap using an existing limited power of appointment that permits appointment to trusts, or c</w:t>
      </w:r>
      <w:r w:rsidR="00616702">
        <w:rPr>
          <w:rFonts w:ascii="Calibri" w:hAnsi="Calibri" w:cs="Helv"/>
          <w:bCs/>
          <w:color w:val="000000"/>
        </w:rPr>
        <w:t>hanging the trust via decanting</w:t>
      </w:r>
      <w:r>
        <w:rPr>
          <w:rFonts w:ascii="Calibri" w:hAnsi="Calibri" w:cs="Helv"/>
          <w:bCs/>
          <w:color w:val="000000"/>
        </w:rPr>
        <w:t xml:space="preserve"> or court reformation to add a limited or general power of appointment.  </w:t>
      </w:r>
      <w:r w:rsidR="00616702">
        <w:rPr>
          <w:rFonts w:ascii="Calibri" w:hAnsi="Calibri" w:cs="Helv"/>
          <w:bCs/>
          <w:color w:val="000000"/>
        </w:rPr>
        <w:t>Gen</w:t>
      </w:r>
      <w:r w:rsidR="00A12495">
        <w:rPr>
          <w:rFonts w:ascii="Calibri" w:hAnsi="Calibri" w:cs="Helv"/>
          <w:bCs/>
          <w:color w:val="000000"/>
        </w:rPr>
        <w:t>erally, non-</w:t>
      </w:r>
      <w:r w:rsidR="00984DB5">
        <w:rPr>
          <w:rFonts w:ascii="Calibri" w:hAnsi="Calibri" w:cs="Helv"/>
          <w:bCs/>
          <w:color w:val="000000"/>
        </w:rPr>
        <w:t>judicial settlement agreements (a</w:t>
      </w:r>
      <w:r w:rsidR="00D42F9C">
        <w:rPr>
          <w:rFonts w:ascii="Calibri" w:hAnsi="Calibri" w:cs="Helv"/>
          <w:bCs/>
          <w:color w:val="000000"/>
        </w:rPr>
        <w:t>.</w:t>
      </w:r>
      <w:r w:rsidR="00984DB5">
        <w:rPr>
          <w:rFonts w:ascii="Calibri" w:hAnsi="Calibri" w:cs="Helv"/>
          <w:bCs/>
          <w:color w:val="000000"/>
        </w:rPr>
        <w:t>k</w:t>
      </w:r>
      <w:r w:rsidR="00D42F9C">
        <w:rPr>
          <w:rFonts w:ascii="Calibri" w:hAnsi="Calibri" w:cs="Helv"/>
          <w:bCs/>
          <w:color w:val="000000"/>
        </w:rPr>
        <w:t>.</w:t>
      </w:r>
      <w:r w:rsidR="00984DB5">
        <w:rPr>
          <w:rFonts w:ascii="Calibri" w:hAnsi="Calibri" w:cs="Helv"/>
          <w:bCs/>
          <w:color w:val="000000"/>
        </w:rPr>
        <w:t>a</w:t>
      </w:r>
      <w:r w:rsidR="00D42F9C">
        <w:rPr>
          <w:rFonts w:ascii="Calibri" w:hAnsi="Calibri" w:cs="Helv"/>
          <w:bCs/>
          <w:color w:val="000000"/>
        </w:rPr>
        <w:t>.</w:t>
      </w:r>
      <w:r w:rsidR="00616702">
        <w:rPr>
          <w:rFonts w:ascii="Calibri" w:hAnsi="Calibri" w:cs="Helv"/>
          <w:bCs/>
          <w:color w:val="000000"/>
        </w:rPr>
        <w:t xml:space="preserve"> private settlement agreement</w:t>
      </w:r>
      <w:r w:rsidR="00A12495">
        <w:rPr>
          <w:rFonts w:ascii="Calibri" w:hAnsi="Calibri" w:cs="Helv"/>
          <w:bCs/>
          <w:color w:val="000000"/>
        </w:rPr>
        <w:t>s</w:t>
      </w:r>
      <w:r w:rsidR="00616702">
        <w:rPr>
          <w:rFonts w:ascii="Calibri" w:hAnsi="Calibri" w:cs="Helv"/>
          <w:bCs/>
          <w:color w:val="000000"/>
        </w:rPr>
        <w:t xml:space="preserve">) are </w:t>
      </w:r>
      <w:r w:rsidR="00717365">
        <w:rPr>
          <w:rFonts w:ascii="Calibri" w:hAnsi="Calibri" w:cs="Helv"/>
          <w:bCs/>
          <w:color w:val="000000"/>
        </w:rPr>
        <w:t xml:space="preserve">probably not ideal, since it is </w:t>
      </w:r>
      <w:r w:rsidR="00616702">
        <w:rPr>
          <w:rFonts w:ascii="Calibri" w:hAnsi="Calibri" w:cs="Helv"/>
          <w:bCs/>
          <w:color w:val="000000"/>
        </w:rPr>
        <w:t>unclear to what extent those can make the necessary changes</w:t>
      </w:r>
      <w:r w:rsidR="00717365">
        <w:rPr>
          <w:rFonts w:ascii="Calibri" w:hAnsi="Calibri" w:cs="Helv"/>
          <w:bCs/>
          <w:color w:val="000000"/>
        </w:rPr>
        <w:t>.</w:t>
      </w:r>
      <w:r w:rsidR="00717365">
        <w:rPr>
          <w:rStyle w:val="FootnoteReference"/>
          <w:rFonts w:ascii="Calibri" w:hAnsi="Calibri" w:cs="Helv"/>
          <w:bCs/>
          <w:color w:val="000000"/>
        </w:rPr>
        <w:footnoteReference w:id="313"/>
      </w:r>
      <w:r w:rsidR="00717365">
        <w:rPr>
          <w:rFonts w:ascii="Calibri" w:hAnsi="Calibri" w:cs="Helv"/>
          <w:bCs/>
          <w:color w:val="000000"/>
        </w:rPr>
        <w:t xml:space="preserve">  </w:t>
      </w:r>
      <w:r w:rsidR="00FA5B49">
        <w:rPr>
          <w:rFonts w:ascii="Calibri" w:hAnsi="Calibri" w:cs="Helv"/>
          <w:bCs/>
          <w:color w:val="000000"/>
        </w:rPr>
        <w:t xml:space="preserve">Using LPOAs </w:t>
      </w:r>
      <w:r w:rsidR="00266A15">
        <w:rPr>
          <w:rFonts w:ascii="Calibri" w:hAnsi="Calibri" w:cs="Helv"/>
          <w:bCs/>
          <w:color w:val="000000"/>
        </w:rPr>
        <w:t>may</w:t>
      </w:r>
      <w:r w:rsidR="00FA5B49">
        <w:rPr>
          <w:rFonts w:ascii="Calibri" w:hAnsi="Calibri" w:cs="Helv"/>
          <w:bCs/>
          <w:color w:val="000000"/>
        </w:rPr>
        <w:t xml:space="preserve"> also be preferred over GPOAs</w:t>
      </w:r>
      <w:r w:rsidR="005C32DE">
        <w:rPr>
          <w:rFonts w:ascii="Calibri" w:hAnsi="Calibri" w:cs="Helv"/>
          <w:bCs/>
          <w:color w:val="000000"/>
        </w:rPr>
        <w:t>.  The reasons for the latter two statements</w:t>
      </w:r>
      <w:r w:rsidR="00FA5B49">
        <w:rPr>
          <w:rFonts w:ascii="Calibri" w:hAnsi="Calibri" w:cs="Helv"/>
          <w:bCs/>
          <w:color w:val="000000"/>
        </w:rPr>
        <w:t xml:space="preserve"> will become apparent </w:t>
      </w:r>
      <w:r w:rsidR="005C32DE">
        <w:rPr>
          <w:rFonts w:ascii="Calibri" w:hAnsi="Calibri" w:cs="Helv"/>
          <w:bCs/>
          <w:color w:val="000000"/>
        </w:rPr>
        <w:t xml:space="preserve">later </w:t>
      </w:r>
      <w:r w:rsidR="00FA5B49">
        <w:rPr>
          <w:rFonts w:ascii="Calibri" w:hAnsi="Calibri" w:cs="Helv"/>
          <w:bCs/>
          <w:color w:val="000000"/>
        </w:rPr>
        <w:t>in th</w:t>
      </w:r>
      <w:r w:rsidR="005C32DE">
        <w:rPr>
          <w:rFonts w:ascii="Calibri" w:hAnsi="Calibri" w:cs="Helv"/>
          <w:bCs/>
          <w:color w:val="000000"/>
        </w:rPr>
        <w:t>is</w:t>
      </w:r>
      <w:r w:rsidR="00FA5B49">
        <w:rPr>
          <w:rFonts w:ascii="Calibri" w:hAnsi="Calibri" w:cs="Helv"/>
          <w:bCs/>
          <w:color w:val="000000"/>
        </w:rPr>
        <w:t xml:space="preserve"> </w:t>
      </w:r>
      <w:r w:rsidR="005C32DE">
        <w:rPr>
          <w:rFonts w:ascii="Calibri" w:hAnsi="Calibri" w:cs="Helv"/>
          <w:bCs/>
          <w:color w:val="000000"/>
        </w:rPr>
        <w:t>Section</w:t>
      </w:r>
      <w:r w:rsidR="00FA5B49">
        <w:rPr>
          <w:rFonts w:ascii="Calibri" w:hAnsi="Calibri" w:cs="Helv"/>
          <w:bCs/>
          <w:color w:val="000000"/>
        </w:rPr>
        <w:t xml:space="preserve">.  Choice of these options will necessarily be trust and state law dependent.  </w:t>
      </w:r>
    </w:p>
    <w:p w14:paraId="23BA6048" w14:textId="77777777" w:rsidR="00491FB5" w:rsidRDefault="00491FB5"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The advantages may be significant.  Imagine how many current irrevocable bypass trust surviving spouse beneficiaries h</w:t>
      </w:r>
      <w:r w:rsidR="00DF44B9">
        <w:rPr>
          <w:rFonts w:ascii="Calibri" w:hAnsi="Calibri" w:cs="Helv"/>
          <w:bCs/>
          <w:color w:val="000000"/>
        </w:rPr>
        <w:t>ave well under $5.34</w:t>
      </w:r>
      <w:r>
        <w:rPr>
          <w:rFonts w:ascii="Calibri" w:hAnsi="Calibri" w:cs="Helv"/>
          <w:bCs/>
          <w:color w:val="000000"/>
        </w:rPr>
        <w:t xml:space="preserve"> million in their personal estate?  (</w:t>
      </w:r>
      <w:r w:rsidR="0035635F">
        <w:rPr>
          <w:rFonts w:ascii="Calibri" w:hAnsi="Calibri" w:cs="Helv"/>
          <w:bCs/>
          <w:color w:val="000000"/>
        </w:rPr>
        <w:t>actually, a widow(er) might have quite a bit more</w:t>
      </w:r>
      <w:r>
        <w:rPr>
          <w:rFonts w:ascii="Calibri" w:hAnsi="Calibri" w:cs="Helv"/>
          <w:bCs/>
          <w:color w:val="000000"/>
        </w:rPr>
        <w:t xml:space="preserve"> </w:t>
      </w:r>
      <w:r w:rsidR="00C85ABA">
        <w:rPr>
          <w:rFonts w:ascii="Calibri" w:hAnsi="Calibri" w:cs="Helv"/>
          <w:bCs/>
          <w:color w:val="000000"/>
        </w:rPr>
        <w:t xml:space="preserve">AEA </w:t>
      </w:r>
      <w:r>
        <w:rPr>
          <w:rFonts w:ascii="Calibri" w:hAnsi="Calibri" w:cs="Helv"/>
          <w:bCs/>
          <w:color w:val="000000"/>
        </w:rPr>
        <w:t>if their spouse died after 2010 and they elected DSUEA</w:t>
      </w:r>
      <w:r w:rsidR="0047784A">
        <w:rPr>
          <w:rFonts w:ascii="Calibri" w:hAnsi="Calibri" w:cs="Helv"/>
          <w:bCs/>
          <w:color w:val="000000"/>
        </w:rPr>
        <w:t xml:space="preserve"> – nearly twice as much depending on the years passed, inflation</w:t>
      </w:r>
      <w:r>
        <w:rPr>
          <w:rFonts w:ascii="Calibri" w:hAnsi="Calibri" w:cs="Helv"/>
          <w:bCs/>
          <w:color w:val="000000"/>
        </w:rPr>
        <w:t>).</w:t>
      </w:r>
    </w:p>
    <w:p w14:paraId="400C7D1A" w14:textId="77777777" w:rsidR="00862916" w:rsidRPr="00943B23" w:rsidRDefault="00862916" w:rsidP="00180FD1">
      <w:pPr>
        <w:pStyle w:val="ListParagraph"/>
        <w:numPr>
          <w:ilvl w:val="0"/>
          <w:numId w:val="23"/>
        </w:numPr>
        <w:autoSpaceDE w:val="0"/>
        <w:autoSpaceDN w:val="0"/>
        <w:adjustRightInd w:val="0"/>
        <w:spacing w:line="360" w:lineRule="auto"/>
        <w:ind w:hanging="720"/>
        <w:rPr>
          <w:rFonts w:ascii="Calibri" w:hAnsi="Calibri" w:cs="Helv"/>
          <w:b/>
          <w:bCs/>
          <w:color w:val="000000"/>
        </w:rPr>
      </w:pPr>
      <w:r w:rsidRPr="00943B23">
        <w:rPr>
          <w:rFonts w:ascii="Calibri" w:hAnsi="Calibri" w:cs="Helv"/>
          <w:b/>
          <w:bCs/>
          <w:color w:val="000000"/>
        </w:rPr>
        <w:t>Using Existing Limited Powers of Appointment to Trigger Delaware Tax Trap</w:t>
      </w:r>
    </w:p>
    <w:p w14:paraId="3A282B35" w14:textId="77777777" w:rsidR="00491FB5" w:rsidRDefault="00491FB5"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Example: John died in 2008, leaving his wife Jane $2 million in non-IRA assets in a typical bypass trust, which has now grown to $3.5 million.  Although some of the assets have been sold, rebalanced, the trust assets now have a basis of $2.5 million.  Jane’s assets are $2.5 million.  Why </w:t>
      </w:r>
      <w:r w:rsidR="00DF44B9">
        <w:rPr>
          <w:rFonts w:ascii="Calibri" w:hAnsi="Calibri" w:cs="Helv"/>
          <w:bCs/>
          <w:color w:val="000000"/>
        </w:rPr>
        <w:t>waste $2.75 million of her $5.34</w:t>
      </w:r>
      <w:r>
        <w:rPr>
          <w:rFonts w:ascii="Calibri" w:hAnsi="Calibri" w:cs="Helv"/>
          <w:bCs/>
          <w:color w:val="000000"/>
        </w:rPr>
        <w:t xml:space="preserve"> million “coupon” she is permitted to use to increase basis step up for her family?  Jane therefore amends her will/trust to exercise her limited power of appointment granted in John’s trust, mirroring language discussed above: </w:t>
      </w:r>
      <w:r>
        <w:rPr>
          <w:rFonts w:ascii="Calibri" w:hAnsi="Calibri" w:cs="Helv"/>
          <w:bCs/>
          <w:color w:val="000000"/>
        </w:rPr>
        <w:lastRenderedPageBreak/>
        <w:t xml:space="preserve">assets with basis greater than FMV or IRD go to a trust for her children (or simply continue in trust under the residuary), and assets with basis under FMV (for which Jane and her family desire the step up) simply go to a similar trust for her children that contains a presently exercisable general power of appointment, triggering IRC §2041(a)(3) and getting the family up to an </w:t>
      </w:r>
      <w:r w:rsidRPr="0035635F">
        <w:rPr>
          <w:rFonts w:ascii="Calibri" w:hAnsi="Calibri" w:cs="Helv"/>
          <w:bCs/>
          <w:i/>
          <w:color w:val="000000"/>
        </w:rPr>
        <w:t>additional $1 million of basis free of charge</w:t>
      </w:r>
      <w:r>
        <w:rPr>
          <w:rFonts w:ascii="Calibri" w:hAnsi="Calibri" w:cs="Helv"/>
          <w:bCs/>
          <w:color w:val="000000"/>
        </w:rPr>
        <w:t>.  And, of course, this exercise can be limited to her available Applicable Exclusion Amount and applied first to the most appreciated assets first, capped to prevent any estate tax and/or account for any state estate tax</w:t>
      </w:r>
      <w:r w:rsidR="0035635F">
        <w:rPr>
          <w:rFonts w:ascii="Calibri" w:hAnsi="Calibri" w:cs="Helv"/>
          <w:bCs/>
          <w:color w:val="000000"/>
        </w:rPr>
        <w:t>, or even chosen to exploit the assets most likely to be sold by beneficiaries first,</w:t>
      </w:r>
      <w:r w:rsidRPr="008921DE">
        <w:rPr>
          <w:rFonts w:ascii="Calibri" w:hAnsi="Calibri" w:cs="Helv"/>
          <w:bCs/>
          <w:color w:val="000000"/>
        </w:rPr>
        <w:t xml:space="preserve"> </w:t>
      </w:r>
      <w:r>
        <w:rPr>
          <w:rFonts w:ascii="Calibri" w:hAnsi="Calibri" w:cs="Helv"/>
          <w:bCs/>
          <w:color w:val="000000"/>
        </w:rPr>
        <w:t>as discussed above.</w:t>
      </w:r>
    </w:p>
    <w:p w14:paraId="320E6526" w14:textId="77777777" w:rsidR="00491FB5" w:rsidRDefault="00491FB5" w:rsidP="003724FD">
      <w:pPr>
        <w:autoSpaceDE w:val="0"/>
        <w:autoSpaceDN w:val="0"/>
        <w:adjustRightInd w:val="0"/>
        <w:spacing w:line="360" w:lineRule="auto"/>
        <w:ind w:firstLine="720"/>
        <w:rPr>
          <w:rFonts w:ascii="Calibri" w:hAnsi="Calibri"/>
        </w:rPr>
      </w:pPr>
      <w:r>
        <w:rPr>
          <w:rFonts w:ascii="Calibri" w:hAnsi="Calibri"/>
        </w:rPr>
        <w:t>Many beneficiaries do not have current asset protection issues, asset levels close to a taxable estate or any desire to spray or gift inherited assets.  Thus, the vast majority of LPOA power</w:t>
      </w:r>
      <w:r w:rsidR="0047784A">
        <w:rPr>
          <w:rFonts w:ascii="Calibri" w:hAnsi="Calibri"/>
        </w:rPr>
        <w:t xml:space="preserve"> </w:t>
      </w:r>
      <w:r>
        <w:rPr>
          <w:rFonts w:ascii="Calibri" w:hAnsi="Calibri"/>
        </w:rPr>
        <w:t>holders and their prospective appointees would probably prefer to save income tax with a higher basis than avoid the</w:t>
      </w:r>
      <w:r w:rsidR="0035635F">
        <w:rPr>
          <w:rFonts w:ascii="Calibri" w:hAnsi="Calibri"/>
        </w:rPr>
        <w:t xml:space="preserve"> </w:t>
      </w:r>
      <w:r>
        <w:rPr>
          <w:rFonts w:ascii="Calibri" w:hAnsi="Calibri"/>
        </w:rPr>
        <w:t xml:space="preserve">negatives of a presently exercisable GPOA.  Unless there are current creditors on the horizon, beneficiaries can always avail themselves of self-settled asset protection trust legislation in Ohio, Delaware, Alaska or one of the other jurisdictions that permit this.  </w:t>
      </w:r>
      <w:r w:rsidR="0035635F">
        <w:rPr>
          <w:rFonts w:ascii="Calibri" w:hAnsi="Calibri"/>
        </w:rPr>
        <w:t xml:space="preserve">If there are, beneficiaries can disclaim their </w:t>
      </w:r>
      <w:r w:rsidR="00862916">
        <w:rPr>
          <w:rFonts w:ascii="Calibri" w:hAnsi="Calibri"/>
        </w:rPr>
        <w:t>PEG power</w:t>
      </w:r>
      <w:r w:rsidR="00D42F9C">
        <w:rPr>
          <w:rFonts w:ascii="Calibri" w:hAnsi="Calibri"/>
        </w:rPr>
        <w:t xml:space="preserve"> (though, as noted above, this may not be a §2518 “qualified disclaimer”)</w:t>
      </w:r>
      <w:r w:rsidR="0035635F">
        <w:rPr>
          <w:rFonts w:ascii="Calibri" w:hAnsi="Calibri"/>
        </w:rPr>
        <w:t xml:space="preserve">.  </w:t>
      </w:r>
      <w:r>
        <w:rPr>
          <w:rFonts w:ascii="Calibri" w:hAnsi="Calibri"/>
        </w:rPr>
        <w:t>So, in practical terms, the main reason to forego any use of the Delaware Tax Trap is if a powerholder wants to preserve assets for grandchildren or other beneficiaries.</w:t>
      </w:r>
    </w:p>
    <w:p w14:paraId="6D4B34EC" w14:textId="77777777" w:rsidR="00943B23" w:rsidRPr="00943B23" w:rsidRDefault="00943B23" w:rsidP="00180FD1">
      <w:pPr>
        <w:pStyle w:val="ListParagraph"/>
        <w:numPr>
          <w:ilvl w:val="0"/>
          <w:numId w:val="23"/>
        </w:numPr>
        <w:autoSpaceDE w:val="0"/>
        <w:autoSpaceDN w:val="0"/>
        <w:adjustRightInd w:val="0"/>
        <w:spacing w:line="360" w:lineRule="auto"/>
        <w:ind w:hanging="720"/>
        <w:rPr>
          <w:rFonts w:ascii="Calibri" w:hAnsi="Calibri" w:cs="Helv"/>
          <w:b/>
          <w:bCs/>
          <w:color w:val="000000"/>
        </w:rPr>
      </w:pPr>
      <w:r w:rsidRPr="00943B23">
        <w:rPr>
          <w:rFonts w:ascii="Calibri" w:hAnsi="Calibri" w:cs="Helv"/>
          <w:b/>
          <w:bCs/>
          <w:color w:val="000000"/>
        </w:rPr>
        <w:t>Amending Irrevocable Trusts – Why they are Effective at the Power Holder’s Death</w:t>
      </w:r>
    </w:p>
    <w:p w14:paraId="793A44EE" w14:textId="77777777" w:rsidR="00491FB5" w:rsidRDefault="00491FB5"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But let’s say Jane </w:t>
      </w:r>
      <w:r w:rsidRPr="0035635F">
        <w:rPr>
          <w:rFonts w:ascii="Calibri" w:hAnsi="Calibri" w:cs="Helv"/>
          <w:bCs/>
          <w:i/>
          <w:color w:val="000000"/>
        </w:rPr>
        <w:t>did not</w:t>
      </w:r>
      <w:r>
        <w:rPr>
          <w:rFonts w:ascii="Calibri" w:hAnsi="Calibri" w:cs="Helv"/>
          <w:bCs/>
          <w:color w:val="000000"/>
        </w:rPr>
        <w:t xml:space="preserve"> have a limited power of appointment, or doesn’t like the drawbacks of granting the beneficiaries a presently exercisable general power of appointment.  Aren’t we taught after </w:t>
      </w:r>
      <w:r w:rsidRPr="00F83FBC">
        <w:rPr>
          <w:rFonts w:ascii="Calibri" w:hAnsi="Calibri" w:cs="Helv"/>
          <w:bCs/>
          <w:i/>
          <w:color w:val="000000"/>
        </w:rPr>
        <w:t>Bosch</w:t>
      </w:r>
      <w:r>
        <w:rPr>
          <w:rFonts w:ascii="Calibri" w:hAnsi="Calibri" w:cs="Helv"/>
          <w:bCs/>
          <w:color w:val="000000"/>
        </w:rPr>
        <w:t xml:space="preserve"> and similar cases and PLRs that trying to reform a trust for the marital or charitable deduction post-mortem (or post gift) should not be recognized?</w:t>
      </w:r>
      <w:r>
        <w:rPr>
          <w:rStyle w:val="FootnoteReference"/>
          <w:rFonts w:ascii="Calibri" w:hAnsi="Calibri" w:cs="Helv"/>
          <w:bCs/>
          <w:color w:val="000000"/>
        </w:rPr>
        <w:footnoteReference w:id="314"/>
      </w:r>
      <w:r>
        <w:rPr>
          <w:rFonts w:ascii="Calibri" w:hAnsi="Calibri" w:cs="Helv"/>
          <w:bCs/>
          <w:color w:val="000000"/>
        </w:rPr>
        <w:t xml:space="preserve">  Isn’t this a similar trend for </w:t>
      </w:r>
      <w:r w:rsidR="0035635F">
        <w:rPr>
          <w:rFonts w:ascii="Calibri" w:hAnsi="Calibri" w:cs="Helv"/>
          <w:bCs/>
          <w:color w:val="000000"/>
        </w:rPr>
        <w:t>IRA “</w:t>
      </w:r>
      <w:r>
        <w:rPr>
          <w:rFonts w:ascii="Calibri" w:hAnsi="Calibri" w:cs="Helv"/>
          <w:bCs/>
          <w:color w:val="000000"/>
        </w:rPr>
        <w:t>see through trust</w:t>
      </w:r>
      <w:r w:rsidR="0035635F">
        <w:rPr>
          <w:rFonts w:ascii="Calibri" w:hAnsi="Calibri" w:cs="Helv"/>
          <w:bCs/>
          <w:color w:val="000000"/>
        </w:rPr>
        <w:t>”</w:t>
      </w:r>
      <w:r>
        <w:rPr>
          <w:rFonts w:ascii="Calibri" w:hAnsi="Calibri" w:cs="Helv"/>
          <w:bCs/>
          <w:color w:val="000000"/>
        </w:rPr>
        <w:t xml:space="preserve"> rulings?</w:t>
      </w:r>
      <w:r>
        <w:rPr>
          <w:rStyle w:val="FootnoteReference"/>
          <w:rFonts w:ascii="Calibri" w:hAnsi="Calibri" w:cs="Helv"/>
          <w:bCs/>
          <w:color w:val="000000"/>
        </w:rPr>
        <w:footnoteReference w:id="315"/>
      </w:r>
      <w:r>
        <w:rPr>
          <w:rFonts w:ascii="Calibri" w:hAnsi="Calibri" w:cs="Helv"/>
          <w:bCs/>
          <w:color w:val="000000"/>
        </w:rPr>
        <w:t xml:space="preserve">  </w:t>
      </w:r>
    </w:p>
    <w:p w14:paraId="42D9D729" w14:textId="77777777" w:rsidR="00491FB5" w:rsidRDefault="00491FB5"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lastRenderedPageBreak/>
        <w:t xml:space="preserve">These cases </w:t>
      </w:r>
      <w:r w:rsidR="0035635F">
        <w:rPr>
          <w:rFonts w:ascii="Calibri" w:hAnsi="Calibri" w:cs="Helv"/>
          <w:bCs/>
          <w:color w:val="000000"/>
        </w:rPr>
        <w:t xml:space="preserve">and rulings </w:t>
      </w:r>
      <w:r w:rsidR="00AA1DFA">
        <w:rPr>
          <w:rFonts w:ascii="Calibri" w:hAnsi="Calibri" w:cs="Helv"/>
          <w:bCs/>
          <w:color w:val="000000"/>
        </w:rPr>
        <w:t xml:space="preserve">that deny the effects of state court proceedings </w:t>
      </w:r>
      <w:r>
        <w:rPr>
          <w:rFonts w:ascii="Calibri" w:hAnsi="Calibri" w:cs="Helv"/>
          <w:bCs/>
          <w:color w:val="000000"/>
        </w:rPr>
        <w:t>can easily be distinguished.  Most of them concerned taxpayers trying to change the legal effect of what the trust terms were at the death of the original transferor</w:t>
      </w:r>
      <w:r w:rsidR="00AA1DFA">
        <w:rPr>
          <w:rFonts w:ascii="Calibri" w:hAnsi="Calibri" w:cs="Helv"/>
          <w:bCs/>
          <w:color w:val="000000"/>
        </w:rPr>
        <w:t>, after the taxable event</w:t>
      </w:r>
      <w:r>
        <w:rPr>
          <w:rFonts w:ascii="Calibri" w:hAnsi="Calibri" w:cs="Helv"/>
          <w:bCs/>
          <w:color w:val="000000"/>
        </w:rPr>
        <w:t xml:space="preserve"> (i.e., does it qualify as a marital, charitable or see through trust at death).</w:t>
      </w:r>
      <w:r w:rsidR="00761952">
        <w:rPr>
          <w:rStyle w:val="FootnoteReference"/>
          <w:rFonts w:ascii="Calibri" w:hAnsi="Calibri" w:cs="Helv"/>
          <w:bCs/>
          <w:color w:val="000000"/>
        </w:rPr>
        <w:footnoteReference w:id="316"/>
      </w:r>
      <w:r>
        <w:rPr>
          <w:rFonts w:ascii="Calibri" w:hAnsi="Calibri" w:cs="Helv"/>
          <w:bCs/>
          <w:color w:val="000000"/>
        </w:rPr>
        <w:t xml:space="preserve">  They do not concern what a transferee decedent owned or didn’t own at the time of a transferee’s death.</w:t>
      </w:r>
    </w:p>
    <w:p w14:paraId="7BBEDC05" w14:textId="77777777" w:rsidR="00491FB5" w:rsidRDefault="00491FB5"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IRC § 2041 concerns what rights and powers a decedent has over property.  If trust terms change so as to be </w:t>
      </w:r>
      <w:r w:rsidR="00AA1DFA">
        <w:rPr>
          <w:rFonts w:ascii="Calibri" w:hAnsi="Calibri" w:cs="Helv"/>
          <w:bCs/>
          <w:color w:val="000000"/>
        </w:rPr>
        <w:t>legally binding, and grant greater rights to the power holder, the</w:t>
      </w:r>
      <w:r>
        <w:rPr>
          <w:rFonts w:ascii="Calibri" w:hAnsi="Calibri" w:cs="Helv"/>
          <w:bCs/>
          <w:color w:val="000000"/>
        </w:rPr>
        <w:t xml:space="preserve"> property rights</w:t>
      </w:r>
      <w:r w:rsidR="00AA1DFA">
        <w:rPr>
          <w:rFonts w:ascii="Calibri" w:hAnsi="Calibri" w:cs="Helv"/>
          <w:bCs/>
          <w:color w:val="000000"/>
        </w:rPr>
        <w:t xml:space="preserve"> held by the power holder must change</w:t>
      </w:r>
      <w:r>
        <w:rPr>
          <w:rFonts w:ascii="Calibri" w:hAnsi="Calibri" w:cs="Helv"/>
          <w:bCs/>
          <w:color w:val="000000"/>
        </w:rPr>
        <w:t xml:space="preserve">.    </w:t>
      </w:r>
    </w:p>
    <w:p w14:paraId="640B9923" w14:textId="77777777" w:rsidR="00491FB5" w:rsidRDefault="00491FB5"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In </w:t>
      </w:r>
      <w:r>
        <w:rPr>
          <w:rFonts w:ascii="Calibri" w:hAnsi="Calibri"/>
        </w:rPr>
        <w:t>Rev. Rul. 73-142</w:t>
      </w:r>
      <w:r>
        <w:rPr>
          <w:rFonts w:ascii="Calibri" w:hAnsi="Calibri" w:cs="Helv"/>
          <w:bCs/>
          <w:color w:val="000000"/>
        </w:rPr>
        <w:t>, a grantor/decedent established a trust for his wife and children, not subject to ascertainable standards, and mistakenly retained the power to remove and become the trustee.</w:t>
      </w:r>
      <w:r>
        <w:rPr>
          <w:rStyle w:val="FootnoteReference"/>
          <w:rFonts w:ascii="Calibri" w:hAnsi="Calibri" w:cs="Helv"/>
          <w:bCs/>
          <w:color w:val="000000"/>
        </w:rPr>
        <w:footnoteReference w:id="317"/>
      </w:r>
      <w:r>
        <w:rPr>
          <w:rFonts w:ascii="Calibri" w:hAnsi="Calibri" w:cs="Helv"/>
          <w:bCs/>
          <w:color w:val="000000"/>
        </w:rPr>
        <w:t xml:space="preserve">  Years prior to his death, he went to court to successfully construe the trust to mean that he could not be appointed trustee (nowadays, we would also preclude removal and replacement with any related/subordinate party).</w:t>
      </w:r>
      <w:r>
        <w:rPr>
          <w:rStyle w:val="FootnoteReference"/>
          <w:rFonts w:ascii="Calibri" w:hAnsi="Calibri" w:cs="Helv"/>
          <w:bCs/>
          <w:color w:val="000000"/>
        </w:rPr>
        <w:footnoteReference w:id="318"/>
      </w:r>
      <w:r>
        <w:rPr>
          <w:rFonts w:ascii="Calibri" w:hAnsi="Calibri" w:cs="Helv"/>
          <w:bCs/>
          <w:color w:val="000000"/>
        </w:rPr>
        <w:t xml:space="preserve">  The IRS ruled that this court order had tax effect to negate the IRC §2036/2038 issue </w:t>
      </w:r>
      <w:r w:rsidRPr="000C0A18">
        <w:rPr>
          <w:rFonts w:ascii="Calibri" w:hAnsi="Calibri" w:cs="Helv"/>
          <w:bCs/>
          <w:i/>
          <w:color w:val="000000"/>
        </w:rPr>
        <w:t>despite the state court decree being contrary to the decisions in the state’s highest court</w:t>
      </w:r>
      <w:r>
        <w:rPr>
          <w:rFonts w:ascii="Calibri" w:hAnsi="Calibri" w:cs="Helv"/>
          <w:bCs/>
          <w:color w:val="000000"/>
        </w:rPr>
        <w:t>.  While this is not an IRC §2041 case, this Rev. Rul. bodes well for such proactive planning to add a limited GPOA for better tax results.</w:t>
      </w:r>
    </w:p>
    <w:p w14:paraId="1C11F67E" w14:textId="77777777" w:rsidR="00491FB5" w:rsidRDefault="00491FB5" w:rsidP="007C3995">
      <w:pPr>
        <w:autoSpaceDE w:val="0"/>
        <w:autoSpaceDN w:val="0"/>
        <w:adjustRightInd w:val="0"/>
        <w:spacing w:line="360" w:lineRule="auto"/>
        <w:ind w:firstLine="720"/>
        <w:rPr>
          <w:rFonts w:ascii="Calibri" w:hAnsi="Calibri"/>
        </w:rPr>
      </w:pPr>
      <w:r>
        <w:rPr>
          <w:rFonts w:ascii="Calibri" w:hAnsi="Calibri"/>
        </w:rPr>
        <w:t xml:space="preserve">One PLR following Rev. Rul. 73-142 noted a key difference with </w:t>
      </w:r>
      <w:r w:rsidRPr="007045A0">
        <w:rPr>
          <w:rFonts w:ascii="Calibri" w:hAnsi="Calibri"/>
          <w:i/>
        </w:rPr>
        <w:t>Bosch</w:t>
      </w:r>
      <w:r>
        <w:rPr>
          <w:rFonts w:ascii="Calibri" w:hAnsi="Calibri"/>
        </w:rPr>
        <w:t>: “</w:t>
      </w:r>
      <w:r w:rsidRPr="00665F91">
        <w:rPr>
          <w:rFonts w:ascii="Calibri" w:hAnsi="Calibri"/>
        </w:rPr>
        <w:t xml:space="preserve">Unlike the situation in </w:t>
      </w:r>
      <w:r w:rsidRPr="007045A0">
        <w:rPr>
          <w:rFonts w:ascii="Calibri" w:hAnsi="Calibri"/>
          <w:i/>
        </w:rPr>
        <w:t>Bosch</w:t>
      </w:r>
      <w:r w:rsidRPr="00665F91">
        <w:rPr>
          <w:rFonts w:ascii="Calibri" w:hAnsi="Calibri"/>
        </w:rPr>
        <w:t xml:space="preserve">, the decree in the ruling </w:t>
      </w:r>
      <w:r>
        <w:rPr>
          <w:rFonts w:ascii="Calibri" w:hAnsi="Calibri"/>
        </w:rPr>
        <w:t xml:space="preserve">[73-142] </w:t>
      </w:r>
      <w:r w:rsidRPr="00665F91">
        <w:rPr>
          <w:rFonts w:ascii="Calibri" w:hAnsi="Calibri"/>
        </w:rPr>
        <w:t xml:space="preserve">was handed down before the time of </w:t>
      </w:r>
      <w:r w:rsidRPr="00665F91">
        <w:rPr>
          <w:rFonts w:ascii="Calibri" w:hAnsi="Calibri"/>
        </w:rPr>
        <w:lastRenderedPageBreak/>
        <w:t>event giving rise to the tax (that is, the date of the grantor's death).</w:t>
      </w:r>
      <w:r>
        <w:rPr>
          <w:rFonts w:ascii="Calibri" w:hAnsi="Calibri"/>
        </w:rPr>
        <w:t>”</w:t>
      </w:r>
      <w:r>
        <w:rPr>
          <w:rStyle w:val="FootnoteReference"/>
          <w:rFonts w:ascii="Calibri" w:hAnsi="Calibri"/>
        </w:rPr>
        <w:footnoteReference w:id="319"/>
      </w:r>
      <w:r>
        <w:rPr>
          <w:rFonts w:ascii="Calibri" w:hAnsi="Calibri"/>
        </w:rPr>
        <w:t xml:space="preserve">  In that PLR, a state court order construing a tax apportionment clause to apply to the GST non-exempt marital share rather than equitably to both GST exempt and GST non-exempt shares was given effect.  This was good proactive planning by counsel prior to the taxing event to keep more funds in a GST sheltered trust.  </w:t>
      </w:r>
    </w:p>
    <w:p w14:paraId="00DADC95" w14:textId="77777777" w:rsidR="00491FB5" w:rsidRDefault="00491FB5" w:rsidP="007C3995">
      <w:pPr>
        <w:autoSpaceDE w:val="0"/>
        <w:autoSpaceDN w:val="0"/>
        <w:adjustRightInd w:val="0"/>
        <w:spacing w:line="360" w:lineRule="auto"/>
        <w:ind w:firstLine="720"/>
        <w:rPr>
          <w:rFonts w:ascii="Calibri" w:hAnsi="Calibri"/>
        </w:rPr>
      </w:pPr>
      <w:r>
        <w:rPr>
          <w:rFonts w:ascii="Calibri" w:hAnsi="Calibri"/>
        </w:rPr>
        <w:t xml:space="preserve">Like the above rulings, any such modifications to ensure an Optimal Basis Increase would similarly affect a surviving spouse’s rights </w:t>
      </w:r>
      <w:r w:rsidRPr="00E64050">
        <w:rPr>
          <w:rFonts w:ascii="Calibri" w:hAnsi="Calibri"/>
          <w:i/>
        </w:rPr>
        <w:t>before</w:t>
      </w:r>
      <w:r>
        <w:rPr>
          <w:rFonts w:ascii="Calibri" w:hAnsi="Calibri"/>
        </w:rPr>
        <w:t xml:space="preserve"> the time of his or her death, and with current trust law trends, such reformations would unlikely even be contrary to the state’s highest court.  Obviously, if beneficiaries try to fashion such a solution </w:t>
      </w:r>
      <w:r w:rsidRPr="007045A0">
        <w:rPr>
          <w:rFonts w:ascii="Calibri" w:hAnsi="Calibri"/>
          <w:i/>
        </w:rPr>
        <w:t>after</w:t>
      </w:r>
      <w:r>
        <w:rPr>
          <w:rFonts w:ascii="Calibri" w:hAnsi="Calibri"/>
        </w:rPr>
        <w:t xml:space="preserve"> both parents’ deaths, this would be unavailing under </w:t>
      </w:r>
      <w:r w:rsidRPr="007045A0">
        <w:rPr>
          <w:rFonts w:ascii="Calibri" w:hAnsi="Calibri"/>
          <w:i/>
        </w:rPr>
        <w:t>Bosch</w:t>
      </w:r>
      <w:r>
        <w:rPr>
          <w:rFonts w:ascii="Calibri" w:hAnsi="Calibri"/>
        </w:rPr>
        <w:t xml:space="preserve"> and many other decisions.</w:t>
      </w:r>
      <w:r w:rsidR="008C573E">
        <w:rPr>
          <w:rStyle w:val="FootnoteReference"/>
          <w:rFonts w:ascii="Calibri" w:hAnsi="Calibri"/>
        </w:rPr>
        <w:footnoteReference w:id="320"/>
      </w:r>
      <w:r>
        <w:rPr>
          <w:rFonts w:ascii="Calibri" w:hAnsi="Calibri"/>
        </w:rPr>
        <w:t xml:space="preserve">  </w:t>
      </w:r>
      <w:r w:rsidR="00D61614">
        <w:rPr>
          <w:rFonts w:ascii="Calibri" w:hAnsi="Calibri"/>
        </w:rPr>
        <w:t xml:space="preserve">In fact, the same distinction applies to a change in state </w:t>
      </w:r>
      <w:r w:rsidR="00D61614" w:rsidRPr="00D61614">
        <w:rPr>
          <w:rFonts w:ascii="Calibri" w:hAnsi="Calibri"/>
          <w:i/>
        </w:rPr>
        <w:t>law</w:t>
      </w:r>
      <w:r w:rsidR="00D61614">
        <w:rPr>
          <w:rFonts w:ascii="Calibri" w:hAnsi="Calibri"/>
        </w:rPr>
        <w:t xml:space="preserve">: </w:t>
      </w:r>
      <w:r w:rsidR="00D61614" w:rsidRPr="00D61614">
        <w:rPr>
          <w:rFonts w:ascii="Calibri" w:hAnsi="Calibri"/>
        </w:rPr>
        <w:t xml:space="preserve">the Service will not recognize the effectiveness, for federal transfer tax purposes, of state legislation purporting to </w:t>
      </w:r>
      <w:r w:rsidR="00D61614" w:rsidRPr="00D61614">
        <w:rPr>
          <w:rFonts w:ascii="Calibri" w:hAnsi="Calibri"/>
          <w:i/>
        </w:rPr>
        <w:t>retroactively</w:t>
      </w:r>
      <w:r w:rsidR="00D61614" w:rsidRPr="00D61614">
        <w:rPr>
          <w:rFonts w:ascii="Calibri" w:hAnsi="Calibri"/>
        </w:rPr>
        <w:t xml:space="preserve"> change an individual's property rights or powers after the federal tax consequences have attached</w:t>
      </w:r>
      <w:r w:rsidR="00D61614">
        <w:rPr>
          <w:rFonts w:ascii="Calibri" w:hAnsi="Calibri"/>
        </w:rPr>
        <w:t xml:space="preserve">, but it will recognize such changes </w:t>
      </w:r>
      <w:r w:rsidR="00D61614" w:rsidRPr="00D61614">
        <w:rPr>
          <w:rFonts w:ascii="Calibri" w:hAnsi="Calibri"/>
          <w:i/>
        </w:rPr>
        <w:t>prospectively</w:t>
      </w:r>
      <w:r w:rsidR="00D61614">
        <w:rPr>
          <w:rFonts w:ascii="Calibri" w:hAnsi="Calibri"/>
        </w:rPr>
        <w:t xml:space="preserve"> for federal tax purposes.</w:t>
      </w:r>
      <w:r w:rsidR="00D61614">
        <w:rPr>
          <w:rStyle w:val="FootnoteReference"/>
          <w:rFonts w:ascii="Calibri" w:hAnsi="Calibri"/>
        </w:rPr>
        <w:footnoteReference w:id="321"/>
      </w:r>
      <w:r w:rsidR="00D61614">
        <w:rPr>
          <w:rFonts w:ascii="Calibri" w:hAnsi="Calibri"/>
        </w:rPr>
        <w:t xml:space="preserve">  Thus</w:t>
      </w:r>
      <w:r>
        <w:rPr>
          <w:rFonts w:ascii="Calibri" w:hAnsi="Calibri"/>
        </w:rPr>
        <w:t>, there is strong precedent that private settlement agreements</w:t>
      </w:r>
      <w:r w:rsidR="008C573E">
        <w:rPr>
          <w:rFonts w:ascii="Calibri" w:hAnsi="Calibri"/>
        </w:rPr>
        <w:t xml:space="preserve"> and</w:t>
      </w:r>
      <w:r>
        <w:rPr>
          <w:rFonts w:ascii="Calibri" w:hAnsi="Calibri"/>
        </w:rPr>
        <w:t xml:space="preserve"> court actions pursuant to statute, decanting, trust protector or other methods to add a formula GPOA </w:t>
      </w:r>
      <w:r w:rsidRPr="007045A0">
        <w:rPr>
          <w:rFonts w:ascii="Calibri" w:hAnsi="Calibri"/>
          <w:i/>
        </w:rPr>
        <w:t>prior</w:t>
      </w:r>
      <w:r>
        <w:rPr>
          <w:rFonts w:ascii="Calibri" w:hAnsi="Calibri"/>
        </w:rPr>
        <w:t xml:space="preserve"> to the time of the event giving rise to the tax (the surviving spouse’s death), should (and </w:t>
      </w:r>
      <w:r w:rsidRPr="00D61614">
        <w:rPr>
          <w:rFonts w:ascii="Calibri" w:hAnsi="Calibri"/>
          <w:i/>
        </w:rPr>
        <w:t>must</w:t>
      </w:r>
      <w:r>
        <w:rPr>
          <w:rFonts w:ascii="Calibri" w:hAnsi="Calibri"/>
        </w:rPr>
        <w:t>) be given effect</w:t>
      </w:r>
      <w:r w:rsidR="00B575E4">
        <w:rPr>
          <w:rFonts w:ascii="Calibri" w:hAnsi="Calibri"/>
        </w:rPr>
        <w:t xml:space="preserve"> – no different than a complete distribution/termination of the trust</w:t>
      </w:r>
      <w:r>
        <w:rPr>
          <w:rFonts w:ascii="Calibri" w:hAnsi="Calibri"/>
        </w:rPr>
        <w:t>.</w:t>
      </w:r>
    </w:p>
    <w:p w14:paraId="592718CB" w14:textId="77777777" w:rsidR="00AE6EC6" w:rsidRDefault="00491FB5"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The reverse, </w:t>
      </w:r>
      <w:r w:rsidRPr="008C573E">
        <w:rPr>
          <w:rFonts w:ascii="Calibri" w:hAnsi="Calibri" w:cs="Helv"/>
          <w:bCs/>
          <w:i/>
          <w:color w:val="000000"/>
        </w:rPr>
        <w:t>removing</w:t>
      </w:r>
      <w:r>
        <w:rPr>
          <w:rFonts w:ascii="Calibri" w:hAnsi="Calibri" w:cs="Helv"/>
          <w:bCs/>
          <w:color w:val="000000"/>
        </w:rPr>
        <w:t xml:space="preserve"> a GPOA, is a more difficult issue, so any reformation should strongly consider the irrevocable nature</w:t>
      </w:r>
      <w:r w:rsidR="00B575E4">
        <w:rPr>
          <w:rFonts w:ascii="Calibri" w:hAnsi="Calibri" w:cs="Helv"/>
          <w:bCs/>
          <w:color w:val="000000"/>
        </w:rPr>
        <w:t xml:space="preserve"> of the tax consequence</w:t>
      </w:r>
      <w:r>
        <w:rPr>
          <w:rFonts w:ascii="Calibri" w:hAnsi="Calibri" w:cs="Helv"/>
          <w:bCs/>
          <w:color w:val="000000"/>
        </w:rPr>
        <w:t xml:space="preserve">.  Generally, </w:t>
      </w:r>
      <w:r w:rsidR="00041B7C">
        <w:rPr>
          <w:rFonts w:ascii="Calibri" w:hAnsi="Calibri" w:cs="Helv"/>
          <w:bCs/>
          <w:color w:val="000000"/>
        </w:rPr>
        <w:t xml:space="preserve">a power holder </w:t>
      </w:r>
      <w:r>
        <w:rPr>
          <w:rFonts w:ascii="Calibri" w:hAnsi="Calibri" w:cs="Helv"/>
          <w:bCs/>
          <w:color w:val="000000"/>
        </w:rPr>
        <w:t>releasing a general power of appointment would trigger gift tax, and could trigger taxation of any IRD.</w:t>
      </w:r>
      <w:r>
        <w:rPr>
          <w:rStyle w:val="FootnoteReference"/>
          <w:rFonts w:ascii="Calibri" w:hAnsi="Calibri" w:cs="Helv"/>
          <w:bCs/>
          <w:color w:val="000000"/>
        </w:rPr>
        <w:footnoteReference w:id="322"/>
      </w:r>
      <w:r>
        <w:rPr>
          <w:rFonts w:ascii="Calibri" w:hAnsi="Calibri" w:cs="Helv"/>
          <w:bCs/>
          <w:color w:val="000000"/>
        </w:rPr>
        <w:t xml:space="preserve">  However,</w:t>
      </w:r>
      <w:r w:rsidR="00822D4B">
        <w:rPr>
          <w:rFonts w:ascii="Calibri" w:hAnsi="Calibri" w:cs="Helv"/>
          <w:bCs/>
          <w:color w:val="000000"/>
        </w:rPr>
        <w:t xml:space="preserve"> there are rulings which honor this when done through court reformations, without negative gift/estate tax consequence.  I</w:t>
      </w:r>
      <w:r>
        <w:rPr>
          <w:rFonts w:ascii="Calibri" w:hAnsi="Calibri" w:cs="Helv"/>
          <w:bCs/>
          <w:color w:val="000000"/>
        </w:rPr>
        <w:t xml:space="preserve">n one recent PLR, the IRS </w:t>
      </w:r>
      <w:r>
        <w:rPr>
          <w:rFonts w:ascii="Calibri" w:hAnsi="Calibri" w:cs="Helv"/>
          <w:bCs/>
          <w:color w:val="000000"/>
        </w:rPr>
        <w:lastRenderedPageBreak/>
        <w:t>allowed a post-mortem court reformation to essentially remove a GPOA without adverse tax effect.</w:t>
      </w:r>
      <w:r>
        <w:rPr>
          <w:rStyle w:val="FootnoteReference"/>
          <w:rFonts w:ascii="Calibri" w:hAnsi="Calibri" w:cs="Helv"/>
          <w:bCs/>
          <w:color w:val="000000"/>
        </w:rPr>
        <w:footnoteReference w:id="323"/>
      </w:r>
      <w:r>
        <w:rPr>
          <w:rFonts w:ascii="Calibri" w:hAnsi="Calibri" w:cs="Helv"/>
          <w:bCs/>
          <w:color w:val="000000"/>
        </w:rPr>
        <w:t xml:space="preserve">  </w:t>
      </w:r>
      <w:r w:rsidR="00092FF2">
        <w:rPr>
          <w:rFonts w:ascii="Calibri" w:hAnsi="Calibri" w:cs="Helv"/>
          <w:bCs/>
          <w:color w:val="000000"/>
        </w:rPr>
        <w:t xml:space="preserve">An even more recent PLR ruled that the exercise of an independent trustee power that could remove or limit a GPOA would not be a taxable event triggering IRC </w:t>
      </w:r>
      <w:r w:rsidR="00092FF2">
        <w:rPr>
          <w:rFonts w:ascii="Arial" w:hAnsi="Arial" w:cs="Arial"/>
          <w:bCs/>
          <w:color w:val="000000"/>
        </w:rPr>
        <w:t>§</w:t>
      </w:r>
      <w:r w:rsidR="00092FF2">
        <w:rPr>
          <w:rFonts w:ascii="Calibri" w:hAnsi="Calibri" w:cs="Helv"/>
          <w:bCs/>
          <w:color w:val="000000"/>
        </w:rPr>
        <w:t>2514/2041.</w:t>
      </w:r>
      <w:r w:rsidR="00092FF2">
        <w:rPr>
          <w:rStyle w:val="FootnoteReference"/>
          <w:rFonts w:ascii="Calibri" w:hAnsi="Calibri" w:cs="Helv"/>
          <w:bCs/>
          <w:color w:val="000000"/>
        </w:rPr>
        <w:footnoteReference w:id="324"/>
      </w:r>
      <w:r w:rsidR="00092FF2">
        <w:rPr>
          <w:rFonts w:ascii="Calibri" w:hAnsi="Calibri" w:cs="Helv"/>
          <w:bCs/>
          <w:color w:val="000000"/>
        </w:rPr>
        <w:t xml:space="preserve">  </w:t>
      </w:r>
      <w:r w:rsidR="005623AE">
        <w:rPr>
          <w:rFonts w:ascii="Calibri" w:hAnsi="Calibri" w:cs="Helv"/>
          <w:bCs/>
          <w:color w:val="000000"/>
        </w:rPr>
        <w:t>Another older IRS ruling also found that a court reformation that removed a beneficiary spouse’s testamentary GPOA would not cause a taxable gift and would be honored to avoid later estate tax inclusion.</w:t>
      </w:r>
      <w:r w:rsidR="005623AE">
        <w:rPr>
          <w:rStyle w:val="FootnoteReference"/>
          <w:rFonts w:ascii="Calibri" w:hAnsi="Calibri" w:cs="Helv"/>
          <w:bCs/>
          <w:color w:val="000000"/>
        </w:rPr>
        <w:footnoteReference w:id="325"/>
      </w:r>
      <w:r w:rsidR="00822D4B">
        <w:rPr>
          <w:rFonts w:ascii="Calibri" w:hAnsi="Calibri" w:cs="Helv"/>
          <w:bCs/>
          <w:color w:val="000000"/>
        </w:rPr>
        <w:t xml:space="preserve">  </w:t>
      </w:r>
    </w:p>
    <w:p w14:paraId="12D1DD46" w14:textId="77777777" w:rsidR="005E7D85" w:rsidRPr="00943B23" w:rsidRDefault="005E7D85" w:rsidP="00180FD1">
      <w:pPr>
        <w:pStyle w:val="ListParagraph"/>
        <w:numPr>
          <w:ilvl w:val="0"/>
          <w:numId w:val="23"/>
        </w:numPr>
        <w:autoSpaceDE w:val="0"/>
        <w:autoSpaceDN w:val="0"/>
        <w:adjustRightInd w:val="0"/>
        <w:spacing w:line="360" w:lineRule="auto"/>
        <w:ind w:hanging="720"/>
        <w:rPr>
          <w:rFonts w:ascii="Calibri" w:hAnsi="Calibri" w:cs="Helv"/>
          <w:b/>
          <w:bCs/>
          <w:color w:val="000000"/>
        </w:rPr>
      </w:pPr>
      <w:r w:rsidRPr="00943B23">
        <w:rPr>
          <w:rFonts w:ascii="Calibri" w:hAnsi="Calibri" w:cs="Helv"/>
          <w:b/>
          <w:bCs/>
          <w:color w:val="000000"/>
        </w:rPr>
        <w:t>Limiting Amendments to Keep Fidelity to Settlor’s Intent</w:t>
      </w:r>
    </w:p>
    <w:p w14:paraId="18229508" w14:textId="77777777" w:rsidR="00491FB5" w:rsidRDefault="00952A55" w:rsidP="007C399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A</w:t>
      </w:r>
      <w:r w:rsidR="00491FB5">
        <w:rPr>
          <w:rFonts w:ascii="Calibri" w:hAnsi="Calibri" w:cs="Helv"/>
          <w:bCs/>
          <w:color w:val="000000"/>
        </w:rPr>
        <w:t xml:space="preserve">ny added powers of appointment can limit </w:t>
      </w:r>
      <w:r>
        <w:rPr>
          <w:rFonts w:ascii="Calibri" w:hAnsi="Calibri" w:cs="Helv"/>
          <w:bCs/>
          <w:color w:val="000000"/>
        </w:rPr>
        <w:t xml:space="preserve">appointees </w:t>
      </w:r>
      <w:r w:rsidR="00491FB5">
        <w:rPr>
          <w:rFonts w:ascii="Calibri" w:hAnsi="Calibri" w:cs="Helv"/>
          <w:bCs/>
          <w:color w:val="000000"/>
        </w:rPr>
        <w:t xml:space="preserve">to certain trusts.  In our example above, if Jane had not been granted a limited power of appointment, the trustee might decant to a near identical trust which grants Jane the limited testamentary power to appoint certain assets to the Jane Doe Irrevocable Delaware Tax Trapping Trust, a trust established with terms nearly identical to her husband John’s trust for the children, only granting the children a </w:t>
      </w:r>
      <w:r>
        <w:rPr>
          <w:rFonts w:ascii="Calibri" w:hAnsi="Calibri" w:cs="Helv"/>
          <w:bCs/>
          <w:color w:val="000000"/>
        </w:rPr>
        <w:t>PEG power</w:t>
      </w:r>
      <w:r w:rsidR="00491FB5">
        <w:rPr>
          <w:rFonts w:ascii="Calibri" w:hAnsi="Calibri" w:cs="Helv"/>
          <w:bCs/>
          <w:color w:val="000000"/>
        </w:rPr>
        <w:t xml:space="preserve"> circumscribed using techniques discussed above.  Indeed, this </w:t>
      </w:r>
      <w:r>
        <w:rPr>
          <w:rFonts w:ascii="Calibri" w:hAnsi="Calibri" w:cs="Helv"/>
          <w:bCs/>
          <w:color w:val="000000"/>
        </w:rPr>
        <w:t>would</w:t>
      </w:r>
      <w:r w:rsidR="00491FB5">
        <w:rPr>
          <w:rFonts w:ascii="Calibri" w:hAnsi="Calibri" w:cs="Helv"/>
          <w:bCs/>
          <w:color w:val="000000"/>
        </w:rPr>
        <w:t xml:space="preserve"> be a more prudent exercise of the trustee’s decanting power (or court’s power to amend), since it would do less harm to the original settlor’s intentions than adding a broad LPOA or GPOA (indeed, many trusts pay outright to children at some point anyway).</w:t>
      </w:r>
      <w:r w:rsidR="00993255">
        <w:rPr>
          <w:rStyle w:val="FootnoteReference"/>
          <w:rFonts w:ascii="Calibri" w:hAnsi="Calibri" w:cs="Helv"/>
          <w:bCs/>
          <w:color w:val="000000"/>
        </w:rPr>
        <w:footnoteReference w:id="326"/>
      </w:r>
    </w:p>
    <w:p w14:paraId="28904874" w14:textId="77777777" w:rsidR="00041B7C" w:rsidRDefault="00041B7C" w:rsidP="00CB1A61">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Limited amendments do much less harm to a settlor’s probabl</w:t>
      </w:r>
      <w:r w:rsidR="00B70089">
        <w:rPr>
          <w:rFonts w:ascii="Calibri" w:hAnsi="Calibri" w:cs="Helv"/>
          <w:bCs/>
          <w:color w:val="000000"/>
        </w:rPr>
        <w:t>e</w:t>
      </w:r>
      <w:r>
        <w:rPr>
          <w:rFonts w:ascii="Calibri" w:hAnsi="Calibri" w:cs="Helv"/>
          <w:bCs/>
          <w:color w:val="000000"/>
        </w:rPr>
        <w:t xml:space="preserve"> intent than a major amendment or wholesale termination, and this is reflected in the Uniform Trust Code’s slightly different standards for reformations:</w:t>
      </w:r>
    </w:p>
    <w:p w14:paraId="42384689" w14:textId="77777777" w:rsidR="00041B7C" w:rsidRDefault="00041B7C" w:rsidP="00041B7C">
      <w:pPr>
        <w:autoSpaceDE w:val="0"/>
        <w:autoSpaceDN w:val="0"/>
        <w:adjustRightInd w:val="0"/>
        <w:spacing w:line="360" w:lineRule="auto"/>
        <w:ind w:left="720"/>
        <w:jc w:val="both"/>
        <w:rPr>
          <w:rFonts w:ascii="Calibri" w:hAnsi="Calibri" w:cs="Helv"/>
          <w:bCs/>
          <w:color w:val="000000"/>
        </w:rPr>
      </w:pPr>
      <w:r>
        <w:rPr>
          <w:rFonts w:ascii="Calibri" w:hAnsi="Calibri" w:cs="Helv"/>
          <w:bCs/>
          <w:color w:val="000000"/>
        </w:rPr>
        <w:t>“</w:t>
      </w:r>
      <w:r w:rsidRPr="00041B7C">
        <w:rPr>
          <w:rFonts w:ascii="Calibri" w:hAnsi="Calibri" w:cs="Helv"/>
          <w:bCs/>
          <w:color w:val="000000"/>
        </w:rPr>
        <w:t xml:space="preserve">(b) A noncharitable irrevocable trust may be </w:t>
      </w:r>
      <w:r w:rsidRPr="00041B7C">
        <w:rPr>
          <w:rFonts w:ascii="Calibri" w:hAnsi="Calibri" w:cs="Helv"/>
          <w:b/>
          <w:bCs/>
          <w:i/>
          <w:color w:val="000000"/>
        </w:rPr>
        <w:t>terminated</w:t>
      </w:r>
      <w:r w:rsidRPr="00041B7C">
        <w:rPr>
          <w:rFonts w:ascii="Calibri" w:hAnsi="Calibri" w:cs="Helv"/>
          <w:bCs/>
          <w:color w:val="000000"/>
        </w:rPr>
        <w:t xml:space="preserve"> upon consent of all of the beneficiaries if the court concludes that </w:t>
      </w:r>
      <w:r w:rsidRPr="00041B7C">
        <w:rPr>
          <w:rFonts w:ascii="Calibri" w:hAnsi="Calibri" w:cs="Helv"/>
          <w:b/>
          <w:bCs/>
          <w:i/>
          <w:color w:val="000000"/>
        </w:rPr>
        <w:t>continuance of the trust is not necessary to achieve any material purpose of the trust</w:t>
      </w:r>
      <w:r w:rsidRPr="00041B7C">
        <w:rPr>
          <w:rFonts w:ascii="Calibri" w:hAnsi="Calibri" w:cs="Helv"/>
          <w:bCs/>
          <w:color w:val="000000"/>
        </w:rPr>
        <w:t xml:space="preserve">. A noncharitable irrevocable trust may be </w:t>
      </w:r>
      <w:r w:rsidRPr="00041B7C">
        <w:rPr>
          <w:rFonts w:ascii="Calibri" w:hAnsi="Calibri" w:cs="Helv"/>
          <w:b/>
          <w:bCs/>
          <w:i/>
          <w:color w:val="000000"/>
        </w:rPr>
        <w:lastRenderedPageBreak/>
        <w:t>modified</w:t>
      </w:r>
      <w:r w:rsidRPr="00041B7C">
        <w:rPr>
          <w:rFonts w:ascii="Calibri" w:hAnsi="Calibri" w:cs="Helv"/>
          <w:bCs/>
          <w:color w:val="000000"/>
        </w:rPr>
        <w:t xml:space="preserve"> upon consent of all of the beneficiaries if the court concludes that modification </w:t>
      </w:r>
      <w:r w:rsidRPr="00041B7C">
        <w:rPr>
          <w:rFonts w:ascii="Calibri" w:hAnsi="Calibri" w:cs="Helv"/>
          <w:b/>
          <w:bCs/>
          <w:i/>
          <w:color w:val="000000"/>
        </w:rPr>
        <w:t>is not inconsistent with</w:t>
      </w:r>
      <w:r w:rsidRPr="00041B7C">
        <w:rPr>
          <w:rFonts w:ascii="Calibri" w:hAnsi="Calibri" w:cs="Helv"/>
          <w:bCs/>
          <w:color w:val="000000"/>
        </w:rPr>
        <w:t xml:space="preserve"> a material purpose of the trust.</w:t>
      </w:r>
      <w:r>
        <w:rPr>
          <w:rFonts w:ascii="Calibri" w:hAnsi="Calibri" w:cs="Helv"/>
          <w:bCs/>
          <w:color w:val="000000"/>
        </w:rPr>
        <w:t>”</w:t>
      </w:r>
      <w:r>
        <w:rPr>
          <w:rStyle w:val="FootnoteReference"/>
          <w:rFonts w:ascii="Calibri" w:hAnsi="Calibri" w:cs="Helv"/>
          <w:bCs/>
          <w:color w:val="000000"/>
        </w:rPr>
        <w:footnoteReference w:id="327"/>
      </w:r>
    </w:p>
    <w:p w14:paraId="2E8A4537" w14:textId="77777777" w:rsidR="00B70089" w:rsidRDefault="00B70089" w:rsidP="000207B4">
      <w:pPr>
        <w:autoSpaceDE w:val="0"/>
        <w:autoSpaceDN w:val="0"/>
        <w:adjustRightInd w:val="0"/>
        <w:spacing w:line="360" w:lineRule="auto"/>
        <w:ind w:firstLine="720"/>
        <w:rPr>
          <w:rFonts w:ascii="Calibri" w:hAnsi="Calibri" w:cs="Helv"/>
          <w:bCs/>
          <w:color w:val="000000"/>
        </w:rPr>
      </w:pPr>
    </w:p>
    <w:p w14:paraId="098E2441" w14:textId="77777777" w:rsidR="00CF4141" w:rsidRDefault="00CF4141" w:rsidP="000207B4">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Of course, if we’re dealing with an intervivos irrevocable trust where the settlor is still living, the settlor’s probable intent at the time of establishing the trust may be irrelevant, this being ignored in the primary UTC reformation provision:</w:t>
      </w:r>
    </w:p>
    <w:p w14:paraId="2D1179DA" w14:textId="77777777" w:rsidR="00CF4141" w:rsidRPr="00CF4141" w:rsidRDefault="00CF4141" w:rsidP="00CF4141">
      <w:pPr>
        <w:pStyle w:val="ListParagraph"/>
        <w:numPr>
          <w:ilvl w:val="0"/>
          <w:numId w:val="33"/>
        </w:numPr>
        <w:autoSpaceDE w:val="0"/>
        <w:autoSpaceDN w:val="0"/>
        <w:adjustRightInd w:val="0"/>
        <w:spacing w:line="360" w:lineRule="auto"/>
        <w:ind w:left="720" w:firstLine="0"/>
        <w:rPr>
          <w:rFonts w:ascii="Calibri" w:hAnsi="Calibri" w:cs="Helv"/>
          <w:bCs/>
          <w:color w:val="000000"/>
        </w:rPr>
      </w:pPr>
      <w:r w:rsidRPr="00CF4141">
        <w:rPr>
          <w:rFonts w:ascii="Calibri" w:hAnsi="Calibri" w:cs="Helv"/>
          <w:bCs/>
          <w:color w:val="000000"/>
        </w:rPr>
        <w:t xml:space="preserve">A noncharitable irrevocable trust may be modified or terminated upon consent of the settlor and all beneficiaries, </w:t>
      </w:r>
      <w:r w:rsidRPr="00CF4141">
        <w:rPr>
          <w:rFonts w:ascii="Calibri" w:hAnsi="Calibri" w:cs="Helv"/>
          <w:b/>
          <w:bCs/>
          <w:i/>
          <w:color w:val="000000"/>
        </w:rPr>
        <w:t>even if the modification or termination is inconsistent with a material purpose of the trust</w:t>
      </w:r>
      <w:r w:rsidRPr="00CF4141">
        <w:rPr>
          <w:rFonts w:ascii="Calibri" w:hAnsi="Calibri" w:cs="Helv"/>
          <w:bCs/>
          <w:color w:val="000000"/>
        </w:rPr>
        <w:t>.”</w:t>
      </w:r>
      <w:r>
        <w:rPr>
          <w:rStyle w:val="FootnoteReference"/>
          <w:rFonts w:ascii="Calibri" w:hAnsi="Calibri" w:cs="Helv"/>
          <w:bCs/>
          <w:color w:val="000000"/>
        </w:rPr>
        <w:footnoteReference w:id="328"/>
      </w:r>
    </w:p>
    <w:p w14:paraId="49BEFB55" w14:textId="77777777" w:rsidR="00726267" w:rsidRDefault="00B70089" w:rsidP="00CF4141">
      <w:pPr>
        <w:autoSpaceDE w:val="0"/>
        <w:autoSpaceDN w:val="0"/>
        <w:adjustRightInd w:val="0"/>
        <w:spacing w:line="360" w:lineRule="auto"/>
        <w:ind w:firstLine="720"/>
        <w:rPr>
          <w:rFonts w:ascii="Calibri" w:hAnsi="Calibri" w:cs="Helv"/>
          <w:bCs/>
          <w:color w:val="000000"/>
        </w:rPr>
      </w:pPr>
      <w:r w:rsidRPr="00CF4141">
        <w:rPr>
          <w:rFonts w:ascii="Calibri" w:hAnsi="Calibri" w:cs="Helv"/>
          <w:bCs/>
          <w:color w:val="000000"/>
        </w:rPr>
        <w:t>So, in most states</w:t>
      </w:r>
      <w:r w:rsidR="00CF4141">
        <w:rPr>
          <w:rFonts w:ascii="Calibri" w:hAnsi="Calibri" w:cs="Helv"/>
          <w:bCs/>
          <w:color w:val="000000"/>
        </w:rPr>
        <w:t xml:space="preserve">, the power to amend irrevocable trusts is quite broad, but we should not assume that these amendments do not have any tax effect.  The next sections will explore these potential tax effects and why the form of procurement may matter, specifically, whether a beneficiary causes the amendment, or possibly even whether a beneficiary’s non-action or acquiescence causes the amendment. </w:t>
      </w:r>
    </w:p>
    <w:p w14:paraId="3EBCCEA3" w14:textId="77777777" w:rsidR="00CF4141" w:rsidRDefault="00CF4141" w:rsidP="00CF4141">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 </w:t>
      </w:r>
    </w:p>
    <w:p w14:paraId="6C500620" w14:textId="77777777" w:rsidR="005E7D85" w:rsidRPr="00943B23" w:rsidRDefault="005E7D85" w:rsidP="00180FD1">
      <w:pPr>
        <w:pStyle w:val="ListParagraph"/>
        <w:numPr>
          <w:ilvl w:val="0"/>
          <w:numId w:val="23"/>
        </w:numPr>
        <w:autoSpaceDE w:val="0"/>
        <w:autoSpaceDN w:val="0"/>
        <w:adjustRightInd w:val="0"/>
        <w:spacing w:line="360" w:lineRule="auto"/>
        <w:ind w:hanging="720"/>
        <w:jc w:val="both"/>
        <w:rPr>
          <w:rFonts w:ascii="Calibri" w:hAnsi="Calibri" w:cs="Helv"/>
          <w:b/>
          <w:bCs/>
          <w:color w:val="000000"/>
        </w:rPr>
      </w:pPr>
      <w:r w:rsidRPr="00943B23">
        <w:rPr>
          <w:rFonts w:ascii="Calibri" w:hAnsi="Calibri" w:cs="Helv"/>
          <w:b/>
          <w:bCs/>
          <w:color w:val="000000"/>
        </w:rPr>
        <w:t>Gift</w:t>
      </w:r>
      <w:r w:rsidR="003677B8" w:rsidRPr="00943B23">
        <w:rPr>
          <w:rFonts w:ascii="Calibri" w:hAnsi="Calibri" w:cs="Helv"/>
          <w:b/>
          <w:bCs/>
          <w:color w:val="000000"/>
        </w:rPr>
        <w:t>/Estate</w:t>
      </w:r>
      <w:r w:rsidRPr="00943B23">
        <w:rPr>
          <w:rFonts w:ascii="Calibri" w:hAnsi="Calibri" w:cs="Helv"/>
          <w:b/>
          <w:bCs/>
          <w:color w:val="000000"/>
        </w:rPr>
        <w:t xml:space="preserve"> Tax Effect of Beneficiary Procurement or Acquiescence to Amendment</w:t>
      </w:r>
    </w:p>
    <w:p w14:paraId="5507DB55" w14:textId="77777777" w:rsidR="001C5944" w:rsidRDefault="001C5944" w:rsidP="000207B4">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With all the above arguments that §2041 should</w:t>
      </w:r>
      <w:r w:rsidR="005E2FE8">
        <w:rPr>
          <w:rFonts w:ascii="Calibri" w:hAnsi="Calibri" w:cs="Helv"/>
          <w:bCs/>
          <w:color w:val="000000"/>
        </w:rPr>
        <w:t xml:space="preserve"> still apply equally to amended or </w:t>
      </w:r>
      <w:r>
        <w:rPr>
          <w:rFonts w:ascii="Calibri" w:hAnsi="Calibri" w:cs="Helv"/>
          <w:bCs/>
          <w:color w:val="000000"/>
        </w:rPr>
        <w:t>reformed trusts</w:t>
      </w:r>
      <w:r w:rsidR="00CB53B7">
        <w:rPr>
          <w:rFonts w:ascii="Calibri" w:hAnsi="Calibri" w:cs="Helv"/>
          <w:bCs/>
          <w:color w:val="000000"/>
        </w:rPr>
        <w:t xml:space="preserve"> that add a power of appointment</w:t>
      </w:r>
      <w:r>
        <w:rPr>
          <w:rFonts w:ascii="Calibri" w:hAnsi="Calibri" w:cs="Helv"/>
          <w:bCs/>
          <w:color w:val="000000"/>
        </w:rPr>
        <w:t xml:space="preserve">, that is not to say that amendments may not have other effects.  </w:t>
      </w:r>
      <w:r w:rsidRPr="005E2FE8">
        <w:rPr>
          <w:rFonts w:ascii="Calibri" w:hAnsi="Calibri" w:cs="Helv"/>
          <w:b/>
          <w:bCs/>
          <w:i/>
          <w:color w:val="000000"/>
        </w:rPr>
        <w:t xml:space="preserve">Beneficiary procurement or even acquiescence to trust amendments </w:t>
      </w:r>
      <w:r w:rsidR="00041B7C" w:rsidRPr="005E2FE8">
        <w:rPr>
          <w:rFonts w:ascii="Calibri" w:hAnsi="Calibri" w:cs="Helv"/>
          <w:b/>
          <w:bCs/>
          <w:i/>
          <w:color w:val="000000"/>
        </w:rPr>
        <w:t xml:space="preserve">or terminations </w:t>
      </w:r>
      <w:r w:rsidRPr="005E2FE8">
        <w:rPr>
          <w:rFonts w:ascii="Calibri" w:hAnsi="Calibri" w:cs="Helv"/>
          <w:b/>
          <w:bCs/>
          <w:i/>
          <w:color w:val="000000"/>
        </w:rPr>
        <w:t>may have detrimental tax and asset protection effects</w:t>
      </w:r>
      <w:r w:rsidRPr="005E2FE8">
        <w:rPr>
          <w:rFonts w:ascii="Calibri" w:hAnsi="Calibri" w:cs="Helv"/>
          <w:b/>
          <w:bCs/>
          <w:color w:val="000000"/>
        </w:rPr>
        <w:t xml:space="preserve">.  </w:t>
      </w:r>
      <w:r>
        <w:rPr>
          <w:rFonts w:ascii="Calibri" w:hAnsi="Calibri" w:cs="Helv"/>
          <w:bCs/>
          <w:color w:val="000000"/>
        </w:rPr>
        <w:t xml:space="preserve">This </w:t>
      </w:r>
      <w:r w:rsidR="00682089">
        <w:rPr>
          <w:rFonts w:ascii="Calibri" w:hAnsi="Calibri" w:cs="Helv"/>
          <w:bCs/>
          <w:color w:val="000000"/>
        </w:rPr>
        <w:t>is arguably one of</w:t>
      </w:r>
      <w:r>
        <w:rPr>
          <w:rFonts w:ascii="Calibri" w:hAnsi="Calibri" w:cs="Helv"/>
          <w:bCs/>
          <w:color w:val="000000"/>
        </w:rPr>
        <w:t xml:space="preserve"> the most under</w:t>
      </w:r>
      <w:r w:rsidR="00DB1033">
        <w:rPr>
          <w:rFonts w:ascii="Calibri" w:hAnsi="Calibri" w:cs="Helv"/>
          <w:bCs/>
          <w:color w:val="000000"/>
        </w:rPr>
        <w:t>-</w:t>
      </w:r>
      <w:r>
        <w:rPr>
          <w:rFonts w:ascii="Calibri" w:hAnsi="Calibri" w:cs="Helv"/>
          <w:bCs/>
          <w:color w:val="000000"/>
        </w:rPr>
        <w:t xml:space="preserve">discussed areas of estate and asset protection planning in light of the tsunami of </w:t>
      </w:r>
      <w:r w:rsidR="008633AC">
        <w:rPr>
          <w:rFonts w:ascii="Calibri" w:hAnsi="Calibri" w:cs="Helv"/>
          <w:bCs/>
          <w:color w:val="000000"/>
        </w:rPr>
        <w:t>non-judicial</w:t>
      </w:r>
      <w:r>
        <w:rPr>
          <w:rFonts w:ascii="Calibri" w:hAnsi="Calibri" w:cs="Helv"/>
          <w:bCs/>
          <w:color w:val="000000"/>
        </w:rPr>
        <w:t xml:space="preserve"> settlement agreements, amendments and </w:t>
      </w:r>
      <w:r w:rsidR="008633AC">
        <w:rPr>
          <w:rFonts w:ascii="Calibri" w:hAnsi="Calibri" w:cs="Helv"/>
          <w:bCs/>
          <w:color w:val="000000"/>
        </w:rPr>
        <w:t xml:space="preserve">court </w:t>
      </w:r>
      <w:r>
        <w:rPr>
          <w:rFonts w:ascii="Calibri" w:hAnsi="Calibri" w:cs="Helv"/>
          <w:bCs/>
          <w:color w:val="000000"/>
        </w:rPr>
        <w:t>reformations increasingly being used by practitioners pursuant to the Uniform Trust Code or other law.</w:t>
      </w:r>
      <w:r>
        <w:rPr>
          <w:rStyle w:val="FootnoteReference"/>
          <w:rFonts w:ascii="Calibri" w:hAnsi="Calibri" w:cs="Helv"/>
          <w:bCs/>
          <w:color w:val="000000"/>
        </w:rPr>
        <w:footnoteReference w:id="329"/>
      </w:r>
      <w:r>
        <w:rPr>
          <w:rFonts w:ascii="Calibri" w:hAnsi="Calibri" w:cs="Helv"/>
          <w:bCs/>
          <w:color w:val="000000"/>
        </w:rPr>
        <w:t xml:space="preserve"> </w:t>
      </w:r>
    </w:p>
    <w:p w14:paraId="33C2DED4" w14:textId="77777777" w:rsidR="00B70089" w:rsidRPr="00243E16" w:rsidRDefault="005E2FE8" w:rsidP="00B70089">
      <w:pPr>
        <w:autoSpaceDE w:val="0"/>
        <w:autoSpaceDN w:val="0"/>
        <w:adjustRightInd w:val="0"/>
        <w:spacing w:line="360" w:lineRule="auto"/>
        <w:ind w:firstLine="720"/>
        <w:rPr>
          <w:rFonts w:asciiTheme="minorHAnsi" w:hAnsiTheme="minorHAnsi" w:cs="Times-Roman"/>
          <w:szCs w:val="22"/>
        </w:rPr>
      </w:pPr>
      <w:r>
        <w:rPr>
          <w:rFonts w:ascii="Calibri" w:hAnsi="Calibri" w:cs="Helv"/>
          <w:bCs/>
          <w:color w:val="000000"/>
        </w:rPr>
        <w:lastRenderedPageBreak/>
        <w:t xml:space="preserve">Let’s start with quick reminder of </w:t>
      </w:r>
      <w:r w:rsidR="00B70089">
        <w:rPr>
          <w:rFonts w:ascii="Calibri" w:hAnsi="Calibri" w:cs="Helv"/>
          <w:bCs/>
          <w:color w:val="000000"/>
        </w:rPr>
        <w:t>the broad definition of</w:t>
      </w:r>
      <w:r>
        <w:rPr>
          <w:rFonts w:ascii="Calibri" w:hAnsi="Calibri" w:cs="Helv"/>
          <w:bCs/>
          <w:color w:val="000000"/>
        </w:rPr>
        <w:t xml:space="preserve"> a gift for gift tax purposes (or transfer with retained interest in the estate tax context), and then explore a few cases </w:t>
      </w:r>
      <w:r w:rsidR="00D42F9C">
        <w:rPr>
          <w:rFonts w:ascii="Calibri" w:hAnsi="Calibri" w:cs="Helv"/>
          <w:bCs/>
          <w:color w:val="000000"/>
        </w:rPr>
        <w:t xml:space="preserve">and rulings </w:t>
      </w:r>
      <w:r>
        <w:rPr>
          <w:rFonts w:ascii="Calibri" w:hAnsi="Calibri" w:cs="Helv"/>
          <w:bCs/>
          <w:color w:val="000000"/>
        </w:rPr>
        <w:t>to eke out the meaning in the context of trust amendments.</w:t>
      </w:r>
      <w:r w:rsidRPr="005E2FE8">
        <w:rPr>
          <w:rFonts w:ascii="Times-Roman" w:hAnsi="Times-Roman" w:cs="Times-Roman"/>
          <w:sz w:val="22"/>
          <w:szCs w:val="22"/>
        </w:rPr>
        <w:t xml:space="preserve"> </w:t>
      </w:r>
      <w:r w:rsidR="00B70089" w:rsidRPr="00243E16">
        <w:rPr>
          <w:rFonts w:asciiTheme="minorHAnsi" w:hAnsiTheme="minorHAnsi" w:cs="Times-Roman"/>
          <w:szCs w:val="22"/>
        </w:rPr>
        <w:t>Treas. Reg. §25.2511-1:</w:t>
      </w:r>
    </w:p>
    <w:p w14:paraId="55EB3A37" w14:textId="77777777" w:rsidR="00243E16" w:rsidRDefault="00B70089" w:rsidP="00243E16">
      <w:pPr>
        <w:autoSpaceDE w:val="0"/>
        <w:autoSpaceDN w:val="0"/>
        <w:adjustRightInd w:val="0"/>
        <w:ind w:left="720"/>
        <w:rPr>
          <w:rFonts w:asciiTheme="minorHAnsi" w:hAnsiTheme="minorHAnsi" w:cs="Times-Roman"/>
          <w:szCs w:val="22"/>
          <w:lang w:val="en"/>
        </w:rPr>
      </w:pPr>
      <w:r w:rsidRPr="00B70089">
        <w:rPr>
          <w:rFonts w:asciiTheme="minorHAnsi" w:hAnsiTheme="minorHAnsi" w:cs="Times-Roman"/>
          <w:b/>
          <w:bCs/>
          <w:szCs w:val="22"/>
          <w:lang w:val="en"/>
        </w:rPr>
        <w:t>“</w:t>
      </w:r>
      <w:r w:rsidR="00243E16">
        <w:rPr>
          <w:rFonts w:asciiTheme="minorHAnsi" w:hAnsiTheme="minorHAnsi" w:cs="Times-Roman"/>
          <w:b/>
          <w:bCs/>
          <w:szCs w:val="22"/>
          <w:lang w:val="en"/>
        </w:rPr>
        <w:t xml:space="preserve">(c)(1) </w:t>
      </w:r>
      <w:r w:rsidRPr="00B70089">
        <w:rPr>
          <w:rFonts w:asciiTheme="minorHAnsi" w:hAnsiTheme="minorHAnsi" w:cs="Times-Roman"/>
          <w:szCs w:val="22"/>
          <w:lang w:val="en"/>
        </w:rPr>
        <w:t xml:space="preserve">The gift tax also applies to gifts indirectly made. Thus, </w:t>
      </w:r>
      <w:r w:rsidRPr="00CB6826">
        <w:rPr>
          <w:rFonts w:asciiTheme="minorHAnsi" w:hAnsiTheme="minorHAnsi" w:cs="Times-Roman"/>
          <w:b/>
          <w:i/>
          <w:szCs w:val="22"/>
          <w:lang w:val="en"/>
        </w:rPr>
        <w:t>any transaction in which an interest in property is gratuitously passed or conferred upon another, regardless of the means or device employed, constitutes a gift subject to tax</w:t>
      </w:r>
      <w:r w:rsidRPr="00B70089">
        <w:rPr>
          <w:rFonts w:asciiTheme="minorHAnsi" w:hAnsiTheme="minorHAnsi" w:cs="Times-Roman"/>
          <w:szCs w:val="22"/>
          <w:lang w:val="en"/>
        </w:rPr>
        <w:t xml:space="preserve">.” </w:t>
      </w:r>
    </w:p>
    <w:p w14:paraId="3C252998" w14:textId="77777777" w:rsidR="00634F3C" w:rsidRDefault="00634F3C" w:rsidP="00243E16">
      <w:pPr>
        <w:autoSpaceDE w:val="0"/>
        <w:autoSpaceDN w:val="0"/>
        <w:adjustRightInd w:val="0"/>
        <w:ind w:left="720"/>
        <w:rPr>
          <w:rFonts w:asciiTheme="minorHAnsi" w:hAnsiTheme="minorHAnsi" w:cs="Times-Roman"/>
          <w:b/>
          <w:bCs/>
          <w:szCs w:val="22"/>
          <w:lang w:val="en"/>
        </w:rPr>
      </w:pPr>
      <w:r>
        <w:rPr>
          <w:rFonts w:asciiTheme="minorHAnsi" w:hAnsiTheme="minorHAnsi" w:cs="Times-Roman"/>
          <w:b/>
          <w:bCs/>
          <w:szCs w:val="22"/>
          <w:lang w:val="en"/>
        </w:rPr>
        <w:t>***</w:t>
      </w:r>
    </w:p>
    <w:p w14:paraId="78B98F59" w14:textId="77777777" w:rsidR="00243E16" w:rsidRDefault="00243E16" w:rsidP="00243E16">
      <w:pPr>
        <w:autoSpaceDE w:val="0"/>
        <w:autoSpaceDN w:val="0"/>
        <w:adjustRightInd w:val="0"/>
        <w:ind w:left="720"/>
        <w:rPr>
          <w:rFonts w:ascii="Helvetica" w:hAnsi="Helvetica" w:cs="Arial"/>
          <w:b/>
          <w:bCs/>
          <w:color w:val="333333"/>
          <w:sz w:val="21"/>
          <w:szCs w:val="21"/>
          <w:lang w:val="en"/>
        </w:rPr>
      </w:pPr>
      <w:r>
        <w:rPr>
          <w:rFonts w:asciiTheme="minorHAnsi" w:hAnsiTheme="minorHAnsi" w:cs="Times-Roman"/>
          <w:b/>
          <w:bCs/>
          <w:szCs w:val="22"/>
          <w:lang w:val="en"/>
        </w:rPr>
        <w:t>“</w:t>
      </w:r>
      <w:r w:rsidRPr="00243E16">
        <w:rPr>
          <w:rFonts w:asciiTheme="minorHAnsi" w:hAnsiTheme="minorHAnsi" w:cs="Times-Roman"/>
          <w:b/>
          <w:bCs/>
          <w:szCs w:val="22"/>
          <w:lang w:val="en"/>
        </w:rPr>
        <w:t>(g)</w:t>
      </w:r>
      <w:r w:rsidRPr="00243E16">
        <w:rPr>
          <w:rFonts w:asciiTheme="minorHAnsi" w:hAnsiTheme="minorHAnsi" w:cs="Times-Roman"/>
          <w:szCs w:val="22"/>
          <w:lang w:val="en"/>
        </w:rPr>
        <w:t xml:space="preserve"> </w:t>
      </w:r>
      <w:bookmarkStart w:id="8" w:name="g_1"/>
      <w:bookmarkEnd w:id="8"/>
      <w:r w:rsidRPr="00243E16">
        <w:rPr>
          <w:rFonts w:asciiTheme="minorHAnsi" w:hAnsiTheme="minorHAnsi" w:cs="Times-Roman"/>
          <w:b/>
          <w:bCs/>
          <w:szCs w:val="22"/>
          <w:lang w:val="en"/>
        </w:rPr>
        <w:t>(1)</w:t>
      </w:r>
      <w:r w:rsidRPr="00243E16">
        <w:rPr>
          <w:rFonts w:asciiTheme="minorHAnsi" w:hAnsiTheme="minorHAnsi" w:cs="Times-Roman"/>
          <w:szCs w:val="22"/>
          <w:lang w:val="en"/>
        </w:rPr>
        <w:t xml:space="preserve"> </w:t>
      </w:r>
      <w:r w:rsidRPr="00243E16">
        <w:rPr>
          <w:rFonts w:asciiTheme="minorHAnsi" w:hAnsiTheme="minorHAnsi" w:cs="Times-Roman"/>
          <w:i/>
          <w:szCs w:val="22"/>
          <w:lang w:val="en"/>
        </w:rPr>
        <w:t>Donative intent</w:t>
      </w:r>
      <w:r w:rsidRPr="00243E16">
        <w:rPr>
          <w:rFonts w:asciiTheme="minorHAnsi" w:hAnsiTheme="minorHAnsi" w:cs="Times-Roman"/>
          <w:szCs w:val="22"/>
          <w:lang w:val="en"/>
        </w:rPr>
        <w:t xml:space="preserve"> on the part of the transferor </w:t>
      </w:r>
      <w:r w:rsidRPr="00243E16">
        <w:rPr>
          <w:rFonts w:asciiTheme="minorHAnsi" w:hAnsiTheme="minorHAnsi" w:cs="Times-Roman"/>
          <w:i/>
          <w:szCs w:val="22"/>
          <w:lang w:val="en"/>
        </w:rPr>
        <w:t>is not an essential element</w:t>
      </w:r>
      <w:r w:rsidRPr="00243E16">
        <w:rPr>
          <w:rFonts w:asciiTheme="minorHAnsi" w:hAnsiTheme="minorHAnsi" w:cs="Times-Roman"/>
          <w:szCs w:val="22"/>
          <w:lang w:val="en"/>
        </w:rPr>
        <w:t xml:space="preserve"> in the application of the gift tax to the transfer. The application of the tax is based on the objective facts of the transfer and the circumstances under which it is made, rather than on the subjective motives of the donor. However, there are certain types of transfers to which the tax is not applicable. </w:t>
      </w:r>
      <w:r w:rsidRPr="00243E16">
        <w:rPr>
          <w:rFonts w:asciiTheme="minorHAnsi" w:hAnsiTheme="minorHAnsi" w:cs="Times-Roman"/>
          <w:i/>
          <w:szCs w:val="22"/>
          <w:lang w:val="en"/>
        </w:rPr>
        <w:t>It is applicable only to a transfer of a beneficial interest in property</w:t>
      </w:r>
      <w:r w:rsidRPr="00243E16">
        <w:rPr>
          <w:rFonts w:asciiTheme="minorHAnsi" w:hAnsiTheme="minorHAnsi" w:cs="Times-Roman"/>
          <w:szCs w:val="22"/>
          <w:lang w:val="en"/>
        </w:rPr>
        <w:t>. It is not applicable to a transfer of bare legal title to a trustee. A transfer by a trustee of trust property in which he has no beneficial interest does not constitute a gift by the trustee</w:t>
      </w:r>
      <w:r>
        <w:rPr>
          <w:rFonts w:asciiTheme="minorHAnsi" w:hAnsiTheme="minorHAnsi" w:cs="Times-Roman"/>
          <w:szCs w:val="22"/>
          <w:lang w:val="en"/>
        </w:rPr>
        <w:t xml:space="preserve"> </w:t>
      </w:r>
      <w:r w:rsidRPr="00243E16">
        <w:rPr>
          <w:rFonts w:asciiTheme="minorHAnsi" w:hAnsiTheme="minorHAnsi" w:cs="Times-Roman"/>
          <w:szCs w:val="22"/>
          <w:lang w:val="en"/>
        </w:rPr>
        <w:t>(but such a</w:t>
      </w:r>
      <w:r>
        <w:rPr>
          <w:rFonts w:asciiTheme="minorHAnsi" w:hAnsiTheme="minorHAnsi" w:cs="Times-Roman"/>
          <w:szCs w:val="22"/>
          <w:lang w:val="en"/>
        </w:rPr>
        <w:t xml:space="preserve"> </w:t>
      </w:r>
      <w:r w:rsidRPr="00243E16">
        <w:rPr>
          <w:rFonts w:asciiTheme="minorHAnsi" w:hAnsiTheme="minorHAnsi" w:cs="Times-Roman"/>
          <w:szCs w:val="22"/>
          <w:lang w:val="en"/>
        </w:rPr>
        <w:t xml:space="preserve">transfer may constitute a gift by the creator of the trust, if until the transfer he had the power to change the beneficiaries by amending or revoking the trust). The gift tax is not applicable to a transfer for a full and adequate consideration in money or money's worth, or to ordinary business transactions, described in § </w:t>
      </w:r>
      <w:hyperlink r:id="rId30" w:tooltip="25.2512-8" w:history="1">
        <w:r w:rsidRPr="00243E16">
          <w:rPr>
            <w:rStyle w:val="Hyperlink"/>
            <w:rFonts w:asciiTheme="minorHAnsi" w:hAnsiTheme="minorHAnsi" w:cs="Times-Roman"/>
            <w:szCs w:val="22"/>
            <w:lang w:val="en"/>
          </w:rPr>
          <w:t>25.2512-8</w:t>
        </w:r>
      </w:hyperlink>
      <w:r w:rsidRPr="00243E16">
        <w:rPr>
          <w:rFonts w:asciiTheme="minorHAnsi" w:hAnsiTheme="minorHAnsi" w:cs="Times-Roman"/>
          <w:szCs w:val="22"/>
          <w:lang w:val="en"/>
        </w:rPr>
        <w:t>.</w:t>
      </w:r>
      <w:r w:rsidRPr="00243E16">
        <w:rPr>
          <w:rFonts w:ascii="Helvetica" w:hAnsi="Helvetica" w:cs="Arial"/>
          <w:b/>
          <w:bCs/>
          <w:color w:val="333333"/>
          <w:sz w:val="21"/>
          <w:szCs w:val="21"/>
          <w:lang w:val="en"/>
        </w:rPr>
        <w:t xml:space="preserve"> </w:t>
      </w:r>
    </w:p>
    <w:p w14:paraId="01BD2F17" w14:textId="77777777" w:rsidR="00243E16" w:rsidRPr="00243E16" w:rsidRDefault="00243E16" w:rsidP="00243E16">
      <w:pPr>
        <w:autoSpaceDE w:val="0"/>
        <w:autoSpaceDN w:val="0"/>
        <w:adjustRightInd w:val="0"/>
        <w:ind w:left="720"/>
        <w:rPr>
          <w:rFonts w:asciiTheme="minorHAnsi" w:hAnsiTheme="minorHAnsi" w:cs="Times-Roman"/>
          <w:szCs w:val="22"/>
          <w:lang w:val="en"/>
        </w:rPr>
      </w:pPr>
      <w:r w:rsidRPr="00243E16">
        <w:rPr>
          <w:rFonts w:asciiTheme="minorHAnsi" w:hAnsiTheme="minorHAnsi" w:cs="Times-Roman"/>
          <w:b/>
          <w:bCs/>
          <w:szCs w:val="22"/>
          <w:lang w:val="en"/>
        </w:rPr>
        <w:t>(2)</w:t>
      </w:r>
      <w:r w:rsidRPr="00243E16">
        <w:rPr>
          <w:rFonts w:asciiTheme="minorHAnsi" w:hAnsiTheme="minorHAnsi" w:cs="Times-Roman"/>
          <w:szCs w:val="22"/>
          <w:lang w:val="en"/>
        </w:rPr>
        <w:t xml:space="preserve"> </w:t>
      </w:r>
      <w:r w:rsidRPr="00243E16">
        <w:rPr>
          <w:rFonts w:asciiTheme="minorHAnsi" w:hAnsiTheme="minorHAnsi" w:cs="Times-Roman"/>
          <w:i/>
          <w:szCs w:val="22"/>
          <w:lang w:val="en"/>
        </w:rPr>
        <w:t>If a trustee has a beneficial interest in trust property</w:t>
      </w:r>
      <w:r w:rsidRPr="00243E16">
        <w:rPr>
          <w:rFonts w:asciiTheme="minorHAnsi" w:hAnsiTheme="minorHAnsi" w:cs="Times-Roman"/>
          <w:szCs w:val="22"/>
          <w:lang w:val="en"/>
        </w:rPr>
        <w:t xml:space="preserve">, </w:t>
      </w:r>
      <w:r w:rsidRPr="00243E16">
        <w:rPr>
          <w:rFonts w:asciiTheme="minorHAnsi" w:hAnsiTheme="minorHAnsi" w:cs="Times-Roman"/>
          <w:i/>
          <w:szCs w:val="22"/>
          <w:lang w:val="en"/>
        </w:rPr>
        <w:t xml:space="preserve">a transfer of the property by the trustee is not a taxable transfer if it is made pursuant to a fiduciary power the exercise or nonexercise of which is limited by a reasonably fixed or ascertainable standard </w:t>
      </w:r>
      <w:r w:rsidRPr="00243E16">
        <w:rPr>
          <w:rFonts w:asciiTheme="minorHAnsi" w:hAnsiTheme="minorHAnsi" w:cs="Times-Roman"/>
          <w:szCs w:val="22"/>
          <w:lang w:val="en"/>
        </w:rPr>
        <w:t>which is set forth in the trust instrument.</w:t>
      </w:r>
    </w:p>
    <w:p w14:paraId="51C42C3E" w14:textId="77777777" w:rsidR="00B70089" w:rsidRPr="00B70089" w:rsidRDefault="00B70089" w:rsidP="00B70089">
      <w:pPr>
        <w:autoSpaceDE w:val="0"/>
        <w:autoSpaceDN w:val="0"/>
        <w:adjustRightInd w:val="0"/>
        <w:spacing w:line="360" w:lineRule="auto"/>
        <w:ind w:left="720"/>
        <w:rPr>
          <w:rFonts w:asciiTheme="minorHAnsi" w:hAnsiTheme="minorHAnsi" w:cs="Times-Roman"/>
          <w:szCs w:val="22"/>
          <w:lang w:val="en"/>
        </w:rPr>
      </w:pPr>
    </w:p>
    <w:p w14:paraId="6DE22AC7" w14:textId="77777777" w:rsidR="005E2FE8" w:rsidRPr="005E2FE8" w:rsidRDefault="00B70089" w:rsidP="005E2FE8">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Further, </w:t>
      </w:r>
      <w:r w:rsidR="005E2FE8">
        <w:rPr>
          <w:rFonts w:ascii="Calibri" w:hAnsi="Calibri" w:cs="Helv"/>
          <w:bCs/>
          <w:color w:val="000000"/>
        </w:rPr>
        <w:t>Treas. Reg. §</w:t>
      </w:r>
      <w:r w:rsidR="005E2FE8" w:rsidRPr="005E2FE8">
        <w:rPr>
          <w:rFonts w:ascii="Calibri" w:hAnsi="Calibri" w:cs="Helv"/>
          <w:bCs/>
          <w:color w:val="000000"/>
        </w:rPr>
        <w:t>25.2511-2(a) provides</w:t>
      </w:r>
      <w:r w:rsidR="005E2FE8">
        <w:rPr>
          <w:rFonts w:ascii="Calibri" w:hAnsi="Calibri" w:cs="Helv"/>
          <w:bCs/>
          <w:color w:val="000000"/>
        </w:rPr>
        <w:t xml:space="preserve"> that</w:t>
      </w:r>
      <w:r w:rsidR="005E2FE8" w:rsidRPr="005E2FE8">
        <w:rPr>
          <w:rFonts w:ascii="Calibri" w:hAnsi="Calibri" w:cs="Helv"/>
          <w:bCs/>
          <w:color w:val="000000"/>
        </w:rPr>
        <w:t>:</w:t>
      </w:r>
    </w:p>
    <w:p w14:paraId="1890067D" w14:textId="77777777" w:rsidR="005E2FE8" w:rsidRDefault="00B70089" w:rsidP="00CB6826">
      <w:pPr>
        <w:autoSpaceDE w:val="0"/>
        <w:autoSpaceDN w:val="0"/>
        <w:adjustRightInd w:val="0"/>
        <w:ind w:left="720"/>
        <w:rPr>
          <w:rFonts w:ascii="Calibri" w:hAnsi="Calibri" w:cs="Helv"/>
          <w:bCs/>
          <w:color w:val="000000"/>
        </w:rPr>
      </w:pPr>
      <w:r>
        <w:rPr>
          <w:rFonts w:ascii="Calibri" w:hAnsi="Calibri" w:cs="Helv"/>
          <w:bCs/>
          <w:color w:val="000000"/>
        </w:rPr>
        <w:t>“</w:t>
      </w:r>
      <w:r w:rsidR="005E2FE8" w:rsidRPr="005E2FE8">
        <w:rPr>
          <w:rFonts w:ascii="Calibri" w:hAnsi="Calibri" w:cs="Helv"/>
          <w:bCs/>
          <w:color w:val="000000"/>
        </w:rPr>
        <w:t>The gift tax is not imposed upon the receipt of the property</w:t>
      </w:r>
      <w:r w:rsidR="005E2FE8">
        <w:rPr>
          <w:rFonts w:ascii="Calibri" w:hAnsi="Calibri" w:cs="Helv"/>
          <w:bCs/>
          <w:color w:val="000000"/>
        </w:rPr>
        <w:t xml:space="preserve"> </w:t>
      </w:r>
      <w:r w:rsidR="005E2FE8" w:rsidRPr="005E2FE8">
        <w:rPr>
          <w:rFonts w:ascii="Calibri" w:hAnsi="Calibri" w:cs="Helv"/>
          <w:bCs/>
          <w:color w:val="000000"/>
        </w:rPr>
        <w:t>by the donee, nor is it necessarily determined by the</w:t>
      </w:r>
      <w:r w:rsidR="005E2FE8">
        <w:rPr>
          <w:rFonts w:ascii="Calibri" w:hAnsi="Calibri" w:cs="Helv"/>
          <w:bCs/>
          <w:color w:val="000000"/>
        </w:rPr>
        <w:t xml:space="preserve"> </w:t>
      </w:r>
      <w:r w:rsidR="005E2FE8" w:rsidRPr="005E2FE8">
        <w:rPr>
          <w:rFonts w:ascii="Calibri" w:hAnsi="Calibri" w:cs="Helv"/>
          <w:bCs/>
          <w:color w:val="000000"/>
        </w:rPr>
        <w:t>measure of enrichment resulting to the donee from the</w:t>
      </w:r>
      <w:r w:rsidR="005E2FE8">
        <w:rPr>
          <w:rFonts w:ascii="Calibri" w:hAnsi="Calibri" w:cs="Helv"/>
          <w:bCs/>
          <w:color w:val="000000"/>
        </w:rPr>
        <w:t xml:space="preserve"> </w:t>
      </w:r>
      <w:r w:rsidR="005E2FE8" w:rsidRPr="005E2FE8">
        <w:rPr>
          <w:rFonts w:ascii="Calibri" w:hAnsi="Calibri" w:cs="Helv"/>
          <w:bCs/>
          <w:color w:val="000000"/>
        </w:rPr>
        <w:t>transfer, nor is it conditioned upon ability to identify the</w:t>
      </w:r>
      <w:r w:rsidR="005E2FE8">
        <w:rPr>
          <w:rFonts w:ascii="Calibri" w:hAnsi="Calibri" w:cs="Helv"/>
          <w:bCs/>
          <w:color w:val="000000"/>
        </w:rPr>
        <w:t xml:space="preserve"> </w:t>
      </w:r>
      <w:r w:rsidR="005E2FE8" w:rsidRPr="005E2FE8">
        <w:rPr>
          <w:rFonts w:ascii="Calibri" w:hAnsi="Calibri" w:cs="Helv"/>
          <w:bCs/>
          <w:color w:val="000000"/>
        </w:rPr>
        <w:t>donee at the time of the transfer. On the contrary, the tax is</w:t>
      </w:r>
      <w:r w:rsidR="005E2FE8">
        <w:rPr>
          <w:rFonts w:ascii="Calibri" w:hAnsi="Calibri" w:cs="Helv"/>
          <w:bCs/>
          <w:color w:val="000000"/>
        </w:rPr>
        <w:t xml:space="preserve"> </w:t>
      </w:r>
      <w:r w:rsidR="005E2FE8" w:rsidRPr="005E2FE8">
        <w:rPr>
          <w:rFonts w:ascii="Calibri" w:hAnsi="Calibri" w:cs="Helv"/>
          <w:bCs/>
          <w:color w:val="000000"/>
        </w:rPr>
        <w:t>a primary and person</w:t>
      </w:r>
      <w:r w:rsidR="00A258CB">
        <w:rPr>
          <w:rFonts w:ascii="Calibri" w:hAnsi="Calibri" w:cs="Helv"/>
          <w:bCs/>
          <w:color w:val="000000"/>
        </w:rPr>
        <w:t xml:space="preserve">al liability of the donor, </w:t>
      </w:r>
      <w:r w:rsidR="00A258CB" w:rsidRPr="00A258CB">
        <w:rPr>
          <w:rFonts w:ascii="Calibri" w:hAnsi="Calibri" w:cs="Helv"/>
          <w:bCs/>
          <w:color w:val="000000"/>
        </w:rPr>
        <w:t>is an excise upon his act of making the transfer,</w:t>
      </w:r>
      <w:r w:rsidR="005E2FE8" w:rsidRPr="005E2FE8">
        <w:rPr>
          <w:rFonts w:ascii="Calibri" w:hAnsi="Calibri" w:cs="Helv"/>
          <w:bCs/>
          <w:color w:val="000000"/>
        </w:rPr>
        <w:t xml:space="preserve"> is</w:t>
      </w:r>
      <w:r w:rsidR="005E2FE8">
        <w:rPr>
          <w:rFonts w:ascii="Calibri" w:hAnsi="Calibri" w:cs="Helv"/>
          <w:bCs/>
          <w:color w:val="000000"/>
        </w:rPr>
        <w:t xml:space="preserve"> </w:t>
      </w:r>
      <w:r w:rsidR="005E2FE8" w:rsidRPr="00CB6826">
        <w:rPr>
          <w:rFonts w:ascii="Calibri" w:hAnsi="Calibri" w:cs="Helv"/>
          <w:b/>
          <w:bCs/>
          <w:i/>
          <w:color w:val="000000"/>
        </w:rPr>
        <w:t>measured by the value of the property passing from the donor</w:t>
      </w:r>
      <w:r w:rsidR="005E2FE8" w:rsidRPr="005E2FE8">
        <w:rPr>
          <w:rFonts w:ascii="Calibri" w:hAnsi="Calibri" w:cs="Helv"/>
          <w:bCs/>
          <w:color w:val="000000"/>
        </w:rPr>
        <w:t>, and attaches regardless of the fact that the identity</w:t>
      </w:r>
      <w:r>
        <w:rPr>
          <w:rFonts w:ascii="Calibri" w:hAnsi="Calibri" w:cs="Helv"/>
          <w:bCs/>
          <w:color w:val="000000"/>
        </w:rPr>
        <w:t xml:space="preserve"> </w:t>
      </w:r>
      <w:r w:rsidR="005E2FE8" w:rsidRPr="005E2FE8">
        <w:rPr>
          <w:rFonts w:ascii="Calibri" w:hAnsi="Calibri" w:cs="Helv"/>
          <w:bCs/>
          <w:color w:val="000000"/>
        </w:rPr>
        <w:t>of the donee may not then be known or ascertainable.</w:t>
      </w:r>
    </w:p>
    <w:p w14:paraId="685595FE" w14:textId="77777777" w:rsidR="00A258CB" w:rsidRPr="005E2FE8" w:rsidRDefault="00A258CB" w:rsidP="00CB6826">
      <w:pPr>
        <w:autoSpaceDE w:val="0"/>
        <w:autoSpaceDN w:val="0"/>
        <w:adjustRightInd w:val="0"/>
        <w:ind w:left="720"/>
        <w:rPr>
          <w:rFonts w:ascii="Calibri" w:hAnsi="Calibri" w:cs="Helv"/>
          <w:bCs/>
          <w:color w:val="000000"/>
        </w:rPr>
      </w:pPr>
    </w:p>
    <w:p w14:paraId="36680E09" w14:textId="77777777" w:rsidR="005E2FE8" w:rsidRDefault="005E2FE8" w:rsidP="00CB6826">
      <w:pPr>
        <w:autoSpaceDE w:val="0"/>
        <w:autoSpaceDN w:val="0"/>
        <w:adjustRightInd w:val="0"/>
        <w:spacing w:line="360" w:lineRule="auto"/>
        <w:ind w:firstLine="720"/>
        <w:rPr>
          <w:rFonts w:ascii="Calibri" w:hAnsi="Calibri" w:cs="Helv"/>
          <w:bCs/>
          <w:color w:val="000000"/>
        </w:rPr>
      </w:pPr>
      <w:r w:rsidRPr="001B02EE">
        <w:rPr>
          <w:rFonts w:ascii="Calibri" w:hAnsi="Calibri" w:cs="Helv"/>
          <w:bCs/>
          <w:i/>
          <w:color w:val="000000"/>
        </w:rPr>
        <w:t xml:space="preserve">If the act of transfer is </w:t>
      </w:r>
      <w:r w:rsidR="00CB6826" w:rsidRPr="001B02EE">
        <w:rPr>
          <w:rFonts w:ascii="Calibri" w:hAnsi="Calibri" w:cs="Helv"/>
          <w:bCs/>
          <w:i/>
          <w:color w:val="000000"/>
        </w:rPr>
        <w:t>in</w:t>
      </w:r>
      <w:r w:rsidRPr="001B02EE">
        <w:rPr>
          <w:rFonts w:ascii="Calibri" w:hAnsi="Calibri" w:cs="Helv"/>
          <w:bCs/>
          <w:i/>
          <w:color w:val="000000"/>
        </w:rPr>
        <w:t xml:space="preserve">voluntary, then </w:t>
      </w:r>
      <w:r w:rsidR="00CB6826" w:rsidRPr="001B02EE">
        <w:rPr>
          <w:rFonts w:ascii="Calibri" w:hAnsi="Calibri" w:cs="Helv"/>
          <w:bCs/>
          <w:i/>
          <w:color w:val="000000"/>
        </w:rPr>
        <w:t xml:space="preserve">arguably </w:t>
      </w:r>
      <w:r w:rsidRPr="001B02EE">
        <w:rPr>
          <w:rFonts w:ascii="Calibri" w:hAnsi="Calibri" w:cs="Helv"/>
          <w:bCs/>
          <w:i/>
          <w:color w:val="000000"/>
        </w:rPr>
        <w:t>no taxable gift occurs</w:t>
      </w:r>
      <w:r w:rsidRPr="005E2FE8">
        <w:rPr>
          <w:rFonts w:ascii="Calibri" w:hAnsi="Calibri" w:cs="Helv"/>
          <w:bCs/>
          <w:color w:val="000000"/>
        </w:rPr>
        <w:t xml:space="preserve">. </w:t>
      </w:r>
      <w:r w:rsidR="00CB6826">
        <w:rPr>
          <w:rFonts w:ascii="Calibri" w:hAnsi="Calibri" w:cs="Helv"/>
          <w:bCs/>
          <w:color w:val="000000"/>
        </w:rPr>
        <w:t>However, the lines are blurred considerably in the event a putative donor could have prevented a transfer – a failure to preserve or defend one’s rights by inaction may be considered a transfer.</w:t>
      </w:r>
      <w:r w:rsidR="00B90470">
        <w:rPr>
          <w:rStyle w:val="FootnoteReference"/>
          <w:rFonts w:ascii="Calibri" w:hAnsi="Calibri" w:cs="Helv"/>
          <w:bCs/>
          <w:color w:val="000000"/>
        </w:rPr>
        <w:footnoteReference w:id="330"/>
      </w:r>
      <w:r w:rsidR="00CB6826">
        <w:rPr>
          <w:rFonts w:ascii="Calibri" w:hAnsi="Calibri" w:cs="Helv"/>
          <w:bCs/>
          <w:color w:val="000000"/>
        </w:rPr>
        <w:t xml:space="preserve">  To take an extreme e</w:t>
      </w:r>
      <w:r w:rsidR="00B07D37">
        <w:rPr>
          <w:rFonts w:ascii="Calibri" w:hAnsi="Calibri" w:cs="Helv"/>
          <w:bCs/>
          <w:color w:val="000000"/>
        </w:rPr>
        <w:t>xample - if my son steals my assets</w:t>
      </w:r>
      <w:r w:rsidR="00CB6826">
        <w:rPr>
          <w:rFonts w:ascii="Calibri" w:hAnsi="Calibri" w:cs="Helv"/>
          <w:bCs/>
          <w:color w:val="000000"/>
        </w:rPr>
        <w:t>, without my knowledge or consent</w:t>
      </w:r>
      <w:r w:rsidR="00B90470">
        <w:rPr>
          <w:rFonts w:ascii="Calibri" w:hAnsi="Calibri" w:cs="Helv"/>
          <w:bCs/>
          <w:color w:val="000000"/>
        </w:rPr>
        <w:t xml:space="preserve">, </w:t>
      </w:r>
      <w:r w:rsidR="00B07D37">
        <w:rPr>
          <w:rFonts w:ascii="Calibri" w:hAnsi="Calibri" w:cs="Helv"/>
          <w:bCs/>
          <w:color w:val="000000"/>
        </w:rPr>
        <w:t>yet</w:t>
      </w:r>
      <w:r w:rsidR="00B90470">
        <w:rPr>
          <w:rFonts w:ascii="Calibri" w:hAnsi="Calibri" w:cs="Helv"/>
          <w:bCs/>
          <w:color w:val="000000"/>
        </w:rPr>
        <w:t xml:space="preserve"> I </w:t>
      </w:r>
      <w:r w:rsidR="00B90470">
        <w:rPr>
          <w:rFonts w:ascii="Calibri" w:hAnsi="Calibri" w:cs="Helv"/>
          <w:bCs/>
          <w:color w:val="000000"/>
        </w:rPr>
        <w:lastRenderedPageBreak/>
        <w:t xml:space="preserve">fail to </w:t>
      </w:r>
      <w:r w:rsidR="00B07D37">
        <w:rPr>
          <w:rFonts w:ascii="Calibri" w:hAnsi="Calibri" w:cs="Helv"/>
          <w:bCs/>
          <w:color w:val="000000"/>
        </w:rPr>
        <w:t xml:space="preserve">attempt to </w:t>
      </w:r>
      <w:r w:rsidR="00B90470">
        <w:rPr>
          <w:rFonts w:ascii="Calibri" w:hAnsi="Calibri" w:cs="Helv"/>
          <w:bCs/>
          <w:color w:val="000000"/>
        </w:rPr>
        <w:t>correct or bring suit, I have clearly made a gif</w:t>
      </w:r>
      <w:r w:rsidR="00A258CB">
        <w:rPr>
          <w:rFonts w:ascii="Calibri" w:hAnsi="Calibri" w:cs="Helv"/>
          <w:bCs/>
          <w:color w:val="000000"/>
        </w:rPr>
        <w:t>t</w:t>
      </w:r>
      <w:r w:rsidR="00D42F9C">
        <w:rPr>
          <w:rFonts w:ascii="Calibri" w:hAnsi="Calibri" w:cs="Helv"/>
          <w:bCs/>
          <w:color w:val="000000"/>
        </w:rPr>
        <w:t xml:space="preserve"> – the original intent is irrelevant</w:t>
      </w:r>
      <w:r w:rsidR="00A258CB">
        <w:rPr>
          <w:rFonts w:ascii="Calibri" w:hAnsi="Calibri" w:cs="Helv"/>
          <w:bCs/>
          <w:color w:val="000000"/>
        </w:rPr>
        <w:t xml:space="preserve">.  </w:t>
      </w:r>
      <w:r w:rsidR="00D42F9C">
        <w:rPr>
          <w:rFonts w:ascii="Calibri" w:hAnsi="Calibri" w:cs="Helv"/>
          <w:bCs/>
          <w:color w:val="000000"/>
        </w:rPr>
        <w:t>In one ruling, a surviving spouse failed to object to a probate accounting</w:t>
      </w:r>
      <w:r w:rsidR="007F3C01">
        <w:rPr>
          <w:rFonts w:ascii="Calibri" w:hAnsi="Calibri" w:cs="Helv"/>
          <w:bCs/>
          <w:color w:val="000000"/>
        </w:rPr>
        <w:t xml:space="preserve"> where her lack of objection and acquiescence to getting less than wha</w:t>
      </w:r>
      <w:r w:rsidR="00E907E9">
        <w:rPr>
          <w:rFonts w:ascii="Calibri" w:hAnsi="Calibri" w:cs="Helv"/>
          <w:bCs/>
          <w:color w:val="000000"/>
        </w:rPr>
        <w:t xml:space="preserve">t she was clearly entitled to </w:t>
      </w:r>
      <w:r w:rsidR="00D42F9C">
        <w:rPr>
          <w:rFonts w:ascii="Calibri" w:hAnsi="Calibri" w:cs="Helv"/>
          <w:bCs/>
          <w:color w:val="000000"/>
        </w:rPr>
        <w:t>was deemed to be a taxable gift</w:t>
      </w:r>
      <w:r w:rsidR="007F3C01">
        <w:rPr>
          <w:rFonts w:ascii="Calibri" w:hAnsi="Calibri" w:cs="Helv"/>
          <w:bCs/>
          <w:color w:val="000000"/>
        </w:rPr>
        <w:t xml:space="preserve"> to those who benefitted, despite there being no clear transfer or active action by the “donor”</w:t>
      </w:r>
      <w:r w:rsidR="00D42F9C">
        <w:rPr>
          <w:rFonts w:ascii="Calibri" w:hAnsi="Calibri" w:cs="Helv"/>
          <w:bCs/>
          <w:color w:val="000000"/>
        </w:rPr>
        <w:t>.</w:t>
      </w:r>
      <w:r w:rsidR="007F3C01">
        <w:rPr>
          <w:rStyle w:val="FootnoteReference"/>
          <w:rFonts w:ascii="Calibri" w:hAnsi="Calibri" w:cs="Helv"/>
          <w:bCs/>
          <w:color w:val="000000"/>
        </w:rPr>
        <w:footnoteReference w:id="331"/>
      </w:r>
      <w:r w:rsidR="00D42F9C">
        <w:rPr>
          <w:rFonts w:ascii="Calibri" w:hAnsi="Calibri" w:cs="Helv"/>
          <w:bCs/>
          <w:color w:val="000000"/>
        </w:rPr>
        <w:t xml:space="preserve"> </w:t>
      </w:r>
      <w:r w:rsidR="007F3C01">
        <w:rPr>
          <w:rFonts w:ascii="Calibri" w:hAnsi="Calibri" w:cs="Helv"/>
          <w:bCs/>
          <w:color w:val="000000"/>
        </w:rPr>
        <w:t xml:space="preserve"> </w:t>
      </w:r>
      <w:r w:rsidR="00004166">
        <w:rPr>
          <w:rFonts w:ascii="Calibri" w:hAnsi="Calibri" w:cs="Helv"/>
          <w:bCs/>
          <w:color w:val="000000"/>
        </w:rPr>
        <w:t xml:space="preserve">In the above two deemed gift scenarios, the conclusion is easy because the donor could clearly prevent the transfer. </w:t>
      </w:r>
      <w:r w:rsidR="00D42F9C">
        <w:rPr>
          <w:rFonts w:ascii="Calibri" w:hAnsi="Calibri" w:cs="Helv"/>
          <w:bCs/>
          <w:color w:val="000000"/>
        </w:rPr>
        <w:t xml:space="preserve"> </w:t>
      </w:r>
      <w:r w:rsidR="00A258CB">
        <w:rPr>
          <w:rFonts w:ascii="Calibri" w:hAnsi="Calibri" w:cs="Helv"/>
          <w:bCs/>
          <w:color w:val="000000"/>
        </w:rPr>
        <w:t>Other cases are not so easy, especially when it’s unclear whether someone can prevent an amendment (transfer).</w:t>
      </w:r>
      <w:r w:rsidR="008F2384">
        <w:rPr>
          <w:rFonts w:ascii="Calibri" w:hAnsi="Calibri" w:cs="Helv"/>
          <w:bCs/>
          <w:color w:val="000000"/>
        </w:rPr>
        <w:t xml:space="preserve">  This is equally true for decanting as well as non-judicial settlement agreements or court ordered amendments.</w:t>
      </w:r>
    </w:p>
    <w:p w14:paraId="346B5313" w14:textId="77777777" w:rsidR="001C5944" w:rsidRDefault="001C5944" w:rsidP="001C5944">
      <w:pPr>
        <w:autoSpaceDE w:val="0"/>
        <w:autoSpaceDN w:val="0"/>
        <w:adjustRightInd w:val="0"/>
        <w:spacing w:line="360" w:lineRule="auto"/>
        <w:ind w:firstLine="720"/>
        <w:rPr>
          <w:rFonts w:ascii="Calibri" w:hAnsi="Calibri"/>
        </w:rPr>
      </w:pPr>
      <w:r>
        <w:rPr>
          <w:rFonts w:ascii="Calibri" w:hAnsi="Calibri" w:cs="Helv"/>
          <w:bCs/>
          <w:color w:val="000000"/>
        </w:rPr>
        <w:t xml:space="preserve">The </w:t>
      </w:r>
      <w:r w:rsidRPr="00B22436">
        <w:rPr>
          <w:rFonts w:ascii="Calibri" w:hAnsi="Calibri" w:cs="Helv"/>
          <w:bCs/>
          <w:i/>
          <w:color w:val="000000"/>
        </w:rPr>
        <w:t>Sexton</w:t>
      </w:r>
      <w:r>
        <w:rPr>
          <w:rFonts w:ascii="Calibri" w:hAnsi="Calibri" w:cs="Helv"/>
          <w:bCs/>
          <w:color w:val="000000"/>
        </w:rPr>
        <w:t xml:space="preserve"> case is instructive here.</w:t>
      </w:r>
      <w:r w:rsidRPr="00B22436">
        <w:rPr>
          <w:rStyle w:val="FootnoteReference"/>
          <w:rFonts w:ascii="Calibri" w:hAnsi="Calibri" w:cs="Helv"/>
          <w:bCs/>
          <w:color w:val="000000"/>
        </w:rPr>
        <w:t xml:space="preserve"> </w:t>
      </w:r>
      <w:r>
        <w:rPr>
          <w:rStyle w:val="FootnoteReference"/>
          <w:rFonts w:ascii="Calibri" w:hAnsi="Calibri" w:cs="Helv"/>
          <w:bCs/>
          <w:color w:val="000000"/>
        </w:rPr>
        <w:footnoteReference w:id="332"/>
      </w:r>
      <w:r>
        <w:rPr>
          <w:rFonts w:ascii="Calibri" w:hAnsi="Calibri" w:cs="Helv"/>
          <w:bCs/>
          <w:color w:val="000000"/>
        </w:rPr>
        <w:t xml:space="preserve">   </w:t>
      </w:r>
      <w:r w:rsidRPr="005C32DE">
        <w:rPr>
          <w:rFonts w:ascii="Calibri" w:hAnsi="Calibri" w:cs="Helv"/>
          <w:bCs/>
          <w:i/>
          <w:color w:val="000000"/>
        </w:rPr>
        <w:t>Sexton</w:t>
      </w:r>
      <w:r>
        <w:rPr>
          <w:rFonts w:ascii="Calibri" w:hAnsi="Calibri" w:cs="Helv"/>
          <w:bCs/>
          <w:color w:val="000000"/>
        </w:rPr>
        <w:t xml:space="preserve"> involved an irrevocable trust established by a father for his seven children. The trust</w:t>
      </w:r>
      <w:r w:rsidRPr="00B22436">
        <w:rPr>
          <w:rFonts w:ascii="Calibri" w:hAnsi="Calibri"/>
        </w:rPr>
        <w:t xml:space="preserve"> was due to terminate</w:t>
      </w:r>
      <w:r>
        <w:rPr>
          <w:rFonts w:ascii="Calibri" w:hAnsi="Calibri"/>
        </w:rPr>
        <w:t xml:space="preserve"> twenty years after the father’s death</w:t>
      </w:r>
      <w:r w:rsidRPr="00B22436">
        <w:rPr>
          <w:rFonts w:ascii="Calibri" w:hAnsi="Calibri"/>
        </w:rPr>
        <w:t xml:space="preserve">, but could be amended by </w:t>
      </w:r>
      <w:r>
        <w:rPr>
          <w:rFonts w:ascii="Calibri" w:hAnsi="Calibri"/>
        </w:rPr>
        <w:t xml:space="preserve">a majority of </w:t>
      </w:r>
      <w:r w:rsidRPr="00B22436">
        <w:rPr>
          <w:rFonts w:ascii="Calibri" w:hAnsi="Calibri"/>
        </w:rPr>
        <w:t>the trustee</w:t>
      </w:r>
      <w:r>
        <w:rPr>
          <w:rFonts w:ascii="Calibri" w:hAnsi="Calibri"/>
        </w:rPr>
        <w:t>s</w:t>
      </w:r>
      <w:r w:rsidRPr="00B22436">
        <w:rPr>
          <w:rFonts w:ascii="Calibri" w:hAnsi="Calibri"/>
        </w:rPr>
        <w:t xml:space="preserve"> with consent of 2/3 of </w:t>
      </w:r>
      <w:r>
        <w:rPr>
          <w:rFonts w:ascii="Calibri" w:hAnsi="Calibri"/>
        </w:rPr>
        <w:t xml:space="preserve">the </w:t>
      </w:r>
      <w:r w:rsidRPr="00B22436">
        <w:rPr>
          <w:rFonts w:ascii="Calibri" w:hAnsi="Calibri"/>
        </w:rPr>
        <w:t xml:space="preserve">beneficiaries.  </w:t>
      </w:r>
      <w:r>
        <w:rPr>
          <w:rFonts w:ascii="Calibri" w:hAnsi="Calibri"/>
        </w:rPr>
        <w:t xml:space="preserve">The beneficiaries consented to extend the trust past the original termination date. </w:t>
      </w:r>
      <w:r w:rsidRPr="00B22436">
        <w:rPr>
          <w:rFonts w:ascii="Calibri" w:hAnsi="Calibri"/>
        </w:rPr>
        <w:t xml:space="preserve">  </w:t>
      </w:r>
      <w:r>
        <w:rPr>
          <w:rFonts w:ascii="Calibri" w:hAnsi="Calibri"/>
        </w:rPr>
        <w:t xml:space="preserve">One beneficiary, Bertha, died after the original termination date but before the amended termination date.  The IRS argued that the amendment was ineffective, but if not ineffective, still constituted a transfer subject to IRC §2036.  </w:t>
      </w:r>
      <w:r w:rsidRPr="00B22436">
        <w:rPr>
          <w:rFonts w:ascii="Calibri" w:hAnsi="Calibri"/>
        </w:rPr>
        <w:t xml:space="preserve">The </w:t>
      </w:r>
      <w:r>
        <w:rPr>
          <w:rFonts w:ascii="Calibri" w:hAnsi="Calibri"/>
        </w:rPr>
        <w:t>district</w:t>
      </w:r>
      <w:r w:rsidRPr="00B22436">
        <w:rPr>
          <w:rFonts w:ascii="Calibri" w:hAnsi="Calibri"/>
        </w:rPr>
        <w:t xml:space="preserve"> court held, and 7</w:t>
      </w:r>
      <w:r w:rsidRPr="00B22436">
        <w:rPr>
          <w:rFonts w:ascii="Calibri" w:hAnsi="Calibri"/>
          <w:vertAlign w:val="superscript"/>
        </w:rPr>
        <w:t>th</w:t>
      </w:r>
      <w:r w:rsidRPr="00B22436">
        <w:rPr>
          <w:rFonts w:ascii="Calibri" w:hAnsi="Calibri"/>
        </w:rPr>
        <w:t xml:space="preserve"> Circuit confirmed, that </w:t>
      </w:r>
      <w:r>
        <w:rPr>
          <w:rFonts w:ascii="Calibri" w:hAnsi="Calibri"/>
        </w:rPr>
        <w:t xml:space="preserve">the amendment was effective pursuant to the trust and state law, but that </w:t>
      </w:r>
      <w:r w:rsidRPr="0095405E">
        <w:rPr>
          <w:rFonts w:ascii="Calibri" w:hAnsi="Calibri"/>
          <w:i/>
        </w:rPr>
        <w:t>her complicity in this amendment</w:t>
      </w:r>
      <w:r>
        <w:rPr>
          <w:rFonts w:ascii="Calibri" w:hAnsi="Calibri"/>
        </w:rPr>
        <w:t xml:space="preserve"> </w:t>
      </w:r>
      <w:r w:rsidRPr="00B22436">
        <w:rPr>
          <w:rFonts w:ascii="Calibri" w:hAnsi="Calibri"/>
        </w:rPr>
        <w:t xml:space="preserve">made </w:t>
      </w:r>
      <w:r>
        <w:rPr>
          <w:rFonts w:ascii="Calibri" w:hAnsi="Calibri"/>
        </w:rPr>
        <w:t>her</w:t>
      </w:r>
      <w:r w:rsidRPr="00B22436">
        <w:rPr>
          <w:rFonts w:ascii="Calibri" w:hAnsi="Calibri"/>
        </w:rPr>
        <w:t xml:space="preserve"> a de facto transferor for §2036 purposes.  </w:t>
      </w:r>
      <w:r>
        <w:rPr>
          <w:rFonts w:ascii="Calibri" w:hAnsi="Calibri"/>
        </w:rPr>
        <w:t xml:space="preserve">Since she had a right to funds at the original termination date, her acquiescence was a relinquishment of that right, which may be considered a transfer of property for estate/gift tax purposes.  </w:t>
      </w:r>
      <w:r w:rsidRPr="00B22436">
        <w:rPr>
          <w:rFonts w:ascii="Calibri" w:hAnsi="Calibri"/>
        </w:rPr>
        <w:t xml:space="preserve">Importantly, the court noted </w:t>
      </w:r>
      <w:r w:rsidR="00A258CB">
        <w:rPr>
          <w:rFonts w:ascii="Calibri" w:hAnsi="Calibri"/>
        </w:rPr>
        <w:t xml:space="preserve">that, </w:t>
      </w:r>
      <w:r w:rsidRPr="00A258CB">
        <w:rPr>
          <w:rFonts w:ascii="Calibri" w:hAnsi="Calibri"/>
          <w:i/>
        </w:rPr>
        <w:t xml:space="preserve">had the beneficiary not consented, their argument that the amendment was not a relinquishment/transfer and </w:t>
      </w:r>
      <w:r w:rsidRPr="00A258CB">
        <w:rPr>
          <w:rFonts w:ascii="Calibri" w:hAnsi="Calibri"/>
          <w:i/>
        </w:rPr>
        <w:lastRenderedPageBreak/>
        <w:t>therefore had no tax effect “might be persuasive”</w:t>
      </w:r>
      <w:r w:rsidRPr="00B22436">
        <w:rPr>
          <w:rFonts w:ascii="Calibri" w:hAnsi="Calibri"/>
        </w:rPr>
        <w:t xml:space="preserve"> – but the</w:t>
      </w:r>
      <w:r>
        <w:rPr>
          <w:rFonts w:ascii="Calibri" w:hAnsi="Calibri"/>
        </w:rPr>
        <w:t xml:space="preserve"> beneficiary’s</w:t>
      </w:r>
      <w:r w:rsidRPr="00B22436">
        <w:rPr>
          <w:rFonts w:ascii="Calibri" w:hAnsi="Calibri"/>
        </w:rPr>
        <w:t xml:space="preserve"> </w:t>
      </w:r>
      <w:r>
        <w:rPr>
          <w:rFonts w:ascii="Calibri" w:hAnsi="Calibri"/>
        </w:rPr>
        <w:t xml:space="preserve">active </w:t>
      </w:r>
      <w:r w:rsidRPr="00B22436">
        <w:rPr>
          <w:rFonts w:ascii="Calibri" w:hAnsi="Calibri"/>
        </w:rPr>
        <w:t xml:space="preserve">consent killed </w:t>
      </w:r>
      <w:r>
        <w:rPr>
          <w:rFonts w:ascii="Calibri" w:hAnsi="Calibri"/>
        </w:rPr>
        <w:t>her estate’s case, even though the amendment could have been accomplished without her consent</w:t>
      </w:r>
      <w:r w:rsidRPr="00B22436">
        <w:rPr>
          <w:rFonts w:ascii="Calibri" w:hAnsi="Calibri"/>
        </w:rPr>
        <w:t>.</w:t>
      </w:r>
      <w:r>
        <w:rPr>
          <w:rFonts w:ascii="Calibri" w:hAnsi="Calibri"/>
        </w:rPr>
        <w:t xml:space="preserve">  Another way to look at this case (not discussed in the opinion) is to see each beneficiary as exercising a GPOA (although other parties’ consent was required, they </w:t>
      </w:r>
      <w:r w:rsidR="00DB1033">
        <w:rPr>
          <w:rFonts w:ascii="Calibri" w:hAnsi="Calibri"/>
        </w:rPr>
        <w:t>may have been</w:t>
      </w:r>
      <w:r>
        <w:rPr>
          <w:rFonts w:ascii="Calibri" w:hAnsi="Calibri"/>
        </w:rPr>
        <w:t xml:space="preserve"> </w:t>
      </w:r>
      <w:r w:rsidRPr="00DA75BA">
        <w:rPr>
          <w:rFonts w:ascii="Calibri" w:hAnsi="Calibri"/>
          <w:i/>
        </w:rPr>
        <w:t>non-adverse</w:t>
      </w:r>
      <w:r>
        <w:rPr>
          <w:rFonts w:ascii="Calibri" w:hAnsi="Calibri"/>
        </w:rPr>
        <w:t xml:space="preserve"> parties).  </w:t>
      </w:r>
      <w:r w:rsidR="003677B8">
        <w:rPr>
          <w:rFonts w:ascii="Calibri" w:hAnsi="Calibri"/>
        </w:rPr>
        <w:t xml:space="preserve">Of course, the family in </w:t>
      </w:r>
      <w:r w:rsidR="003677B8" w:rsidRPr="003677B8">
        <w:rPr>
          <w:rFonts w:ascii="Calibri" w:hAnsi="Calibri"/>
          <w:i/>
        </w:rPr>
        <w:t>Sexton</w:t>
      </w:r>
      <w:r w:rsidR="003677B8">
        <w:rPr>
          <w:rFonts w:ascii="Calibri" w:hAnsi="Calibri"/>
        </w:rPr>
        <w:t xml:space="preserve"> was trying to avoid inclusion – what if, as posited herein, inclusion is the goal?  Not all transfers with retained interest are evil.</w:t>
      </w:r>
    </w:p>
    <w:p w14:paraId="1621BC35" w14:textId="77777777" w:rsidR="001C5944" w:rsidRDefault="001C5944" w:rsidP="001C5944">
      <w:pPr>
        <w:autoSpaceDE w:val="0"/>
        <w:autoSpaceDN w:val="0"/>
        <w:adjustRightInd w:val="0"/>
        <w:spacing w:line="360" w:lineRule="auto"/>
        <w:ind w:firstLine="720"/>
        <w:rPr>
          <w:rFonts w:ascii="Calibri" w:hAnsi="Calibri"/>
        </w:rPr>
      </w:pPr>
      <w:r>
        <w:rPr>
          <w:rFonts w:ascii="Calibri" w:hAnsi="Calibri"/>
        </w:rPr>
        <w:t>There was a district court case that held to the contrary on similar facts (though the issue was whether the extending amendment created a grantor trust rather than an estate/gift tax case).</w:t>
      </w:r>
      <w:r w:rsidRPr="005C32DE">
        <w:rPr>
          <w:rStyle w:val="FootnoteReference"/>
          <w:rFonts w:ascii="Calibri" w:hAnsi="Calibri"/>
        </w:rPr>
        <w:t xml:space="preserve"> </w:t>
      </w:r>
      <w:r>
        <w:rPr>
          <w:rStyle w:val="FootnoteReference"/>
          <w:rFonts w:ascii="Calibri" w:hAnsi="Calibri"/>
        </w:rPr>
        <w:footnoteReference w:id="333"/>
      </w:r>
      <w:r>
        <w:rPr>
          <w:rFonts w:ascii="Calibri" w:hAnsi="Calibri"/>
        </w:rPr>
        <w:t xml:space="preserve">  The </w:t>
      </w:r>
      <w:r w:rsidRPr="005C32DE">
        <w:rPr>
          <w:rFonts w:ascii="Calibri" w:hAnsi="Calibri"/>
          <w:i/>
        </w:rPr>
        <w:t>Brooks</w:t>
      </w:r>
      <w:r>
        <w:rPr>
          <w:rFonts w:ascii="Calibri" w:hAnsi="Calibri"/>
        </w:rPr>
        <w:t xml:space="preserve"> court found that exercising such powers (analogizing to limited powers of appointment) granted by the trust were </w:t>
      </w:r>
      <w:r w:rsidRPr="00CC00D5">
        <w:rPr>
          <w:rFonts w:ascii="Calibri" w:hAnsi="Calibri"/>
          <w:b/>
        </w:rPr>
        <w:t>not</w:t>
      </w:r>
      <w:r>
        <w:rPr>
          <w:rFonts w:ascii="Calibri" w:hAnsi="Calibri"/>
        </w:rPr>
        <w:t xml:space="preserve"> transfers of property.  This district </w:t>
      </w:r>
      <w:r w:rsidR="00812499">
        <w:rPr>
          <w:rFonts w:ascii="Calibri" w:hAnsi="Calibri"/>
        </w:rPr>
        <w:t xml:space="preserve">court </w:t>
      </w:r>
      <w:r>
        <w:rPr>
          <w:rFonts w:ascii="Calibri" w:hAnsi="Calibri"/>
        </w:rPr>
        <w:t xml:space="preserve">case </w:t>
      </w:r>
      <w:r w:rsidR="00812499">
        <w:rPr>
          <w:rFonts w:ascii="Calibri" w:hAnsi="Calibri"/>
        </w:rPr>
        <w:t xml:space="preserve">reasoning </w:t>
      </w:r>
      <w:r>
        <w:rPr>
          <w:rFonts w:ascii="Calibri" w:hAnsi="Calibri"/>
        </w:rPr>
        <w:t>was rejected by the 7</w:t>
      </w:r>
      <w:r w:rsidRPr="00DA75BA">
        <w:rPr>
          <w:rFonts w:ascii="Calibri" w:hAnsi="Calibri"/>
          <w:vertAlign w:val="superscript"/>
        </w:rPr>
        <w:t>th</w:t>
      </w:r>
      <w:r>
        <w:rPr>
          <w:rFonts w:ascii="Calibri" w:hAnsi="Calibri"/>
        </w:rPr>
        <w:t xml:space="preserve"> Circuit</w:t>
      </w:r>
      <w:r w:rsidR="00812499">
        <w:rPr>
          <w:rFonts w:ascii="Calibri" w:hAnsi="Calibri"/>
        </w:rPr>
        <w:t xml:space="preserve"> in </w:t>
      </w:r>
      <w:r w:rsidR="00812499" w:rsidRPr="00812499">
        <w:rPr>
          <w:rFonts w:ascii="Calibri" w:hAnsi="Calibri"/>
          <w:i/>
        </w:rPr>
        <w:t>Sexton</w:t>
      </w:r>
      <w:r>
        <w:rPr>
          <w:rFonts w:ascii="Calibri" w:hAnsi="Calibri"/>
        </w:rPr>
        <w:t>, but it also lays out the contrary argument that might be cited in “clean up mode”</w:t>
      </w:r>
      <w:r w:rsidR="003677B8">
        <w:rPr>
          <w:rFonts w:ascii="Calibri" w:hAnsi="Calibri"/>
        </w:rPr>
        <w:t>, and may be a useful citation when amending trusts to gain better ongoing income tax results as discussed in Part VIII</w:t>
      </w:r>
      <w:r>
        <w:rPr>
          <w:rFonts w:ascii="Calibri" w:hAnsi="Calibri"/>
        </w:rPr>
        <w:t>.</w:t>
      </w:r>
    </w:p>
    <w:p w14:paraId="0ECA61CA" w14:textId="77777777" w:rsidR="00DA1E28" w:rsidRPr="00DA1E28" w:rsidRDefault="00DF44B9" w:rsidP="00DA1E28">
      <w:pPr>
        <w:autoSpaceDE w:val="0"/>
        <w:autoSpaceDN w:val="0"/>
        <w:adjustRightInd w:val="0"/>
        <w:spacing w:line="360" w:lineRule="auto"/>
        <w:ind w:firstLine="720"/>
        <w:rPr>
          <w:rFonts w:ascii="Calibri" w:hAnsi="Calibri"/>
        </w:rPr>
      </w:pPr>
      <w:r>
        <w:rPr>
          <w:rFonts w:ascii="Calibri" w:hAnsi="Calibri"/>
        </w:rPr>
        <w:t>An</w:t>
      </w:r>
      <w:r w:rsidR="003677B8">
        <w:rPr>
          <w:rFonts w:ascii="Calibri" w:hAnsi="Calibri"/>
        </w:rPr>
        <w:t>other recent PLR highlights the gift tax issue</w:t>
      </w:r>
      <w:r>
        <w:rPr>
          <w:rFonts w:ascii="Calibri" w:hAnsi="Calibri"/>
        </w:rPr>
        <w:t>: a mother was the current beneficiary (and co-trustee) of a trust and entitled to income and principal only at the trustee’s discretion for HEMS.  She did not need nor want any discretionary distributions, had never taken any, and never expected to.  Her children were remaindermen.  Mother, children and trustees petitioned local court for an early distribution to the children</w:t>
      </w:r>
      <w:r w:rsidR="001D27E7">
        <w:rPr>
          <w:rFonts w:ascii="Calibri" w:hAnsi="Calibri"/>
        </w:rPr>
        <w:t>, which would be allowed with consent, as long as it did not frustrate the settlor’s material purpose of the trust</w:t>
      </w:r>
      <w:r>
        <w:rPr>
          <w:rFonts w:ascii="Calibri" w:hAnsi="Calibri"/>
        </w:rPr>
        <w:t xml:space="preserve">.  The IRS </w:t>
      </w:r>
      <w:r w:rsidR="001D27E7">
        <w:rPr>
          <w:rFonts w:ascii="Calibri" w:hAnsi="Calibri"/>
        </w:rPr>
        <w:t>held favorably on GST and income tax results, but held that, although the gift may be “nominal”, there is still a taxable gift by the mother for giving up her rights, however speculative in value.</w:t>
      </w:r>
      <w:r w:rsidR="001D27E7">
        <w:rPr>
          <w:rStyle w:val="FootnoteReference"/>
          <w:rFonts w:ascii="Calibri" w:hAnsi="Calibri"/>
        </w:rPr>
        <w:footnoteReference w:id="334"/>
      </w:r>
      <w:r w:rsidR="001D27E7">
        <w:rPr>
          <w:rFonts w:ascii="Calibri" w:hAnsi="Calibri"/>
        </w:rPr>
        <w:t xml:space="preserve">  The IRS offered no guidance as to how to value such a discretionary interest</w:t>
      </w:r>
      <w:r w:rsidR="00DA1E28" w:rsidRPr="00DA1E28">
        <w:rPr>
          <w:rFonts w:ascii="Calibri" w:hAnsi="Calibri"/>
        </w:rPr>
        <w:t>, but it has consistently held that even discretionary interests have some value.</w:t>
      </w:r>
      <w:r w:rsidR="00DA1E28" w:rsidRPr="00DA1E28">
        <w:rPr>
          <w:rFonts w:ascii="Calibri" w:hAnsi="Calibri"/>
          <w:vertAlign w:val="superscript"/>
        </w:rPr>
        <w:footnoteReference w:id="335"/>
      </w:r>
    </w:p>
    <w:p w14:paraId="3CE6EFF9" w14:textId="77777777" w:rsidR="002D5DA3" w:rsidRDefault="002D5DA3" w:rsidP="001C5944">
      <w:pPr>
        <w:autoSpaceDE w:val="0"/>
        <w:autoSpaceDN w:val="0"/>
        <w:adjustRightInd w:val="0"/>
        <w:spacing w:line="360" w:lineRule="auto"/>
        <w:ind w:firstLine="720"/>
        <w:rPr>
          <w:rFonts w:ascii="Calibri" w:hAnsi="Calibri"/>
        </w:rPr>
      </w:pPr>
      <w:r>
        <w:rPr>
          <w:rFonts w:ascii="Calibri" w:hAnsi="Calibri"/>
        </w:rPr>
        <w:lastRenderedPageBreak/>
        <w:t xml:space="preserve">While much of this outline concerns spousal interests in trust that do not usually terminate, you will still encounter </w:t>
      </w:r>
      <w:r w:rsidR="00B418BF">
        <w:rPr>
          <w:rFonts w:ascii="Calibri" w:hAnsi="Calibri"/>
        </w:rPr>
        <w:t xml:space="preserve">many </w:t>
      </w:r>
      <w:r>
        <w:rPr>
          <w:rFonts w:ascii="Calibri" w:hAnsi="Calibri"/>
        </w:rPr>
        <w:t>trusts for children or grandchildren that terminate at age</w:t>
      </w:r>
      <w:r w:rsidR="00B418BF">
        <w:rPr>
          <w:rFonts w:ascii="Calibri" w:hAnsi="Calibri"/>
        </w:rPr>
        <w:t>s</w:t>
      </w:r>
      <w:r>
        <w:rPr>
          <w:rFonts w:ascii="Calibri" w:hAnsi="Calibri"/>
        </w:rPr>
        <w:t xml:space="preserve"> 30, 40, 50 etc.  It is common to hear attorneys at CLEs recommending such trusts be</w:t>
      </w:r>
      <w:r w:rsidR="00B418BF">
        <w:rPr>
          <w:rFonts w:ascii="Calibri" w:hAnsi="Calibri"/>
        </w:rPr>
        <w:t xml:space="preserve"> decanted or otherwise</w:t>
      </w:r>
      <w:r>
        <w:rPr>
          <w:rFonts w:ascii="Calibri" w:hAnsi="Calibri"/>
        </w:rPr>
        <w:t xml:space="preserve"> amended to remove the termination date so that the beneficiary’s interest can remain protected from creditors and spouses and free from estate tax.  What differentiates this situation from spousal trust situations is that the beneficiary holds a vested contingent remainder interest – </w:t>
      </w:r>
      <w:r w:rsidRPr="00D66F17">
        <w:rPr>
          <w:rFonts w:ascii="Calibri" w:hAnsi="Calibri"/>
          <w:i/>
        </w:rPr>
        <w:t xml:space="preserve">the IRS will likely see any beneficiary acquiescence to </w:t>
      </w:r>
      <w:r w:rsidR="001B128F" w:rsidRPr="00D66F17">
        <w:rPr>
          <w:rFonts w:ascii="Calibri" w:hAnsi="Calibri"/>
          <w:i/>
        </w:rPr>
        <w:t>extending the trust</w:t>
      </w:r>
      <w:r w:rsidRPr="00D66F17">
        <w:rPr>
          <w:rFonts w:ascii="Calibri" w:hAnsi="Calibri"/>
          <w:i/>
        </w:rPr>
        <w:t xml:space="preserve"> as a taxable gift</w:t>
      </w:r>
      <w:r w:rsidR="001B128F">
        <w:rPr>
          <w:rFonts w:ascii="Calibri" w:hAnsi="Calibri"/>
        </w:rPr>
        <w:t>, though depending on what powers are retained, the gift may be incomplete</w:t>
      </w:r>
      <w:r>
        <w:rPr>
          <w:rFonts w:ascii="Calibri" w:hAnsi="Calibri"/>
        </w:rPr>
        <w:t>.</w:t>
      </w:r>
      <w:r>
        <w:rPr>
          <w:rStyle w:val="FootnoteReference"/>
          <w:rFonts w:ascii="Calibri" w:hAnsi="Calibri"/>
        </w:rPr>
        <w:footnoteReference w:id="336"/>
      </w:r>
      <w:r w:rsidR="00071BBB">
        <w:rPr>
          <w:rFonts w:ascii="Calibri" w:hAnsi="Calibri"/>
        </w:rPr>
        <w:t xml:space="preserve">  Even removing a HEMS (ascertainable standard) power may be gift.</w:t>
      </w:r>
      <w:r w:rsidR="00071BBB">
        <w:rPr>
          <w:rStyle w:val="FootnoteReference"/>
          <w:rFonts w:ascii="Calibri" w:hAnsi="Calibri"/>
        </w:rPr>
        <w:footnoteReference w:id="337"/>
      </w:r>
    </w:p>
    <w:p w14:paraId="3190074A" w14:textId="77777777" w:rsidR="001F253D" w:rsidRDefault="0095405E" w:rsidP="001C5944">
      <w:pPr>
        <w:autoSpaceDE w:val="0"/>
        <w:autoSpaceDN w:val="0"/>
        <w:adjustRightInd w:val="0"/>
        <w:spacing w:line="360" w:lineRule="auto"/>
        <w:ind w:firstLine="720"/>
        <w:rPr>
          <w:rFonts w:ascii="Calibri" w:hAnsi="Calibri"/>
        </w:rPr>
      </w:pPr>
      <w:r>
        <w:rPr>
          <w:rFonts w:ascii="Calibri" w:hAnsi="Calibri"/>
        </w:rPr>
        <w:t>The lesson:</w:t>
      </w:r>
      <w:r w:rsidR="00DB1033">
        <w:rPr>
          <w:rFonts w:ascii="Calibri" w:hAnsi="Calibri"/>
        </w:rPr>
        <w:t xml:space="preserve"> </w:t>
      </w:r>
      <w:r w:rsidR="00B47F29">
        <w:rPr>
          <w:rFonts w:ascii="Calibri" w:hAnsi="Calibri"/>
        </w:rPr>
        <w:t xml:space="preserve">procurement or even active </w:t>
      </w:r>
      <w:r w:rsidR="00DB1033">
        <w:rPr>
          <w:rFonts w:ascii="Calibri" w:hAnsi="Calibri"/>
        </w:rPr>
        <w:t xml:space="preserve">acquiescence to creating a GPOA or </w:t>
      </w:r>
      <w:r w:rsidR="00B47F29">
        <w:rPr>
          <w:rFonts w:ascii="Calibri" w:hAnsi="Calibri"/>
        </w:rPr>
        <w:t xml:space="preserve">even </w:t>
      </w:r>
      <w:r w:rsidR="00DB1033">
        <w:rPr>
          <w:rFonts w:ascii="Calibri" w:hAnsi="Calibri"/>
        </w:rPr>
        <w:t xml:space="preserve">LPOA </w:t>
      </w:r>
      <w:r w:rsidR="00D66F17">
        <w:rPr>
          <w:rFonts w:ascii="Calibri" w:hAnsi="Calibri"/>
        </w:rPr>
        <w:t xml:space="preserve">(or removing a GPOA or vested right) </w:t>
      </w:r>
      <w:r w:rsidR="00DB1033">
        <w:rPr>
          <w:rFonts w:ascii="Calibri" w:hAnsi="Calibri"/>
        </w:rPr>
        <w:t>that could divest a beneficiary of a property right could be a transfer and taxable gift</w:t>
      </w:r>
      <w:r w:rsidR="00A258CB">
        <w:rPr>
          <w:rFonts w:ascii="Calibri" w:hAnsi="Calibri"/>
        </w:rPr>
        <w:t xml:space="preserve">, but the value of such gift in many cases </w:t>
      </w:r>
      <w:r w:rsidR="00935EA8">
        <w:rPr>
          <w:rFonts w:ascii="Calibri" w:hAnsi="Calibri"/>
        </w:rPr>
        <w:t>would be minimal, since it is based on the “value conferred upon another” at the time</w:t>
      </w:r>
      <w:r w:rsidR="00DB1033">
        <w:rPr>
          <w:rFonts w:ascii="Calibri" w:hAnsi="Calibri"/>
        </w:rPr>
        <w:t>.</w:t>
      </w:r>
      <w:r w:rsidR="00935EA8">
        <w:rPr>
          <w:rStyle w:val="FootnoteReference"/>
          <w:rFonts w:ascii="Calibri" w:hAnsi="Calibri"/>
        </w:rPr>
        <w:footnoteReference w:id="338"/>
      </w:r>
      <w:r w:rsidR="00DB1033">
        <w:rPr>
          <w:rFonts w:ascii="Calibri" w:hAnsi="Calibri"/>
        </w:rPr>
        <w:t xml:space="preserve">  </w:t>
      </w:r>
      <w:r w:rsidR="001F253D">
        <w:rPr>
          <w:rFonts w:ascii="Calibri" w:hAnsi="Calibri"/>
        </w:rPr>
        <w:t xml:space="preserve">Outright terminations are obvious: if mom were lifetime beneficiary of a bypass trust and mom, kids, grandkids agree to terminate the trust and distribute assets to mom, the remaindermen have </w:t>
      </w:r>
      <w:r w:rsidR="00935EA8">
        <w:rPr>
          <w:rFonts w:ascii="Calibri" w:hAnsi="Calibri"/>
        </w:rPr>
        <w:t xml:space="preserve">very </w:t>
      </w:r>
      <w:r w:rsidR="001F253D">
        <w:rPr>
          <w:rFonts w:ascii="Calibri" w:hAnsi="Calibri"/>
        </w:rPr>
        <w:t>likely made a taxable gift</w:t>
      </w:r>
      <w:r w:rsidR="00D66F17">
        <w:rPr>
          <w:rFonts w:ascii="Calibri" w:hAnsi="Calibri"/>
        </w:rPr>
        <w:t xml:space="preserve"> (not of the entire trust, but the value of their vested contingent remainder</w:t>
      </w:r>
      <w:r w:rsidR="00B418BF">
        <w:rPr>
          <w:rFonts w:ascii="Calibri" w:hAnsi="Calibri"/>
        </w:rPr>
        <w:t>, and if they by virtual representation caused their children to be deprived, perhaps a smaller gift from them as well</w:t>
      </w:r>
      <w:r w:rsidR="00D66F17">
        <w:rPr>
          <w:rFonts w:ascii="Calibri" w:hAnsi="Calibri"/>
        </w:rPr>
        <w:t>)</w:t>
      </w:r>
      <w:r w:rsidR="001F253D">
        <w:rPr>
          <w:rFonts w:ascii="Calibri" w:hAnsi="Calibri"/>
        </w:rPr>
        <w:t>.</w:t>
      </w:r>
      <w:r w:rsidR="00DA1E28" w:rsidRPr="00DA1E28">
        <w:rPr>
          <w:rFonts w:ascii="Calibri" w:hAnsi="Calibri"/>
          <w:vertAlign w:val="superscript"/>
        </w:rPr>
        <w:t xml:space="preserve"> </w:t>
      </w:r>
      <w:r w:rsidR="00DA1E28" w:rsidRPr="00DA1E28">
        <w:rPr>
          <w:rFonts w:ascii="Calibri" w:hAnsi="Calibri"/>
          <w:vertAlign w:val="superscript"/>
        </w:rPr>
        <w:footnoteReference w:id="339"/>
      </w:r>
      <w:r w:rsidR="00DA1E28" w:rsidRPr="00DA1E28">
        <w:rPr>
          <w:rFonts w:ascii="Calibri" w:hAnsi="Calibri"/>
        </w:rPr>
        <w:t xml:space="preserve"> </w:t>
      </w:r>
      <w:r w:rsidR="001F253D">
        <w:rPr>
          <w:rFonts w:ascii="Calibri" w:hAnsi="Calibri"/>
        </w:rPr>
        <w:t xml:space="preserve">  Even if </w:t>
      </w:r>
      <w:r w:rsidR="00D66F17">
        <w:rPr>
          <w:rFonts w:ascii="Calibri" w:hAnsi="Calibri"/>
        </w:rPr>
        <w:t xml:space="preserve">the </w:t>
      </w:r>
      <w:r w:rsidR="001F253D">
        <w:rPr>
          <w:rFonts w:ascii="Calibri" w:hAnsi="Calibri"/>
        </w:rPr>
        <w:t>parties could</w:t>
      </w:r>
      <w:r w:rsidR="00B418BF">
        <w:rPr>
          <w:rFonts w:ascii="Calibri" w:hAnsi="Calibri"/>
        </w:rPr>
        <w:t>n’t</w:t>
      </w:r>
      <w:r w:rsidR="001F253D">
        <w:rPr>
          <w:rFonts w:ascii="Calibri" w:hAnsi="Calibri"/>
        </w:rPr>
        <w:t xml:space="preserve"> care less about gift tax,</w:t>
      </w:r>
      <w:r w:rsidR="00935EA8">
        <w:rPr>
          <w:rFonts w:ascii="Calibri" w:hAnsi="Calibri"/>
        </w:rPr>
        <w:t xml:space="preserve"> it is unclear whether</w:t>
      </w:r>
      <w:r w:rsidR="001F253D">
        <w:rPr>
          <w:rFonts w:ascii="Calibri" w:hAnsi="Calibri"/>
        </w:rPr>
        <w:t xml:space="preserve"> §1014</w:t>
      </w:r>
      <w:r w:rsidR="00CF4141">
        <w:rPr>
          <w:rFonts w:ascii="Calibri" w:hAnsi="Calibri"/>
        </w:rPr>
        <w:t>(e)</w:t>
      </w:r>
      <w:r w:rsidR="001F253D">
        <w:rPr>
          <w:rFonts w:ascii="Calibri" w:hAnsi="Calibri"/>
        </w:rPr>
        <w:t xml:space="preserve"> may deny the step up (but permit the step down) in basis if mom </w:t>
      </w:r>
      <w:r w:rsidR="00B418BF">
        <w:rPr>
          <w:rFonts w:ascii="Calibri" w:hAnsi="Calibri"/>
        </w:rPr>
        <w:t xml:space="preserve">(or other donee) </w:t>
      </w:r>
      <w:r w:rsidR="001F253D">
        <w:rPr>
          <w:rFonts w:ascii="Calibri" w:hAnsi="Calibri"/>
        </w:rPr>
        <w:t>dies within one year</w:t>
      </w:r>
      <w:r w:rsidR="00935EA8">
        <w:rPr>
          <w:rFonts w:ascii="Calibri" w:hAnsi="Calibri"/>
        </w:rPr>
        <w:t>, since it is likely the assets would come back to the children</w:t>
      </w:r>
      <w:r w:rsidR="00D66F17">
        <w:rPr>
          <w:rFonts w:ascii="Calibri" w:hAnsi="Calibri"/>
        </w:rPr>
        <w:t xml:space="preserve"> (less obvious, however, is how much would be</w:t>
      </w:r>
      <w:r w:rsidR="00BD2B77">
        <w:rPr>
          <w:rFonts w:ascii="Calibri" w:hAnsi="Calibri"/>
        </w:rPr>
        <w:t>)</w:t>
      </w:r>
      <w:r w:rsidR="001F253D">
        <w:rPr>
          <w:rFonts w:ascii="Calibri" w:hAnsi="Calibri"/>
        </w:rPr>
        <w:t>.</w:t>
      </w:r>
    </w:p>
    <w:p w14:paraId="7143B91A" w14:textId="77777777" w:rsidR="009D7296" w:rsidRDefault="001F253D" w:rsidP="000D31E1">
      <w:pPr>
        <w:autoSpaceDE w:val="0"/>
        <w:autoSpaceDN w:val="0"/>
        <w:adjustRightInd w:val="0"/>
        <w:spacing w:line="360" w:lineRule="auto"/>
        <w:ind w:firstLine="720"/>
        <w:rPr>
          <w:rFonts w:ascii="Calibri" w:hAnsi="Calibri"/>
        </w:rPr>
      </w:pPr>
      <w:r>
        <w:rPr>
          <w:rFonts w:ascii="Calibri" w:hAnsi="Calibri"/>
        </w:rPr>
        <w:lastRenderedPageBreak/>
        <w:t xml:space="preserve">Adding GPOAs is much less clear, but probably does not have the same implication as a </w:t>
      </w:r>
      <w:r w:rsidRPr="00B418BF">
        <w:rPr>
          <w:rFonts w:ascii="Calibri" w:hAnsi="Calibri"/>
          <w:i/>
        </w:rPr>
        <w:t>termination</w:t>
      </w:r>
      <w:r>
        <w:rPr>
          <w:rFonts w:ascii="Calibri" w:hAnsi="Calibri"/>
        </w:rPr>
        <w:t xml:space="preserve">.  </w:t>
      </w:r>
      <w:r w:rsidR="00DB1033">
        <w:rPr>
          <w:rFonts w:ascii="Calibri" w:hAnsi="Calibri"/>
        </w:rPr>
        <w:t>E.g., mom is lifetime beneficiary of bypass trust, remainder to son.  Mom and son agree</w:t>
      </w:r>
      <w:r>
        <w:rPr>
          <w:rFonts w:ascii="Calibri" w:hAnsi="Calibri"/>
        </w:rPr>
        <w:t xml:space="preserve"> and</w:t>
      </w:r>
      <w:r w:rsidR="00B418BF">
        <w:rPr>
          <w:rFonts w:ascii="Calibri" w:hAnsi="Calibri"/>
        </w:rPr>
        <w:t>,</w:t>
      </w:r>
      <w:r w:rsidR="00B47F29">
        <w:rPr>
          <w:rFonts w:ascii="Calibri" w:hAnsi="Calibri"/>
        </w:rPr>
        <w:t xml:space="preserve"> pursuant to state law</w:t>
      </w:r>
      <w:r w:rsidR="00B418BF">
        <w:rPr>
          <w:rFonts w:ascii="Calibri" w:hAnsi="Calibri"/>
        </w:rPr>
        <w:t>,</w:t>
      </w:r>
      <w:r>
        <w:rPr>
          <w:rFonts w:ascii="Calibri" w:hAnsi="Calibri"/>
        </w:rPr>
        <w:t xml:space="preserve"> procure a reformation to grant</w:t>
      </w:r>
      <w:r w:rsidR="00DB1033">
        <w:rPr>
          <w:rFonts w:ascii="Calibri" w:hAnsi="Calibri"/>
        </w:rPr>
        <w:t xml:space="preserve"> mom a </w:t>
      </w:r>
      <w:r>
        <w:rPr>
          <w:rFonts w:ascii="Calibri" w:hAnsi="Calibri"/>
        </w:rPr>
        <w:t xml:space="preserve">testamentary </w:t>
      </w:r>
      <w:r w:rsidR="00B47F29">
        <w:rPr>
          <w:rFonts w:ascii="Calibri" w:hAnsi="Calibri"/>
        </w:rPr>
        <w:t>G</w:t>
      </w:r>
      <w:r w:rsidR="00DB1033">
        <w:rPr>
          <w:rFonts w:ascii="Calibri" w:hAnsi="Calibri"/>
        </w:rPr>
        <w:t xml:space="preserve">POA.  </w:t>
      </w:r>
      <w:r w:rsidR="00B47F29">
        <w:rPr>
          <w:rFonts w:ascii="Calibri" w:hAnsi="Calibri"/>
        </w:rPr>
        <w:t xml:space="preserve">As stated in discussions of authority cited above, the IRS </w:t>
      </w:r>
      <w:r>
        <w:rPr>
          <w:rFonts w:ascii="Calibri" w:hAnsi="Calibri"/>
        </w:rPr>
        <w:t>sh</w:t>
      </w:r>
      <w:r w:rsidR="00B47F29">
        <w:rPr>
          <w:rFonts w:ascii="Calibri" w:hAnsi="Calibri"/>
        </w:rPr>
        <w:t>ould have to honor this change in property rights at mom’s death if pursuant to state law.  However, c</w:t>
      </w:r>
      <w:r w:rsidR="00DB1033">
        <w:rPr>
          <w:rFonts w:ascii="Calibri" w:hAnsi="Calibri"/>
        </w:rPr>
        <w:t>o</w:t>
      </w:r>
      <w:r>
        <w:rPr>
          <w:rFonts w:ascii="Calibri" w:hAnsi="Calibri"/>
        </w:rPr>
        <w:t xml:space="preserve">uld </w:t>
      </w:r>
      <w:r w:rsidR="00DA1E28">
        <w:rPr>
          <w:rFonts w:ascii="Calibri" w:hAnsi="Calibri"/>
        </w:rPr>
        <w:t xml:space="preserve">the </w:t>
      </w:r>
      <w:r>
        <w:rPr>
          <w:rFonts w:ascii="Calibri" w:hAnsi="Calibri"/>
        </w:rPr>
        <w:t xml:space="preserve">son be said to have made a </w:t>
      </w:r>
      <w:r w:rsidR="00DB1033">
        <w:rPr>
          <w:rFonts w:ascii="Calibri" w:hAnsi="Calibri"/>
        </w:rPr>
        <w:t xml:space="preserve">gift by converting his vested remainder interest </w:t>
      </w:r>
      <w:r w:rsidR="0095405E">
        <w:rPr>
          <w:rFonts w:ascii="Calibri" w:hAnsi="Calibri"/>
        </w:rPr>
        <w:t>in</w:t>
      </w:r>
      <w:r w:rsidR="00DB1033">
        <w:rPr>
          <w:rFonts w:ascii="Calibri" w:hAnsi="Calibri"/>
        </w:rPr>
        <w:t xml:space="preserve">to a vested remainder interest </w:t>
      </w:r>
      <w:r>
        <w:rPr>
          <w:rFonts w:ascii="Calibri" w:hAnsi="Calibri"/>
        </w:rPr>
        <w:t xml:space="preserve">now </w:t>
      </w:r>
      <w:r w:rsidR="00DB1033">
        <w:rPr>
          <w:rFonts w:ascii="Calibri" w:hAnsi="Calibri"/>
        </w:rPr>
        <w:t>subject to divestment</w:t>
      </w:r>
      <w:r w:rsidR="0095405E">
        <w:rPr>
          <w:rFonts w:ascii="Calibri" w:hAnsi="Calibri"/>
        </w:rPr>
        <w:t>?</w:t>
      </w:r>
      <w:r w:rsidR="00B47F29">
        <w:rPr>
          <w:rFonts w:ascii="Calibri" w:hAnsi="Calibri"/>
        </w:rPr>
        <w:t xml:space="preserve">  </w:t>
      </w:r>
      <w:r w:rsidR="0095405E">
        <w:rPr>
          <w:rFonts w:ascii="Calibri" w:hAnsi="Calibri"/>
        </w:rPr>
        <w:t xml:space="preserve">Could this trigger §1014(e) if done within one year of mom’s death?  </w:t>
      </w:r>
      <w:r w:rsidR="00B418BF">
        <w:rPr>
          <w:rFonts w:ascii="Calibri" w:hAnsi="Calibri"/>
        </w:rPr>
        <w:t>Perhaps to a very small extent.  U</w:t>
      </w:r>
      <w:r w:rsidR="00BD2B77">
        <w:rPr>
          <w:rFonts w:ascii="Calibri" w:hAnsi="Calibri"/>
        </w:rPr>
        <w:t xml:space="preserve">nlike </w:t>
      </w:r>
      <w:r w:rsidR="00935EA8">
        <w:rPr>
          <w:rFonts w:ascii="Calibri" w:hAnsi="Calibri"/>
        </w:rPr>
        <w:t>our previous trust</w:t>
      </w:r>
      <w:r w:rsidR="00BD2B77">
        <w:rPr>
          <w:rFonts w:ascii="Calibri" w:hAnsi="Calibri"/>
        </w:rPr>
        <w:t xml:space="preserve"> </w:t>
      </w:r>
      <w:r w:rsidR="00BD2B77" w:rsidRPr="00B418BF">
        <w:rPr>
          <w:rFonts w:ascii="Calibri" w:hAnsi="Calibri"/>
          <w:i/>
        </w:rPr>
        <w:t>termination</w:t>
      </w:r>
      <w:r w:rsidR="00BD2B77">
        <w:rPr>
          <w:rFonts w:ascii="Calibri" w:hAnsi="Calibri"/>
        </w:rPr>
        <w:t xml:space="preserve"> example, no value</w:t>
      </w:r>
      <w:r>
        <w:rPr>
          <w:rFonts w:ascii="Calibri" w:hAnsi="Calibri"/>
        </w:rPr>
        <w:t xml:space="preserve"> </w:t>
      </w:r>
      <w:r w:rsidR="00BD2B77">
        <w:rPr>
          <w:rFonts w:ascii="Calibri" w:hAnsi="Calibri"/>
        </w:rPr>
        <w:t xml:space="preserve">clearly </w:t>
      </w:r>
      <w:r>
        <w:rPr>
          <w:rFonts w:ascii="Calibri" w:hAnsi="Calibri"/>
        </w:rPr>
        <w:t>transferred</w:t>
      </w:r>
      <w:r w:rsidR="00BD2B77">
        <w:rPr>
          <w:rFonts w:ascii="Calibri" w:hAnsi="Calibri"/>
        </w:rPr>
        <w:t xml:space="preserve"> to mom</w:t>
      </w:r>
      <w:r w:rsidR="00935EA8">
        <w:rPr>
          <w:rFonts w:ascii="Calibri" w:hAnsi="Calibri"/>
        </w:rPr>
        <w:t xml:space="preserve"> – </w:t>
      </w:r>
      <w:r w:rsidR="00B418BF">
        <w:rPr>
          <w:rFonts w:ascii="Calibri" w:hAnsi="Calibri"/>
        </w:rPr>
        <w:t>any increase in the value of her property interest is</w:t>
      </w:r>
      <w:r w:rsidR="00935EA8">
        <w:rPr>
          <w:rFonts w:ascii="Calibri" w:hAnsi="Calibri"/>
        </w:rPr>
        <w:t xml:space="preserve"> </w:t>
      </w:r>
      <w:r w:rsidR="00B418BF">
        <w:rPr>
          <w:rFonts w:ascii="Calibri" w:hAnsi="Calibri"/>
        </w:rPr>
        <w:t>extremely</w:t>
      </w:r>
      <w:r w:rsidR="00935EA8">
        <w:rPr>
          <w:rFonts w:ascii="Calibri" w:hAnsi="Calibri"/>
        </w:rPr>
        <w:t xml:space="preserve"> minimal</w:t>
      </w:r>
      <w:r w:rsidR="00BD2B77">
        <w:rPr>
          <w:rFonts w:ascii="Calibri" w:hAnsi="Calibri"/>
        </w:rPr>
        <w:t>.</w:t>
      </w:r>
      <w:r w:rsidR="00266A15">
        <w:rPr>
          <w:rFonts w:ascii="Calibri" w:hAnsi="Calibri"/>
        </w:rPr>
        <w:t xml:space="preserve">  </w:t>
      </w:r>
      <w:r w:rsidR="00B47F29">
        <w:rPr>
          <w:rFonts w:ascii="Calibri" w:hAnsi="Calibri"/>
        </w:rPr>
        <w:t>This probab</w:t>
      </w:r>
      <w:r w:rsidR="003434C8">
        <w:rPr>
          <w:rFonts w:ascii="Calibri" w:hAnsi="Calibri"/>
        </w:rPr>
        <w:t>ly makes more than a few reader</w:t>
      </w:r>
      <w:r w:rsidR="00B47F29">
        <w:rPr>
          <w:rFonts w:ascii="Calibri" w:hAnsi="Calibri"/>
        </w:rPr>
        <w:t>s</w:t>
      </w:r>
      <w:r w:rsidR="003434C8">
        <w:rPr>
          <w:rFonts w:ascii="Calibri" w:hAnsi="Calibri"/>
        </w:rPr>
        <w:t>’</w:t>
      </w:r>
      <w:r w:rsidR="00B47F29">
        <w:rPr>
          <w:rFonts w:ascii="Calibri" w:hAnsi="Calibri"/>
        </w:rPr>
        <w:t xml:space="preserve"> heads spin.  </w:t>
      </w:r>
    </w:p>
    <w:p w14:paraId="4E211BFF" w14:textId="77777777" w:rsidR="000D31E1" w:rsidRDefault="00B47F29" w:rsidP="000D31E1">
      <w:pPr>
        <w:autoSpaceDE w:val="0"/>
        <w:autoSpaceDN w:val="0"/>
        <w:adjustRightInd w:val="0"/>
        <w:spacing w:line="360" w:lineRule="auto"/>
        <w:ind w:firstLine="720"/>
        <w:rPr>
          <w:rFonts w:ascii="Calibri" w:hAnsi="Calibri"/>
        </w:rPr>
      </w:pPr>
      <w:r>
        <w:rPr>
          <w:rFonts w:ascii="Calibri" w:hAnsi="Calibri"/>
        </w:rPr>
        <w:t>Here’s the nutshell – it</w:t>
      </w:r>
      <w:r w:rsidR="0095405E">
        <w:rPr>
          <w:rFonts w:ascii="Calibri" w:hAnsi="Calibri"/>
        </w:rPr>
        <w:t xml:space="preserve"> i</w:t>
      </w:r>
      <w:r w:rsidR="00177E46">
        <w:rPr>
          <w:rFonts w:ascii="Calibri" w:hAnsi="Calibri"/>
        </w:rPr>
        <w:t xml:space="preserve">s safer to avoid this morass of </w:t>
      </w:r>
      <w:r w:rsidR="009D7296">
        <w:rPr>
          <w:rFonts w:ascii="Calibri" w:hAnsi="Calibri"/>
        </w:rPr>
        <w:t xml:space="preserve">gift tax </w:t>
      </w:r>
      <w:r w:rsidR="00177E46">
        <w:rPr>
          <w:rFonts w:ascii="Calibri" w:hAnsi="Calibri"/>
        </w:rPr>
        <w:t>issues</w:t>
      </w:r>
      <w:r>
        <w:rPr>
          <w:rFonts w:ascii="Calibri" w:hAnsi="Calibri"/>
        </w:rPr>
        <w:t xml:space="preserve"> </w:t>
      </w:r>
      <w:r w:rsidR="000D5460">
        <w:rPr>
          <w:rFonts w:ascii="Calibri" w:hAnsi="Calibri"/>
        </w:rPr>
        <w:t xml:space="preserve">by avoiding beneficiary involvement in any </w:t>
      </w:r>
      <w:r w:rsidR="00177E46">
        <w:rPr>
          <w:rFonts w:ascii="Calibri" w:hAnsi="Calibri"/>
        </w:rPr>
        <w:t>amending actions</w:t>
      </w:r>
      <w:r w:rsidR="000D5460">
        <w:rPr>
          <w:rFonts w:ascii="Calibri" w:hAnsi="Calibri"/>
        </w:rPr>
        <w:t>.  Do so through</w:t>
      </w:r>
      <w:r w:rsidR="00177E46">
        <w:rPr>
          <w:rFonts w:ascii="Calibri" w:hAnsi="Calibri"/>
        </w:rPr>
        <w:t xml:space="preserve"> an independent trustee</w:t>
      </w:r>
      <w:r w:rsidR="00E67814">
        <w:rPr>
          <w:rFonts w:ascii="Calibri" w:hAnsi="Calibri"/>
        </w:rPr>
        <w:t xml:space="preserve">, independent holder of a collateral </w:t>
      </w:r>
      <w:r w:rsidR="007C370F">
        <w:rPr>
          <w:rFonts w:ascii="Calibri" w:hAnsi="Calibri"/>
        </w:rPr>
        <w:t xml:space="preserve">lifetime limited </w:t>
      </w:r>
      <w:r w:rsidR="00E67814">
        <w:rPr>
          <w:rFonts w:ascii="Calibri" w:hAnsi="Calibri"/>
        </w:rPr>
        <w:t>power</w:t>
      </w:r>
      <w:r w:rsidR="007C370F">
        <w:rPr>
          <w:rFonts w:ascii="Calibri" w:hAnsi="Calibri"/>
        </w:rPr>
        <w:t xml:space="preserve"> of appointment</w:t>
      </w:r>
      <w:r w:rsidR="00E67814">
        <w:rPr>
          <w:rFonts w:ascii="Calibri" w:hAnsi="Calibri"/>
        </w:rPr>
        <w:t xml:space="preserve">, </w:t>
      </w:r>
      <w:r>
        <w:rPr>
          <w:rFonts w:ascii="Calibri" w:hAnsi="Calibri"/>
        </w:rPr>
        <w:t>trust protector</w:t>
      </w:r>
      <w:r w:rsidR="00177E46">
        <w:rPr>
          <w:rFonts w:ascii="Calibri" w:hAnsi="Calibri"/>
        </w:rPr>
        <w:t xml:space="preserve"> </w:t>
      </w:r>
      <w:r w:rsidR="00BD2B77">
        <w:rPr>
          <w:rFonts w:ascii="Calibri" w:hAnsi="Calibri"/>
        </w:rPr>
        <w:t>or</w:t>
      </w:r>
      <w:r w:rsidR="00E67814">
        <w:rPr>
          <w:rFonts w:ascii="Calibri" w:hAnsi="Calibri"/>
        </w:rPr>
        <w:t xml:space="preserve"> possi</w:t>
      </w:r>
      <w:r w:rsidR="00BD2B77">
        <w:rPr>
          <w:rFonts w:ascii="Calibri" w:hAnsi="Calibri"/>
        </w:rPr>
        <w:t>b</w:t>
      </w:r>
      <w:r w:rsidR="00E67814">
        <w:rPr>
          <w:rFonts w:ascii="Calibri" w:hAnsi="Calibri"/>
        </w:rPr>
        <w:t>l</w:t>
      </w:r>
      <w:r w:rsidR="00BD2B77">
        <w:rPr>
          <w:rFonts w:ascii="Calibri" w:hAnsi="Calibri"/>
        </w:rPr>
        <w:t xml:space="preserve">y an interested party who could not be said to be making a gift </w:t>
      </w:r>
      <w:r w:rsidR="00385BDC">
        <w:rPr>
          <w:rFonts w:ascii="Calibri" w:hAnsi="Calibri"/>
        </w:rPr>
        <w:t>by initiating the action</w:t>
      </w:r>
      <w:r>
        <w:rPr>
          <w:rFonts w:ascii="Calibri" w:hAnsi="Calibri"/>
        </w:rPr>
        <w:t>.</w:t>
      </w:r>
      <w:r>
        <w:rPr>
          <w:rStyle w:val="FootnoteReference"/>
          <w:rFonts w:ascii="Calibri" w:hAnsi="Calibri"/>
        </w:rPr>
        <w:footnoteReference w:id="340"/>
      </w:r>
      <w:r w:rsidR="001F253D">
        <w:rPr>
          <w:rFonts w:ascii="Calibri" w:hAnsi="Calibri"/>
        </w:rPr>
        <w:t xml:space="preserve">  </w:t>
      </w:r>
      <w:r w:rsidR="000D5460">
        <w:rPr>
          <w:rFonts w:ascii="Calibri" w:hAnsi="Calibri"/>
        </w:rPr>
        <w:t xml:space="preserve">Some </w:t>
      </w:r>
      <w:r w:rsidR="009D7296">
        <w:rPr>
          <w:rFonts w:ascii="Calibri" w:hAnsi="Calibri"/>
        </w:rPr>
        <w:t xml:space="preserve">court ordered </w:t>
      </w:r>
      <w:r w:rsidR="001B02EE">
        <w:rPr>
          <w:rFonts w:ascii="Calibri" w:hAnsi="Calibri"/>
        </w:rPr>
        <w:t>Uniform Trust Code and other state reformations do not require beneficiary consent to accomplish.</w:t>
      </w:r>
      <w:r w:rsidR="001B02EE">
        <w:rPr>
          <w:rStyle w:val="FootnoteReference"/>
          <w:rFonts w:ascii="Calibri" w:hAnsi="Calibri"/>
        </w:rPr>
        <w:footnoteReference w:id="341"/>
      </w:r>
      <w:r w:rsidR="009D7296">
        <w:rPr>
          <w:rFonts w:ascii="Calibri" w:hAnsi="Calibri"/>
        </w:rPr>
        <w:t xml:space="preserve">  If there is no action by the beneficiary, there is arguably no</w:t>
      </w:r>
      <w:r w:rsidR="009D7296" w:rsidRPr="009D7296">
        <w:t xml:space="preserve"> </w:t>
      </w:r>
      <w:r w:rsidR="009D7296">
        <w:t>“</w:t>
      </w:r>
      <w:r w:rsidR="009D7296" w:rsidRPr="009D7296">
        <w:rPr>
          <w:rFonts w:ascii="Calibri" w:hAnsi="Calibri"/>
        </w:rPr>
        <w:t>act of making the transfer</w:t>
      </w:r>
      <w:r w:rsidR="009D7296">
        <w:rPr>
          <w:rFonts w:ascii="Calibri" w:hAnsi="Calibri"/>
        </w:rPr>
        <w:t>” under the gift tax regulation cited above.</w:t>
      </w:r>
      <w:r w:rsidR="00DF4D53">
        <w:rPr>
          <w:rStyle w:val="FootnoteReference"/>
          <w:rFonts w:ascii="Calibri" w:hAnsi="Calibri"/>
        </w:rPr>
        <w:footnoteReference w:id="342"/>
      </w:r>
      <w:r w:rsidR="009D7296">
        <w:rPr>
          <w:rFonts w:ascii="Calibri" w:hAnsi="Calibri"/>
        </w:rPr>
        <w:t xml:space="preserve">  While there is no clear </w:t>
      </w:r>
      <w:r w:rsidR="000D5460">
        <w:rPr>
          <w:rFonts w:ascii="Calibri" w:hAnsi="Calibri"/>
        </w:rPr>
        <w:t>example</w:t>
      </w:r>
      <w:r w:rsidR="009D7296">
        <w:rPr>
          <w:rFonts w:ascii="Calibri" w:hAnsi="Calibri"/>
        </w:rPr>
        <w:t xml:space="preserve"> </w:t>
      </w:r>
      <w:r w:rsidR="000D5460">
        <w:rPr>
          <w:rFonts w:ascii="Calibri" w:hAnsi="Calibri"/>
        </w:rPr>
        <w:t>in the statute or regulations excluding</w:t>
      </w:r>
      <w:r w:rsidR="009D7296">
        <w:rPr>
          <w:rFonts w:ascii="Calibri" w:hAnsi="Calibri"/>
        </w:rPr>
        <w:t xml:space="preserve"> such changes </w:t>
      </w:r>
      <w:r w:rsidR="000D5460">
        <w:rPr>
          <w:rFonts w:ascii="Calibri" w:hAnsi="Calibri"/>
        </w:rPr>
        <w:t xml:space="preserve">from being a taxable gift if </w:t>
      </w:r>
      <w:r w:rsidR="009D7296">
        <w:rPr>
          <w:rFonts w:ascii="Calibri" w:hAnsi="Calibri"/>
        </w:rPr>
        <w:t xml:space="preserve">done by others, the IRS has ruled that changes effected by </w:t>
      </w:r>
      <w:r w:rsidR="009D7296" w:rsidRPr="000D5460">
        <w:rPr>
          <w:rFonts w:ascii="Calibri" w:hAnsi="Calibri"/>
          <w:i/>
        </w:rPr>
        <w:t>state law</w:t>
      </w:r>
      <w:r w:rsidR="009D7296">
        <w:rPr>
          <w:rFonts w:ascii="Calibri" w:hAnsi="Calibri"/>
        </w:rPr>
        <w:t xml:space="preserve"> that removed a general power held by trustee/beneficiaries were not taxable gifts.</w:t>
      </w:r>
      <w:r w:rsidR="000D5460">
        <w:rPr>
          <w:rStyle w:val="FootnoteReference"/>
          <w:rFonts w:ascii="Calibri" w:hAnsi="Calibri"/>
        </w:rPr>
        <w:footnoteReference w:id="343"/>
      </w:r>
    </w:p>
    <w:p w14:paraId="623BF43D" w14:textId="77777777" w:rsidR="008633AC" w:rsidRDefault="008633AC" w:rsidP="000D31E1">
      <w:pPr>
        <w:autoSpaceDE w:val="0"/>
        <w:autoSpaceDN w:val="0"/>
        <w:adjustRightInd w:val="0"/>
        <w:spacing w:line="360" w:lineRule="auto"/>
        <w:ind w:firstLine="720"/>
        <w:rPr>
          <w:rFonts w:ascii="Calibri" w:hAnsi="Calibri"/>
        </w:rPr>
      </w:pPr>
      <w:r>
        <w:rPr>
          <w:rFonts w:ascii="Calibri" w:hAnsi="Calibri"/>
        </w:rPr>
        <w:t>Finally, note that post-mortem amendments of trusts</w:t>
      </w:r>
      <w:r w:rsidRPr="008633AC">
        <w:rPr>
          <w:rFonts w:ascii="Calibri" w:hAnsi="Calibri"/>
        </w:rPr>
        <w:t xml:space="preserve"> </w:t>
      </w:r>
      <w:r>
        <w:rPr>
          <w:rFonts w:ascii="Calibri" w:hAnsi="Calibri"/>
        </w:rPr>
        <w:t xml:space="preserve">that qualified for the marital or charitable </w:t>
      </w:r>
      <w:r w:rsidR="00FF3761">
        <w:rPr>
          <w:rFonts w:ascii="Calibri" w:hAnsi="Calibri"/>
        </w:rPr>
        <w:t xml:space="preserve">estate/gift tax </w:t>
      </w:r>
      <w:r>
        <w:rPr>
          <w:rFonts w:ascii="Calibri" w:hAnsi="Calibri"/>
        </w:rPr>
        <w:t xml:space="preserve">deduction, or even administration contrary to trust terms, can retroactively disqualify the trust from the marital or charitable deduction that would have </w:t>
      </w:r>
      <w:r>
        <w:rPr>
          <w:rFonts w:ascii="Calibri" w:hAnsi="Calibri"/>
        </w:rPr>
        <w:lastRenderedPageBreak/>
        <w:t>previously been allowed.</w:t>
      </w:r>
      <w:r>
        <w:rPr>
          <w:rStyle w:val="FootnoteReference"/>
          <w:rFonts w:ascii="Calibri" w:hAnsi="Calibri"/>
        </w:rPr>
        <w:footnoteReference w:id="344"/>
      </w:r>
      <w:r>
        <w:rPr>
          <w:rFonts w:ascii="Calibri" w:hAnsi="Calibri"/>
        </w:rPr>
        <w:t xml:space="preserve"> </w:t>
      </w:r>
      <w:r w:rsidR="009D7296">
        <w:rPr>
          <w:rFonts w:ascii="Calibri" w:hAnsi="Calibri"/>
        </w:rPr>
        <w:t>This is logical, of course</w:t>
      </w:r>
      <w:r w:rsidR="000D5460">
        <w:rPr>
          <w:rFonts w:ascii="Calibri" w:hAnsi="Calibri"/>
        </w:rPr>
        <w:t>. O</w:t>
      </w:r>
      <w:r w:rsidR="009D7296">
        <w:rPr>
          <w:rFonts w:ascii="Calibri" w:hAnsi="Calibri"/>
        </w:rPr>
        <w:t>therwise billionaires could leave their estates to a marital GPOA trust, and some court could remove the GPOA, and voila, tax on billions of dollars avoided.</w:t>
      </w:r>
      <w:r w:rsidR="00B07D37">
        <w:rPr>
          <w:rFonts w:ascii="Calibri" w:hAnsi="Calibri"/>
        </w:rPr>
        <w:t xml:space="preserve">  You can bet that if the statute of limitations had already passed on the decedent’s Form 706 estate tax return filing that the IRS would find some way to either reopen the estate or seek an equitable recoupment of some sort.</w:t>
      </w:r>
      <w:r w:rsidR="00457640">
        <w:rPr>
          <w:rStyle w:val="FootnoteReference"/>
          <w:rFonts w:ascii="Calibri" w:hAnsi="Calibri"/>
        </w:rPr>
        <w:footnoteReference w:id="345"/>
      </w:r>
    </w:p>
    <w:p w14:paraId="41D41742" w14:textId="77777777" w:rsidR="00457640" w:rsidRDefault="00457640" w:rsidP="000D31E1">
      <w:pPr>
        <w:autoSpaceDE w:val="0"/>
        <w:autoSpaceDN w:val="0"/>
        <w:adjustRightInd w:val="0"/>
        <w:spacing w:line="360" w:lineRule="auto"/>
        <w:ind w:firstLine="720"/>
        <w:rPr>
          <w:rFonts w:ascii="Calibri" w:hAnsi="Calibri"/>
        </w:rPr>
      </w:pPr>
    </w:p>
    <w:p w14:paraId="008D1167" w14:textId="77777777" w:rsidR="00457640" w:rsidRDefault="00457640" w:rsidP="000D31E1">
      <w:pPr>
        <w:autoSpaceDE w:val="0"/>
        <w:autoSpaceDN w:val="0"/>
        <w:adjustRightInd w:val="0"/>
        <w:spacing w:line="360" w:lineRule="auto"/>
        <w:ind w:firstLine="720"/>
        <w:rPr>
          <w:rFonts w:ascii="Calibri" w:hAnsi="Calibri"/>
        </w:rPr>
      </w:pPr>
    </w:p>
    <w:p w14:paraId="3EE14867" w14:textId="77777777" w:rsidR="005E7D85" w:rsidRPr="00943B23" w:rsidRDefault="005E7D85" w:rsidP="00180FD1">
      <w:pPr>
        <w:pStyle w:val="ListParagraph"/>
        <w:numPr>
          <w:ilvl w:val="0"/>
          <w:numId w:val="23"/>
        </w:numPr>
        <w:autoSpaceDE w:val="0"/>
        <w:autoSpaceDN w:val="0"/>
        <w:adjustRightInd w:val="0"/>
        <w:spacing w:line="360" w:lineRule="auto"/>
        <w:ind w:hanging="720"/>
        <w:rPr>
          <w:rFonts w:ascii="Calibri" w:hAnsi="Calibri"/>
          <w:b/>
        </w:rPr>
      </w:pPr>
      <w:r w:rsidRPr="00943B23">
        <w:rPr>
          <w:rFonts w:ascii="Calibri" w:hAnsi="Calibri"/>
          <w:b/>
        </w:rPr>
        <w:t>Asset Protection Effect of Beneficiary Procurement or Acquiescence to Amendment</w:t>
      </w:r>
    </w:p>
    <w:p w14:paraId="63A362CC" w14:textId="77777777" w:rsidR="001C5944" w:rsidRDefault="0095405E" w:rsidP="001C5944">
      <w:pPr>
        <w:autoSpaceDE w:val="0"/>
        <w:autoSpaceDN w:val="0"/>
        <w:adjustRightInd w:val="0"/>
        <w:spacing w:line="360" w:lineRule="auto"/>
        <w:ind w:firstLine="720"/>
        <w:rPr>
          <w:rFonts w:ascii="Calibri" w:hAnsi="Calibri"/>
        </w:rPr>
      </w:pPr>
      <w:r>
        <w:rPr>
          <w:rFonts w:ascii="Calibri" w:hAnsi="Calibri"/>
        </w:rPr>
        <w:t>I</w:t>
      </w:r>
      <w:r w:rsidR="001C5944">
        <w:rPr>
          <w:rFonts w:ascii="Calibri" w:hAnsi="Calibri"/>
        </w:rPr>
        <w:t xml:space="preserve">t is only a matter of time before such </w:t>
      </w:r>
      <w:r w:rsidR="00177E46">
        <w:rPr>
          <w:rFonts w:ascii="Calibri" w:hAnsi="Calibri"/>
        </w:rPr>
        <w:t xml:space="preserve">arguments are used by creditors and </w:t>
      </w:r>
      <w:r w:rsidR="001C5944">
        <w:rPr>
          <w:rFonts w:ascii="Calibri" w:hAnsi="Calibri"/>
        </w:rPr>
        <w:t xml:space="preserve">bankruptcy trustees to attack any trusts amended in such manner as </w:t>
      </w:r>
      <w:r w:rsidR="008633AC">
        <w:rPr>
          <w:rFonts w:ascii="Calibri" w:hAnsi="Calibri"/>
        </w:rPr>
        <w:t xml:space="preserve">de facto </w:t>
      </w:r>
      <w:r w:rsidR="001C5944" w:rsidRPr="00AD5980">
        <w:rPr>
          <w:rFonts w:ascii="Calibri" w:hAnsi="Calibri"/>
          <w:i/>
        </w:rPr>
        <w:t>self-settled trusts</w:t>
      </w:r>
      <w:r w:rsidR="001C5944">
        <w:rPr>
          <w:rFonts w:ascii="Calibri" w:hAnsi="Calibri"/>
        </w:rPr>
        <w:t>.</w:t>
      </w:r>
      <w:r w:rsidR="00385BDC">
        <w:rPr>
          <w:rStyle w:val="FootnoteReference"/>
          <w:rFonts w:ascii="Calibri" w:hAnsi="Calibri"/>
        </w:rPr>
        <w:footnoteReference w:id="346"/>
      </w:r>
      <w:r w:rsidR="001C5944">
        <w:rPr>
          <w:rFonts w:ascii="Calibri" w:hAnsi="Calibri"/>
        </w:rPr>
        <w:t xml:space="preserve">  There are cases that bust such </w:t>
      </w:r>
      <w:r w:rsidR="00177E46">
        <w:rPr>
          <w:rFonts w:ascii="Calibri" w:hAnsi="Calibri"/>
        </w:rPr>
        <w:t xml:space="preserve">amended </w:t>
      </w:r>
      <w:r w:rsidR="001C5944">
        <w:rPr>
          <w:rFonts w:ascii="Calibri" w:hAnsi="Calibri"/>
        </w:rPr>
        <w:t>trusts when there is no clear amendment power in the trust or state law, but I would caution that such cases might be extended even to cases in which a debtor/beneficiary takes other actions to extend a trust</w:t>
      </w:r>
      <w:r w:rsidR="00B25EEA">
        <w:rPr>
          <w:rFonts w:ascii="Calibri" w:hAnsi="Calibri"/>
        </w:rPr>
        <w:t xml:space="preserve"> pursuant to state law</w:t>
      </w:r>
      <w:r w:rsidR="001C5944">
        <w:rPr>
          <w:rFonts w:ascii="Calibri" w:hAnsi="Calibri"/>
        </w:rPr>
        <w:t>.</w:t>
      </w:r>
      <w:r w:rsidR="001C5944">
        <w:rPr>
          <w:rStyle w:val="FootnoteReference"/>
          <w:rFonts w:ascii="Calibri" w:hAnsi="Calibri"/>
        </w:rPr>
        <w:footnoteReference w:id="347"/>
      </w:r>
    </w:p>
    <w:p w14:paraId="55CCD407" w14:textId="77777777" w:rsidR="00786C4E" w:rsidRDefault="00B25EEA" w:rsidP="00786C4E">
      <w:pPr>
        <w:autoSpaceDE w:val="0"/>
        <w:autoSpaceDN w:val="0"/>
        <w:adjustRightInd w:val="0"/>
        <w:spacing w:line="360" w:lineRule="auto"/>
        <w:ind w:firstLine="720"/>
        <w:rPr>
          <w:rFonts w:ascii="Calibri" w:hAnsi="Calibri"/>
        </w:rPr>
      </w:pPr>
      <w:r>
        <w:rPr>
          <w:rFonts w:ascii="Calibri" w:hAnsi="Calibri"/>
        </w:rPr>
        <w:t xml:space="preserve">If the court order is retroactive </w:t>
      </w:r>
      <w:r w:rsidRPr="00B25EEA">
        <w:rPr>
          <w:rFonts w:ascii="Calibri" w:hAnsi="Calibri"/>
          <w:i/>
        </w:rPr>
        <w:t>nunc pro tunc</w:t>
      </w:r>
      <w:r>
        <w:rPr>
          <w:rFonts w:ascii="Calibri" w:hAnsi="Calibri"/>
          <w:i/>
        </w:rPr>
        <w:t xml:space="preserve">, </w:t>
      </w:r>
      <w:r>
        <w:rPr>
          <w:rFonts w:ascii="Calibri" w:hAnsi="Calibri"/>
        </w:rPr>
        <w:t xml:space="preserve">as a trust </w:t>
      </w:r>
      <w:r w:rsidRPr="00B25EEA">
        <w:rPr>
          <w:rFonts w:ascii="Calibri" w:hAnsi="Calibri"/>
          <w:i/>
        </w:rPr>
        <w:t>construction</w:t>
      </w:r>
      <w:r>
        <w:rPr>
          <w:rFonts w:ascii="Calibri" w:hAnsi="Calibri"/>
        </w:rPr>
        <w:t xml:space="preserve"> might be, there is a good argument that the debtor should be absolved from any fraudulent transfer claims similar to the relation back doctrine governing such rules for disclaimers in most states.</w:t>
      </w:r>
      <w:r>
        <w:rPr>
          <w:rStyle w:val="FootnoteReference"/>
          <w:rFonts w:ascii="Calibri" w:hAnsi="Calibri"/>
        </w:rPr>
        <w:footnoteReference w:id="348"/>
      </w:r>
      <w:r w:rsidR="00786C4E">
        <w:rPr>
          <w:rFonts w:ascii="Calibri" w:hAnsi="Calibri"/>
        </w:rPr>
        <w:t xml:space="preserve">  However, it is wisest to avoid the argument altogether through an action initiated by a trustee (or a trust protector) other than the beneficiary, whether through court reformation or </w:t>
      </w:r>
      <w:r w:rsidR="00786C4E">
        <w:rPr>
          <w:rFonts w:ascii="Calibri" w:hAnsi="Calibri"/>
        </w:rPr>
        <w:lastRenderedPageBreak/>
        <w:t>decanting.</w:t>
      </w:r>
      <w:r w:rsidR="000D5460">
        <w:rPr>
          <w:rFonts w:ascii="Calibri" w:hAnsi="Calibri"/>
        </w:rPr>
        <w:t xml:space="preserve">  Si</w:t>
      </w:r>
      <w:r w:rsidR="005321DF">
        <w:rPr>
          <w:rFonts w:ascii="Calibri" w:hAnsi="Calibri"/>
        </w:rPr>
        <w:t>milar</w:t>
      </w:r>
      <w:r w:rsidR="000D5460">
        <w:rPr>
          <w:rFonts w:ascii="Calibri" w:hAnsi="Calibri"/>
        </w:rPr>
        <w:t xml:space="preserve"> to the gift tax aspects and the </w:t>
      </w:r>
      <w:r w:rsidR="000D5460" w:rsidRPr="000D5460">
        <w:rPr>
          <w:rFonts w:ascii="Calibri" w:hAnsi="Calibri"/>
          <w:i/>
        </w:rPr>
        <w:t>Sexton</w:t>
      </w:r>
      <w:r w:rsidR="000D5460">
        <w:rPr>
          <w:rFonts w:ascii="Calibri" w:hAnsi="Calibri"/>
        </w:rPr>
        <w:t xml:space="preserve"> case </w:t>
      </w:r>
      <w:r w:rsidR="005321DF">
        <w:rPr>
          <w:rFonts w:ascii="Calibri" w:hAnsi="Calibri"/>
        </w:rPr>
        <w:t xml:space="preserve">issues </w:t>
      </w:r>
      <w:r w:rsidR="000D5460">
        <w:rPr>
          <w:rFonts w:ascii="Calibri" w:hAnsi="Calibri"/>
        </w:rPr>
        <w:t>mentioned above, this would ideally be done without any required consent on the beneficiary’s part.</w:t>
      </w:r>
    </w:p>
    <w:p w14:paraId="40BC8D9F" w14:textId="77777777" w:rsidR="008907BC" w:rsidRPr="008907BC" w:rsidRDefault="003677B8" w:rsidP="00180FD1">
      <w:pPr>
        <w:pStyle w:val="ListParagraph"/>
        <w:numPr>
          <w:ilvl w:val="0"/>
          <w:numId w:val="23"/>
        </w:numPr>
        <w:autoSpaceDE w:val="0"/>
        <w:autoSpaceDN w:val="0"/>
        <w:adjustRightInd w:val="0"/>
        <w:spacing w:line="360" w:lineRule="auto"/>
        <w:ind w:hanging="720"/>
        <w:rPr>
          <w:rFonts w:ascii="Arial" w:hAnsi="Arial" w:cs="Arial"/>
          <w:color w:val="333333"/>
          <w:sz w:val="13"/>
          <w:szCs w:val="13"/>
        </w:rPr>
      </w:pPr>
      <w:r w:rsidRPr="00B25EEA">
        <w:rPr>
          <w:rFonts w:ascii="Calibri" w:hAnsi="Calibri"/>
          <w:b/>
        </w:rPr>
        <w:t xml:space="preserve">Amendments </w:t>
      </w:r>
      <w:r w:rsidRPr="00943B23">
        <w:rPr>
          <w:rFonts w:ascii="Calibri" w:hAnsi="Calibri"/>
          <w:b/>
        </w:rPr>
        <w:t>or Modifications Affecting GST Exemption</w:t>
      </w:r>
    </w:p>
    <w:p w14:paraId="1C91D692" w14:textId="77777777" w:rsidR="00010F68" w:rsidRPr="00943B23" w:rsidRDefault="00010F68" w:rsidP="008907BC">
      <w:pPr>
        <w:pStyle w:val="ListParagraph"/>
        <w:autoSpaceDE w:val="0"/>
        <w:autoSpaceDN w:val="0"/>
        <w:adjustRightInd w:val="0"/>
        <w:spacing w:line="360" w:lineRule="auto"/>
        <w:ind w:left="0" w:firstLine="720"/>
        <w:rPr>
          <w:rFonts w:ascii="Arial" w:hAnsi="Arial" w:cs="Arial"/>
          <w:color w:val="333333"/>
          <w:sz w:val="13"/>
          <w:szCs w:val="13"/>
        </w:rPr>
      </w:pPr>
      <w:r w:rsidRPr="00943B23">
        <w:rPr>
          <w:rFonts w:ascii="Calibri" w:hAnsi="Calibri"/>
        </w:rPr>
        <w:t>Could any amendments/modifications affect GST exemption?  Not under most circumstances, but this is yet one more issue to examine when modifying irrevocable trusts.</w:t>
      </w:r>
      <w:r w:rsidRPr="00943B23">
        <w:rPr>
          <w:rFonts w:ascii="Arial" w:hAnsi="Arial" w:cs="Arial"/>
          <w:color w:val="333333"/>
          <w:sz w:val="13"/>
          <w:szCs w:val="13"/>
        </w:rPr>
        <w:t xml:space="preserve"> </w:t>
      </w:r>
    </w:p>
    <w:p w14:paraId="21E14F4C" w14:textId="77777777" w:rsidR="00010F68" w:rsidRDefault="00010F68" w:rsidP="00010F68">
      <w:pPr>
        <w:autoSpaceDE w:val="0"/>
        <w:autoSpaceDN w:val="0"/>
        <w:adjustRightInd w:val="0"/>
        <w:ind w:left="720"/>
        <w:rPr>
          <w:rFonts w:ascii="Calibri" w:hAnsi="Calibri" w:cs="Arial"/>
          <w:color w:val="333333"/>
        </w:rPr>
      </w:pPr>
      <w:r w:rsidRPr="00010F68">
        <w:rPr>
          <w:rFonts w:ascii="Calibri" w:hAnsi="Calibri" w:cs="Arial"/>
          <w:color w:val="333333"/>
        </w:rPr>
        <w:t xml:space="preserve">OTHER CHANGES. </w:t>
      </w:r>
      <w:r w:rsidRPr="00010F68">
        <w:rPr>
          <w:rFonts w:ascii="Calibri" w:hAnsi="Calibri" w:cs="Arial"/>
          <w:color w:val="333333"/>
        </w:rPr>
        <w:br/>
        <w:t xml:space="preserve">(1) A modification of the governing instrument of an exempt trust (including a trustee distribution, settlement, or construction that does not satisfy paragraph (b)(4)(i)(A), (B), or (C) of this section) by judicial reformation, or nonjudicial reformation that is valid under applicable state law, </w:t>
      </w:r>
      <w:r w:rsidRPr="00385BDC">
        <w:rPr>
          <w:rFonts w:ascii="Calibri" w:hAnsi="Calibri" w:cs="Arial"/>
          <w:i/>
          <w:color w:val="333333"/>
        </w:rPr>
        <w:t>will not cause an exempt trust to be subject to the provisions of chapter 13, if the modification does not shift a beneficial interest in the trust to any beneficiary who occupies a lower generation</w:t>
      </w:r>
      <w:r w:rsidRPr="00010F68">
        <w:rPr>
          <w:rFonts w:ascii="Calibri" w:hAnsi="Calibri" w:cs="Arial"/>
          <w:color w:val="333333"/>
        </w:rPr>
        <w:t xml:space="preserve"> (as defined in section 2651) than the person or persons who held the beneficial interest prior to the modification, and the modification does not extend the time for vesting of any beneficial interest in the trust beyond the period provided for in the original trust.</w:t>
      </w:r>
      <w:r w:rsidR="00BB3DD7">
        <w:rPr>
          <w:rStyle w:val="FootnoteReference"/>
          <w:rFonts w:ascii="Calibri" w:hAnsi="Calibri" w:cs="Arial"/>
          <w:color w:val="333333"/>
        </w:rPr>
        <w:footnoteReference w:id="349"/>
      </w:r>
    </w:p>
    <w:p w14:paraId="68520137" w14:textId="77777777" w:rsidR="00777DF2" w:rsidRPr="00010F68" w:rsidRDefault="00777DF2" w:rsidP="00010F68">
      <w:pPr>
        <w:autoSpaceDE w:val="0"/>
        <w:autoSpaceDN w:val="0"/>
        <w:adjustRightInd w:val="0"/>
        <w:ind w:left="720"/>
        <w:rPr>
          <w:rFonts w:ascii="Calibri" w:hAnsi="Calibri"/>
        </w:rPr>
      </w:pPr>
    </w:p>
    <w:p w14:paraId="2D057F76" w14:textId="77777777" w:rsidR="001C5944" w:rsidRDefault="00DA522F" w:rsidP="001C5944">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Thus, practitioners should take care not to cause any exempt trust to be modified or terminated in such a way to shift a beneficiary interest to a lower generation. </w:t>
      </w:r>
    </w:p>
    <w:p w14:paraId="46F79B99" w14:textId="77777777" w:rsidR="00777DF2" w:rsidRDefault="00777DF2" w:rsidP="001C5944">
      <w:pPr>
        <w:autoSpaceDE w:val="0"/>
        <w:autoSpaceDN w:val="0"/>
        <w:adjustRightInd w:val="0"/>
        <w:spacing w:line="360" w:lineRule="auto"/>
        <w:ind w:firstLine="720"/>
        <w:rPr>
          <w:rFonts w:ascii="Calibri" w:hAnsi="Calibri" w:cs="Helv"/>
          <w:bCs/>
          <w:color w:val="000000"/>
        </w:rPr>
      </w:pPr>
    </w:p>
    <w:p w14:paraId="24190C3C" w14:textId="77777777" w:rsidR="0047784A" w:rsidRDefault="002C5520" w:rsidP="00180FD1">
      <w:pPr>
        <w:pStyle w:val="ListParagraph"/>
        <w:numPr>
          <w:ilvl w:val="0"/>
          <w:numId w:val="23"/>
        </w:numPr>
        <w:autoSpaceDE w:val="0"/>
        <w:autoSpaceDN w:val="0"/>
        <w:adjustRightInd w:val="0"/>
        <w:spacing w:line="360" w:lineRule="auto"/>
        <w:ind w:hanging="720"/>
        <w:rPr>
          <w:rFonts w:ascii="Calibri" w:hAnsi="Calibri" w:cs="Helv"/>
          <w:b/>
          <w:bCs/>
          <w:color w:val="000000"/>
        </w:rPr>
      </w:pPr>
      <w:r>
        <w:rPr>
          <w:rFonts w:ascii="Calibri" w:hAnsi="Calibri" w:cs="Helv"/>
          <w:b/>
          <w:bCs/>
          <w:color w:val="000000"/>
        </w:rPr>
        <w:t>Substantial a</w:t>
      </w:r>
      <w:r w:rsidR="0047784A">
        <w:rPr>
          <w:rFonts w:ascii="Calibri" w:hAnsi="Calibri" w:cs="Helv"/>
          <w:b/>
          <w:bCs/>
          <w:color w:val="000000"/>
        </w:rPr>
        <w:t xml:space="preserve">mendments causing a taxable exchange under </w:t>
      </w:r>
      <w:r w:rsidR="0047784A" w:rsidRPr="002C5520">
        <w:rPr>
          <w:rFonts w:ascii="Calibri" w:hAnsi="Calibri" w:cs="Helv"/>
          <w:b/>
          <w:bCs/>
          <w:i/>
          <w:color w:val="000000"/>
        </w:rPr>
        <w:t>Cottage Savings</w:t>
      </w:r>
      <w:r w:rsidR="00C03291">
        <w:rPr>
          <w:rFonts w:ascii="Calibri" w:hAnsi="Calibri" w:cs="Helv"/>
          <w:b/>
          <w:bCs/>
          <w:i/>
          <w:color w:val="000000"/>
        </w:rPr>
        <w:t>, §1001</w:t>
      </w:r>
    </w:p>
    <w:p w14:paraId="6FF7107E" w14:textId="77777777" w:rsidR="0047784A" w:rsidRPr="001A12F6" w:rsidRDefault="002C5520" w:rsidP="002C5520">
      <w:pPr>
        <w:pStyle w:val="ListParagraph"/>
        <w:spacing w:line="360" w:lineRule="auto"/>
        <w:ind w:left="0" w:firstLine="720"/>
        <w:rPr>
          <w:rFonts w:ascii="Calibri" w:hAnsi="Calibri" w:cs="Helv"/>
          <w:bCs/>
          <w:color w:val="000000"/>
        </w:rPr>
      </w:pPr>
      <w:r w:rsidRPr="001A12F6">
        <w:rPr>
          <w:rFonts w:ascii="Calibri" w:hAnsi="Calibri" w:cs="Helv"/>
          <w:bCs/>
          <w:color w:val="000000"/>
        </w:rPr>
        <w:t xml:space="preserve">In a rare and extreme case, settlements and amendments of </w:t>
      </w:r>
      <w:r w:rsidR="00CB53B7">
        <w:rPr>
          <w:rFonts w:ascii="Calibri" w:hAnsi="Calibri" w:cs="Helv"/>
          <w:bCs/>
          <w:color w:val="000000"/>
        </w:rPr>
        <w:t xml:space="preserve">irrevocable </w:t>
      </w:r>
      <w:r w:rsidRPr="001A12F6">
        <w:rPr>
          <w:rFonts w:ascii="Calibri" w:hAnsi="Calibri" w:cs="Helv"/>
          <w:bCs/>
          <w:color w:val="000000"/>
        </w:rPr>
        <w:t xml:space="preserve">trusts </w:t>
      </w:r>
      <w:r w:rsidR="00F508F5">
        <w:rPr>
          <w:rFonts w:ascii="Calibri" w:hAnsi="Calibri" w:cs="Helv"/>
          <w:bCs/>
          <w:color w:val="000000"/>
        </w:rPr>
        <w:t>can</w:t>
      </w:r>
      <w:r w:rsidRPr="001A12F6">
        <w:rPr>
          <w:rFonts w:ascii="Calibri" w:hAnsi="Calibri" w:cs="Helv"/>
          <w:bCs/>
          <w:color w:val="000000"/>
        </w:rPr>
        <w:t xml:space="preserve"> cause an </w:t>
      </w:r>
      <w:r w:rsidRPr="001A12F6">
        <w:rPr>
          <w:rFonts w:ascii="Calibri" w:hAnsi="Calibri" w:cs="Helv"/>
          <w:bCs/>
          <w:i/>
          <w:color w:val="000000"/>
        </w:rPr>
        <w:t>income</w:t>
      </w:r>
      <w:r w:rsidRPr="001A12F6">
        <w:rPr>
          <w:rFonts w:ascii="Calibri" w:hAnsi="Calibri" w:cs="Helv"/>
          <w:bCs/>
          <w:color w:val="000000"/>
        </w:rPr>
        <w:t xml:space="preserve"> taxable </w:t>
      </w:r>
      <w:r w:rsidR="00B14256" w:rsidRPr="001A12F6">
        <w:rPr>
          <w:rFonts w:ascii="Calibri" w:hAnsi="Calibri" w:cs="Helv"/>
          <w:bCs/>
          <w:i/>
          <w:color w:val="000000"/>
        </w:rPr>
        <w:t>exchange</w:t>
      </w:r>
      <w:r w:rsidR="007E74DB">
        <w:rPr>
          <w:rFonts w:ascii="Calibri" w:hAnsi="Calibri" w:cs="Helv"/>
          <w:bCs/>
          <w:i/>
          <w:color w:val="000000"/>
        </w:rPr>
        <w:t xml:space="preserve"> </w:t>
      </w:r>
      <w:r w:rsidR="007E74DB">
        <w:rPr>
          <w:rFonts w:ascii="Calibri" w:hAnsi="Calibri" w:cs="Helv"/>
          <w:bCs/>
          <w:color w:val="000000"/>
        </w:rPr>
        <w:t>pursuant to IRC §1001</w:t>
      </w:r>
      <w:r w:rsidRPr="001A12F6">
        <w:rPr>
          <w:rFonts w:ascii="Calibri" w:hAnsi="Calibri" w:cs="Helv"/>
          <w:bCs/>
          <w:color w:val="000000"/>
        </w:rPr>
        <w:t xml:space="preserve">.  </w:t>
      </w:r>
      <w:r w:rsidR="003F55E8">
        <w:rPr>
          <w:rFonts w:ascii="Calibri" w:hAnsi="Calibri" w:cs="Helv"/>
          <w:bCs/>
          <w:color w:val="000000"/>
        </w:rPr>
        <w:t xml:space="preserve">This might be the most overlooked and underappreciated risk to irrevocable trust amendments, especially with fewer taxpayers concerned about the gift and estate tax.  </w:t>
      </w:r>
      <w:r w:rsidRPr="001A12F6">
        <w:rPr>
          <w:rFonts w:ascii="Calibri" w:hAnsi="Calibri" w:cs="Helv"/>
          <w:bCs/>
          <w:color w:val="000000"/>
        </w:rPr>
        <w:t xml:space="preserve">The seminal oft-cited case for this proposition is </w:t>
      </w:r>
      <w:r w:rsidRPr="001A12F6">
        <w:rPr>
          <w:rFonts w:ascii="Calibri" w:hAnsi="Calibri" w:cs="Helv"/>
          <w:bCs/>
          <w:i/>
          <w:iCs/>
          <w:color w:val="000000"/>
        </w:rPr>
        <w:t>Cottage Savings Ass</w:t>
      </w:r>
      <w:r w:rsidR="0047784A" w:rsidRPr="001A12F6">
        <w:rPr>
          <w:rFonts w:ascii="Calibri" w:hAnsi="Calibri" w:cs="Helv"/>
          <w:bCs/>
          <w:i/>
          <w:iCs/>
          <w:color w:val="000000"/>
        </w:rPr>
        <w:t>n v. Comm</w:t>
      </w:r>
      <w:r w:rsidRPr="001A12F6">
        <w:rPr>
          <w:rFonts w:ascii="Calibri" w:hAnsi="Calibri" w:cs="Helv"/>
          <w:bCs/>
          <w:i/>
          <w:iCs/>
          <w:color w:val="000000"/>
        </w:rPr>
        <w:t>r.</w:t>
      </w:r>
      <w:r w:rsidR="0047784A" w:rsidRPr="001A12F6">
        <w:rPr>
          <w:rStyle w:val="FootnoteReference"/>
          <w:rFonts w:ascii="Calibri" w:hAnsi="Calibri" w:cs="Helv"/>
          <w:bCs/>
          <w:color w:val="000000"/>
        </w:rPr>
        <w:footnoteReference w:id="350"/>
      </w:r>
      <w:r w:rsidR="0047784A" w:rsidRPr="001A12F6">
        <w:rPr>
          <w:rFonts w:ascii="Calibri" w:hAnsi="Calibri" w:cs="Helv"/>
          <w:bCs/>
          <w:color w:val="000000"/>
        </w:rPr>
        <w:t xml:space="preserve"> </w:t>
      </w:r>
      <w:r w:rsidRPr="001A12F6">
        <w:rPr>
          <w:rFonts w:ascii="Calibri" w:hAnsi="Calibri" w:cs="Helv"/>
          <w:bCs/>
          <w:color w:val="000000"/>
        </w:rPr>
        <w:t xml:space="preserve"> In that case, </w:t>
      </w:r>
      <w:r w:rsidR="0047784A" w:rsidRPr="001A12F6">
        <w:rPr>
          <w:rFonts w:ascii="Calibri" w:hAnsi="Calibri" w:cs="Helv"/>
          <w:bCs/>
          <w:color w:val="000000"/>
        </w:rPr>
        <w:t xml:space="preserve">the taxpayer, a savings and loan, had exchanged one group of mortgages for another set of mortgages. The exchanged mortgages were substantially identical in </w:t>
      </w:r>
      <w:r w:rsidRPr="001A12F6">
        <w:rPr>
          <w:rFonts w:ascii="Calibri" w:hAnsi="Calibri" w:cs="Helv"/>
          <w:bCs/>
          <w:color w:val="000000"/>
        </w:rPr>
        <w:t>many respects</w:t>
      </w:r>
      <w:r w:rsidR="0047784A" w:rsidRPr="001A12F6">
        <w:rPr>
          <w:rFonts w:ascii="Calibri" w:hAnsi="Calibri" w:cs="Helv"/>
          <w:bCs/>
          <w:color w:val="000000"/>
        </w:rPr>
        <w:t xml:space="preserve">. Nevertheless, the court determined that the exchanged mortgages were of legally distinct entitlements because of the </w:t>
      </w:r>
      <w:r w:rsidR="006B51AB" w:rsidRPr="001A12F6">
        <w:rPr>
          <w:rFonts w:ascii="Calibri" w:hAnsi="Calibri" w:cs="Helv"/>
          <w:bCs/>
          <w:color w:val="000000"/>
        </w:rPr>
        <w:t xml:space="preserve">material </w:t>
      </w:r>
      <w:r w:rsidR="0047784A" w:rsidRPr="001A12F6">
        <w:rPr>
          <w:rFonts w:ascii="Calibri" w:hAnsi="Calibri" w:cs="Helv"/>
          <w:bCs/>
          <w:color w:val="000000"/>
        </w:rPr>
        <w:t>differenc</w:t>
      </w:r>
      <w:r w:rsidRPr="001A12F6">
        <w:rPr>
          <w:rFonts w:ascii="Calibri" w:hAnsi="Calibri" w:cs="Helv"/>
          <w:bCs/>
          <w:color w:val="000000"/>
        </w:rPr>
        <w:t xml:space="preserve">e in the obligors and security and </w:t>
      </w:r>
      <w:r w:rsidR="0047784A" w:rsidRPr="001A12F6">
        <w:rPr>
          <w:rFonts w:ascii="Calibri" w:hAnsi="Calibri" w:cs="Helv"/>
          <w:bCs/>
          <w:color w:val="000000"/>
        </w:rPr>
        <w:t>the legal</w:t>
      </w:r>
      <w:r w:rsidR="009F35FC" w:rsidRPr="001A12F6">
        <w:rPr>
          <w:rFonts w:ascii="Calibri" w:hAnsi="Calibri" w:cs="Helv"/>
          <w:bCs/>
          <w:color w:val="000000"/>
        </w:rPr>
        <w:t xml:space="preserve"> </w:t>
      </w:r>
      <w:r w:rsidR="0047784A" w:rsidRPr="001A12F6">
        <w:rPr>
          <w:rFonts w:ascii="Calibri" w:hAnsi="Calibri" w:cs="Helv"/>
          <w:bCs/>
          <w:color w:val="000000"/>
        </w:rPr>
        <w:t>entitlements</w:t>
      </w:r>
      <w:r w:rsidRPr="001A12F6">
        <w:rPr>
          <w:rFonts w:ascii="Calibri" w:hAnsi="Calibri" w:cs="Helv"/>
          <w:bCs/>
          <w:color w:val="000000"/>
        </w:rPr>
        <w:t xml:space="preserve"> pertaining thereto</w:t>
      </w:r>
      <w:r w:rsidR="0047784A" w:rsidRPr="001A12F6">
        <w:rPr>
          <w:rFonts w:ascii="Calibri" w:hAnsi="Calibri" w:cs="Helv"/>
          <w:bCs/>
          <w:color w:val="000000"/>
        </w:rPr>
        <w:t xml:space="preserve">. Therefore, the </w:t>
      </w:r>
      <w:r w:rsidR="0047784A" w:rsidRPr="001A12F6">
        <w:rPr>
          <w:rFonts w:ascii="Calibri" w:hAnsi="Calibri" w:cs="Helv"/>
          <w:bCs/>
          <w:color w:val="000000"/>
        </w:rPr>
        <w:lastRenderedPageBreak/>
        <w:t>taxpayer was determined to have disposed of its interests in the</w:t>
      </w:r>
      <w:r w:rsidR="009F35FC" w:rsidRPr="001A12F6">
        <w:rPr>
          <w:rFonts w:ascii="Calibri" w:hAnsi="Calibri" w:cs="Helv"/>
          <w:bCs/>
          <w:color w:val="000000"/>
        </w:rPr>
        <w:t xml:space="preserve"> </w:t>
      </w:r>
      <w:r w:rsidR="0047784A" w:rsidRPr="001A12F6">
        <w:rPr>
          <w:rFonts w:ascii="Calibri" w:hAnsi="Calibri" w:cs="Helv"/>
          <w:bCs/>
          <w:color w:val="000000"/>
        </w:rPr>
        <w:t>exchanged mortgages and could recognize the loss, for income tax purposes.</w:t>
      </w:r>
    </w:p>
    <w:p w14:paraId="6EA87035" w14:textId="77777777" w:rsidR="00C21A6D" w:rsidRDefault="00C21A6D" w:rsidP="002C5520">
      <w:pPr>
        <w:pStyle w:val="ListParagraph"/>
        <w:spacing w:line="360" w:lineRule="auto"/>
        <w:ind w:left="0" w:firstLine="720"/>
        <w:rPr>
          <w:rFonts w:ascii="Calibri" w:hAnsi="Calibri" w:cs="Helv"/>
          <w:bCs/>
          <w:color w:val="000000"/>
        </w:rPr>
      </w:pPr>
      <w:r>
        <w:rPr>
          <w:rFonts w:ascii="Calibri" w:hAnsi="Calibri" w:cs="Helv"/>
          <w:bCs/>
          <w:color w:val="000000"/>
        </w:rPr>
        <w:t xml:space="preserve">Prior to </w:t>
      </w:r>
      <w:r w:rsidRPr="00C21A6D">
        <w:rPr>
          <w:rFonts w:ascii="Calibri" w:hAnsi="Calibri" w:cs="Helv"/>
          <w:bCs/>
          <w:i/>
          <w:color w:val="000000"/>
        </w:rPr>
        <w:t>Cottage Savings</w:t>
      </w:r>
      <w:r>
        <w:rPr>
          <w:rFonts w:ascii="Calibri" w:hAnsi="Calibri" w:cs="Helv"/>
          <w:bCs/>
          <w:color w:val="000000"/>
        </w:rPr>
        <w:t xml:space="preserve">, in </w:t>
      </w:r>
      <w:r w:rsidRPr="00C21A6D">
        <w:rPr>
          <w:rFonts w:ascii="Calibri" w:hAnsi="Calibri" w:cs="Helv"/>
          <w:bCs/>
          <w:i/>
          <w:color w:val="000000"/>
        </w:rPr>
        <w:t>Evans v. Commissioner</w:t>
      </w:r>
      <w:r w:rsidRPr="00C21A6D">
        <w:rPr>
          <w:rFonts w:ascii="Calibri" w:hAnsi="Calibri" w:cs="Helv"/>
          <w:bCs/>
          <w:color w:val="000000"/>
        </w:rPr>
        <w:t xml:space="preserve">, the taxpayer </w:t>
      </w:r>
      <w:r w:rsidR="007E74DB">
        <w:rPr>
          <w:rFonts w:ascii="Calibri" w:hAnsi="Calibri" w:cs="Helv"/>
          <w:bCs/>
          <w:color w:val="000000"/>
        </w:rPr>
        <w:t>gave</w:t>
      </w:r>
      <w:r w:rsidRPr="00C21A6D">
        <w:rPr>
          <w:rFonts w:ascii="Calibri" w:hAnsi="Calibri" w:cs="Helv"/>
          <w:bCs/>
          <w:color w:val="000000"/>
        </w:rPr>
        <w:t xml:space="preserve"> her income interest in a trust </w:t>
      </w:r>
      <w:r>
        <w:rPr>
          <w:rFonts w:ascii="Calibri" w:hAnsi="Calibri" w:cs="Helv"/>
          <w:bCs/>
          <w:color w:val="000000"/>
        </w:rPr>
        <w:t xml:space="preserve">to her husband, who agreed to pay her a fixed lifetime </w:t>
      </w:r>
      <w:r w:rsidRPr="00C21A6D">
        <w:rPr>
          <w:rFonts w:ascii="Calibri" w:hAnsi="Calibri" w:cs="Helv"/>
          <w:bCs/>
          <w:color w:val="000000"/>
        </w:rPr>
        <w:t>annuity</w:t>
      </w:r>
      <w:r>
        <w:rPr>
          <w:rFonts w:ascii="Calibri" w:hAnsi="Calibri" w:cs="Helv"/>
          <w:bCs/>
          <w:color w:val="000000"/>
        </w:rPr>
        <w:t xml:space="preserve">.  The tax court </w:t>
      </w:r>
      <w:r w:rsidRPr="00C21A6D">
        <w:rPr>
          <w:rFonts w:ascii="Calibri" w:hAnsi="Calibri" w:cs="Helv"/>
          <w:bCs/>
          <w:color w:val="000000"/>
        </w:rPr>
        <w:t>concluded that this was a</w:t>
      </w:r>
      <w:r w:rsidR="007E74DB">
        <w:rPr>
          <w:rFonts w:ascii="Calibri" w:hAnsi="Calibri" w:cs="Helv"/>
          <w:bCs/>
          <w:color w:val="000000"/>
        </w:rPr>
        <w:t>lso a taxable</w:t>
      </w:r>
      <w:r w:rsidRPr="00C21A6D">
        <w:rPr>
          <w:rFonts w:ascii="Calibri" w:hAnsi="Calibri" w:cs="Helv"/>
          <w:bCs/>
          <w:color w:val="000000"/>
        </w:rPr>
        <w:t xml:space="preserve"> realization event</w:t>
      </w:r>
      <w:r>
        <w:rPr>
          <w:rFonts w:ascii="Calibri" w:hAnsi="Calibri" w:cs="Helv"/>
          <w:bCs/>
          <w:color w:val="000000"/>
        </w:rPr>
        <w:t xml:space="preserve"> (this was prior to enactment of IRC </w:t>
      </w:r>
      <w:r w:rsidR="007E74DB">
        <w:rPr>
          <w:rFonts w:ascii="Calibri" w:hAnsi="Calibri" w:cs="Helv"/>
          <w:bCs/>
          <w:color w:val="000000"/>
        </w:rPr>
        <w:t>§</w:t>
      </w:r>
      <w:r>
        <w:rPr>
          <w:rFonts w:ascii="Calibri" w:hAnsi="Calibri" w:cs="Helv"/>
          <w:bCs/>
          <w:color w:val="000000"/>
        </w:rPr>
        <w:t>1042</w:t>
      </w:r>
      <w:r w:rsidR="007E74DB">
        <w:rPr>
          <w:rFonts w:ascii="Calibri" w:hAnsi="Calibri" w:cs="Helv"/>
          <w:bCs/>
          <w:color w:val="000000"/>
        </w:rPr>
        <w:t xml:space="preserve"> that now generally disregards sales between spouses)</w:t>
      </w:r>
      <w:r w:rsidRPr="00C21A6D">
        <w:rPr>
          <w:rFonts w:ascii="Calibri" w:hAnsi="Calibri" w:cs="Helv"/>
          <w:bCs/>
          <w:color w:val="000000"/>
        </w:rPr>
        <w:t>.</w:t>
      </w:r>
      <w:r>
        <w:rPr>
          <w:rStyle w:val="FootnoteReference"/>
          <w:rFonts w:ascii="Calibri" w:hAnsi="Calibri" w:cs="Helv"/>
          <w:bCs/>
          <w:color w:val="000000"/>
        </w:rPr>
        <w:footnoteReference w:id="351"/>
      </w:r>
      <w:r w:rsidRPr="00C21A6D">
        <w:rPr>
          <w:rFonts w:ascii="Calibri" w:hAnsi="Calibri" w:cs="Helv"/>
          <w:bCs/>
          <w:color w:val="000000"/>
        </w:rPr>
        <w:t xml:space="preserve"> </w:t>
      </w:r>
      <w:r w:rsidR="00BD4D02">
        <w:rPr>
          <w:rFonts w:ascii="Calibri" w:hAnsi="Calibri" w:cs="Helv"/>
          <w:bCs/>
          <w:color w:val="000000"/>
        </w:rPr>
        <w:t xml:space="preserve">In </w:t>
      </w:r>
      <w:r w:rsidR="00F56A50">
        <w:rPr>
          <w:rFonts w:ascii="Calibri" w:hAnsi="Calibri" w:cs="Helv"/>
          <w:bCs/>
          <w:color w:val="000000"/>
        </w:rPr>
        <w:t>other</w:t>
      </w:r>
      <w:r w:rsidR="00BD4D02">
        <w:rPr>
          <w:rFonts w:ascii="Calibri" w:hAnsi="Calibri" w:cs="Helv"/>
          <w:bCs/>
          <w:color w:val="000000"/>
        </w:rPr>
        <w:t xml:space="preserve"> prior ruling</w:t>
      </w:r>
      <w:r w:rsidR="00F56A50">
        <w:rPr>
          <w:rFonts w:ascii="Calibri" w:hAnsi="Calibri" w:cs="Helv"/>
          <w:bCs/>
          <w:color w:val="000000"/>
        </w:rPr>
        <w:t>s</w:t>
      </w:r>
      <w:r w:rsidR="00BD4D02">
        <w:rPr>
          <w:rFonts w:ascii="Calibri" w:hAnsi="Calibri" w:cs="Helv"/>
          <w:bCs/>
          <w:color w:val="000000"/>
        </w:rPr>
        <w:t xml:space="preserve">, tenant in common owners rearranged affairs so that parcels were distributed </w:t>
      </w:r>
      <w:r w:rsidR="007F6963">
        <w:rPr>
          <w:rFonts w:ascii="Calibri" w:hAnsi="Calibri" w:cs="Helv"/>
          <w:bCs/>
          <w:color w:val="000000"/>
        </w:rPr>
        <w:t xml:space="preserve">and it was ruled an exchange (but were eligible for IRC </w:t>
      </w:r>
      <w:r w:rsidR="007F6963">
        <w:rPr>
          <w:rFonts w:ascii="Arial" w:hAnsi="Arial" w:cs="Arial"/>
          <w:bCs/>
          <w:color w:val="000000"/>
        </w:rPr>
        <w:t>§</w:t>
      </w:r>
      <w:r w:rsidR="007F6963">
        <w:rPr>
          <w:rFonts w:ascii="Calibri" w:hAnsi="Calibri" w:cs="Helv"/>
          <w:bCs/>
          <w:color w:val="000000"/>
        </w:rPr>
        <w:t>1031 like kind exchange treatment).</w:t>
      </w:r>
      <w:r w:rsidR="007F6963">
        <w:rPr>
          <w:rStyle w:val="FootnoteReference"/>
          <w:rFonts w:ascii="Calibri" w:hAnsi="Calibri" w:cs="Helv"/>
          <w:bCs/>
          <w:color w:val="000000"/>
        </w:rPr>
        <w:footnoteReference w:id="352"/>
      </w:r>
    </w:p>
    <w:p w14:paraId="59297DC0" w14:textId="77777777" w:rsidR="007E74DB" w:rsidRDefault="007E74DB" w:rsidP="007E74DB">
      <w:pPr>
        <w:spacing w:line="360" w:lineRule="auto"/>
        <w:rPr>
          <w:rFonts w:ascii="Calibri" w:hAnsi="Calibri" w:cs="Helv"/>
          <w:bCs/>
          <w:color w:val="000000"/>
        </w:rPr>
      </w:pPr>
      <w:r>
        <w:rPr>
          <w:rFonts w:ascii="Calibri" w:hAnsi="Calibri" w:cs="Helv"/>
          <w:bCs/>
          <w:color w:val="000000"/>
        </w:rPr>
        <w:tab/>
        <w:t xml:space="preserve">By contrast, where a taxpayer exchanged her </w:t>
      </w:r>
      <w:r w:rsidRPr="007E74DB">
        <w:rPr>
          <w:rFonts w:ascii="Calibri" w:hAnsi="Calibri" w:cs="Helv"/>
          <w:bCs/>
          <w:color w:val="000000"/>
        </w:rPr>
        <w:t>interest in a trust for a right to</w:t>
      </w:r>
      <w:r>
        <w:rPr>
          <w:rFonts w:ascii="Calibri" w:hAnsi="Calibri" w:cs="Helv"/>
          <w:bCs/>
          <w:color w:val="000000"/>
        </w:rPr>
        <w:t xml:space="preserve"> similar</w:t>
      </w:r>
      <w:r w:rsidRPr="007E74DB">
        <w:rPr>
          <w:rFonts w:ascii="Calibri" w:hAnsi="Calibri" w:cs="Helv"/>
          <w:bCs/>
          <w:color w:val="000000"/>
        </w:rPr>
        <w:t xml:space="preserve"> specified annual payments from the remainderman of the trust, </w:t>
      </w:r>
      <w:r>
        <w:rPr>
          <w:rFonts w:ascii="Calibri" w:hAnsi="Calibri" w:cs="Helv"/>
          <w:bCs/>
          <w:color w:val="000000"/>
        </w:rPr>
        <w:t>the 7</w:t>
      </w:r>
      <w:r w:rsidRPr="007E74DB">
        <w:rPr>
          <w:rFonts w:ascii="Calibri" w:hAnsi="Calibri" w:cs="Helv"/>
          <w:bCs/>
          <w:color w:val="000000"/>
          <w:vertAlign w:val="superscript"/>
        </w:rPr>
        <w:t>th</w:t>
      </w:r>
      <w:r>
        <w:rPr>
          <w:rFonts w:ascii="Calibri" w:hAnsi="Calibri" w:cs="Helv"/>
          <w:bCs/>
          <w:color w:val="000000"/>
        </w:rPr>
        <w:t xml:space="preserve"> Circuit</w:t>
      </w:r>
      <w:r w:rsidRPr="007E74DB">
        <w:rPr>
          <w:rFonts w:ascii="Calibri" w:hAnsi="Calibri" w:cs="Helv"/>
          <w:bCs/>
          <w:color w:val="000000"/>
        </w:rPr>
        <w:t xml:space="preserve"> held that </w:t>
      </w:r>
      <w:r>
        <w:rPr>
          <w:rFonts w:ascii="Calibri" w:hAnsi="Calibri" w:cs="Helv"/>
          <w:bCs/>
          <w:color w:val="000000"/>
        </w:rPr>
        <w:t xml:space="preserve">the </w:t>
      </w:r>
      <w:r w:rsidRPr="007E74DB">
        <w:rPr>
          <w:rFonts w:ascii="Calibri" w:hAnsi="Calibri" w:cs="Helv"/>
          <w:bCs/>
          <w:color w:val="000000"/>
        </w:rPr>
        <w:t xml:space="preserve">taxpayer did </w:t>
      </w:r>
      <w:r w:rsidRPr="007E74DB">
        <w:rPr>
          <w:rFonts w:ascii="Calibri" w:hAnsi="Calibri" w:cs="Helv"/>
          <w:b/>
          <w:bCs/>
          <w:color w:val="000000"/>
        </w:rPr>
        <w:t>not</w:t>
      </w:r>
      <w:r w:rsidRPr="007E74DB">
        <w:rPr>
          <w:rFonts w:ascii="Calibri" w:hAnsi="Calibri" w:cs="Helv"/>
          <w:bCs/>
          <w:color w:val="000000"/>
        </w:rPr>
        <w:t xml:space="preserve"> </w:t>
      </w:r>
      <w:r>
        <w:rPr>
          <w:rFonts w:ascii="Calibri" w:hAnsi="Calibri" w:cs="Helv"/>
          <w:bCs/>
          <w:color w:val="000000"/>
        </w:rPr>
        <w:t>“</w:t>
      </w:r>
      <w:r w:rsidRPr="007E74DB">
        <w:rPr>
          <w:rFonts w:ascii="Calibri" w:hAnsi="Calibri" w:cs="Helv"/>
          <w:bCs/>
          <w:color w:val="000000"/>
        </w:rPr>
        <w:t>dispose</w:t>
      </w:r>
      <w:r>
        <w:rPr>
          <w:rFonts w:ascii="Calibri" w:hAnsi="Calibri" w:cs="Helv"/>
          <w:bCs/>
          <w:color w:val="000000"/>
        </w:rPr>
        <w:t xml:space="preserve">” of her trust interest, since the </w:t>
      </w:r>
      <w:r w:rsidRPr="007E74DB">
        <w:rPr>
          <w:rFonts w:ascii="Calibri" w:hAnsi="Calibri" w:cs="Helv"/>
          <w:bCs/>
          <w:color w:val="000000"/>
        </w:rPr>
        <w:t xml:space="preserve">taxpayer </w:t>
      </w:r>
      <w:r w:rsidRPr="00F508F5">
        <w:rPr>
          <w:rFonts w:ascii="Calibri" w:hAnsi="Calibri" w:cs="Helv"/>
          <w:bCs/>
          <w:i/>
          <w:color w:val="000000"/>
        </w:rPr>
        <w:t>was to receive the exact same annual payments</w:t>
      </w:r>
      <w:r w:rsidRPr="007E74DB">
        <w:rPr>
          <w:rFonts w:ascii="Calibri" w:hAnsi="Calibri" w:cs="Helv"/>
          <w:bCs/>
          <w:color w:val="000000"/>
        </w:rPr>
        <w:t xml:space="preserve"> from the remainderman as she had been receiving from the trust</w:t>
      </w:r>
      <w:r>
        <w:rPr>
          <w:rFonts w:ascii="Calibri" w:hAnsi="Calibri" w:cs="Helv"/>
          <w:bCs/>
          <w:color w:val="000000"/>
        </w:rPr>
        <w:t>, which the 7</w:t>
      </w:r>
      <w:r w:rsidRPr="007E74DB">
        <w:rPr>
          <w:rFonts w:ascii="Calibri" w:hAnsi="Calibri" w:cs="Helv"/>
          <w:bCs/>
          <w:color w:val="000000"/>
          <w:vertAlign w:val="superscript"/>
        </w:rPr>
        <w:t>th</w:t>
      </w:r>
      <w:r>
        <w:rPr>
          <w:rFonts w:ascii="Calibri" w:hAnsi="Calibri" w:cs="Helv"/>
          <w:bCs/>
          <w:color w:val="000000"/>
        </w:rPr>
        <w:t xml:space="preserve"> Circuit found to be a distinguishing factor from </w:t>
      </w:r>
      <w:r w:rsidRPr="007E74DB">
        <w:rPr>
          <w:rFonts w:ascii="Calibri" w:hAnsi="Calibri" w:cs="Helv"/>
          <w:bCs/>
          <w:i/>
          <w:color w:val="000000"/>
        </w:rPr>
        <w:t>Evans</w:t>
      </w:r>
      <w:r w:rsidRPr="007E74DB">
        <w:rPr>
          <w:rFonts w:ascii="Calibri" w:hAnsi="Calibri" w:cs="Helv"/>
          <w:bCs/>
          <w:color w:val="000000"/>
        </w:rPr>
        <w:t>.</w:t>
      </w:r>
      <w:r w:rsidR="001D7B70">
        <w:rPr>
          <w:rFonts w:ascii="Calibri" w:hAnsi="Calibri" w:cs="Helv"/>
          <w:bCs/>
          <w:color w:val="000000"/>
        </w:rPr>
        <w:t xml:space="preserve">  The fact that the trust and fiduciary relationship was removed altogether was not “meaningful” – there was no “change in economic position” necessary for a sale or disposition.</w:t>
      </w:r>
      <w:r>
        <w:rPr>
          <w:rStyle w:val="FootnoteReference"/>
          <w:rFonts w:ascii="Calibri" w:hAnsi="Calibri" w:cs="Helv"/>
          <w:bCs/>
          <w:color w:val="000000"/>
        </w:rPr>
        <w:footnoteReference w:id="353"/>
      </w:r>
      <w:r w:rsidRPr="007E74DB">
        <w:rPr>
          <w:rFonts w:ascii="Calibri" w:hAnsi="Calibri" w:cs="Helv"/>
          <w:bCs/>
          <w:color w:val="000000"/>
        </w:rPr>
        <w:t xml:space="preserve"> </w:t>
      </w:r>
    </w:p>
    <w:p w14:paraId="0D425453" w14:textId="77777777" w:rsidR="006B51AB" w:rsidRPr="001A12F6" w:rsidRDefault="00C21A6D" w:rsidP="002C5520">
      <w:pPr>
        <w:pStyle w:val="ListParagraph"/>
        <w:spacing w:line="360" w:lineRule="auto"/>
        <w:ind w:left="0" w:firstLine="720"/>
        <w:rPr>
          <w:rFonts w:ascii="Calibri" w:hAnsi="Calibri" w:cs="Helv"/>
          <w:bCs/>
          <w:color w:val="000000"/>
        </w:rPr>
      </w:pPr>
      <w:r>
        <w:rPr>
          <w:rFonts w:ascii="Calibri" w:hAnsi="Calibri" w:cs="Helv"/>
          <w:bCs/>
          <w:color w:val="000000"/>
        </w:rPr>
        <w:t xml:space="preserve">The IRS applied </w:t>
      </w:r>
      <w:r w:rsidR="00F508F5">
        <w:rPr>
          <w:rFonts w:ascii="Calibri" w:hAnsi="Calibri" w:cs="Helv"/>
          <w:bCs/>
          <w:color w:val="000000"/>
        </w:rPr>
        <w:t xml:space="preserve">the </w:t>
      </w:r>
      <w:r w:rsidR="00F508F5" w:rsidRPr="00F508F5">
        <w:rPr>
          <w:rFonts w:ascii="Calibri" w:hAnsi="Calibri" w:cs="Helv"/>
          <w:bCs/>
          <w:i/>
          <w:color w:val="000000"/>
        </w:rPr>
        <w:t>Evans</w:t>
      </w:r>
      <w:r w:rsidR="00F508F5">
        <w:rPr>
          <w:rFonts w:ascii="Calibri" w:hAnsi="Calibri" w:cs="Helv"/>
          <w:bCs/>
          <w:color w:val="000000"/>
        </w:rPr>
        <w:t xml:space="preserve"> and </w:t>
      </w:r>
      <w:r w:rsidR="00F508F5" w:rsidRPr="00F508F5">
        <w:rPr>
          <w:rFonts w:ascii="Calibri" w:hAnsi="Calibri" w:cs="Helv"/>
          <w:bCs/>
          <w:i/>
          <w:color w:val="000000"/>
        </w:rPr>
        <w:t>Cottage Savings</w:t>
      </w:r>
      <w:r w:rsidR="00F508F5">
        <w:rPr>
          <w:rFonts w:ascii="Calibri" w:hAnsi="Calibri" w:cs="Helv"/>
          <w:bCs/>
          <w:color w:val="000000"/>
        </w:rPr>
        <w:t xml:space="preserve"> rationale</w:t>
      </w:r>
      <w:r w:rsidR="002C5520" w:rsidRPr="001A12F6">
        <w:rPr>
          <w:rFonts w:ascii="Calibri" w:hAnsi="Calibri" w:cs="Helv"/>
          <w:bCs/>
          <w:color w:val="000000"/>
        </w:rPr>
        <w:t xml:space="preserve"> against a proposed trust settlement</w:t>
      </w:r>
      <w:r w:rsidR="00F508F5">
        <w:rPr>
          <w:rFonts w:ascii="Calibri" w:hAnsi="Calibri" w:cs="Helv"/>
          <w:bCs/>
          <w:color w:val="000000"/>
        </w:rPr>
        <w:t xml:space="preserve"> and</w:t>
      </w:r>
      <w:r w:rsidR="002C5520" w:rsidRPr="001A12F6">
        <w:rPr>
          <w:rFonts w:ascii="Calibri" w:hAnsi="Calibri" w:cs="Helv"/>
          <w:bCs/>
          <w:color w:val="000000"/>
        </w:rPr>
        <w:t xml:space="preserve"> modification in PLR 2002</w:t>
      </w:r>
      <w:r w:rsidR="00070A29" w:rsidRPr="001A12F6">
        <w:rPr>
          <w:rFonts w:ascii="Calibri" w:hAnsi="Calibri" w:cs="Helv"/>
          <w:bCs/>
          <w:color w:val="000000"/>
        </w:rPr>
        <w:t>-</w:t>
      </w:r>
      <w:r w:rsidR="002C5520" w:rsidRPr="001A12F6">
        <w:rPr>
          <w:rFonts w:ascii="Calibri" w:hAnsi="Calibri" w:cs="Helv"/>
          <w:bCs/>
          <w:color w:val="000000"/>
        </w:rPr>
        <w:t>31011</w:t>
      </w:r>
      <w:r w:rsidR="0047784A" w:rsidRPr="001A12F6">
        <w:rPr>
          <w:rFonts w:ascii="Calibri" w:hAnsi="Calibri" w:cs="Helv"/>
          <w:bCs/>
          <w:color w:val="000000"/>
        </w:rPr>
        <w:t>.</w:t>
      </w:r>
      <w:r w:rsidR="00070A29" w:rsidRPr="001A12F6">
        <w:rPr>
          <w:rStyle w:val="FootnoteReference"/>
          <w:rFonts w:ascii="Calibri" w:hAnsi="Calibri" w:cs="Helv"/>
          <w:bCs/>
          <w:color w:val="000000"/>
        </w:rPr>
        <w:footnoteReference w:id="354"/>
      </w:r>
      <w:r w:rsidR="0047784A" w:rsidRPr="001A12F6">
        <w:rPr>
          <w:rFonts w:ascii="Calibri" w:hAnsi="Calibri" w:cs="Helv"/>
          <w:bCs/>
          <w:color w:val="000000"/>
        </w:rPr>
        <w:t xml:space="preserve"> The trustee and the</w:t>
      </w:r>
      <w:r w:rsidR="009F35FC" w:rsidRPr="001A12F6">
        <w:rPr>
          <w:rFonts w:ascii="Calibri" w:hAnsi="Calibri" w:cs="Helv"/>
          <w:bCs/>
          <w:color w:val="000000"/>
        </w:rPr>
        <w:t xml:space="preserve"> </w:t>
      </w:r>
      <w:r w:rsidR="0047784A" w:rsidRPr="001A12F6">
        <w:rPr>
          <w:rFonts w:ascii="Calibri" w:hAnsi="Calibri" w:cs="Helv"/>
          <w:bCs/>
          <w:color w:val="000000"/>
        </w:rPr>
        <w:t xml:space="preserve">beneficiaries (one of whom was the taxpayer in the PLR) </w:t>
      </w:r>
      <w:r w:rsidR="000E71DE">
        <w:rPr>
          <w:rFonts w:ascii="Calibri" w:hAnsi="Calibri" w:cs="Helv"/>
          <w:bCs/>
          <w:color w:val="000000"/>
        </w:rPr>
        <w:t xml:space="preserve">had </w:t>
      </w:r>
      <w:r w:rsidR="0047784A" w:rsidRPr="001A12F6">
        <w:rPr>
          <w:rFonts w:ascii="Calibri" w:hAnsi="Calibri" w:cs="Helv"/>
          <w:bCs/>
          <w:color w:val="000000"/>
        </w:rPr>
        <w:t>agreed that the taxpayer would, in</w:t>
      </w:r>
      <w:r w:rsidR="002C5520" w:rsidRPr="001A12F6">
        <w:rPr>
          <w:rFonts w:ascii="Calibri" w:hAnsi="Calibri" w:cs="Helv"/>
          <w:bCs/>
          <w:color w:val="000000"/>
        </w:rPr>
        <w:t xml:space="preserve"> </w:t>
      </w:r>
      <w:r w:rsidR="0047784A" w:rsidRPr="001A12F6">
        <w:rPr>
          <w:rFonts w:ascii="Calibri" w:hAnsi="Calibri" w:cs="Helv"/>
          <w:bCs/>
          <w:color w:val="000000"/>
        </w:rPr>
        <w:t>exchange for the income interest he held in the trust,</w:t>
      </w:r>
      <w:r w:rsidR="00070A29" w:rsidRPr="001A12F6">
        <w:rPr>
          <w:rFonts w:ascii="Calibri" w:hAnsi="Calibri" w:cs="Helv"/>
          <w:bCs/>
          <w:color w:val="000000"/>
        </w:rPr>
        <w:t xml:space="preserve"> </w:t>
      </w:r>
      <w:r w:rsidR="00D15673" w:rsidRPr="001A12F6">
        <w:rPr>
          <w:rFonts w:ascii="Calibri" w:hAnsi="Calibri" w:cs="Helv"/>
          <w:bCs/>
          <w:color w:val="000000"/>
        </w:rPr>
        <w:t>receive (i) a 7%</w:t>
      </w:r>
      <w:r w:rsidR="0047784A" w:rsidRPr="001A12F6">
        <w:rPr>
          <w:rFonts w:ascii="Calibri" w:hAnsi="Calibri" w:cs="Helv"/>
          <w:bCs/>
          <w:color w:val="000000"/>
        </w:rPr>
        <w:t xml:space="preserve"> annual unitrust payment</w:t>
      </w:r>
      <w:r w:rsidR="009F35FC" w:rsidRPr="001A12F6">
        <w:rPr>
          <w:rFonts w:ascii="Calibri" w:hAnsi="Calibri" w:cs="Helv"/>
          <w:bCs/>
          <w:color w:val="000000"/>
        </w:rPr>
        <w:t xml:space="preserve"> </w:t>
      </w:r>
      <w:r w:rsidR="0047784A" w:rsidRPr="001A12F6">
        <w:rPr>
          <w:rFonts w:ascii="Calibri" w:hAnsi="Calibri" w:cs="Helv"/>
          <w:bCs/>
          <w:color w:val="000000"/>
        </w:rPr>
        <w:t xml:space="preserve">from the trust, (ii) principal from the trust in the discretion of the trustee and (iii) </w:t>
      </w:r>
      <w:r w:rsidR="0047784A" w:rsidRPr="001A12F6">
        <w:rPr>
          <w:rFonts w:ascii="Calibri" w:hAnsi="Calibri" w:cs="Helv"/>
          <w:bCs/>
          <w:i/>
          <w:color w:val="000000"/>
        </w:rPr>
        <w:t>a testamentary</w:t>
      </w:r>
      <w:r w:rsidR="009F35FC" w:rsidRPr="001A12F6">
        <w:rPr>
          <w:rFonts w:ascii="Calibri" w:hAnsi="Calibri" w:cs="Helv"/>
          <w:bCs/>
          <w:i/>
          <w:color w:val="000000"/>
        </w:rPr>
        <w:t xml:space="preserve"> </w:t>
      </w:r>
      <w:r w:rsidR="0047784A" w:rsidRPr="001A12F6">
        <w:rPr>
          <w:rFonts w:ascii="Calibri" w:hAnsi="Calibri" w:cs="Helv"/>
          <w:bCs/>
          <w:i/>
          <w:color w:val="000000"/>
        </w:rPr>
        <w:t>general power of appointment over the remaining trust property</w:t>
      </w:r>
      <w:r w:rsidR="0047784A" w:rsidRPr="001A12F6">
        <w:rPr>
          <w:rFonts w:ascii="Calibri" w:hAnsi="Calibri" w:cs="Helv"/>
          <w:bCs/>
          <w:color w:val="000000"/>
        </w:rPr>
        <w:t xml:space="preserve">. </w:t>
      </w:r>
      <w:r w:rsidR="003F5374" w:rsidRPr="001A12F6">
        <w:rPr>
          <w:rFonts w:ascii="Calibri" w:hAnsi="Calibri" w:cs="Helv"/>
          <w:bCs/>
          <w:color w:val="000000"/>
        </w:rPr>
        <w:t xml:space="preserve"> Charitable remaindermen would receive an immediate payment based on the value of their remainder interest and be thereafter removed.  </w:t>
      </w:r>
      <w:r w:rsidR="00CF6033">
        <w:rPr>
          <w:rFonts w:ascii="Calibri" w:hAnsi="Calibri" w:cs="Helv"/>
          <w:bCs/>
          <w:color w:val="000000"/>
        </w:rPr>
        <w:t xml:space="preserve">The IRS ruled that the transaction was in effect a sale or disposition </w:t>
      </w:r>
      <w:r w:rsidR="00CF6033">
        <w:rPr>
          <w:rFonts w:ascii="Calibri" w:hAnsi="Calibri" w:cs="Helv"/>
          <w:bCs/>
          <w:color w:val="000000"/>
        </w:rPr>
        <w:lastRenderedPageBreak/>
        <w:t>under IRC §1001(a).</w:t>
      </w:r>
      <w:r w:rsidR="00CF6033">
        <w:rPr>
          <w:rStyle w:val="FootnoteReference"/>
          <w:rFonts w:ascii="Calibri" w:hAnsi="Calibri" w:cs="Helv"/>
          <w:bCs/>
          <w:color w:val="000000"/>
        </w:rPr>
        <w:footnoteReference w:id="355"/>
      </w:r>
      <w:r w:rsidR="00CF6033">
        <w:rPr>
          <w:rFonts w:ascii="Calibri" w:hAnsi="Calibri" w:cs="Helv"/>
          <w:bCs/>
          <w:color w:val="000000"/>
        </w:rPr>
        <w:t xml:space="preserve">  </w:t>
      </w:r>
      <w:r w:rsidR="006B51AB" w:rsidRPr="001A12F6">
        <w:rPr>
          <w:rFonts w:ascii="Calibri" w:hAnsi="Calibri" w:cs="Helv"/>
          <w:bCs/>
          <w:color w:val="000000"/>
        </w:rPr>
        <w:t xml:space="preserve">It’s worth reading the IRS reasoning </w:t>
      </w:r>
      <w:r w:rsidR="000E71DE">
        <w:rPr>
          <w:rFonts w:ascii="Calibri" w:hAnsi="Calibri" w:cs="Helv"/>
          <w:bCs/>
          <w:color w:val="000000"/>
        </w:rPr>
        <w:t>as to why this triggered gain</w:t>
      </w:r>
      <w:r w:rsidR="006B51AB" w:rsidRPr="001A12F6">
        <w:rPr>
          <w:rFonts w:ascii="Calibri" w:hAnsi="Calibri" w:cs="Helv"/>
          <w:bCs/>
          <w:color w:val="000000"/>
        </w:rPr>
        <w:t xml:space="preserve"> to avoid the disastrous result for other settlements:</w:t>
      </w:r>
      <w:r w:rsidR="0047784A" w:rsidRPr="001A12F6">
        <w:rPr>
          <w:rFonts w:ascii="Calibri" w:hAnsi="Calibri" w:cs="Helv"/>
          <w:bCs/>
          <w:color w:val="000000"/>
        </w:rPr>
        <w:t xml:space="preserve"> </w:t>
      </w:r>
    </w:p>
    <w:p w14:paraId="2A4274B0" w14:textId="77777777" w:rsidR="006B51AB" w:rsidRDefault="006B51AB" w:rsidP="006B51AB">
      <w:pPr>
        <w:pStyle w:val="ListParagraph"/>
        <w:rPr>
          <w:rFonts w:ascii="Calibri" w:hAnsi="Calibri" w:cs="Helv"/>
          <w:bCs/>
          <w:color w:val="000000"/>
        </w:rPr>
      </w:pPr>
      <w:r w:rsidRPr="001A12F6">
        <w:rPr>
          <w:rFonts w:ascii="Calibri" w:hAnsi="Calibri" w:cs="Helv"/>
          <w:bCs/>
          <w:color w:val="000000"/>
        </w:rPr>
        <w:t xml:space="preserve">“Grandson currently is entitled to trust income, subject to a floor and a ceiling. Under the proposed order, he would become entitled to annual payments of seven percent of the fair market value of the trust property, with the trustee having some discretion to make additional payments under certain circumstances. Even assuming that the projected payments under the proposed order approximate those that would be made under the current terms of the trust, under the proposed order Grandson would lose the protection of the guaranteed minimum annual payments required by the Performance Chart. He also would not be limited by the Performance Chart's maximum annual payment ceilings. Finally, payments would be determined without regard to trust income. In short, Grandson's interest in the modified trust would entail legal entitlements different from those he currently possesses. </w:t>
      </w:r>
      <w:r w:rsidRPr="001A12F6">
        <w:rPr>
          <w:rFonts w:ascii="Calibri" w:hAnsi="Calibri" w:cs="Helv"/>
          <w:b/>
          <w:bCs/>
          <w:i/>
          <w:color w:val="000000"/>
        </w:rPr>
        <w:t>This conclusion is reinforced by adding to the Taxpayer's current entitlement the general power of appointment over any trust corpus</w:t>
      </w:r>
      <w:r w:rsidRPr="001A12F6">
        <w:rPr>
          <w:rFonts w:ascii="Calibri" w:hAnsi="Calibri" w:cs="Helv"/>
          <w:bCs/>
          <w:color w:val="000000"/>
        </w:rPr>
        <w:t>, even though this was a necessary element in a favorable GST conclusion set forth in issue #3, below.”</w:t>
      </w:r>
    </w:p>
    <w:p w14:paraId="5283584E" w14:textId="77777777" w:rsidR="001A12F6" w:rsidRPr="001A12F6" w:rsidRDefault="001A12F6" w:rsidP="006B51AB">
      <w:pPr>
        <w:pStyle w:val="ListParagraph"/>
        <w:rPr>
          <w:rFonts w:ascii="Calibri" w:hAnsi="Calibri" w:cs="Helv"/>
          <w:bCs/>
          <w:color w:val="000000"/>
        </w:rPr>
      </w:pPr>
    </w:p>
    <w:p w14:paraId="13DF9669" w14:textId="77777777" w:rsidR="0047784A" w:rsidRPr="001A12F6" w:rsidRDefault="0047784A" w:rsidP="002C5520">
      <w:pPr>
        <w:pStyle w:val="ListParagraph"/>
        <w:spacing w:line="360" w:lineRule="auto"/>
        <w:ind w:left="0" w:firstLine="720"/>
        <w:rPr>
          <w:rFonts w:ascii="Calibri" w:hAnsi="Calibri" w:cs="Helv"/>
          <w:bCs/>
          <w:color w:val="000000"/>
        </w:rPr>
      </w:pPr>
      <w:r w:rsidRPr="001A12F6">
        <w:rPr>
          <w:rFonts w:ascii="Calibri" w:hAnsi="Calibri" w:cs="Helv"/>
          <w:bCs/>
          <w:color w:val="000000"/>
        </w:rPr>
        <w:t xml:space="preserve">Unlike in </w:t>
      </w:r>
      <w:r w:rsidRPr="001A12F6">
        <w:rPr>
          <w:rFonts w:ascii="Calibri" w:hAnsi="Calibri" w:cs="Helv"/>
          <w:bCs/>
          <w:i/>
          <w:iCs/>
          <w:color w:val="000000"/>
        </w:rPr>
        <w:t xml:space="preserve">Cottage Savings, </w:t>
      </w:r>
      <w:r w:rsidRPr="001A12F6">
        <w:rPr>
          <w:rFonts w:ascii="Calibri" w:hAnsi="Calibri" w:cs="Helv"/>
          <w:bCs/>
          <w:color w:val="000000"/>
        </w:rPr>
        <w:t>the taxpayer in the PLR was required to disregard his basis in</w:t>
      </w:r>
      <w:r w:rsidR="009F35FC" w:rsidRPr="001A12F6">
        <w:rPr>
          <w:rFonts w:ascii="Calibri" w:hAnsi="Calibri" w:cs="Helv"/>
          <w:bCs/>
          <w:color w:val="000000"/>
        </w:rPr>
        <w:t xml:space="preserve"> </w:t>
      </w:r>
      <w:r w:rsidRPr="001A12F6">
        <w:rPr>
          <w:rFonts w:ascii="Calibri" w:hAnsi="Calibri" w:cs="Helv"/>
          <w:bCs/>
          <w:color w:val="000000"/>
        </w:rPr>
        <w:t xml:space="preserve">the interests being exchanged because of their term nature, as provided in </w:t>
      </w:r>
      <w:r w:rsidR="00070A29" w:rsidRPr="001A12F6">
        <w:rPr>
          <w:rFonts w:ascii="Calibri" w:hAnsi="Calibri" w:cs="Helv"/>
          <w:bCs/>
          <w:color w:val="000000"/>
        </w:rPr>
        <w:t>IRC</w:t>
      </w:r>
      <w:r w:rsidRPr="001A12F6">
        <w:rPr>
          <w:rFonts w:ascii="Calibri" w:hAnsi="Calibri" w:cs="Helv"/>
          <w:bCs/>
          <w:color w:val="000000"/>
        </w:rPr>
        <w:t xml:space="preserve"> §1001(e).</w:t>
      </w:r>
      <w:r w:rsidR="009F35FC" w:rsidRPr="001A12F6">
        <w:rPr>
          <w:rFonts w:ascii="Calibri" w:hAnsi="Calibri" w:cs="Helv"/>
          <w:bCs/>
          <w:color w:val="000000"/>
        </w:rPr>
        <w:t xml:space="preserve"> </w:t>
      </w:r>
      <w:r w:rsidRPr="001A12F6">
        <w:rPr>
          <w:rFonts w:ascii="Calibri" w:hAnsi="Calibri" w:cs="Helv"/>
          <w:bCs/>
          <w:color w:val="000000"/>
        </w:rPr>
        <w:t xml:space="preserve">Accordingly, the taxpayer was required to recognize capital gain </w:t>
      </w:r>
      <w:r w:rsidRPr="001A12F6">
        <w:rPr>
          <w:rFonts w:ascii="Calibri" w:hAnsi="Calibri" w:cs="Helv"/>
          <w:bCs/>
          <w:i/>
          <w:color w:val="000000"/>
        </w:rPr>
        <w:t>on the entire amount received.</w:t>
      </w:r>
      <w:r w:rsidR="00070A29" w:rsidRPr="001A12F6">
        <w:rPr>
          <w:rFonts w:ascii="Calibri" w:hAnsi="Calibri" w:cs="Helv"/>
          <w:bCs/>
          <w:i/>
          <w:color w:val="000000"/>
        </w:rPr>
        <w:t xml:space="preserve">  Yikes</w:t>
      </w:r>
      <w:r w:rsidR="00070A29" w:rsidRPr="001A12F6">
        <w:rPr>
          <w:rFonts w:ascii="Calibri" w:hAnsi="Calibri" w:cs="Helv"/>
          <w:bCs/>
          <w:color w:val="000000"/>
        </w:rPr>
        <w:t xml:space="preserve">!  </w:t>
      </w:r>
      <w:r w:rsidR="001C271F" w:rsidRPr="001A12F6">
        <w:rPr>
          <w:rFonts w:ascii="Calibri" w:hAnsi="Calibri" w:cs="Helv"/>
          <w:bCs/>
          <w:color w:val="000000"/>
        </w:rPr>
        <w:t xml:space="preserve">If you </w:t>
      </w:r>
      <w:r w:rsidR="003F5374" w:rsidRPr="001A12F6">
        <w:rPr>
          <w:rFonts w:ascii="Calibri" w:hAnsi="Calibri" w:cs="Helv"/>
          <w:bCs/>
          <w:color w:val="000000"/>
        </w:rPr>
        <w:t xml:space="preserve">knew </w:t>
      </w:r>
      <w:r w:rsidR="001C271F" w:rsidRPr="001A12F6">
        <w:rPr>
          <w:rFonts w:ascii="Calibri" w:hAnsi="Calibri" w:cs="Helv"/>
          <w:bCs/>
          <w:color w:val="000000"/>
        </w:rPr>
        <w:t xml:space="preserve">only of this PLR, you may be wary of doing </w:t>
      </w:r>
      <w:r w:rsidR="001C271F" w:rsidRPr="001A12F6">
        <w:rPr>
          <w:rFonts w:ascii="Calibri" w:hAnsi="Calibri" w:cs="Helv"/>
          <w:bCs/>
          <w:i/>
          <w:color w:val="000000"/>
        </w:rPr>
        <w:t>any</w:t>
      </w:r>
      <w:r w:rsidR="001C271F" w:rsidRPr="001A12F6">
        <w:rPr>
          <w:rFonts w:ascii="Calibri" w:hAnsi="Calibri" w:cs="Helv"/>
          <w:bCs/>
          <w:color w:val="000000"/>
        </w:rPr>
        <w:t xml:space="preserve"> modifications to irrevocable trusts.</w:t>
      </w:r>
    </w:p>
    <w:p w14:paraId="0399E71B" w14:textId="77777777" w:rsidR="00070A29" w:rsidRDefault="00070A29" w:rsidP="002C5520">
      <w:pPr>
        <w:pStyle w:val="ListParagraph"/>
        <w:spacing w:line="360" w:lineRule="auto"/>
        <w:ind w:left="0" w:firstLine="720"/>
        <w:rPr>
          <w:rFonts w:ascii="Calibri" w:hAnsi="Calibri" w:cs="Helv"/>
          <w:bCs/>
          <w:color w:val="000000"/>
        </w:rPr>
      </w:pPr>
      <w:r w:rsidRPr="001A12F6">
        <w:rPr>
          <w:rFonts w:ascii="Calibri" w:hAnsi="Calibri" w:cs="Helv"/>
          <w:bCs/>
          <w:color w:val="000000"/>
        </w:rPr>
        <w:t xml:space="preserve">Thankfully, this PLR </w:t>
      </w:r>
      <w:r w:rsidR="001A12F6">
        <w:rPr>
          <w:rFonts w:ascii="Calibri" w:hAnsi="Calibri" w:cs="Helv"/>
          <w:bCs/>
          <w:color w:val="000000"/>
        </w:rPr>
        <w:t>is</w:t>
      </w:r>
      <w:r w:rsidRPr="001A12F6">
        <w:rPr>
          <w:rFonts w:ascii="Calibri" w:hAnsi="Calibri" w:cs="Helv"/>
          <w:bCs/>
          <w:color w:val="000000"/>
        </w:rPr>
        <w:t xml:space="preserve"> </w:t>
      </w:r>
      <w:r w:rsidR="000E71DE">
        <w:rPr>
          <w:rFonts w:ascii="Calibri" w:hAnsi="Calibri" w:cs="Helv"/>
          <w:bCs/>
          <w:color w:val="000000"/>
        </w:rPr>
        <w:t xml:space="preserve">more a fluke than </w:t>
      </w:r>
      <w:r w:rsidRPr="001A12F6">
        <w:rPr>
          <w:rFonts w:ascii="Calibri" w:hAnsi="Calibri" w:cs="Helv"/>
          <w:bCs/>
          <w:color w:val="000000"/>
        </w:rPr>
        <w:t>a trend</w:t>
      </w:r>
      <w:r w:rsidR="006B51AB" w:rsidRPr="001A12F6">
        <w:rPr>
          <w:rFonts w:ascii="Calibri" w:hAnsi="Calibri" w:cs="Helv"/>
          <w:bCs/>
          <w:color w:val="000000"/>
        </w:rPr>
        <w:t xml:space="preserve">, and unitrust conversions </w:t>
      </w:r>
      <w:r w:rsidR="005A53B7" w:rsidRPr="001A12F6">
        <w:rPr>
          <w:rFonts w:ascii="Calibri" w:hAnsi="Calibri" w:cs="Helv"/>
          <w:bCs/>
          <w:color w:val="000000"/>
        </w:rPr>
        <w:t xml:space="preserve">and powers to adjust </w:t>
      </w:r>
      <w:r w:rsidR="006B51AB" w:rsidRPr="001A12F6">
        <w:rPr>
          <w:rFonts w:ascii="Calibri" w:hAnsi="Calibri" w:cs="Helv"/>
          <w:bCs/>
          <w:color w:val="000000"/>
        </w:rPr>
        <w:t>were subsequently granted some safe harbor regulations under §643</w:t>
      </w:r>
      <w:r w:rsidRPr="001A12F6">
        <w:rPr>
          <w:rFonts w:ascii="Calibri" w:hAnsi="Calibri" w:cs="Helv"/>
          <w:bCs/>
          <w:color w:val="000000"/>
        </w:rPr>
        <w:t xml:space="preserve">. </w:t>
      </w:r>
      <w:r w:rsidR="003F5374" w:rsidRPr="001A12F6">
        <w:rPr>
          <w:rFonts w:ascii="Calibri" w:hAnsi="Calibri" w:cs="Helv"/>
          <w:bCs/>
          <w:color w:val="000000"/>
        </w:rPr>
        <w:t xml:space="preserve">  Let’s differe</w:t>
      </w:r>
      <w:r w:rsidR="001A12F6">
        <w:rPr>
          <w:rFonts w:ascii="Calibri" w:hAnsi="Calibri" w:cs="Helv"/>
          <w:bCs/>
          <w:color w:val="000000"/>
        </w:rPr>
        <w:t>ntiate this ruling from the dozens of</w:t>
      </w:r>
      <w:r w:rsidR="003F5374" w:rsidRPr="001A12F6">
        <w:rPr>
          <w:rFonts w:ascii="Calibri" w:hAnsi="Calibri" w:cs="Helv"/>
          <w:bCs/>
          <w:color w:val="000000"/>
        </w:rPr>
        <w:t xml:space="preserve"> others</w:t>
      </w:r>
      <w:r w:rsidR="001A12F6">
        <w:rPr>
          <w:rFonts w:ascii="Calibri" w:hAnsi="Calibri" w:cs="Helv"/>
          <w:bCs/>
          <w:color w:val="000000"/>
        </w:rPr>
        <w:t xml:space="preserve"> subsequent to it</w:t>
      </w:r>
      <w:r w:rsidR="003F5374" w:rsidRPr="001A12F6">
        <w:rPr>
          <w:rFonts w:ascii="Calibri" w:hAnsi="Calibri" w:cs="Helv"/>
          <w:bCs/>
          <w:color w:val="000000"/>
        </w:rPr>
        <w:t xml:space="preserve"> that </w:t>
      </w:r>
      <w:r w:rsidR="005A53B7" w:rsidRPr="001A12F6">
        <w:rPr>
          <w:rFonts w:ascii="Calibri" w:hAnsi="Calibri" w:cs="Helv"/>
          <w:bCs/>
          <w:color w:val="000000"/>
        </w:rPr>
        <w:t>are more taxpayer friendly</w:t>
      </w:r>
      <w:r w:rsidR="006F4CC2" w:rsidRPr="001A12F6">
        <w:rPr>
          <w:rFonts w:ascii="Calibri" w:hAnsi="Calibri" w:cs="Helv"/>
          <w:bCs/>
          <w:color w:val="000000"/>
        </w:rPr>
        <w:t xml:space="preserve"> </w:t>
      </w:r>
      <w:r w:rsidR="001A12F6">
        <w:rPr>
          <w:rFonts w:ascii="Calibri" w:hAnsi="Calibri" w:cs="Helv"/>
          <w:bCs/>
          <w:color w:val="000000"/>
        </w:rPr>
        <w:t>which</w:t>
      </w:r>
      <w:r w:rsidR="006F4CC2" w:rsidRPr="001A12F6">
        <w:rPr>
          <w:rFonts w:ascii="Calibri" w:hAnsi="Calibri" w:cs="Helv"/>
          <w:bCs/>
          <w:color w:val="000000"/>
        </w:rPr>
        <w:t xml:space="preserve"> held that various modifications, </w:t>
      </w:r>
      <w:r w:rsidR="00DE2ED7">
        <w:rPr>
          <w:rFonts w:ascii="Calibri" w:hAnsi="Calibri" w:cs="Helv"/>
          <w:bCs/>
          <w:color w:val="000000"/>
        </w:rPr>
        <w:t xml:space="preserve">divisions, </w:t>
      </w:r>
      <w:r w:rsidR="006F4CC2" w:rsidRPr="001A12F6">
        <w:rPr>
          <w:rFonts w:ascii="Calibri" w:hAnsi="Calibri" w:cs="Helv"/>
          <w:bCs/>
          <w:color w:val="000000"/>
        </w:rPr>
        <w:t xml:space="preserve">mergers, amendments and reformations did NOT trigger §1001 or </w:t>
      </w:r>
      <w:r w:rsidR="006F4CC2" w:rsidRPr="006D165B">
        <w:rPr>
          <w:rFonts w:ascii="Calibri" w:hAnsi="Calibri" w:cs="Helv"/>
          <w:bCs/>
          <w:i/>
          <w:color w:val="000000"/>
        </w:rPr>
        <w:t>Cottage Savings</w:t>
      </w:r>
      <w:r w:rsidR="001A12F6" w:rsidRPr="001A12F6">
        <w:rPr>
          <w:rFonts w:ascii="Calibri" w:hAnsi="Calibri" w:cs="Helv"/>
          <w:bCs/>
          <w:color w:val="000000"/>
        </w:rPr>
        <w:t>.</w:t>
      </w:r>
      <w:r w:rsidR="001A12F6" w:rsidRPr="001A12F6">
        <w:rPr>
          <w:rStyle w:val="FootnoteReference"/>
          <w:rFonts w:ascii="Calibri" w:hAnsi="Calibri" w:cs="Helv"/>
          <w:bCs/>
          <w:color w:val="000000"/>
        </w:rPr>
        <w:footnoteReference w:id="356"/>
      </w:r>
      <w:r w:rsidR="001D7B70">
        <w:rPr>
          <w:rFonts w:ascii="Calibri" w:hAnsi="Calibri" w:cs="Helv"/>
          <w:bCs/>
          <w:color w:val="000000"/>
        </w:rPr>
        <w:t xml:space="preserve">  </w:t>
      </w:r>
    </w:p>
    <w:p w14:paraId="38D1853A" w14:textId="77777777" w:rsidR="00C03291" w:rsidRPr="001A12F6" w:rsidRDefault="00C03291" w:rsidP="002C5520">
      <w:pPr>
        <w:pStyle w:val="ListParagraph"/>
        <w:spacing w:line="360" w:lineRule="auto"/>
        <w:ind w:left="0" w:firstLine="720"/>
        <w:rPr>
          <w:rFonts w:ascii="Calibri" w:hAnsi="Calibri" w:cs="Helv"/>
          <w:bCs/>
          <w:color w:val="000000"/>
        </w:rPr>
      </w:pPr>
      <w:r>
        <w:rPr>
          <w:rFonts w:ascii="Calibri" w:hAnsi="Calibri" w:cs="Helv"/>
          <w:bCs/>
          <w:color w:val="000000"/>
        </w:rPr>
        <w:t>Because I’m way too lazy to analyze dozens of these PLRs</w:t>
      </w:r>
      <w:r w:rsidR="00692C63">
        <w:rPr>
          <w:rFonts w:ascii="Calibri" w:hAnsi="Calibri" w:cs="Helv"/>
          <w:bCs/>
          <w:color w:val="000000"/>
        </w:rPr>
        <w:t xml:space="preserve"> (many of which are simple divisions of trusts with no additional changes)</w:t>
      </w:r>
      <w:r>
        <w:rPr>
          <w:rFonts w:ascii="Calibri" w:hAnsi="Calibri" w:cs="Helv"/>
          <w:bCs/>
          <w:color w:val="000000"/>
        </w:rPr>
        <w:t xml:space="preserve">, let’s pick </w:t>
      </w:r>
      <w:r w:rsidR="00DE2ED7">
        <w:rPr>
          <w:rFonts w:ascii="Calibri" w:hAnsi="Calibri" w:cs="Helv"/>
          <w:bCs/>
          <w:color w:val="000000"/>
        </w:rPr>
        <w:t>four</w:t>
      </w:r>
      <w:r w:rsidR="0000241C">
        <w:rPr>
          <w:rFonts w:ascii="Calibri" w:hAnsi="Calibri" w:cs="Helv"/>
          <w:bCs/>
          <w:color w:val="000000"/>
        </w:rPr>
        <w:t xml:space="preserve"> recent PLRs</w:t>
      </w:r>
      <w:r w:rsidR="00692C63">
        <w:rPr>
          <w:rFonts w:ascii="Calibri" w:hAnsi="Calibri" w:cs="Helv"/>
          <w:bCs/>
          <w:color w:val="000000"/>
        </w:rPr>
        <w:t>.  I</w:t>
      </w:r>
      <w:r>
        <w:rPr>
          <w:rFonts w:ascii="Calibri" w:hAnsi="Calibri" w:cs="Helv"/>
          <w:bCs/>
          <w:color w:val="000000"/>
        </w:rPr>
        <w:t>n PLR 2010-42004</w:t>
      </w:r>
      <w:r w:rsidR="00692C63">
        <w:rPr>
          <w:rFonts w:ascii="Calibri" w:hAnsi="Calibri" w:cs="Helv"/>
          <w:bCs/>
          <w:color w:val="000000"/>
        </w:rPr>
        <w:t>,</w:t>
      </w:r>
      <w:r>
        <w:rPr>
          <w:rFonts w:ascii="Calibri" w:hAnsi="Calibri" w:cs="Helv"/>
          <w:bCs/>
          <w:color w:val="000000"/>
        </w:rPr>
        <w:t xml:space="preserve"> </w:t>
      </w:r>
      <w:r>
        <w:rPr>
          <w:rFonts w:ascii="Calibri" w:hAnsi="Calibri" w:cs="Helv"/>
          <w:bCs/>
          <w:color w:val="000000"/>
        </w:rPr>
        <w:lastRenderedPageBreak/>
        <w:t>two trusts were merged, and after the modification, a</w:t>
      </w:r>
      <w:r w:rsidRPr="00C03291">
        <w:rPr>
          <w:rFonts w:ascii="Calibri" w:hAnsi="Calibri" w:cs="Helv"/>
          <w:bCs/>
          <w:color w:val="000000"/>
        </w:rPr>
        <w:t xml:space="preserve"> withdrawal right became exercisable only during the month of January of each year, rather than at any time during the year.</w:t>
      </w:r>
      <w:r>
        <w:rPr>
          <w:rStyle w:val="FootnoteReference"/>
          <w:rFonts w:ascii="Calibri" w:hAnsi="Calibri" w:cs="Helv"/>
          <w:bCs/>
          <w:color w:val="000000"/>
        </w:rPr>
        <w:footnoteReference w:id="357"/>
      </w:r>
      <w:r>
        <w:rPr>
          <w:rFonts w:ascii="Calibri" w:hAnsi="Calibri" w:cs="Helv"/>
          <w:bCs/>
          <w:color w:val="000000"/>
        </w:rPr>
        <w:t xml:space="preserve">  Despite this change, the IRS found that “</w:t>
      </w:r>
      <w:r w:rsidRPr="00C03291">
        <w:rPr>
          <w:rFonts w:ascii="Calibri" w:hAnsi="Calibri" w:cs="Helv"/>
          <w:bCs/>
          <w:color w:val="000000"/>
        </w:rPr>
        <w:t>no beneficiaries are acquiring new or additional interests in surviving Trust E as a result of the merger of Trust B into Trust E. Moreover, there does not appear to be any reciprocal exchange of legal rights and entitlements involving Child 2 or any of the other beneficiaries under the trusts here. Therefore, no "exchange" has occurred under § 1001.</w:t>
      </w:r>
      <w:r>
        <w:rPr>
          <w:rFonts w:ascii="Calibri" w:hAnsi="Calibri" w:cs="Helv"/>
          <w:bCs/>
          <w:color w:val="000000"/>
        </w:rPr>
        <w:t>”</w:t>
      </w:r>
    </w:p>
    <w:p w14:paraId="2A511568" w14:textId="77777777" w:rsidR="00D86AD1" w:rsidRDefault="001A12F6" w:rsidP="00070A29">
      <w:pPr>
        <w:pStyle w:val="ListParagraph"/>
        <w:spacing w:line="360" w:lineRule="auto"/>
        <w:ind w:left="0" w:firstLine="720"/>
        <w:rPr>
          <w:rFonts w:ascii="Calibri" w:hAnsi="Calibri" w:cs="Helv"/>
          <w:bCs/>
          <w:color w:val="000000"/>
        </w:rPr>
      </w:pPr>
      <w:r>
        <w:rPr>
          <w:rFonts w:ascii="Calibri" w:hAnsi="Calibri" w:cs="Helv"/>
          <w:bCs/>
          <w:color w:val="000000"/>
        </w:rPr>
        <w:t>T</w:t>
      </w:r>
      <w:r w:rsidR="00D86AD1" w:rsidRPr="00D86AD1">
        <w:rPr>
          <w:rFonts w:ascii="Calibri" w:hAnsi="Calibri" w:cs="Helv"/>
          <w:bCs/>
          <w:color w:val="000000"/>
        </w:rPr>
        <w:t xml:space="preserve">here are really two key questions that emerge from </w:t>
      </w:r>
      <w:r w:rsidR="00FB222B">
        <w:rPr>
          <w:rFonts w:ascii="Calibri" w:hAnsi="Calibri" w:cs="Helv"/>
          <w:bCs/>
          <w:color w:val="000000"/>
        </w:rPr>
        <w:t xml:space="preserve">PLR </w:t>
      </w:r>
      <w:r w:rsidR="00FB222B" w:rsidRPr="00FB222B">
        <w:rPr>
          <w:rFonts w:ascii="Calibri" w:hAnsi="Calibri" w:cs="Helv"/>
          <w:bCs/>
          <w:color w:val="000000"/>
        </w:rPr>
        <w:t>2002-31011</w:t>
      </w:r>
      <w:r w:rsidR="00FB222B">
        <w:rPr>
          <w:rFonts w:ascii="Calibri" w:hAnsi="Calibri" w:cs="Helv"/>
          <w:bCs/>
          <w:color w:val="000000"/>
        </w:rPr>
        <w:t xml:space="preserve"> </w:t>
      </w:r>
      <w:r w:rsidR="00D86AD1" w:rsidRPr="00D86AD1">
        <w:rPr>
          <w:rFonts w:ascii="Calibri" w:hAnsi="Calibri" w:cs="Helv"/>
          <w:bCs/>
          <w:color w:val="000000"/>
        </w:rPr>
        <w:t xml:space="preserve">and </w:t>
      </w:r>
      <w:r w:rsidR="00D86AD1" w:rsidRPr="00D86AD1">
        <w:rPr>
          <w:rFonts w:ascii="Calibri" w:hAnsi="Calibri" w:cs="Helv"/>
          <w:bCs/>
          <w:i/>
          <w:color w:val="000000"/>
        </w:rPr>
        <w:t>Cottage Savings</w:t>
      </w:r>
      <w:r w:rsidR="00D86AD1" w:rsidRPr="00D86AD1">
        <w:rPr>
          <w:rFonts w:ascii="Calibri" w:hAnsi="Calibri" w:cs="Helv"/>
          <w:bCs/>
          <w:color w:val="000000"/>
        </w:rPr>
        <w:t xml:space="preserve"> when amending </w:t>
      </w:r>
      <w:r>
        <w:rPr>
          <w:rFonts w:ascii="Calibri" w:hAnsi="Calibri" w:cs="Helv"/>
          <w:bCs/>
          <w:color w:val="000000"/>
        </w:rPr>
        <w:t xml:space="preserve">irrevocable </w:t>
      </w:r>
      <w:r w:rsidR="00D86AD1" w:rsidRPr="00D86AD1">
        <w:rPr>
          <w:rFonts w:ascii="Calibri" w:hAnsi="Calibri" w:cs="Helv"/>
          <w:bCs/>
          <w:color w:val="000000"/>
        </w:rPr>
        <w:t xml:space="preserve">trusts – 1) </w:t>
      </w:r>
      <w:r>
        <w:rPr>
          <w:rFonts w:ascii="Calibri" w:hAnsi="Calibri" w:cs="Helv"/>
          <w:bCs/>
          <w:color w:val="000000"/>
        </w:rPr>
        <w:t xml:space="preserve">when </w:t>
      </w:r>
      <w:r w:rsidR="00D86AD1" w:rsidRPr="00D86AD1">
        <w:rPr>
          <w:rFonts w:ascii="Calibri" w:hAnsi="Calibri" w:cs="Helv"/>
          <w:bCs/>
          <w:color w:val="000000"/>
        </w:rPr>
        <w:t xml:space="preserve">do you even have a “sale or exchange” pursuant to IRC </w:t>
      </w:r>
      <w:r w:rsidR="00FB222B">
        <w:rPr>
          <w:rFonts w:ascii="Calibri" w:hAnsi="Calibri" w:cs="Helv"/>
          <w:bCs/>
          <w:color w:val="000000"/>
        </w:rPr>
        <w:t>§1001 and</w:t>
      </w:r>
      <w:r w:rsidR="00D86AD1" w:rsidRPr="00D86AD1">
        <w:rPr>
          <w:rFonts w:ascii="Calibri" w:hAnsi="Calibri" w:cs="Helv"/>
          <w:bCs/>
          <w:color w:val="000000"/>
        </w:rPr>
        <w:t xml:space="preserve"> 2)</w:t>
      </w:r>
      <w:r w:rsidR="00FB222B">
        <w:rPr>
          <w:rFonts w:ascii="Calibri" w:hAnsi="Calibri" w:cs="Helv"/>
          <w:bCs/>
          <w:color w:val="000000"/>
        </w:rPr>
        <w:t xml:space="preserve"> </w:t>
      </w:r>
      <w:r w:rsidR="00D86AD1" w:rsidRPr="00D86AD1">
        <w:rPr>
          <w:rFonts w:ascii="Calibri" w:hAnsi="Calibri" w:cs="Helv"/>
          <w:bCs/>
          <w:color w:val="000000"/>
        </w:rPr>
        <w:t xml:space="preserve">if so, </w:t>
      </w:r>
      <w:r>
        <w:rPr>
          <w:rFonts w:ascii="Calibri" w:hAnsi="Calibri" w:cs="Helv"/>
          <w:bCs/>
          <w:color w:val="000000"/>
        </w:rPr>
        <w:t xml:space="preserve">when </w:t>
      </w:r>
      <w:r w:rsidR="00D86AD1" w:rsidRPr="00D86AD1">
        <w:rPr>
          <w:rFonts w:ascii="Calibri" w:hAnsi="Calibri" w:cs="Helv"/>
          <w:bCs/>
          <w:color w:val="000000"/>
        </w:rPr>
        <w:t>would the changes be “material</w:t>
      </w:r>
      <w:r w:rsidR="00D86AD1">
        <w:rPr>
          <w:rFonts w:ascii="Calibri" w:hAnsi="Calibri" w:cs="Helv"/>
          <w:bCs/>
          <w:color w:val="000000"/>
        </w:rPr>
        <w:t>” d</w:t>
      </w:r>
      <w:r w:rsidR="00FB222B">
        <w:rPr>
          <w:rFonts w:ascii="Calibri" w:hAnsi="Calibri" w:cs="Helv"/>
          <w:bCs/>
          <w:color w:val="000000"/>
        </w:rPr>
        <w:t>ifferences in legal entitlement?</w:t>
      </w:r>
    </w:p>
    <w:p w14:paraId="68622A19" w14:textId="3CFF858D" w:rsidR="00162404" w:rsidRDefault="001A12F6" w:rsidP="00070A29">
      <w:pPr>
        <w:pStyle w:val="ListParagraph"/>
        <w:spacing w:line="360" w:lineRule="auto"/>
        <w:ind w:left="0" w:firstLine="720"/>
        <w:rPr>
          <w:rFonts w:ascii="Calibri" w:hAnsi="Calibri" w:cs="Helv"/>
          <w:bCs/>
          <w:color w:val="000000"/>
        </w:rPr>
      </w:pPr>
      <w:r>
        <w:rPr>
          <w:rFonts w:ascii="Calibri" w:hAnsi="Calibri" w:cs="Helv"/>
          <w:bCs/>
          <w:color w:val="000000"/>
        </w:rPr>
        <w:t>Is</w:t>
      </w:r>
      <w:r w:rsidR="00D86AD1">
        <w:rPr>
          <w:rFonts w:ascii="Calibri" w:hAnsi="Calibri" w:cs="Helv"/>
          <w:bCs/>
          <w:color w:val="000000"/>
        </w:rPr>
        <w:t xml:space="preserve"> there a “sale or exchange”</w:t>
      </w:r>
      <w:r>
        <w:rPr>
          <w:rFonts w:ascii="Calibri" w:hAnsi="Calibri" w:cs="Helv"/>
          <w:bCs/>
          <w:color w:val="000000"/>
        </w:rPr>
        <w:t xml:space="preserve"> in most reformations</w:t>
      </w:r>
      <w:r w:rsidR="00D86AD1">
        <w:rPr>
          <w:rFonts w:ascii="Calibri" w:hAnsi="Calibri" w:cs="Helv"/>
          <w:bCs/>
          <w:color w:val="000000"/>
        </w:rPr>
        <w:t xml:space="preserve">? </w:t>
      </w:r>
      <w:r w:rsidR="003F55E8">
        <w:rPr>
          <w:rFonts w:ascii="Calibri" w:hAnsi="Calibri" w:cs="Helv"/>
          <w:bCs/>
          <w:color w:val="000000"/>
        </w:rPr>
        <w:t xml:space="preserve"> </w:t>
      </w:r>
      <w:r w:rsidR="00726267">
        <w:rPr>
          <w:rFonts w:ascii="Calibri" w:hAnsi="Calibri" w:cs="Helv"/>
          <w:bCs/>
          <w:color w:val="000000"/>
        </w:rPr>
        <w:t>Neither one-</w:t>
      </w:r>
      <w:r w:rsidR="00A867A7">
        <w:rPr>
          <w:rFonts w:ascii="Calibri" w:hAnsi="Calibri" w:cs="Helv"/>
          <w:bCs/>
          <w:color w:val="000000"/>
        </w:rPr>
        <w:t xml:space="preserve">way transfers nor administrative changes are even exchanges.  As </w:t>
      </w:r>
      <w:r w:rsidR="00162404">
        <w:rPr>
          <w:rFonts w:ascii="Calibri" w:hAnsi="Calibri" w:cs="Helv"/>
          <w:bCs/>
          <w:color w:val="000000"/>
        </w:rPr>
        <w:t>defined</w:t>
      </w:r>
      <w:r w:rsidR="00A867A7">
        <w:rPr>
          <w:rFonts w:ascii="Calibri" w:hAnsi="Calibri" w:cs="Helv"/>
          <w:bCs/>
          <w:color w:val="000000"/>
        </w:rPr>
        <w:t xml:space="preserve"> in the regulations,</w:t>
      </w:r>
      <w:r w:rsidR="003F55E8">
        <w:rPr>
          <w:rFonts w:ascii="Calibri" w:hAnsi="Calibri" w:cs="Helv"/>
          <w:bCs/>
          <w:color w:val="000000"/>
        </w:rPr>
        <w:t xml:space="preserve"> </w:t>
      </w:r>
    </w:p>
    <w:p w14:paraId="2F20B044" w14:textId="77777777" w:rsidR="00162404" w:rsidRDefault="003F55E8" w:rsidP="00D5300A">
      <w:pPr>
        <w:pStyle w:val="ListParagraph"/>
        <w:spacing w:line="320" w:lineRule="atLeast"/>
        <w:rPr>
          <w:rFonts w:ascii="Calibri" w:hAnsi="Calibri" w:cs="Helv"/>
          <w:bCs/>
          <w:color w:val="000000"/>
        </w:rPr>
      </w:pPr>
      <w:r>
        <w:rPr>
          <w:rFonts w:ascii="Calibri" w:hAnsi="Calibri" w:cs="Helv"/>
          <w:bCs/>
          <w:color w:val="000000"/>
        </w:rPr>
        <w:t>“</w:t>
      </w:r>
      <w:r w:rsidR="00A867A7">
        <w:rPr>
          <w:rFonts w:ascii="Calibri" w:hAnsi="Calibri" w:cs="Helv"/>
          <w:bCs/>
          <w:color w:val="000000"/>
        </w:rPr>
        <w:t xml:space="preserve">(d) Exchange.  </w:t>
      </w:r>
      <w:r w:rsidR="00A867A7" w:rsidRPr="00A867A7">
        <w:rPr>
          <w:rFonts w:ascii="Calibri" w:hAnsi="Calibri" w:cs="Helv"/>
          <w:bCs/>
          <w:color w:val="000000"/>
        </w:rPr>
        <w:t xml:space="preserve">Ordinarily, to constitute an exchange, the transaction must be a </w:t>
      </w:r>
      <w:r w:rsidR="00A867A7" w:rsidRPr="001647CF">
        <w:rPr>
          <w:rFonts w:ascii="Calibri" w:hAnsi="Calibri" w:cs="Helv"/>
          <w:bCs/>
          <w:i/>
          <w:iCs/>
          <w:color w:val="000000"/>
        </w:rPr>
        <w:t>reciprocal</w:t>
      </w:r>
      <w:r w:rsidR="00A867A7" w:rsidRPr="00A867A7">
        <w:rPr>
          <w:rFonts w:ascii="Calibri" w:hAnsi="Calibri" w:cs="Helv"/>
          <w:bCs/>
          <w:color w:val="000000"/>
        </w:rPr>
        <w:t xml:space="preserve"> transfer of property, as distinguished from a transfer of property for a money consideration only.</w:t>
      </w:r>
      <w:r w:rsidR="00A867A7">
        <w:rPr>
          <w:rFonts w:ascii="Calibri" w:hAnsi="Calibri" w:cs="Helv"/>
          <w:bCs/>
          <w:color w:val="000000"/>
        </w:rPr>
        <w:t>”</w:t>
      </w:r>
      <w:r w:rsidR="00A867A7">
        <w:rPr>
          <w:rStyle w:val="FootnoteReference"/>
          <w:rFonts w:ascii="Calibri" w:hAnsi="Calibri" w:cs="Helv"/>
          <w:bCs/>
          <w:color w:val="000000"/>
        </w:rPr>
        <w:footnoteReference w:id="358"/>
      </w:r>
      <w:r w:rsidR="00A867A7">
        <w:rPr>
          <w:rFonts w:ascii="Calibri" w:hAnsi="Calibri" w:cs="Helv"/>
          <w:bCs/>
          <w:color w:val="000000"/>
        </w:rPr>
        <w:t xml:space="preserve">  </w:t>
      </w:r>
    </w:p>
    <w:p w14:paraId="57437372" w14:textId="77777777" w:rsidR="006D46A7" w:rsidRDefault="006D46A7" w:rsidP="006D46A7">
      <w:pPr>
        <w:pStyle w:val="ListParagraph"/>
        <w:spacing w:line="280" w:lineRule="atLeast"/>
        <w:rPr>
          <w:rFonts w:ascii="Calibri" w:hAnsi="Calibri" w:cs="Helv"/>
          <w:bCs/>
          <w:color w:val="000000"/>
        </w:rPr>
      </w:pPr>
    </w:p>
    <w:p w14:paraId="03AEF859" w14:textId="5A8386A6" w:rsidR="003F55E8" w:rsidRDefault="00A867A7" w:rsidP="00070A29">
      <w:pPr>
        <w:pStyle w:val="ListParagraph"/>
        <w:spacing w:line="360" w:lineRule="auto"/>
        <w:ind w:left="0" w:firstLine="720"/>
        <w:rPr>
          <w:rFonts w:ascii="Calibri" w:hAnsi="Calibri" w:cs="Helv"/>
          <w:bCs/>
          <w:color w:val="000000"/>
        </w:rPr>
      </w:pPr>
      <w:r>
        <w:rPr>
          <w:rFonts w:ascii="Calibri" w:hAnsi="Calibri" w:cs="Helv"/>
          <w:bCs/>
          <w:color w:val="000000"/>
        </w:rPr>
        <w:t>You need to watch out for two</w:t>
      </w:r>
      <w:r w:rsidR="006D46A7">
        <w:rPr>
          <w:rFonts w:ascii="Calibri" w:hAnsi="Calibri" w:cs="Helv"/>
          <w:bCs/>
          <w:color w:val="000000"/>
        </w:rPr>
        <w:t xml:space="preserve"> or more</w:t>
      </w:r>
      <w:r>
        <w:rPr>
          <w:rFonts w:ascii="Calibri" w:hAnsi="Calibri" w:cs="Helv"/>
          <w:bCs/>
          <w:color w:val="000000"/>
        </w:rPr>
        <w:t xml:space="preserve"> parties receiving substantially different interests after the reformation/settlement.</w:t>
      </w:r>
      <w:r w:rsidR="001647CF">
        <w:rPr>
          <w:rFonts w:ascii="Calibri" w:hAnsi="Calibri" w:cs="Helv"/>
          <w:bCs/>
          <w:color w:val="000000"/>
        </w:rPr>
        <w:t xml:space="preserve">  I </w:t>
      </w:r>
      <w:r w:rsidR="008E2F05">
        <w:rPr>
          <w:rFonts w:ascii="Calibri" w:hAnsi="Calibri" w:cs="Helv"/>
          <w:bCs/>
          <w:color w:val="000000"/>
        </w:rPr>
        <w:t xml:space="preserve">believe </w:t>
      </w:r>
      <w:r w:rsidR="001647CF">
        <w:rPr>
          <w:rFonts w:ascii="Calibri" w:hAnsi="Calibri" w:cs="Helv"/>
          <w:bCs/>
          <w:color w:val="000000"/>
        </w:rPr>
        <w:t xml:space="preserve">that if only one party is </w:t>
      </w:r>
      <w:r w:rsidR="001C29DC">
        <w:rPr>
          <w:rFonts w:ascii="Calibri" w:hAnsi="Calibri" w:cs="Helv"/>
          <w:bCs/>
          <w:color w:val="000000"/>
        </w:rPr>
        <w:t>giving up or granting rights that there is no “exchange”</w:t>
      </w:r>
      <w:r w:rsidR="00B05F7A">
        <w:rPr>
          <w:rFonts w:ascii="Calibri" w:hAnsi="Calibri" w:cs="Helv"/>
          <w:bCs/>
          <w:color w:val="000000"/>
        </w:rPr>
        <w:t xml:space="preserve"> for IRC §1001</w:t>
      </w:r>
      <w:r w:rsidR="001C29DC">
        <w:rPr>
          <w:rFonts w:ascii="Calibri" w:hAnsi="Calibri" w:cs="Helv"/>
          <w:bCs/>
          <w:color w:val="000000"/>
        </w:rPr>
        <w:t xml:space="preserve">, but the IRS </w:t>
      </w:r>
      <w:r w:rsidR="00034396">
        <w:rPr>
          <w:rFonts w:ascii="Calibri" w:hAnsi="Calibri" w:cs="Helv"/>
          <w:bCs/>
          <w:color w:val="000000"/>
        </w:rPr>
        <w:t>has viewed this more expansively in some rulings</w:t>
      </w:r>
      <w:r w:rsidR="003D1F06">
        <w:rPr>
          <w:rFonts w:ascii="Calibri" w:hAnsi="Calibri" w:cs="Helv"/>
          <w:bCs/>
          <w:color w:val="000000"/>
        </w:rPr>
        <w:t xml:space="preserve">, so don’t take my interpretation of </w:t>
      </w:r>
      <w:r w:rsidR="008E2F05">
        <w:rPr>
          <w:rFonts w:ascii="Calibri" w:hAnsi="Calibri" w:cs="Helv"/>
          <w:bCs/>
          <w:color w:val="000000"/>
        </w:rPr>
        <w:t>this as gospel</w:t>
      </w:r>
      <w:r w:rsidR="00034396">
        <w:rPr>
          <w:rFonts w:ascii="Calibri" w:hAnsi="Calibri" w:cs="Helv"/>
          <w:bCs/>
          <w:color w:val="000000"/>
        </w:rPr>
        <w:t>.</w:t>
      </w:r>
    </w:p>
    <w:p w14:paraId="6A10F823" w14:textId="77777777" w:rsidR="00692C63" w:rsidRDefault="00D86AD1" w:rsidP="00070A29">
      <w:pPr>
        <w:pStyle w:val="ListParagraph"/>
        <w:spacing w:line="360" w:lineRule="auto"/>
        <w:ind w:left="0" w:firstLine="720"/>
        <w:rPr>
          <w:rFonts w:ascii="Calibri" w:hAnsi="Calibri" w:cs="Helv"/>
          <w:bCs/>
          <w:color w:val="000000"/>
        </w:rPr>
      </w:pPr>
      <w:r>
        <w:rPr>
          <w:rFonts w:ascii="Calibri" w:hAnsi="Calibri" w:cs="Helv"/>
          <w:bCs/>
          <w:color w:val="000000"/>
        </w:rPr>
        <w:t xml:space="preserve"> In </w:t>
      </w:r>
      <w:r w:rsidR="006D165B">
        <w:rPr>
          <w:rFonts w:ascii="Calibri" w:hAnsi="Calibri" w:cs="Helv"/>
          <w:bCs/>
          <w:color w:val="000000"/>
        </w:rPr>
        <w:t xml:space="preserve">PLR </w:t>
      </w:r>
      <w:r w:rsidR="000E71DE" w:rsidRPr="00FB222B">
        <w:rPr>
          <w:rFonts w:ascii="Calibri" w:hAnsi="Calibri" w:cs="Helv"/>
          <w:bCs/>
          <w:color w:val="000000"/>
        </w:rPr>
        <w:t>2002-31011</w:t>
      </w:r>
      <w:r>
        <w:rPr>
          <w:rFonts w:ascii="Calibri" w:hAnsi="Calibri" w:cs="Helv"/>
          <w:bCs/>
          <w:color w:val="000000"/>
        </w:rPr>
        <w:t>, there was a dispute and legal settlement by</w:t>
      </w:r>
      <w:r w:rsidR="001A12F6">
        <w:rPr>
          <w:rFonts w:ascii="Calibri" w:hAnsi="Calibri" w:cs="Helv"/>
          <w:bCs/>
          <w:color w:val="000000"/>
        </w:rPr>
        <w:t xml:space="preserve"> which the parties were</w:t>
      </w:r>
      <w:r>
        <w:rPr>
          <w:rFonts w:ascii="Calibri" w:hAnsi="Calibri" w:cs="Helv"/>
          <w:bCs/>
          <w:color w:val="000000"/>
        </w:rPr>
        <w:t xml:space="preserve"> actively exchanging </w:t>
      </w:r>
      <w:r w:rsidR="001A12F6">
        <w:rPr>
          <w:rFonts w:ascii="Calibri" w:hAnsi="Calibri" w:cs="Helv"/>
          <w:bCs/>
          <w:color w:val="000000"/>
        </w:rPr>
        <w:t xml:space="preserve">substantial </w:t>
      </w:r>
      <w:r>
        <w:rPr>
          <w:rFonts w:ascii="Calibri" w:hAnsi="Calibri" w:cs="Helv"/>
          <w:bCs/>
          <w:color w:val="000000"/>
        </w:rPr>
        <w:t>interests</w:t>
      </w:r>
      <w:r w:rsidR="006F4CC2">
        <w:rPr>
          <w:rFonts w:ascii="Calibri" w:hAnsi="Calibri" w:cs="Helv"/>
          <w:bCs/>
          <w:color w:val="000000"/>
        </w:rPr>
        <w:t xml:space="preserve"> – the charities were giving up their trus</w:t>
      </w:r>
      <w:r w:rsidR="001A12F6">
        <w:rPr>
          <w:rFonts w:ascii="Calibri" w:hAnsi="Calibri" w:cs="Helv"/>
          <w:bCs/>
          <w:color w:val="000000"/>
        </w:rPr>
        <w:t xml:space="preserve">t </w:t>
      </w:r>
      <w:r w:rsidR="000E71DE">
        <w:rPr>
          <w:rFonts w:ascii="Calibri" w:hAnsi="Calibri" w:cs="Helv"/>
          <w:bCs/>
          <w:color w:val="000000"/>
        </w:rPr>
        <w:t>expectancy</w:t>
      </w:r>
      <w:r w:rsidR="001A12F6">
        <w:rPr>
          <w:rFonts w:ascii="Calibri" w:hAnsi="Calibri" w:cs="Helv"/>
          <w:bCs/>
          <w:color w:val="000000"/>
        </w:rPr>
        <w:t xml:space="preserve"> for immediate payout and</w:t>
      </w:r>
      <w:r w:rsidR="006F4CC2">
        <w:rPr>
          <w:rFonts w:ascii="Calibri" w:hAnsi="Calibri" w:cs="Helv"/>
          <w:bCs/>
          <w:color w:val="000000"/>
        </w:rPr>
        <w:t xml:space="preserve"> t</w:t>
      </w:r>
      <w:r w:rsidR="001A12F6">
        <w:rPr>
          <w:rFonts w:ascii="Calibri" w:hAnsi="Calibri" w:cs="Helv"/>
          <w:bCs/>
          <w:color w:val="000000"/>
        </w:rPr>
        <w:t>he grandson was getting a high</w:t>
      </w:r>
      <w:r w:rsidR="006F4CC2">
        <w:rPr>
          <w:rFonts w:ascii="Calibri" w:hAnsi="Calibri" w:cs="Helv"/>
          <w:bCs/>
          <w:color w:val="000000"/>
        </w:rPr>
        <w:t xml:space="preserve"> unitrust and greater testamentary powers</w:t>
      </w:r>
      <w:r w:rsidR="001A12F6">
        <w:rPr>
          <w:rFonts w:ascii="Calibri" w:hAnsi="Calibri" w:cs="Helv"/>
          <w:bCs/>
          <w:color w:val="000000"/>
        </w:rPr>
        <w:t xml:space="preserve"> in lieu of an income payout</w:t>
      </w:r>
      <w:r w:rsidR="006F4CC2">
        <w:rPr>
          <w:rFonts w:ascii="Calibri" w:hAnsi="Calibri" w:cs="Helv"/>
          <w:bCs/>
          <w:color w:val="000000"/>
        </w:rPr>
        <w:t xml:space="preserve">.  </w:t>
      </w:r>
      <w:r w:rsidR="001D7B70" w:rsidRPr="006D165B">
        <w:rPr>
          <w:rFonts w:ascii="Calibri" w:hAnsi="Calibri" w:cs="Helv"/>
          <w:bCs/>
          <w:i/>
          <w:color w:val="000000"/>
        </w:rPr>
        <w:t>Evans</w:t>
      </w:r>
      <w:r w:rsidR="001D7B70">
        <w:rPr>
          <w:rFonts w:ascii="Calibri" w:hAnsi="Calibri" w:cs="Helv"/>
          <w:bCs/>
          <w:color w:val="000000"/>
        </w:rPr>
        <w:t xml:space="preserve"> involved an exchange of a trust income interest for an annuity outside of trust.  </w:t>
      </w:r>
      <w:r w:rsidR="006F4CC2">
        <w:rPr>
          <w:rFonts w:ascii="Calibri" w:hAnsi="Calibri" w:cs="Helv"/>
          <w:bCs/>
          <w:color w:val="000000"/>
        </w:rPr>
        <w:t xml:space="preserve">With any </w:t>
      </w:r>
      <w:r w:rsidR="006F4CC2" w:rsidRPr="00F508F5">
        <w:rPr>
          <w:rFonts w:ascii="Calibri" w:hAnsi="Calibri" w:cs="Helv"/>
          <w:bCs/>
          <w:i/>
          <w:color w:val="000000"/>
        </w:rPr>
        <w:t>quid pro quo</w:t>
      </w:r>
      <w:r w:rsidR="006F4CC2">
        <w:rPr>
          <w:rFonts w:ascii="Calibri" w:hAnsi="Calibri" w:cs="Helv"/>
          <w:bCs/>
          <w:color w:val="000000"/>
        </w:rPr>
        <w:t xml:space="preserve"> there is arguably an exchange.  But with a decanting</w:t>
      </w:r>
      <w:r w:rsidR="001A12F6">
        <w:rPr>
          <w:rFonts w:ascii="Calibri" w:hAnsi="Calibri" w:cs="Helv"/>
          <w:bCs/>
          <w:color w:val="000000"/>
        </w:rPr>
        <w:t xml:space="preserve"> or certain court reformations that do not even need the </w:t>
      </w:r>
      <w:r w:rsidR="001A12F6">
        <w:rPr>
          <w:rFonts w:ascii="Calibri" w:hAnsi="Calibri" w:cs="Helv"/>
          <w:bCs/>
          <w:color w:val="000000"/>
        </w:rPr>
        <w:lastRenderedPageBreak/>
        <w:t>consent of the beneficiary</w:t>
      </w:r>
      <w:r w:rsidR="006F4CC2">
        <w:rPr>
          <w:rFonts w:ascii="Calibri" w:hAnsi="Calibri" w:cs="Helv"/>
          <w:bCs/>
          <w:color w:val="000000"/>
        </w:rPr>
        <w:t>,</w:t>
      </w:r>
      <w:r w:rsidR="001A12F6">
        <w:rPr>
          <w:rStyle w:val="FootnoteReference"/>
          <w:rFonts w:ascii="Calibri" w:hAnsi="Calibri" w:cs="Helv"/>
          <w:bCs/>
          <w:color w:val="000000"/>
        </w:rPr>
        <w:footnoteReference w:id="359"/>
      </w:r>
      <w:r w:rsidR="006F4CC2">
        <w:rPr>
          <w:rFonts w:ascii="Calibri" w:hAnsi="Calibri" w:cs="Helv"/>
          <w:bCs/>
          <w:color w:val="000000"/>
        </w:rPr>
        <w:t xml:space="preserve"> the beneficiary would not be exchanging anything, nor would the trustee – there is no quid pro quo</w:t>
      </w:r>
      <w:r w:rsidR="0037073E">
        <w:rPr>
          <w:rFonts w:ascii="Calibri" w:hAnsi="Calibri" w:cs="Helv"/>
          <w:bCs/>
          <w:color w:val="000000"/>
        </w:rPr>
        <w:t xml:space="preserve"> as in the 2002 PLR and certainly nothing like the obvious exchange in </w:t>
      </w:r>
      <w:r w:rsidR="0037073E" w:rsidRPr="00FB222B">
        <w:rPr>
          <w:rFonts w:ascii="Calibri" w:hAnsi="Calibri" w:cs="Helv"/>
          <w:bCs/>
          <w:i/>
          <w:color w:val="000000"/>
        </w:rPr>
        <w:t>Cottage Savings</w:t>
      </w:r>
      <w:r w:rsidR="0037073E">
        <w:rPr>
          <w:rFonts w:ascii="Calibri" w:hAnsi="Calibri" w:cs="Helv"/>
          <w:bCs/>
          <w:color w:val="000000"/>
        </w:rPr>
        <w:t>.</w:t>
      </w:r>
      <w:r w:rsidR="00F508F5">
        <w:rPr>
          <w:rFonts w:ascii="Calibri" w:hAnsi="Calibri" w:cs="Helv"/>
          <w:bCs/>
          <w:color w:val="000000"/>
        </w:rPr>
        <w:t xml:space="preserve">  </w:t>
      </w:r>
      <w:r w:rsidR="00E84ECD">
        <w:rPr>
          <w:rFonts w:ascii="Calibri" w:hAnsi="Calibri" w:cs="Helv"/>
          <w:bCs/>
          <w:color w:val="000000"/>
        </w:rPr>
        <w:t>That said, there is not the need to find a voluntary component for sales and dispositions as there would be for a taxable gift.</w:t>
      </w:r>
    </w:p>
    <w:p w14:paraId="79C045F3" w14:textId="77777777" w:rsidR="00692C63" w:rsidRDefault="00692C63" w:rsidP="00070A29">
      <w:pPr>
        <w:pStyle w:val="ListParagraph"/>
        <w:spacing w:line="360" w:lineRule="auto"/>
        <w:ind w:left="0" w:firstLine="720"/>
        <w:rPr>
          <w:rFonts w:ascii="Calibri" w:hAnsi="Calibri" w:cs="Helv"/>
          <w:bCs/>
          <w:color w:val="000000"/>
        </w:rPr>
      </w:pPr>
      <w:r>
        <w:rPr>
          <w:rFonts w:ascii="Calibri" w:hAnsi="Calibri" w:cs="Helv"/>
          <w:bCs/>
          <w:color w:val="000000"/>
        </w:rPr>
        <w:t>Treasury recognizes this for trustee severances of trusts:</w:t>
      </w:r>
    </w:p>
    <w:p w14:paraId="60486E84" w14:textId="77777777" w:rsidR="00692C63" w:rsidRPr="00692C63" w:rsidRDefault="00692C63" w:rsidP="00B05F7A">
      <w:pPr>
        <w:pStyle w:val="ListParagraph"/>
        <w:spacing w:line="320" w:lineRule="atLeast"/>
        <w:ind w:firstLine="720"/>
        <w:rPr>
          <w:rFonts w:ascii="Calibri" w:hAnsi="Calibri" w:cs="Helv"/>
          <w:bCs/>
          <w:color w:val="000000"/>
        </w:rPr>
      </w:pPr>
      <w:r w:rsidRPr="00692C63">
        <w:rPr>
          <w:rFonts w:ascii="Calibri" w:hAnsi="Calibri" w:cs="Helv"/>
          <w:b/>
          <w:bCs/>
          <w:color w:val="000000"/>
        </w:rPr>
        <w:t>(h)</w:t>
      </w:r>
      <w:r w:rsidRPr="00692C63">
        <w:rPr>
          <w:rFonts w:ascii="Calibri" w:hAnsi="Calibri" w:cs="Helv"/>
          <w:bCs/>
          <w:color w:val="000000"/>
        </w:rPr>
        <w:t> </w:t>
      </w:r>
      <w:r w:rsidRPr="00692C63">
        <w:rPr>
          <w:rFonts w:ascii="Calibri" w:hAnsi="Calibri" w:cs="Helv"/>
          <w:b/>
          <w:bCs/>
          <w:i/>
          <w:iCs/>
          <w:color w:val="000000"/>
        </w:rPr>
        <w:t>Severances of trusts</w:t>
      </w:r>
    </w:p>
    <w:p w14:paraId="55C4A5E1" w14:textId="77777777" w:rsidR="00692C63" w:rsidRPr="00B442DB" w:rsidRDefault="00692C63" w:rsidP="00B05F7A">
      <w:pPr>
        <w:pStyle w:val="ListParagraph"/>
        <w:spacing w:line="320" w:lineRule="atLeast"/>
        <w:ind w:firstLine="720"/>
        <w:rPr>
          <w:rFonts w:ascii="Calibri" w:hAnsi="Calibri" w:cs="Helv"/>
          <w:b/>
          <w:bCs/>
          <w:color w:val="000000"/>
        </w:rPr>
      </w:pPr>
      <w:bookmarkStart w:id="9" w:name="h_1"/>
      <w:bookmarkEnd w:id="9"/>
      <w:r w:rsidRPr="00692C63">
        <w:rPr>
          <w:rFonts w:ascii="Calibri" w:hAnsi="Calibri" w:cs="Helv"/>
          <w:b/>
          <w:bCs/>
          <w:color w:val="000000"/>
        </w:rPr>
        <w:t>(1)</w:t>
      </w:r>
      <w:r w:rsidRPr="00692C63">
        <w:rPr>
          <w:rFonts w:ascii="Calibri" w:hAnsi="Calibri" w:cs="Helv"/>
          <w:bCs/>
          <w:color w:val="000000"/>
        </w:rPr>
        <w:t> </w:t>
      </w:r>
      <w:r w:rsidRPr="00692C63">
        <w:rPr>
          <w:rFonts w:ascii="Calibri" w:hAnsi="Calibri" w:cs="Helv"/>
          <w:b/>
          <w:bCs/>
          <w:i/>
          <w:iCs/>
          <w:color w:val="000000"/>
        </w:rPr>
        <w:t>In general.</w:t>
      </w:r>
      <w:r w:rsidRPr="00692C63">
        <w:rPr>
          <w:rFonts w:ascii="Calibri" w:hAnsi="Calibri" w:cs="Helv"/>
          <w:b/>
          <w:bCs/>
          <w:color w:val="000000"/>
        </w:rPr>
        <w:t> </w:t>
      </w:r>
      <w:r w:rsidRPr="00692C63">
        <w:rPr>
          <w:rFonts w:ascii="Calibri" w:hAnsi="Calibri" w:cs="Helv"/>
          <w:bCs/>
          <w:color w:val="000000"/>
        </w:rPr>
        <w:t xml:space="preserve">The severance of a trust (including without limitation a severance that meets the requirements of § 26.2642-6 or of §26.2654-1(b) of this chapter) </w:t>
      </w:r>
      <w:r w:rsidRPr="00B442DB">
        <w:rPr>
          <w:rFonts w:ascii="Calibri" w:hAnsi="Calibri" w:cs="Helv"/>
          <w:b/>
          <w:bCs/>
          <w:color w:val="000000"/>
        </w:rPr>
        <w:t>is not an exchange of property for other property differing materially either in kind or in extent if—</w:t>
      </w:r>
    </w:p>
    <w:p w14:paraId="741C801A" w14:textId="77777777" w:rsidR="00692C63" w:rsidRPr="00692C63" w:rsidRDefault="00692C63" w:rsidP="00B05F7A">
      <w:pPr>
        <w:pStyle w:val="ListParagraph"/>
        <w:spacing w:line="320" w:lineRule="atLeast"/>
        <w:ind w:firstLine="720"/>
        <w:rPr>
          <w:rFonts w:ascii="Calibri" w:hAnsi="Calibri" w:cs="Helv"/>
          <w:bCs/>
          <w:color w:val="000000"/>
        </w:rPr>
      </w:pPr>
      <w:bookmarkStart w:id="10" w:name="i"/>
      <w:bookmarkEnd w:id="10"/>
      <w:r w:rsidRPr="00B442DB">
        <w:rPr>
          <w:rFonts w:ascii="Calibri" w:hAnsi="Calibri" w:cs="Helv"/>
          <w:b/>
          <w:bCs/>
          <w:color w:val="000000"/>
        </w:rPr>
        <w:t>(i) An applicable state statute or the governing instrument authorizes or directs the trustee to sever the trust</w:t>
      </w:r>
      <w:r w:rsidRPr="00692C63">
        <w:rPr>
          <w:rFonts w:ascii="Calibri" w:hAnsi="Calibri" w:cs="Helv"/>
          <w:bCs/>
          <w:color w:val="000000"/>
        </w:rPr>
        <w:t xml:space="preserve">; </w:t>
      </w:r>
      <w:r w:rsidRPr="00B442DB">
        <w:rPr>
          <w:rFonts w:ascii="Calibri" w:hAnsi="Calibri" w:cs="Helv"/>
          <w:b/>
          <w:bCs/>
          <w:color w:val="000000"/>
        </w:rPr>
        <w:t>and</w:t>
      </w:r>
    </w:p>
    <w:p w14:paraId="046B5DB6" w14:textId="77777777" w:rsidR="00692C63" w:rsidRPr="00692C63" w:rsidRDefault="00692C63" w:rsidP="00B05F7A">
      <w:pPr>
        <w:pStyle w:val="ListParagraph"/>
        <w:spacing w:line="320" w:lineRule="atLeast"/>
        <w:ind w:firstLine="720"/>
        <w:rPr>
          <w:rFonts w:ascii="Calibri" w:hAnsi="Calibri" w:cs="Helv"/>
          <w:bCs/>
          <w:color w:val="000000"/>
        </w:rPr>
      </w:pPr>
      <w:bookmarkStart w:id="11" w:name="i_ii"/>
      <w:bookmarkEnd w:id="11"/>
      <w:r w:rsidRPr="00692C63">
        <w:rPr>
          <w:rFonts w:ascii="Calibri" w:hAnsi="Calibri" w:cs="Helv"/>
          <w:b/>
          <w:bCs/>
          <w:color w:val="000000"/>
        </w:rPr>
        <w:t>(ii)</w:t>
      </w:r>
      <w:r w:rsidRPr="00692C63">
        <w:rPr>
          <w:rFonts w:ascii="Calibri" w:hAnsi="Calibri" w:cs="Helv"/>
          <w:bCs/>
          <w:color w:val="000000"/>
        </w:rPr>
        <w:t> </w:t>
      </w:r>
      <w:r w:rsidRPr="00B442DB">
        <w:rPr>
          <w:rFonts w:ascii="Calibri" w:hAnsi="Calibri" w:cs="Helv"/>
          <w:b/>
          <w:bCs/>
          <w:color w:val="000000"/>
        </w:rPr>
        <w:t>Any non-pro rata funding</w:t>
      </w:r>
      <w:r w:rsidRPr="00692C63">
        <w:rPr>
          <w:rFonts w:ascii="Calibri" w:hAnsi="Calibri" w:cs="Helv"/>
          <w:bCs/>
          <w:color w:val="000000"/>
        </w:rPr>
        <w:t xml:space="preserve"> of the separate trusts resulting from the severance (including non-pro rata funding as described in§26.2642-6(d)(4) or § 26.2654-1(b)(1)(ii)(C) of this chapter), whether mandatory or in the discretion of the trustee, </w:t>
      </w:r>
      <w:r w:rsidRPr="00B442DB">
        <w:rPr>
          <w:rFonts w:ascii="Calibri" w:hAnsi="Calibri" w:cs="Helv"/>
          <w:b/>
          <w:bCs/>
          <w:color w:val="000000"/>
        </w:rPr>
        <w:t>is authorized by an applicable state statute or the governing instrument</w:t>
      </w:r>
      <w:r w:rsidRPr="00692C63">
        <w:rPr>
          <w:rFonts w:ascii="Calibri" w:hAnsi="Calibri" w:cs="Helv"/>
          <w:bCs/>
          <w:color w:val="000000"/>
        </w:rPr>
        <w:t>.</w:t>
      </w:r>
      <w:r>
        <w:rPr>
          <w:rStyle w:val="FootnoteReference"/>
          <w:rFonts w:ascii="Calibri" w:hAnsi="Calibri" w:cs="Helv"/>
          <w:bCs/>
          <w:color w:val="000000"/>
        </w:rPr>
        <w:footnoteReference w:id="360"/>
      </w:r>
    </w:p>
    <w:p w14:paraId="03E7F1AD" w14:textId="77777777" w:rsidR="00692C63" w:rsidRDefault="00692C63" w:rsidP="00070A29">
      <w:pPr>
        <w:pStyle w:val="ListParagraph"/>
        <w:spacing w:line="360" w:lineRule="auto"/>
        <w:ind w:left="0" w:firstLine="720"/>
        <w:rPr>
          <w:rFonts w:ascii="Calibri" w:hAnsi="Calibri" w:cs="Helv"/>
          <w:bCs/>
          <w:color w:val="000000"/>
        </w:rPr>
      </w:pPr>
    </w:p>
    <w:p w14:paraId="742F1C3D" w14:textId="77777777" w:rsidR="006F4CC2" w:rsidRDefault="00692C63" w:rsidP="00070A29">
      <w:pPr>
        <w:pStyle w:val="ListParagraph"/>
        <w:spacing w:line="360" w:lineRule="auto"/>
        <w:ind w:left="0" w:firstLine="720"/>
        <w:rPr>
          <w:rFonts w:ascii="Calibri" w:hAnsi="Calibri" w:cs="Helv"/>
          <w:bCs/>
          <w:color w:val="000000"/>
        </w:rPr>
      </w:pPr>
      <w:r>
        <w:rPr>
          <w:rFonts w:ascii="Calibri" w:hAnsi="Calibri" w:cs="Helv"/>
          <w:bCs/>
          <w:color w:val="000000"/>
        </w:rPr>
        <w:t xml:space="preserve">There is no clear definition of “severance” </w:t>
      </w:r>
      <w:r w:rsidR="00EF4A57">
        <w:rPr>
          <w:rFonts w:ascii="Calibri" w:hAnsi="Calibri" w:cs="Helv"/>
          <w:bCs/>
          <w:color w:val="000000"/>
        </w:rPr>
        <w:t>above</w:t>
      </w:r>
      <w:r>
        <w:rPr>
          <w:rFonts w:ascii="Calibri" w:hAnsi="Calibri" w:cs="Helv"/>
          <w:bCs/>
          <w:color w:val="000000"/>
        </w:rPr>
        <w:t>,</w:t>
      </w:r>
      <w:r w:rsidR="00F10AFC">
        <w:rPr>
          <w:rStyle w:val="FootnoteReference"/>
          <w:rFonts w:ascii="Calibri" w:hAnsi="Calibri" w:cs="Helv"/>
          <w:bCs/>
          <w:color w:val="000000"/>
        </w:rPr>
        <w:footnoteReference w:id="361"/>
      </w:r>
      <w:r>
        <w:rPr>
          <w:rFonts w:ascii="Calibri" w:hAnsi="Calibri" w:cs="Helv"/>
          <w:bCs/>
          <w:color w:val="000000"/>
        </w:rPr>
        <w:t xml:space="preserve"> but decantings and unilateral constructions/reformations</w:t>
      </w:r>
      <w:r w:rsidR="00B442DB">
        <w:rPr>
          <w:rFonts w:ascii="Calibri" w:hAnsi="Calibri" w:cs="Helv"/>
          <w:bCs/>
          <w:color w:val="000000"/>
        </w:rPr>
        <w:t>/divisions</w:t>
      </w:r>
      <w:r>
        <w:rPr>
          <w:rFonts w:ascii="Calibri" w:hAnsi="Calibri" w:cs="Helv"/>
          <w:bCs/>
          <w:color w:val="000000"/>
        </w:rPr>
        <w:t xml:space="preserve"> of trusts initiated by the trustee seem to fit a “severance” more than a “sale or disposition”</w:t>
      </w:r>
      <w:r w:rsidR="00EF4A57">
        <w:rPr>
          <w:rFonts w:ascii="Calibri" w:hAnsi="Calibri" w:cs="Helv"/>
          <w:bCs/>
          <w:color w:val="000000"/>
        </w:rPr>
        <w:t xml:space="preserve"> – and these would of course be done pursuant to the trust and/or state law and any good trust would permit non-pro rata funding</w:t>
      </w:r>
      <w:r>
        <w:rPr>
          <w:rFonts w:ascii="Calibri" w:hAnsi="Calibri" w:cs="Helv"/>
          <w:bCs/>
          <w:color w:val="000000"/>
        </w:rPr>
        <w:t>.</w:t>
      </w:r>
      <w:r w:rsidR="00BE2E9E">
        <w:rPr>
          <w:rStyle w:val="FootnoteReference"/>
          <w:rFonts w:ascii="Calibri" w:hAnsi="Calibri" w:cs="Helv"/>
          <w:bCs/>
          <w:color w:val="000000"/>
        </w:rPr>
        <w:footnoteReference w:id="362"/>
      </w:r>
      <w:r>
        <w:rPr>
          <w:rFonts w:ascii="Calibri" w:hAnsi="Calibri" w:cs="Helv"/>
          <w:bCs/>
          <w:color w:val="000000"/>
        </w:rPr>
        <w:t xml:space="preserve">  In most instances, typical amendments</w:t>
      </w:r>
      <w:r w:rsidR="00B442DB">
        <w:rPr>
          <w:rFonts w:ascii="Calibri" w:hAnsi="Calibri" w:cs="Helv"/>
          <w:bCs/>
          <w:color w:val="000000"/>
        </w:rPr>
        <w:t xml:space="preserve"> are more reasonably described as a severance and/or more squarely fit</w:t>
      </w:r>
      <w:r w:rsidR="00F508F5">
        <w:rPr>
          <w:rFonts w:ascii="Calibri" w:hAnsi="Calibri" w:cs="Helv"/>
          <w:bCs/>
          <w:color w:val="000000"/>
        </w:rPr>
        <w:t xml:space="preserve"> with the 7</w:t>
      </w:r>
      <w:r w:rsidR="00F508F5" w:rsidRPr="00F508F5">
        <w:rPr>
          <w:rFonts w:ascii="Calibri" w:hAnsi="Calibri" w:cs="Helv"/>
          <w:bCs/>
          <w:color w:val="000000"/>
          <w:vertAlign w:val="superscript"/>
        </w:rPr>
        <w:t>th</w:t>
      </w:r>
      <w:r w:rsidR="00F508F5">
        <w:rPr>
          <w:rFonts w:ascii="Calibri" w:hAnsi="Calibri" w:cs="Helv"/>
          <w:bCs/>
          <w:color w:val="000000"/>
        </w:rPr>
        <w:t xml:space="preserve"> Circuit’s conclusion in </w:t>
      </w:r>
      <w:r w:rsidR="00F508F5" w:rsidRPr="00F508F5">
        <w:rPr>
          <w:rFonts w:ascii="Calibri" w:hAnsi="Calibri" w:cs="Helv"/>
          <w:bCs/>
          <w:i/>
          <w:color w:val="000000"/>
        </w:rPr>
        <w:t>Silverstein</w:t>
      </w:r>
      <w:r w:rsidR="00F508F5">
        <w:rPr>
          <w:rFonts w:ascii="Calibri" w:hAnsi="Calibri" w:cs="Helv"/>
          <w:bCs/>
          <w:i/>
          <w:color w:val="000000"/>
        </w:rPr>
        <w:t xml:space="preserve"> – if the beneficiary is keeping the same payment</w:t>
      </w:r>
      <w:r w:rsidR="001D7B70">
        <w:rPr>
          <w:rFonts w:ascii="Calibri" w:hAnsi="Calibri" w:cs="Helv"/>
          <w:bCs/>
          <w:i/>
          <w:color w:val="000000"/>
        </w:rPr>
        <w:t xml:space="preserve"> scheme as before, with no change in economic position, it’s hard to argue there is a sale or exchange.</w:t>
      </w:r>
      <w:r w:rsidR="00B442DB" w:rsidRPr="00B442DB">
        <w:rPr>
          <w:rFonts w:ascii="Calibri" w:hAnsi="Calibri" w:cs="Helv"/>
          <w:bCs/>
          <w:color w:val="000000"/>
        </w:rPr>
        <w:t xml:space="preserve"> </w:t>
      </w:r>
      <w:r w:rsidR="00B442DB">
        <w:rPr>
          <w:rFonts w:ascii="Calibri" w:hAnsi="Calibri" w:cs="Helv"/>
          <w:bCs/>
          <w:color w:val="000000"/>
        </w:rPr>
        <w:t xml:space="preserve">By contrast, contested settlements, or reformation actions </w:t>
      </w:r>
      <w:r w:rsidR="00B442DB">
        <w:rPr>
          <w:rFonts w:ascii="Calibri" w:hAnsi="Calibri" w:cs="Helv"/>
          <w:bCs/>
          <w:color w:val="000000"/>
        </w:rPr>
        <w:lastRenderedPageBreak/>
        <w:t xml:space="preserve">initiated or negotiated </w:t>
      </w:r>
      <w:r w:rsidR="00B442DB" w:rsidRPr="00EF4A57">
        <w:rPr>
          <w:rFonts w:ascii="Calibri" w:hAnsi="Calibri" w:cs="Helv"/>
          <w:bCs/>
          <w:i/>
          <w:color w:val="000000"/>
        </w:rPr>
        <w:t>by</w:t>
      </w:r>
      <w:r w:rsidR="00B442DB">
        <w:rPr>
          <w:rFonts w:ascii="Calibri" w:hAnsi="Calibri" w:cs="Helv"/>
          <w:bCs/>
          <w:color w:val="000000"/>
        </w:rPr>
        <w:t xml:space="preserve"> </w:t>
      </w:r>
      <w:r w:rsidR="00B442DB" w:rsidRPr="00EF4A57">
        <w:rPr>
          <w:rFonts w:ascii="Calibri" w:hAnsi="Calibri" w:cs="Helv"/>
          <w:bCs/>
          <w:i/>
          <w:color w:val="000000"/>
        </w:rPr>
        <w:t>beneficiaries</w:t>
      </w:r>
      <w:r w:rsidR="00B442DB">
        <w:rPr>
          <w:rFonts w:ascii="Calibri" w:hAnsi="Calibri" w:cs="Helv"/>
          <w:bCs/>
          <w:color w:val="000000"/>
        </w:rPr>
        <w:t xml:space="preserve">, particularly if a termination is involved, may come closer to resembling a </w:t>
      </w:r>
      <w:r w:rsidR="00B442DB" w:rsidRPr="00EF4A57">
        <w:rPr>
          <w:rFonts w:ascii="Calibri" w:hAnsi="Calibri" w:cs="Helv"/>
          <w:bCs/>
          <w:i/>
          <w:color w:val="000000"/>
        </w:rPr>
        <w:t>sale</w:t>
      </w:r>
      <w:r w:rsidR="00B442DB">
        <w:rPr>
          <w:rFonts w:ascii="Calibri" w:hAnsi="Calibri" w:cs="Helv"/>
          <w:bCs/>
          <w:color w:val="000000"/>
        </w:rPr>
        <w:t xml:space="preserve">, as in PLR 2002-31011 or </w:t>
      </w:r>
      <w:r w:rsidR="00B442DB" w:rsidRPr="00B442DB">
        <w:rPr>
          <w:rFonts w:ascii="Calibri" w:hAnsi="Calibri" w:cs="Helv"/>
          <w:bCs/>
          <w:i/>
          <w:color w:val="000000"/>
        </w:rPr>
        <w:t>Evans</w:t>
      </w:r>
      <w:r w:rsidR="00B442DB">
        <w:rPr>
          <w:rFonts w:ascii="Calibri" w:hAnsi="Calibri" w:cs="Helv"/>
          <w:bCs/>
          <w:color w:val="000000"/>
        </w:rPr>
        <w:t xml:space="preserve">.  </w:t>
      </w:r>
    </w:p>
    <w:p w14:paraId="45F947BB" w14:textId="77777777" w:rsidR="0037073E" w:rsidRDefault="0037073E" w:rsidP="00070A29">
      <w:pPr>
        <w:pStyle w:val="ListParagraph"/>
        <w:spacing w:line="360" w:lineRule="auto"/>
        <w:ind w:left="0" w:firstLine="720"/>
        <w:rPr>
          <w:rFonts w:ascii="Calibri" w:hAnsi="Calibri" w:cs="Helv"/>
          <w:bCs/>
          <w:color w:val="000000"/>
        </w:rPr>
      </w:pPr>
      <w:r>
        <w:rPr>
          <w:rFonts w:ascii="Calibri" w:hAnsi="Calibri" w:cs="Helv"/>
          <w:bCs/>
          <w:color w:val="000000"/>
        </w:rPr>
        <w:t xml:space="preserve">Moreover, even if there were a deemed exchange, </w:t>
      </w:r>
      <w:r w:rsidR="00FB222B">
        <w:rPr>
          <w:rFonts w:ascii="Calibri" w:hAnsi="Calibri" w:cs="Helv"/>
          <w:bCs/>
          <w:color w:val="000000"/>
        </w:rPr>
        <w:t>most</w:t>
      </w:r>
      <w:r>
        <w:rPr>
          <w:rFonts w:ascii="Calibri" w:hAnsi="Calibri" w:cs="Helv"/>
          <w:bCs/>
          <w:color w:val="000000"/>
        </w:rPr>
        <w:t xml:space="preserve"> changes would not be nearly as </w:t>
      </w:r>
      <w:r w:rsidRPr="00EF4A57">
        <w:rPr>
          <w:rFonts w:ascii="Calibri" w:hAnsi="Calibri" w:cs="Helv"/>
          <w:bCs/>
          <w:i/>
          <w:color w:val="000000"/>
        </w:rPr>
        <w:t>material</w:t>
      </w:r>
      <w:r>
        <w:rPr>
          <w:rFonts w:ascii="Calibri" w:hAnsi="Calibri" w:cs="Helv"/>
          <w:bCs/>
          <w:color w:val="000000"/>
        </w:rPr>
        <w:t xml:space="preserve"> as in </w:t>
      </w:r>
      <w:r w:rsidR="00FB222B">
        <w:rPr>
          <w:rFonts w:ascii="Calibri" w:hAnsi="Calibri" w:cs="Helv"/>
          <w:bCs/>
          <w:color w:val="000000"/>
        </w:rPr>
        <w:t xml:space="preserve">PLR </w:t>
      </w:r>
      <w:bookmarkStart w:id="12" w:name="_Hlk17300927"/>
      <w:r w:rsidR="00FB222B" w:rsidRPr="001A12F6">
        <w:rPr>
          <w:rFonts w:ascii="Calibri" w:hAnsi="Calibri" w:cs="Helv"/>
          <w:bCs/>
          <w:color w:val="000000"/>
        </w:rPr>
        <w:t>2002-31011</w:t>
      </w:r>
      <w:bookmarkEnd w:id="12"/>
      <w:r w:rsidR="000E71DE">
        <w:rPr>
          <w:rFonts w:ascii="Calibri" w:hAnsi="Calibri" w:cs="Helv"/>
          <w:bCs/>
          <w:color w:val="000000"/>
        </w:rPr>
        <w:t>.  Still, this</w:t>
      </w:r>
      <w:r>
        <w:rPr>
          <w:rFonts w:ascii="Calibri" w:hAnsi="Calibri" w:cs="Helv"/>
          <w:bCs/>
          <w:color w:val="000000"/>
        </w:rPr>
        <w:t xml:space="preserve"> PLR serves as a warning to make changes as minimal as possible, and to use a method that does not require active beneficiary procurement if possible</w:t>
      </w:r>
      <w:r w:rsidR="000E71DE">
        <w:rPr>
          <w:rFonts w:ascii="Calibri" w:hAnsi="Calibri" w:cs="Helv"/>
          <w:bCs/>
          <w:color w:val="000000"/>
        </w:rPr>
        <w:t>,</w:t>
      </w:r>
      <w:r w:rsidR="00FB222B">
        <w:rPr>
          <w:rFonts w:ascii="Calibri" w:hAnsi="Calibri" w:cs="Helv"/>
          <w:bCs/>
          <w:color w:val="000000"/>
        </w:rPr>
        <w:t xml:space="preserve"> to avoid a</w:t>
      </w:r>
      <w:r w:rsidR="000E71DE">
        <w:rPr>
          <w:rFonts w:ascii="Calibri" w:hAnsi="Calibri" w:cs="Helv"/>
          <w:bCs/>
          <w:color w:val="000000"/>
        </w:rPr>
        <w:t>ny</w:t>
      </w:r>
      <w:r w:rsidR="00FB222B">
        <w:rPr>
          <w:rFonts w:ascii="Calibri" w:hAnsi="Calibri" w:cs="Helv"/>
          <w:bCs/>
          <w:color w:val="000000"/>
        </w:rPr>
        <w:t xml:space="preserve"> “sale or exchange”</w:t>
      </w:r>
      <w:r w:rsidR="000E71DE">
        <w:rPr>
          <w:rFonts w:ascii="Calibri" w:hAnsi="Calibri" w:cs="Helv"/>
          <w:bCs/>
          <w:color w:val="000000"/>
        </w:rPr>
        <w:t xml:space="preserve"> argument</w:t>
      </w:r>
      <w:r w:rsidR="00FB222B">
        <w:rPr>
          <w:rFonts w:ascii="Calibri" w:hAnsi="Calibri" w:cs="Helv"/>
          <w:bCs/>
          <w:color w:val="000000"/>
        </w:rPr>
        <w:t xml:space="preserve"> altogether</w:t>
      </w:r>
      <w:r>
        <w:rPr>
          <w:rFonts w:ascii="Calibri" w:hAnsi="Calibri" w:cs="Helv"/>
          <w:bCs/>
          <w:color w:val="000000"/>
        </w:rPr>
        <w:t xml:space="preserve">.  </w:t>
      </w:r>
      <w:r w:rsidR="00FB222B">
        <w:rPr>
          <w:rFonts w:ascii="Calibri" w:hAnsi="Calibri" w:cs="Helv"/>
          <w:bCs/>
          <w:color w:val="000000"/>
        </w:rPr>
        <w:t xml:space="preserve">Who knows what the IRS or tax court will find to be “material”?  </w:t>
      </w:r>
      <w:r>
        <w:rPr>
          <w:rFonts w:ascii="Calibri" w:hAnsi="Calibri" w:cs="Helv"/>
          <w:bCs/>
          <w:color w:val="000000"/>
        </w:rPr>
        <w:t xml:space="preserve">What should we make of the </w:t>
      </w:r>
      <w:r w:rsidR="00FB222B">
        <w:rPr>
          <w:rFonts w:ascii="Calibri" w:hAnsi="Calibri" w:cs="Helv"/>
          <w:bCs/>
          <w:color w:val="000000"/>
        </w:rPr>
        <w:t>statement</w:t>
      </w:r>
      <w:r>
        <w:rPr>
          <w:rFonts w:ascii="Calibri" w:hAnsi="Calibri" w:cs="Helv"/>
          <w:bCs/>
          <w:color w:val="000000"/>
        </w:rPr>
        <w:t xml:space="preserve"> </w:t>
      </w:r>
      <w:r w:rsidR="00FB222B">
        <w:rPr>
          <w:rFonts w:ascii="Calibri" w:hAnsi="Calibri" w:cs="Helv"/>
          <w:bCs/>
          <w:color w:val="000000"/>
        </w:rPr>
        <w:t xml:space="preserve">in PLR </w:t>
      </w:r>
      <w:r w:rsidR="00FB222B" w:rsidRPr="00FB222B">
        <w:rPr>
          <w:rFonts w:ascii="Calibri" w:hAnsi="Calibri" w:cs="Helv"/>
          <w:bCs/>
          <w:color w:val="000000"/>
        </w:rPr>
        <w:t>2002-31011</w:t>
      </w:r>
      <w:r w:rsidR="00FB222B">
        <w:rPr>
          <w:rFonts w:ascii="Calibri" w:hAnsi="Calibri" w:cs="Helv"/>
          <w:bCs/>
          <w:color w:val="000000"/>
        </w:rPr>
        <w:t xml:space="preserve"> that</w:t>
      </w:r>
      <w:r>
        <w:rPr>
          <w:rFonts w:ascii="Calibri" w:hAnsi="Calibri" w:cs="Helv"/>
          <w:bCs/>
          <w:color w:val="000000"/>
        </w:rPr>
        <w:t xml:space="preserve"> the adding of a general power of appointment to the trust “reinforced” the conclusion that there was an exchange?  Would it have been enough by itself?  </w:t>
      </w:r>
    </w:p>
    <w:p w14:paraId="0741B81D" w14:textId="77777777" w:rsidR="0037073E" w:rsidRDefault="0037073E" w:rsidP="00070A29">
      <w:pPr>
        <w:pStyle w:val="ListParagraph"/>
        <w:spacing w:line="360" w:lineRule="auto"/>
        <w:ind w:left="0" w:firstLine="720"/>
        <w:rPr>
          <w:rFonts w:ascii="Calibri" w:hAnsi="Calibri" w:cs="Helv"/>
          <w:bCs/>
          <w:color w:val="000000"/>
        </w:rPr>
      </w:pPr>
      <w:r>
        <w:rPr>
          <w:rFonts w:ascii="Calibri" w:hAnsi="Calibri" w:cs="Helv"/>
          <w:bCs/>
          <w:color w:val="000000"/>
        </w:rPr>
        <w:t xml:space="preserve">If the amendment merely granted a general </w:t>
      </w:r>
      <w:r w:rsidR="006D165B">
        <w:rPr>
          <w:rFonts w:ascii="Calibri" w:hAnsi="Calibri" w:cs="Helv"/>
          <w:bCs/>
          <w:color w:val="000000"/>
        </w:rPr>
        <w:t xml:space="preserve">testamentary </w:t>
      </w:r>
      <w:r>
        <w:rPr>
          <w:rFonts w:ascii="Calibri" w:hAnsi="Calibri" w:cs="Helv"/>
          <w:bCs/>
          <w:color w:val="000000"/>
        </w:rPr>
        <w:t>power to appoint to creditors with consent of a non-adverse party</w:t>
      </w:r>
      <w:r w:rsidR="00FB222B">
        <w:rPr>
          <w:rFonts w:ascii="Calibri" w:hAnsi="Calibri" w:cs="Helv"/>
          <w:bCs/>
          <w:color w:val="000000"/>
        </w:rPr>
        <w:t xml:space="preserve"> would it be materially different?  </w:t>
      </w:r>
      <w:r>
        <w:rPr>
          <w:rFonts w:ascii="Calibri" w:hAnsi="Calibri" w:cs="Helv"/>
          <w:bCs/>
          <w:color w:val="000000"/>
        </w:rPr>
        <w:t xml:space="preserve">If the amendment merely granted a </w:t>
      </w:r>
      <w:r w:rsidRPr="0099201C">
        <w:rPr>
          <w:rFonts w:ascii="Calibri" w:hAnsi="Calibri" w:cs="Helv"/>
          <w:bCs/>
          <w:i/>
          <w:color w:val="000000"/>
        </w:rPr>
        <w:t>limited</w:t>
      </w:r>
      <w:r>
        <w:rPr>
          <w:rFonts w:ascii="Calibri" w:hAnsi="Calibri" w:cs="Helv"/>
          <w:bCs/>
          <w:color w:val="000000"/>
        </w:rPr>
        <w:t xml:space="preserve"> power of appointment that only permitted the appointment to the same remaindermen or to trust therefore, in order to trigger the Delaware Tax Trap as discussed in Part III, would such </w:t>
      </w:r>
      <w:r w:rsidR="0099201C">
        <w:rPr>
          <w:rFonts w:ascii="Calibri" w:hAnsi="Calibri" w:cs="Helv"/>
          <w:bCs/>
          <w:color w:val="000000"/>
        </w:rPr>
        <w:t>a minimal</w:t>
      </w:r>
      <w:r>
        <w:rPr>
          <w:rFonts w:ascii="Calibri" w:hAnsi="Calibri" w:cs="Helv"/>
          <w:bCs/>
          <w:color w:val="000000"/>
        </w:rPr>
        <w:t xml:space="preserve"> change in </w:t>
      </w:r>
      <w:r w:rsidR="0099201C">
        <w:rPr>
          <w:rFonts w:ascii="Calibri" w:hAnsi="Calibri" w:cs="Helv"/>
          <w:bCs/>
          <w:color w:val="000000"/>
        </w:rPr>
        <w:t xml:space="preserve">the current </w:t>
      </w:r>
      <w:r>
        <w:rPr>
          <w:rFonts w:ascii="Calibri" w:hAnsi="Calibri" w:cs="Helv"/>
          <w:bCs/>
          <w:color w:val="000000"/>
        </w:rPr>
        <w:t>interest be “material”?</w:t>
      </w:r>
    </w:p>
    <w:p w14:paraId="7F40E894" w14:textId="77777777" w:rsidR="009F1CC3" w:rsidRDefault="009F1CC3" w:rsidP="00070A29">
      <w:pPr>
        <w:pStyle w:val="ListParagraph"/>
        <w:spacing w:line="360" w:lineRule="auto"/>
        <w:ind w:left="0" w:firstLine="720"/>
        <w:rPr>
          <w:rFonts w:ascii="Calibri" w:hAnsi="Calibri" w:cs="Helv"/>
          <w:bCs/>
          <w:color w:val="000000"/>
        </w:rPr>
      </w:pPr>
      <w:r>
        <w:rPr>
          <w:rFonts w:ascii="Calibri" w:hAnsi="Calibri" w:cs="Helv"/>
          <w:bCs/>
          <w:color w:val="000000"/>
        </w:rPr>
        <w:t xml:space="preserve">In </w:t>
      </w:r>
      <w:r w:rsidRPr="009F1CC3">
        <w:rPr>
          <w:rFonts w:ascii="Calibri" w:hAnsi="Calibri" w:cs="Helv"/>
          <w:bCs/>
          <w:color w:val="000000"/>
        </w:rPr>
        <w:t>PLR 9352005</w:t>
      </w:r>
      <w:r>
        <w:rPr>
          <w:rFonts w:ascii="Calibri" w:hAnsi="Calibri" w:cs="Helv"/>
          <w:bCs/>
          <w:color w:val="000000"/>
        </w:rPr>
        <w:t>, the beneficiary exercised a lifetime limited</w:t>
      </w:r>
      <w:r w:rsidRPr="009F1CC3">
        <w:rPr>
          <w:rFonts w:ascii="Calibri" w:hAnsi="Calibri" w:cs="Helv"/>
          <w:bCs/>
          <w:color w:val="000000"/>
        </w:rPr>
        <w:t xml:space="preserve"> power of appointment </w:t>
      </w:r>
      <w:r>
        <w:rPr>
          <w:rFonts w:ascii="Calibri" w:hAnsi="Calibri" w:cs="Helv"/>
          <w:bCs/>
          <w:color w:val="000000"/>
        </w:rPr>
        <w:t>to modify</w:t>
      </w:r>
      <w:r w:rsidRPr="009F1CC3">
        <w:rPr>
          <w:rFonts w:ascii="Calibri" w:hAnsi="Calibri" w:cs="Helv"/>
          <w:bCs/>
          <w:color w:val="000000"/>
        </w:rPr>
        <w:t xml:space="preserve"> trust provisions concerning the naming of trustees</w:t>
      </w:r>
      <w:r>
        <w:rPr>
          <w:rFonts w:ascii="Calibri" w:hAnsi="Calibri" w:cs="Helv"/>
          <w:bCs/>
          <w:color w:val="000000"/>
        </w:rPr>
        <w:t xml:space="preserve">, and </w:t>
      </w:r>
      <w:r w:rsidRPr="006D165B">
        <w:rPr>
          <w:rFonts w:ascii="Calibri" w:hAnsi="Calibri" w:cs="Helv"/>
          <w:bCs/>
          <w:i/>
          <w:color w:val="000000"/>
        </w:rPr>
        <w:t>remove his lifetime limited power of appointment</w:t>
      </w:r>
      <w:r>
        <w:rPr>
          <w:rFonts w:ascii="Calibri" w:hAnsi="Calibri" w:cs="Helv"/>
          <w:bCs/>
          <w:color w:val="000000"/>
        </w:rPr>
        <w:t xml:space="preserve"> in the new trust.  The IRS ruled that §1001 did </w:t>
      </w:r>
      <w:r w:rsidRPr="00CD6C75">
        <w:rPr>
          <w:rFonts w:ascii="Calibri" w:hAnsi="Calibri" w:cs="Helv"/>
          <w:b/>
          <w:bCs/>
          <w:i/>
          <w:color w:val="000000"/>
        </w:rPr>
        <w:t>not</w:t>
      </w:r>
      <w:r>
        <w:rPr>
          <w:rFonts w:ascii="Calibri" w:hAnsi="Calibri" w:cs="Helv"/>
          <w:bCs/>
          <w:color w:val="000000"/>
        </w:rPr>
        <w:t xml:space="preserve"> apply</w:t>
      </w:r>
      <w:r w:rsidR="006D165B">
        <w:rPr>
          <w:rFonts w:ascii="Calibri" w:hAnsi="Calibri" w:cs="Helv"/>
          <w:bCs/>
          <w:color w:val="000000"/>
        </w:rPr>
        <w:t>,</w:t>
      </w:r>
      <w:r w:rsidR="00CD6C75">
        <w:rPr>
          <w:rFonts w:ascii="Calibri" w:hAnsi="Calibri" w:cs="Helv"/>
          <w:bCs/>
          <w:color w:val="000000"/>
        </w:rPr>
        <w:t xml:space="preserve"> that the removal of a power of appointment did not affect beneficial ownership,</w:t>
      </w:r>
      <w:r w:rsidR="006D165B">
        <w:rPr>
          <w:rFonts w:ascii="Calibri" w:hAnsi="Calibri" w:cs="Helv"/>
          <w:bCs/>
          <w:color w:val="000000"/>
        </w:rPr>
        <w:t xml:space="preserve"> and </w:t>
      </w:r>
      <w:r w:rsidR="00CD6C75">
        <w:rPr>
          <w:rFonts w:ascii="Calibri" w:hAnsi="Calibri" w:cs="Helv"/>
          <w:bCs/>
          <w:color w:val="000000"/>
        </w:rPr>
        <w:t>moreover, naturally</w:t>
      </w:r>
      <w:r w:rsidR="006D165B">
        <w:rPr>
          <w:rFonts w:ascii="Calibri" w:hAnsi="Calibri" w:cs="Helv"/>
          <w:bCs/>
          <w:color w:val="000000"/>
        </w:rPr>
        <w:t xml:space="preserve"> questioned whether it could </w:t>
      </w:r>
      <w:r w:rsidR="00CD6C75">
        <w:rPr>
          <w:rFonts w:ascii="Calibri" w:hAnsi="Calibri" w:cs="Helv"/>
          <w:bCs/>
          <w:color w:val="000000"/>
        </w:rPr>
        <w:t xml:space="preserve">even </w:t>
      </w:r>
      <w:r w:rsidR="006D165B">
        <w:rPr>
          <w:rFonts w:ascii="Calibri" w:hAnsi="Calibri" w:cs="Helv"/>
          <w:bCs/>
          <w:color w:val="000000"/>
        </w:rPr>
        <w:t>be a transfer in the first place</w:t>
      </w:r>
      <w:r>
        <w:rPr>
          <w:rFonts w:ascii="Calibri" w:hAnsi="Calibri" w:cs="Helv"/>
          <w:bCs/>
          <w:color w:val="000000"/>
        </w:rPr>
        <w:t xml:space="preserve">: </w:t>
      </w:r>
    </w:p>
    <w:p w14:paraId="782770DF" w14:textId="77777777" w:rsidR="009F1CC3" w:rsidRDefault="009F1CC3" w:rsidP="006D165B">
      <w:pPr>
        <w:pStyle w:val="ListParagraph"/>
        <w:rPr>
          <w:rFonts w:ascii="Calibri" w:hAnsi="Calibri" w:cs="Helv"/>
          <w:bCs/>
          <w:color w:val="000000"/>
        </w:rPr>
      </w:pPr>
      <w:r>
        <w:rPr>
          <w:rFonts w:ascii="Calibri" w:hAnsi="Calibri" w:cs="Helv"/>
          <w:bCs/>
          <w:color w:val="000000"/>
        </w:rPr>
        <w:t>“T</w:t>
      </w:r>
      <w:r w:rsidRPr="009F1CC3">
        <w:rPr>
          <w:rFonts w:ascii="Calibri" w:hAnsi="Calibri" w:cs="Helv"/>
          <w:bCs/>
          <w:color w:val="000000"/>
        </w:rPr>
        <w:t xml:space="preserve">axpayer and Son will be entitled to the same benefits under the new trust as they were entitled to under the 1978 trust. Son will not possess a power of appointment over the assets in the new trust. However, the exercise of the limited power with respect to the 1978 trust and the lack of a power of appointment over the new trust in this case </w:t>
      </w:r>
      <w:r w:rsidRPr="009F1CC3">
        <w:rPr>
          <w:rFonts w:ascii="Calibri" w:hAnsi="Calibri" w:cs="Helv"/>
          <w:b/>
          <w:bCs/>
          <w:color w:val="000000"/>
        </w:rPr>
        <w:t>will not materially affect either Taxpayer or Son's beneficial interest in the property that comprises the trust principal</w:t>
      </w:r>
      <w:r w:rsidRPr="009F1CC3">
        <w:rPr>
          <w:rFonts w:ascii="Calibri" w:hAnsi="Calibri" w:cs="Helv"/>
          <w:bCs/>
          <w:color w:val="000000"/>
        </w:rPr>
        <w:t>.</w:t>
      </w:r>
      <w:r>
        <w:rPr>
          <w:rFonts w:ascii="Calibri" w:hAnsi="Calibri" w:cs="Helv"/>
          <w:bCs/>
          <w:color w:val="000000"/>
        </w:rPr>
        <w:t xml:space="preserve">  </w:t>
      </w:r>
      <w:r w:rsidRPr="009F1CC3">
        <w:rPr>
          <w:rFonts w:ascii="Calibri" w:hAnsi="Calibri" w:cs="Helv"/>
          <w:bCs/>
          <w:color w:val="000000"/>
        </w:rPr>
        <w:t xml:space="preserve">Here, the rights of Taxpayer and Son as to principal and income are exactly the same under both trusts. As in </w:t>
      </w:r>
      <w:r w:rsidRPr="00CD6C75">
        <w:rPr>
          <w:rFonts w:ascii="Calibri" w:hAnsi="Calibri" w:cs="Helv"/>
          <w:bCs/>
          <w:i/>
          <w:color w:val="000000"/>
        </w:rPr>
        <w:t>Silverstein</w:t>
      </w:r>
      <w:r w:rsidRPr="009F1CC3">
        <w:rPr>
          <w:rFonts w:ascii="Calibri" w:hAnsi="Calibri" w:cs="Helv"/>
          <w:bCs/>
          <w:color w:val="000000"/>
        </w:rPr>
        <w:t xml:space="preserve">, previously cited, the substance of the transaction is that the beneficial interests of the parties will not change; they will be as secure as they were before, neither will realize a realistically different value under the new trust than they had under the 1978 trust, and neither will give anything meaningful in the transaction. The transfer, </w:t>
      </w:r>
      <w:r w:rsidRPr="006D165B">
        <w:rPr>
          <w:rFonts w:ascii="Calibri" w:hAnsi="Calibri" w:cs="Helv"/>
          <w:b/>
          <w:bCs/>
          <w:i/>
          <w:color w:val="000000"/>
        </w:rPr>
        <w:t xml:space="preserve">if it is a </w:t>
      </w:r>
      <w:r w:rsidRPr="006D165B">
        <w:rPr>
          <w:rFonts w:ascii="Calibri" w:hAnsi="Calibri" w:cs="Helv"/>
          <w:b/>
          <w:bCs/>
          <w:i/>
          <w:color w:val="000000"/>
        </w:rPr>
        <w:lastRenderedPageBreak/>
        <w:t>transfer at all</w:t>
      </w:r>
      <w:r w:rsidRPr="009F1CC3">
        <w:rPr>
          <w:rFonts w:ascii="Calibri" w:hAnsi="Calibri" w:cs="Helv"/>
          <w:bCs/>
          <w:color w:val="000000"/>
        </w:rPr>
        <w:t>, is a transfer of bare legal title to the trust assets not affecting the beneficial ownership of the property.</w:t>
      </w:r>
      <w:r>
        <w:rPr>
          <w:rFonts w:ascii="Calibri" w:hAnsi="Calibri" w:cs="Helv"/>
          <w:bCs/>
          <w:color w:val="000000"/>
        </w:rPr>
        <w:t>”</w:t>
      </w:r>
      <w:r w:rsidR="006D165B">
        <w:rPr>
          <w:rStyle w:val="FootnoteReference"/>
          <w:rFonts w:ascii="Calibri" w:hAnsi="Calibri" w:cs="Helv"/>
          <w:bCs/>
          <w:color w:val="000000"/>
        </w:rPr>
        <w:footnoteReference w:id="363"/>
      </w:r>
    </w:p>
    <w:p w14:paraId="603F03F9" w14:textId="77777777" w:rsidR="006D165B" w:rsidRDefault="006D165B" w:rsidP="00070A29">
      <w:pPr>
        <w:pStyle w:val="ListParagraph"/>
        <w:spacing w:line="360" w:lineRule="auto"/>
        <w:ind w:left="0" w:firstLine="720"/>
        <w:rPr>
          <w:rFonts w:ascii="Calibri" w:hAnsi="Calibri" w:cs="Helv"/>
          <w:bCs/>
          <w:color w:val="000000"/>
        </w:rPr>
      </w:pPr>
    </w:p>
    <w:p w14:paraId="6C88456A" w14:textId="77777777" w:rsidR="0000241C" w:rsidRDefault="0000241C" w:rsidP="00070A29">
      <w:pPr>
        <w:pStyle w:val="ListParagraph"/>
        <w:spacing w:line="360" w:lineRule="auto"/>
        <w:ind w:left="0" w:firstLine="720"/>
        <w:rPr>
          <w:rFonts w:ascii="Calibri" w:hAnsi="Calibri" w:cs="Helv"/>
          <w:bCs/>
          <w:color w:val="000000"/>
        </w:rPr>
      </w:pPr>
      <w:r w:rsidRPr="0000241C">
        <w:rPr>
          <w:rFonts w:ascii="Calibri" w:hAnsi="Calibri" w:cs="Helv"/>
          <w:bCs/>
          <w:color w:val="000000"/>
        </w:rPr>
        <w:t xml:space="preserve">In </w:t>
      </w:r>
      <w:r>
        <w:rPr>
          <w:rFonts w:ascii="Calibri" w:hAnsi="Calibri" w:cs="Helv"/>
          <w:bCs/>
          <w:color w:val="000000"/>
        </w:rPr>
        <w:t xml:space="preserve">PLR </w:t>
      </w:r>
      <w:r w:rsidRPr="0000241C">
        <w:rPr>
          <w:rFonts w:ascii="Calibri" w:hAnsi="Calibri" w:cs="Helv"/>
          <w:bCs/>
          <w:color w:val="000000"/>
        </w:rPr>
        <w:t xml:space="preserve">2013-20004, the IRS </w:t>
      </w:r>
      <w:r>
        <w:rPr>
          <w:rFonts w:ascii="Calibri" w:hAnsi="Calibri" w:cs="Helv"/>
          <w:bCs/>
          <w:color w:val="000000"/>
        </w:rPr>
        <w:t xml:space="preserve">was quite lenient and </w:t>
      </w:r>
      <w:r w:rsidRPr="0000241C">
        <w:rPr>
          <w:rFonts w:ascii="Calibri" w:hAnsi="Calibri" w:cs="Helv"/>
          <w:bCs/>
          <w:color w:val="000000"/>
        </w:rPr>
        <w:t xml:space="preserve">ruled that such a </w:t>
      </w:r>
      <w:r>
        <w:rPr>
          <w:rFonts w:ascii="Calibri" w:hAnsi="Calibri" w:cs="Helv"/>
          <w:bCs/>
          <w:color w:val="000000"/>
        </w:rPr>
        <w:t xml:space="preserve">trust </w:t>
      </w:r>
      <w:r w:rsidRPr="0000241C">
        <w:rPr>
          <w:rFonts w:ascii="Calibri" w:hAnsi="Calibri" w:cs="Helv"/>
          <w:bCs/>
          <w:color w:val="000000"/>
        </w:rPr>
        <w:t xml:space="preserve">modification that removed the </w:t>
      </w:r>
      <w:r>
        <w:rPr>
          <w:rFonts w:ascii="Calibri" w:hAnsi="Calibri" w:cs="Helv"/>
          <w:bCs/>
          <w:color w:val="000000"/>
        </w:rPr>
        <w:t xml:space="preserve">requirement to pay </w:t>
      </w:r>
      <w:r w:rsidRPr="0000241C">
        <w:rPr>
          <w:rFonts w:ascii="Calibri" w:hAnsi="Calibri" w:cs="Helv"/>
          <w:bCs/>
          <w:color w:val="000000"/>
        </w:rPr>
        <w:t xml:space="preserve">“all net income” </w:t>
      </w:r>
      <w:r>
        <w:rPr>
          <w:rFonts w:ascii="Calibri" w:hAnsi="Calibri" w:cs="Helv"/>
          <w:bCs/>
          <w:color w:val="000000"/>
        </w:rPr>
        <w:t>to the beneficiary</w:t>
      </w:r>
      <w:r w:rsidRPr="0000241C">
        <w:rPr>
          <w:rFonts w:ascii="Calibri" w:hAnsi="Calibri" w:cs="Helv"/>
          <w:bCs/>
          <w:color w:val="000000"/>
        </w:rPr>
        <w:t xml:space="preserve"> was </w:t>
      </w:r>
      <w:r w:rsidRPr="0000241C">
        <w:rPr>
          <w:rFonts w:ascii="Calibri" w:hAnsi="Calibri" w:cs="Helv"/>
          <w:bCs/>
          <w:i/>
          <w:color w:val="000000"/>
        </w:rPr>
        <w:t>not a taxable gift</w:t>
      </w:r>
      <w:r w:rsidRPr="0000241C">
        <w:rPr>
          <w:rFonts w:ascii="Calibri" w:hAnsi="Calibri" w:cs="Helv"/>
          <w:bCs/>
          <w:color w:val="000000"/>
        </w:rPr>
        <w:t xml:space="preserve">, </w:t>
      </w:r>
      <w:r w:rsidRPr="0000241C">
        <w:rPr>
          <w:rFonts w:ascii="Calibri" w:hAnsi="Calibri" w:cs="Helv"/>
          <w:b/>
          <w:bCs/>
          <w:i/>
          <w:color w:val="000000"/>
        </w:rPr>
        <w:t>did not trigger gain</w:t>
      </w:r>
      <w:r w:rsidRPr="0000241C">
        <w:rPr>
          <w:rFonts w:ascii="Calibri" w:hAnsi="Calibri" w:cs="Helv"/>
          <w:bCs/>
          <w:color w:val="000000"/>
        </w:rPr>
        <w:t>, nor did it affect the GST zero inclusion ratio.</w:t>
      </w:r>
      <w:r>
        <w:rPr>
          <w:rStyle w:val="FootnoteReference"/>
          <w:rFonts w:ascii="Calibri" w:hAnsi="Calibri" w:cs="Helv"/>
          <w:bCs/>
          <w:color w:val="000000"/>
        </w:rPr>
        <w:footnoteReference w:id="364"/>
      </w:r>
      <w:r w:rsidRPr="0000241C">
        <w:rPr>
          <w:rFonts w:ascii="Calibri" w:hAnsi="Calibri" w:cs="Helv"/>
          <w:bCs/>
          <w:color w:val="000000"/>
        </w:rPr>
        <w:t xml:space="preserve">   I believe the giving up of net income was not considered a taxable gift in the PLR because any accumulated income, pursuant to the trust amendment, was payable to and would be included in the beneficiary’s estate.  </w:t>
      </w:r>
    </w:p>
    <w:p w14:paraId="09D9AD9C" w14:textId="77777777" w:rsidR="00A867A7" w:rsidRDefault="00A867A7" w:rsidP="00070A29">
      <w:pPr>
        <w:pStyle w:val="ListParagraph"/>
        <w:spacing w:line="360" w:lineRule="auto"/>
        <w:ind w:left="0" w:firstLine="720"/>
        <w:rPr>
          <w:rFonts w:ascii="Calibri" w:hAnsi="Calibri" w:cs="Helv"/>
          <w:bCs/>
          <w:color w:val="000000"/>
        </w:rPr>
      </w:pPr>
      <w:r>
        <w:rPr>
          <w:rFonts w:ascii="Calibri" w:hAnsi="Calibri" w:cs="Helv"/>
          <w:bCs/>
          <w:color w:val="000000"/>
        </w:rPr>
        <w:t xml:space="preserve">Similarly, more recently in PLR 2016-47001, an independent trustee of an irrevocable grantor trust went to court and reformed the trust to add a power to reimburse the grantor for income taxes paid as a result of the trust’s income.  This was a drastic change – </w:t>
      </w:r>
      <w:r w:rsidRPr="008035B4">
        <w:rPr>
          <w:rFonts w:ascii="Calibri" w:hAnsi="Calibri" w:cs="Helv"/>
          <w:bCs/>
          <w:i/>
          <w:color w:val="000000"/>
        </w:rPr>
        <w:t>it basically allowed the grantor to be added as a beneficiary of the trust</w:t>
      </w:r>
      <w:r>
        <w:rPr>
          <w:rFonts w:ascii="Calibri" w:hAnsi="Calibri" w:cs="Helv"/>
          <w:bCs/>
          <w:color w:val="000000"/>
        </w:rPr>
        <w:t xml:space="preserve">!  Yet, the IRS ruled that </w:t>
      </w:r>
      <w:r w:rsidR="008035B4">
        <w:rPr>
          <w:rFonts w:ascii="Calibri" w:hAnsi="Calibri" w:cs="Helv"/>
          <w:bCs/>
          <w:color w:val="000000"/>
        </w:rPr>
        <w:t xml:space="preserve">even this </w:t>
      </w:r>
      <w:r>
        <w:rPr>
          <w:rFonts w:ascii="Calibri" w:hAnsi="Calibri" w:cs="Helv"/>
          <w:bCs/>
          <w:color w:val="000000"/>
        </w:rPr>
        <w:t>was not a gift by the beneficiaries, nor caused any taxable sale or exchange</w:t>
      </w:r>
      <w:r w:rsidR="008035B4">
        <w:rPr>
          <w:rFonts w:ascii="Calibri" w:hAnsi="Calibri" w:cs="Helv"/>
          <w:bCs/>
          <w:color w:val="000000"/>
        </w:rPr>
        <w:t xml:space="preserve">, because the grantor remained responsible for the tax and the current beneficial interests did not change by the reformation (even though the remainder beneficiaries could suffer </w:t>
      </w:r>
      <w:r w:rsidR="005A615E">
        <w:rPr>
          <w:rFonts w:ascii="Calibri" w:hAnsi="Calibri" w:cs="Helv"/>
          <w:bCs/>
          <w:color w:val="000000"/>
        </w:rPr>
        <w:t>significant</w:t>
      </w:r>
      <w:r w:rsidR="008035B4">
        <w:rPr>
          <w:rFonts w:ascii="Calibri" w:hAnsi="Calibri" w:cs="Helv"/>
          <w:bCs/>
          <w:color w:val="000000"/>
        </w:rPr>
        <w:t xml:space="preserve"> dilution of their interests through future discretionary </w:t>
      </w:r>
      <w:r w:rsidR="005A615E">
        <w:rPr>
          <w:rFonts w:ascii="Calibri" w:hAnsi="Calibri" w:cs="Helv"/>
          <w:bCs/>
          <w:color w:val="000000"/>
        </w:rPr>
        <w:t>reimbursements</w:t>
      </w:r>
      <w:r w:rsidR="008035B4">
        <w:rPr>
          <w:rFonts w:ascii="Calibri" w:hAnsi="Calibri" w:cs="Helv"/>
          <w:bCs/>
          <w:color w:val="000000"/>
        </w:rPr>
        <w:t xml:space="preserve"> to the grantor)</w:t>
      </w:r>
      <w:r>
        <w:rPr>
          <w:rFonts w:ascii="Calibri" w:hAnsi="Calibri" w:cs="Helv"/>
          <w:bCs/>
          <w:color w:val="000000"/>
        </w:rPr>
        <w:t>.</w:t>
      </w:r>
      <w:r>
        <w:rPr>
          <w:rStyle w:val="FootnoteReference"/>
          <w:rFonts w:ascii="Calibri" w:hAnsi="Calibri" w:cs="Helv"/>
          <w:bCs/>
          <w:color w:val="000000"/>
        </w:rPr>
        <w:footnoteReference w:id="365"/>
      </w:r>
    </w:p>
    <w:p w14:paraId="582BE0EE" w14:textId="77777777" w:rsidR="009F6759" w:rsidRDefault="00C21A6D" w:rsidP="00070A29">
      <w:pPr>
        <w:pStyle w:val="ListParagraph"/>
        <w:spacing w:line="360" w:lineRule="auto"/>
        <w:ind w:left="0" w:firstLine="720"/>
        <w:rPr>
          <w:rFonts w:ascii="Calibri" w:hAnsi="Calibri" w:cs="Helv"/>
          <w:bCs/>
          <w:color w:val="000000"/>
        </w:rPr>
      </w:pPr>
      <w:r>
        <w:rPr>
          <w:rFonts w:ascii="Calibri" w:hAnsi="Calibri" w:cs="Helv"/>
          <w:bCs/>
          <w:color w:val="000000"/>
        </w:rPr>
        <w:t>There are</w:t>
      </w:r>
      <w:r w:rsidR="00FB222B">
        <w:rPr>
          <w:rFonts w:ascii="Calibri" w:hAnsi="Calibri" w:cs="Helv"/>
          <w:bCs/>
          <w:color w:val="000000"/>
        </w:rPr>
        <w:t xml:space="preserve"> no clear answers, but the weight of the PLRs </w:t>
      </w:r>
      <w:r w:rsidR="0095546A">
        <w:rPr>
          <w:rFonts w:ascii="Calibri" w:hAnsi="Calibri" w:cs="Helv"/>
          <w:bCs/>
          <w:color w:val="000000"/>
        </w:rPr>
        <w:t>and</w:t>
      </w:r>
      <w:r w:rsidR="0099201C">
        <w:rPr>
          <w:rFonts w:ascii="Calibri" w:hAnsi="Calibri" w:cs="Helv"/>
          <w:bCs/>
          <w:color w:val="000000"/>
        </w:rPr>
        <w:t xml:space="preserve"> </w:t>
      </w:r>
      <w:r w:rsidR="003A007C">
        <w:rPr>
          <w:rFonts w:ascii="Calibri" w:hAnsi="Calibri" w:cs="Helv"/>
          <w:bCs/>
          <w:color w:val="000000"/>
        </w:rPr>
        <w:t>more importantly</w:t>
      </w:r>
      <w:r w:rsidR="00FB222B">
        <w:rPr>
          <w:rFonts w:ascii="Calibri" w:hAnsi="Calibri" w:cs="Helv"/>
          <w:bCs/>
          <w:color w:val="000000"/>
        </w:rPr>
        <w:t xml:space="preserve"> the code, regulation</w:t>
      </w:r>
      <w:r w:rsidR="003A007C">
        <w:rPr>
          <w:rFonts w:ascii="Calibri" w:hAnsi="Calibri" w:cs="Helv"/>
          <w:bCs/>
          <w:color w:val="000000"/>
        </w:rPr>
        <w:t>s</w:t>
      </w:r>
      <w:r w:rsidR="0095546A">
        <w:rPr>
          <w:rFonts w:ascii="Calibri" w:hAnsi="Calibri" w:cs="Helv"/>
          <w:bCs/>
          <w:color w:val="000000"/>
        </w:rPr>
        <w:t xml:space="preserve"> and</w:t>
      </w:r>
      <w:r w:rsidR="00FB222B">
        <w:rPr>
          <w:rFonts w:ascii="Calibri" w:hAnsi="Calibri" w:cs="Helv"/>
          <w:bCs/>
          <w:color w:val="000000"/>
        </w:rPr>
        <w:t xml:space="preserve"> </w:t>
      </w:r>
      <w:r w:rsidR="00FB222B" w:rsidRPr="00FB222B">
        <w:rPr>
          <w:rFonts w:ascii="Calibri" w:hAnsi="Calibri" w:cs="Helv"/>
          <w:bCs/>
          <w:i/>
          <w:color w:val="000000"/>
        </w:rPr>
        <w:t>Cottage Savings</w:t>
      </w:r>
      <w:r w:rsidR="00FB222B">
        <w:rPr>
          <w:rFonts w:ascii="Calibri" w:hAnsi="Calibri" w:cs="Helv"/>
          <w:bCs/>
          <w:color w:val="000000"/>
        </w:rPr>
        <w:t xml:space="preserve"> </w:t>
      </w:r>
      <w:r w:rsidR="003A007C">
        <w:rPr>
          <w:rFonts w:ascii="Calibri" w:hAnsi="Calibri" w:cs="Helv"/>
          <w:bCs/>
          <w:color w:val="000000"/>
        </w:rPr>
        <w:t xml:space="preserve">and </w:t>
      </w:r>
      <w:r w:rsidR="003A007C" w:rsidRPr="003A007C">
        <w:rPr>
          <w:rFonts w:ascii="Calibri" w:hAnsi="Calibri" w:cs="Helv"/>
          <w:bCs/>
          <w:i/>
          <w:color w:val="000000"/>
        </w:rPr>
        <w:t>Silverstein</w:t>
      </w:r>
      <w:r w:rsidR="003A007C">
        <w:rPr>
          <w:rFonts w:ascii="Calibri" w:hAnsi="Calibri" w:cs="Helv"/>
          <w:bCs/>
          <w:color w:val="000000"/>
        </w:rPr>
        <w:t xml:space="preserve"> </w:t>
      </w:r>
      <w:r w:rsidR="00FB222B">
        <w:rPr>
          <w:rFonts w:ascii="Calibri" w:hAnsi="Calibri" w:cs="Helv"/>
          <w:bCs/>
          <w:color w:val="000000"/>
        </w:rPr>
        <w:t>case</w:t>
      </w:r>
      <w:r w:rsidR="003A007C">
        <w:rPr>
          <w:rFonts w:ascii="Calibri" w:hAnsi="Calibri" w:cs="Helv"/>
          <w:bCs/>
          <w:color w:val="000000"/>
        </w:rPr>
        <w:t>s</w:t>
      </w:r>
      <w:r w:rsidR="00B03C96">
        <w:rPr>
          <w:rFonts w:ascii="Calibri" w:hAnsi="Calibri" w:cs="Helv"/>
          <w:bCs/>
          <w:color w:val="000000"/>
        </w:rPr>
        <w:t>,</w:t>
      </w:r>
      <w:r w:rsidR="00FB222B">
        <w:rPr>
          <w:rFonts w:ascii="Calibri" w:hAnsi="Calibri" w:cs="Helv"/>
          <w:bCs/>
          <w:color w:val="000000"/>
        </w:rPr>
        <w:t xml:space="preserve"> do not </w:t>
      </w:r>
      <w:r w:rsidR="006D165B">
        <w:rPr>
          <w:rFonts w:ascii="Calibri" w:hAnsi="Calibri" w:cs="Helv"/>
          <w:bCs/>
          <w:color w:val="000000"/>
        </w:rPr>
        <w:t xml:space="preserve">implicate relatively minor amendments that do </w:t>
      </w:r>
      <w:r w:rsidR="005A615E">
        <w:rPr>
          <w:rFonts w:ascii="Calibri" w:hAnsi="Calibri" w:cs="Helv"/>
          <w:bCs/>
          <w:color w:val="000000"/>
        </w:rPr>
        <w:t xml:space="preserve">not </w:t>
      </w:r>
      <w:r w:rsidR="006D165B">
        <w:rPr>
          <w:rFonts w:ascii="Calibri" w:hAnsi="Calibri" w:cs="Helv"/>
          <w:bCs/>
          <w:color w:val="000000"/>
        </w:rPr>
        <w:t>substantially affect what a beneficiary is currently receiving</w:t>
      </w:r>
      <w:r w:rsidR="00FB222B">
        <w:rPr>
          <w:rFonts w:ascii="Calibri" w:hAnsi="Calibri" w:cs="Helv"/>
          <w:bCs/>
          <w:color w:val="000000"/>
        </w:rPr>
        <w:t xml:space="preserve">. </w:t>
      </w:r>
      <w:r w:rsidR="0099201C">
        <w:rPr>
          <w:rFonts w:ascii="Calibri" w:hAnsi="Calibri" w:cs="Helv"/>
          <w:bCs/>
          <w:color w:val="000000"/>
        </w:rPr>
        <w:t xml:space="preserve">To analogize, there is no hint in the </w:t>
      </w:r>
      <w:r w:rsidR="0099201C" w:rsidRPr="0099201C">
        <w:rPr>
          <w:rFonts w:ascii="Calibri" w:hAnsi="Calibri" w:cs="Helv"/>
          <w:bCs/>
          <w:i/>
          <w:color w:val="000000"/>
        </w:rPr>
        <w:t>Cottage Savings</w:t>
      </w:r>
      <w:r w:rsidR="0099201C">
        <w:rPr>
          <w:rFonts w:ascii="Calibri" w:hAnsi="Calibri" w:cs="Helv"/>
          <w:bCs/>
          <w:color w:val="000000"/>
        </w:rPr>
        <w:t xml:space="preserve"> case that a mere minor modification of one of the taxpayer’s loans would have triggered tax – the case concerned swapping a book of loans w</w:t>
      </w:r>
      <w:r w:rsidR="00CF6033">
        <w:rPr>
          <w:rFonts w:ascii="Calibri" w:hAnsi="Calibri" w:cs="Helv"/>
          <w:bCs/>
          <w:color w:val="000000"/>
        </w:rPr>
        <w:t xml:space="preserve">ith completely different obligors and </w:t>
      </w:r>
      <w:r>
        <w:rPr>
          <w:rFonts w:ascii="Calibri" w:hAnsi="Calibri" w:cs="Helv"/>
          <w:bCs/>
          <w:color w:val="000000"/>
        </w:rPr>
        <w:t>properties</w:t>
      </w:r>
      <w:r w:rsidR="00CF6033">
        <w:rPr>
          <w:rFonts w:ascii="Calibri" w:hAnsi="Calibri" w:cs="Helv"/>
          <w:bCs/>
          <w:color w:val="000000"/>
        </w:rPr>
        <w:t xml:space="preserve"> as security interests</w:t>
      </w:r>
      <w:r w:rsidR="0099201C">
        <w:rPr>
          <w:rFonts w:ascii="Calibri" w:hAnsi="Calibri" w:cs="Helv"/>
          <w:bCs/>
          <w:color w:val="000000"/>
        </w:rPr>
        <w:t xml:space="preserve">!  </w:t>
      </w:r>
    </w:p>
    <w:p w14:paraId="2660E87F" w14:textId="77777777" w:rsidR="00412369" w:rsidRDefault="00FB222B" w:rsidP="00070A29">
      <w:pPr>
        <w:pStyle w:val="ListParagraph"/>
        <w:spacing w:line="360" w:lineRule="auto"/>
        <w:ind w:left="0" w:firstLine="720"/>
        <w:rPr>
          <w:rFonts w:ascii="Calibri" w:hAnsi="Calibri" w:cs="Helv"/>
          <w:bCs/>
          <w:color w:val="000000"/>
        </w:rPr>
      </w:pPr>
      <w:r>
        <w:rPr>
          <w:rFonts w:ascii="Calibri" w:hAnsi="Calibri" w:cs="Helv"/>
          <w:bCs/>
          <w:color w:val="000000"/>
        </w:rPr>
        <w:t>Most common amendments</w:t>
      </w:r>
      <w:r w:rsidR="0099201C">
        <w:rPr>
          <w:rFonts w:ascii="Calibri" w:hAnsi="Calibri" w:cs="Helv"/>
          <w:bCs/>
          <w:color w:val="000000"/>
        </w:rPr>
        <w:t xml:space="preserve"> contemplated by this paper</w:t>
      </w:r>
      <w:r>
        <w:rPr>
          <w:rFonts w:ascii="Calibri" w:hAnsi="Calibri" w:cs="Helv"/>
          <w:bCs/>
          <w:color w:val="000000"/>
        </w:rPr>
        <w:t xml:space="preserve"> should not be “sales or exchanges”</w:t>
      </w:r>
      <w:r w:rsidR="009F6759">
        <w:rPr>
          <w:rFonts w:ascii="Calibri" w:hAnsi="Calibri" w:cs="Helv"/>
          <w:bCs/>
          <w:color w:val="000000"/>
        </w:rPr>
        <w:t xml:space="preserve"> -</w:t>
      </w:r>
      <w:r w:rsidR="0099201C">
        <w:rPr>
          <w:rFonts w:ascii="Calibri" w:hAnsi="Calibri" w:cs="Helv"/>
          <w:bCs/>
          <w:color w:val="000000"/>
        </w:rPr>
        <w:t xml:space="preserve"> they are</w:t>
      </w:r>
      <w:r w:rsidR="009F6759">
        <w:rPr>
          <w:rFonts w:ascii="Calibri" w:hAnsi="Calibri" w:cs="Helv"/>
          <w:bCs/>
          <w:color w:val="000000"/>
        </w:rPr>
        <w:t xml:space="preserve"> not negotiated between parties</w:t>
      </w:r>
      <w:r w:rsidR="0099201C">
        <w:rPr>
          <w:rFonts w:ascii="Calibri" w:hAnsi="Calibri" w:cs="Helv"/>
          <w:bCs/>
          <w:color w:val="000000"/>
        </w:rPr>
        <w:t xml:space="preserve"> </w:t>
      </w:r>
      <w:r w:rsidR="009F6759">
        <w:rPr>
          <w:rFonts w:ascii="Calibri" w:hAnsi="Calibri" w:cs="Helv"/>
          <w:bCs/>
          <w:color w:val="000000"/>
        </w:rPr>
        <w:t xml:space="preserve">nor </w:t>
      </w:r>
      <w:r w:rsidR="0099201C">
        <w:rPr>
          <w:rFonts w:ascii="Calibri" w:hAnsi="Calibri" w:cs="Helv"/>
          <w:bCs/>
          <w:color w:val="000000"/>
        </w:rPr>
        <w:t xml:space="preserve">do </w:t>
      </w:r>
      <w:r w:rsidR="009F6759">
        <w:rPr>
          <w:rFonts w:ascii="Calibri" w:hAnsi="Calibri" w:cs="Helv"/>
          <w:bCs/>
          <w:color w:val="000000"/>
        </w:rPr>
        <w:t>they</w:t>
      </w:r>
      <w:r w:rsidR="0099201C">
        <w:rPr>
          <w:rFonts w:ascii="Calibri" w:hAnsi="Calibri" w:cs="Helv"/>
          <w:bCs/>
          <w:color w:val="000000"/>
        </w:rPr>
        <w:t xml:space="preserve"> involve “consideration” in the contractual sense as </w:t>
      </w:r>
      <w:r w:rsidR="009F6759">
        <w:rPr>
          <w:rFonts w:ascii="Calibri" w:hAnsi="Calibri" w:cs="Helv"/>
          <w:bCs/>
          <w:color w:val="000000"/>
        </w:rPr>
        <w:t>in</w:t>
      </w:r>
      <w:r w:rsidR="0099201C">
        <w:rPr>
          <w:rFonts w:ascii="Calibri" w:hAnsi="Calibri" w:cs="Helv"/>
          <w:bCs/>
          <w:color w:val="000000"/>
        </w:rPr>
        <w:t xml:space="preserve"> </w:t>
      </w:r>
      <w:r w:rsidR="0099201C" w:rsidRPr="0099201C">
        <w:rPr>
          <w:rFonts w:ascii="Calibri" w:hAnsi="Calibri" w:cs="Helv"/>
          <w:bCs/>
          <w:i/>
          <w:color w:val="000000"/>
        </w:rPr>
        <w:t>Cottage Savings</w:t>
      </w:r>
      <w:r w:rsidR="0099201C">
        <w:rPr>
          <w:rFonts w:ascii="Calibri" w:hAnsi="Calibri" w:cs="Helv"/>
          <w:bCs/>
          <w:color w:val="000000"/>
        </w:rPr>
        <w:t xml:space="preserve"> </w:t>
      </w:r>
      <w:r w:rsidR="00B03C96">
        <w:rPr>
          <w:rFonts w:ascii="Calibri" w:hAnsi="Calibri" w:cs="Helv"/>
          <w:bCs/>
          <w:color w:val="000000"/>
        </w:rPr>
        <w:t xml:space="preserve">and </w:t>
      </w:r>
      <w:r w:rsidR="00B03C96" w:rsidRPr="00B03C96">
        <w:rPr>
          <w:rFonts w:ascii="Calibri" w:hAnsi="Calibri" w:cs="Helv"/>
          <w:bCs/>
          <w:color w:val="000000"/>
        </w:rPr>
        <w:t>PLR 2002-31011</w:t>
      </w:r>
      <w:r w:rsidR="00B03C96">
        <w:rPr>
          <w:rFonts w:ascii="Calibri" w:hAnsi="Calibri" w:cs="Helv"/>
          <w:bCs/>
          <w:color w:val="000000"/>
        </w:rPr>
        <w:t>.  E</w:t>
      </w:r>
      <w:r w:rsidR="007570A9">
        <w:rPr>
          <w:rFonts w:ascii="Calibri" w:hAnsi="Calibri" w:cs="Helv"/>
          <w:bCs/>
          <w:color w:val="000000"/>
        </w:rPr>
        <w:t xml:space="preserve">ven if </w:t>
      </w:r>
      <w:r w:rsidR="00C21A6D">
        <w:rPr>
          <w:rFonts w:ascii="Calibri" w:hAnsi="Calibri" w:cs="Helv"/>
          <w:bCs/>
          <w:color w:val="000000"/>
        </w:rPr>
        <w:t>it were</w:t>
      </w:r>
      <w:r w:rsidR="009F6759">
        <w:rPr>
          <w:rFonts w:ascii="Calibri" w:hAnsi="Calibri" w:cs="Helv"/>
          <w:bCs/>
          <w:color w:val="000000"/>
        </w:rPr>
        <w:t xml:space="preserve"> a disposition</w:t>
      </w:r>
      <w:r w:rsidR="0099201C">
        <w:rPr>
          <w:rFonts w:ascii="Calibri" w:hAnsi="Calibri" w:cs="Helv"/>
          <w:bCs/>
          <w:color w:val="000000"/>
        </w:rPr>
        <w:t xml:space="preserve">, </w:t>
      </w:r>
      <w:r w:rsidR="00C21A6D">
        <w:rPr>
          <w:rFonts w:ascii="Calibri" w:hAnsi="Calibri" w:cs="Helv"/>
          <w:bCs/>
          <w:color w:val="000000"/>
        </w:rPr>
        <w:lastRenderedPageBreak/>
        <w:t>it is certainly arguable</w:t>
      </w:r>
      <w:r w:rsidR="00CD6C75">
        <w:rPr>
          <w:rFonts w:ascii="Calibri" w:hAnsi="Calibri" w:cs="Helv"/>
          <w:bCs/>
          <w:color w:val="000000"/>
        </w:rPr>
        <w:t xml:space="preserve">, as the IRS found in PLR </w:t>
      </w:r>
      <w:r w:rsidR="00CD6C75" w:rsidRPr="009F1CC3">
        <w:rPr>
          <w:rFonts w:ascii="Calibri" w:hAnsi="Calibri" w:cs="Helv"/>
          <w:bCs/>
          <w:color w:val="000000"/>
        </w:rPr>
        <w:t>9352005</w:t>
      </w:r>
      <w:r w:rsidR="00CD6C75">
        <w:rPr>
          <w:rFonts w:ascii="Calibri" w:hAnsi="Calibri" w:cs="Helv"/>
          <w:bCs/>
          <w:color w:val="000000"/>
        </w:rPr>
        <w:t xml:space="preserve">, </w:t>
      </w:r>
      <w:r w:rsidR="00C21A6D">
        <w:rPr>
          <w:rFonts w:ascii="Calibri" w:hAnsi="Calibri" w:cs="Helv"/>
          <w:bCs/>
          <w:color w:val="000000"/>
        </w:rPr>
        <w:t xml:space="preserve">that </w:t>
      </w:r>
      <w:r w:rsidR="00B03C96">
        <w:rPr>
          <w:rFonts w:ascii="Calibri" w:hAnsi="Calibri" w:cs="Helv"/>
          <w:bCs/>
          <w:color w:val="000000"/>
        </w:rPr>
        <w:t xml:space="preserve">changes </w:t>
      </w:r>
      <w:r w:rsidR="0099201C">
        <w:rPr>
          <w:rFonts w:ascii="Calibri" w:hAnsi="Calibri" w:cs="Helv"/>
          <w:bCs/>
          <w:color w:val="000000"/>
        </w:rPr>
        <w:t xml:space="preserve">should not be </w:t>
      </w:r>
      <w:r w:rsidR="0099201C" w:rsidRPr="009F6759">
        <w:rPr>
          <w:rFonts w:ascii="Calibri" w:hAnsi="Calibri" w:cs="Helv"/>
          <w:bCs/>
          <w:i/>
          <w:color w:val="000000"/>
        </w:rPr>
        <w:t>material</w:t>
      </w:r>
      <w:r w:rsidR="00B03C96">
        <w:rPr>
          <w:rFonts w:ascii="Calibri" w:hAnsi="Calibri" w:cs="Helv"/>
          <w:bCs/>
          <w:color w:val="000000"/>
        </w:rPr>
        <w:t xml:space="preserve"> – especially if it’s only adding a limited rather than general power of appointment</w:t>
      </w:r>
      <w:r w:rsidR="00C21A6D">
        <w:rPr>
          <w:rFonts w:ascii="Calibri" w:hAnsi="Calibri" w:cs="Helv"/>
          <w:bCs/>
          <w:color w:val="000000"/>
        </w:rPr>
        <w:t>, or simply adding language to allow capital gains to be part of DNI</w:t>
      </w:r>
      <w:r w:rsidR="0099201C">
        <w:rPr>
          <w:rFonts w:ascii="Calibri" w:hAnsi="Calibri" w:cs="Helv"/>
          <w:bCs/>
          <w:color w:val="000000"/>
        </w:rPr>
        <w:t>.  That said,</w:t>
      </w:r>
      <w:r w:rsidR="007570A9">
        <w:rPr>
          <w:rFonts w:ascii="Calibri" w:hAnsi="Calibri" w:cs="Helv"/>
          <w:bCs/>
          <w:color w:val="000000"/>
        </w:rPr>
        <w:t xml:space="preserve"> </w:t>
      </w:r>
      <w:r w:rsidR="003A007C">
        <w:rPr>
          <w:rFonts w:ascii="Calibri" w:hAnsi="Calibri" w:cs="Helv"/>
          <w:bCs/>
          <w:color w:val="000000"/>
        </w:rPr>
        <w:t xml:space="preserve">practitioners should </w:t>
      </w:r>
      <w:r w:rsidR="00B03C96">
        <w:rPr>
          <w:rFonts w:ascii="Calibri" w:hAnsi="Calibri" w:cs="Helv"/>
          <w:bCs/>
          <w:color w:val="000000"/>
        </w:rPr>
        <w:t>take care</w:t>
      </w:r>
      <w:r w:rsidR="007570A9">
        <w:rPr>
          <w:rFonts w:ascii="Calibri" w:hAnsi="Calibri" w:cs="Helv"/>
          <w:bCs/>
          <w:color w:val="000000"/>
        </w:rPr>
        <w:t xml:space="preserve"> to avoid </w:t>
      </w:r>
      <w:r w:rsidR="00B03C96">
        <w:rPr>
          <w:rFonts w:ascii="Calibri" w:hAnsi="Calibri" w:cs="Helv"/>
          <w:bCs/>
          <w:color w:val="000000"/>
        </w:rPr>
        <w:t xml:space="preserve">a </w:t>
      </w:r>
      <w:r w:rsidR="007570A9">
        <w:rPr>
          <w:rFonts w:ascii="Calibri" w:hAnsi="Calibri" w:cs="Helv"/>
          <w:bCs/>
          <w:color w:val="000000"/>
        </w:rPr>
        <w:t xml:space="preserve">negotiated </w:t>
      </w:r>
      <w:r w:rsidR="007570A9" w:rsidRPr="003E2E9C">
        <w:rPr>
          <w:rFonts w:ascii="Calibri" w:hAnsi="Calibri" w:cs="Helv"/>
          <w:bCs/>
          <w:i/>
          <w:color w:val="000000"/>
        </w:rPr>
        <w:t>quid pro quo</w:t>
      </w:r>
      <w:r w:rsidR="007570A9">
        <w:rPr>
          <w:rFonts w:ascii="Calibri" w:hAnsi="Calibri" w:cs="Helv"/>
          <w:bCs/>
          <w:color w:val="000000"/>
        </w:rPr>
        <w:t xml:space="preserve"> between </w:t>
      </w:r>
      <w:r w:rsidR="0099201C">
        <w:rPr>
          <w:rFonts w:ascii="Calibri" w:hAnsi="Calibri" w:cs="Helv"/>
          <w:bCs/>
          <w:color w:val="000000"/>
        </w:rPr>
        <w:t xml:space="preserve">beneficiaries </w:t>
      </w:r>
      <w:r w:rsidR="005A615E">
        <w:rPr>
          <w:rFonts w:ascii="Calibri" w:hAnsi="Calibri" w:cs="Helv"/>
          <w:bCs/>
          <w:color w:val="000000"/>
        </w:rPr>
        <w:t>or</w:t>
      </w:r>
      <w:r w:rsidR="007570A9">
        <w:rPr>
          <w:rFonts w:ascii="Calibri" w:hAnsi="Calibri" w:cs="Helv"/>
          <w:bCs/>
          <w:color w:val="000000"/>
        </w:rPr>
        <w:t xml:space="preserve"> a </w:t>
      </w:r>
      <w:r w:rsidR="0099201C">
        <w:rPr>
          <w:rFonts w:ascii="Calibri" w:hAnsi="Calibri" w:cs="Helv"/>
          <w:bCs/>
          <w:color w:val="000000"/>
        </w:rPr>
        <w:t>complete</w:t>
      </w:r>
      <w:r w:rsidR="007570A9">
        <w:rPr>
          <w:rFonts w:ascii="Calibri" w:hAnsi="Calibri" w:cs="Helv"/>
          <w:bCs/>
          <w:color w:val="000000"/>
        </w:rPr>
        <w:t xml:space="preserve"> overhaul </w:t>
      </w:r>
      <w:r w:rsidR="00CD6C75">
        <w:rPr>
          <w:rFonts w:ascii="Calibri" w:hAnsi="Calibri" w:cs="Helv"/>
          <w:bCs/>
          <w:color w:val="000000"/>
        </w:rPr>
        <w:t>(</w:t>
      </w:r>
      <w:r w:rsidR="00781AD1">
        <w:rPr>
          <w:rFonts w:ascii="Calibri" w:hAnsi="Calibri" w:cs="Helv"/>
          <w:bCs/>
          <w:color w:val="000000"/>
        </w:rPr>
        <w:t>or worse, a</w:t>
      </w:r>
      <w:r w:rsidR="0099201C">
        <w:rPr>
          <w:rFonts w:ascii="Calibri" w:hAnsi="Calibri" w:cs="Helv"/>
          <w:bCs/>
          <w:color w:val="000000"/>
        </w:rPr>
        <w:t xml:space="preserve"> partial termination</w:t>
      </w:r>
      <w:r w:rsidR="00CD6C75">
        <w:rPr>
          <w:rFonts w:ascii="Calibri" w:hAnsi="Calibri" w:cs="Helv"/>
          <w:bCs/>
          <w:color w:val="000000"/>
        </w:rPr>
        <w:t>)</w:t>
      </w:r>
      <w:r w:rsidR="0099201C">
        <w:rPr>
          <w:rFonts w:ascii="Calibri" w:hAnsi="Calibri" w:cs="Helv"/>
          <w:bCs/>
          <w:color w:val="000000"/>
        </w:rPr>
        <w:t xml:space="preserve"> </w:t>
      </w:r>
      <w:r w:rsidR="007570A9">
        <w:rPr>
          <w:rFonts w:ascii="Calibri" w:hAnsi="Calibri" w:cs="Helv"/>
          <w:bCs/>
          <w:color w:val="000000"/>
        </w:rPr>
        <w:t xml:space="preserve">of a trust as in PLR </w:t>
      </w:r>
      <w:r w:rsidR="007570A9" w:rsidRPr="007570A9">
        <w:rPr>
          <w:rFonts w:ascii="Calibri" w:hAnsi="Calibri" w:cs="Helv"/>
          <w:bCs/>
          <w:color w:val="000000"/>
        </w:rPr>
        <w:t>2002-31011</w:t>
      </w:r>
      <w:r w:rsidR="007570A9">
        <w:rPr>
          <w:rFonts w:ascii="Calibri" w:hAnsi="Calibri" w:cs="Helv"/>
          <w:bCs/>
          <w:color w:val="000000"/>
        </w:rPr>
        <w:t xml:space="preserve">.  </w:t>
      </w:r>
    </w:p>
    <w:p w14:paraId="6EC42866" w14:textId="77777777" w:rsidR="005A615E" w:rsidRDefault="008035B4" w:rsidP="003E2E9C">
      <w:pPr>
        <w:pStyle w:val="ListParagraph"/>
        <w:spacing w:line="360" w:lineRule="auto"/>
        <w:ind w:left="0" w:firstLine="720"/>
        <w:rPr>
          <w:rFonts w:ascii="Calibri" w:hAnsi="Calibri" w:cs="Helv"/>
          <w:b/>
          <w:bCs/>
          <w:color w:val="000000"/>
        </w:rPr>
      </w:pPr>
      <w:r>
        <w:rPr>
          <w:rFonts w:ascii="Calibri" w:hAnsi="Calibri" w:cs="Helv"/>
          <w:bCs/>
          <w:color w:val="000000"/>
        </w:rPr>
        <w:t xml:space="preserve">An example of </w:t>
      </w:r>
      <w:r w:rsidR="0095546A">
        <w:rPr>
          <w:rFonts w:ascii="Calibri" w:hAnsi="Calibri" w:cs="Helv"/>
          <w:bCs/>
          <w:color w:val="000000"/>
        </w:rPr>
        <w:t xml:space="preserve">a </w:t>
      </w:r>
      <w:r w:rsidR="00412369">
        <w:rPr>
          <w:rFonts w:ascii="Calibri" w:hAnsi="Calibri" w:cs="Helv"/>
          <w:bCs/>
          <w:color w:val="000000"/>
        </w:rPr>
        <w:t>potentially</w:t>
      </w:r>
      <w:r w:rsidR="0095546A">
        <w:rPr>
          <w:rFonts w:ascii="Calibri" w:hAnsi="Calibri" w:cs="Helv"/>
          <w:bCs/>
          <w:color w:val="000000"/>
        </w:rPr>
        <w:t xml:space="preserve"> dangerous reformation</w:t>
      </w:r>
      <w:r>
        <w:rPr>
          <w:rFonts w:ascii="Calibri" w:hAnsi="Calibri" w:cs="Helv"/>
          <w:bCs/>
          <w:color w:val="000000"/>
        </w:rPr>
        <w:t xml:space="preserve"> </w:t>
      </w:r>
      <w:r w:rsidR="00412369">
        <w:rPr>
          <w:rFonts w:ascii="Calibri" w:hAnsi="Calibri" w:cs="Helv"/>
          <w:bCs/>
          <w:color w:val="000000"/>
        </w:rPr>
        <w:t xml:space="preserve">arising out of a common occurrence </w:t>
      </w:r>
      <w:r>
        <w:rPr>
          <w:rFonts w:ascii="Calibri" w:hAnsi="Calibri" w:cs="Helv"/>
          <w:bCs/>
          <w:color w:val="000000"/>
        </w:rPr>
        <w:t xml:space="preserve">would be splitting up a trust between children of prior marriage and </w:t>
      </w:r>
      <w:r w:rsidR="00412369">
        <w:rPr>
          <w:rFonts w:ascii="Calibri" w:hAnsi="Calibri" w:cs="Helv"/>
          <w:bCs/>
          <w:color w:val="000000"/>
        </w:rPr>
        <w:t xml:space="preserve">a </w:t>
      </w:r>
      <w:r w:rsidR="00DF07ED">
        <w:rPr>
          <w:rFonts w:ascii="Calibri" w:hAnsi="Calibri" w:cs="Helv"/>
          <w:bCs/>
          <w:color w:val="000000"/>
        </w:rPr>
        <w:t>surviving</w:t>
      </w:r>
      <w:r>
        <w:rPr>
          <w:rFonts w:ascii="Calibri" w:hAnsi="Calibri" w:cs="Helv"/>
          <w:bCs/>
          <w:color w:val="000000"/>
        </w:rPr>
        <w:t xml:space="preserve"> spouse</w:t>
      </w:r>
      <w:r w:rsidR="00CA40E9">
        <w:rPr>
          <w:rFonts w:ascii="Calibri" w:hAnsi="Calibri" w:cs="Helv"/>
          <w:bCs/>
          <w:color w:val="000000"/>
        </w:rPr>
        <w:t xml:space="preserve"> where </w:t>
      </w:r>
      <w:r w:rsidR="005A615E">
        <w:rPr>
          <w:rFonts w:ascii="Calibri" w:hAnsi="Calibri" w:cs="Helv"/>
          <w:bCs/>
          <w:color w:val="000000"/>
        </w:rPr>
        <w:t>both receive</w:t>
      </w:r>
      <w:r w:rsidR="00CA40E9">
        <w:rPr>
          <w:rFonts w:ascii="Calibri" w:hAnsi="Calibri" w:cs="Helv"/>
          <w:bCs/>
          <w:color w:val="000000"/>
        </w:rPr>
        <w:t xml:space="preserve"> an outright distribution or separate trust </w:t>
      </w:r>
      <w:r w:rsidR="00DF07ED">
        <w:rPr>
          <w:rFonts w:ascii="Calibri" w:hAnsi="Calibri" w:cs="Helv"/>
          <w:bCs/>
          <w:color w:val="000000"/>
        </w:rPr>
        <w:t xml:space="preserve">with the other parties excluded </w:t>
      </w:r>
      <w:r w:rsidR="00CA40E9">
        <w:rPr>
          <w:rFonts w:ascii="Calibri" w:hAnsi="Calibri" w:cs="Helv"/>
          <w:bCs/>
          <w:color w:val="000000"/>
        </w:rPr>
        <w:t>and they part ways</w:t>
      </w:r>
      <w:r w:rsidR="003E2E9C">
        <w:rPr>
          <w:rFonts w:ascii="Calibri" w:hAnsi="Calibri" w:cs="Helv"/>
          <w:bCs/>
          <w:color w:val="000000"/>
        </w:rPr>
        <w:t xml:space="preserve"> (a.k.a. a commutation)</w:t>
      </w:r>
      <w:r w:rsidR="00CA40E9">
        <w:rPr>
          <w:rFonts w:ascii="Calibri" w:hAnsi="Calibri" w:cs="Helv"/>
          <w:bCs/>
          <w:color w:val="000000"/>
        </w:rPr>
        <w:t xml:space="preserve">. </w:t>
      </w:r>
      <w:r w:rsidR="00DF07ED">
        <w:rPr>
          <w:rFonts w:ascii="Calibri" w:hAnsi="Calibri" w:cs="Helv"/>
          <w:bCs/>
          <w:color w:val="000000"/>
        </w:rPr>
        <w:t>This could easily be found to be a</w:t>
      </w:r>
      <w:r w:rsidR="00412369">
        <w:rPr>
          <w:rFonts w:ascii="Calibri" w:hAnsi="Calibri" w:cs="Helv"/>
          <w:bCs/>
          <w:color w:val="000000"/>
        </w:rPr>
        <w:t xml:space="preserve"> “sale or exchange” of interests</w:t>
      </w:r>
      <w:r w:rsidR="00DF07ED">
        <w:rPr>
          <w:rFonts w:ascii="Calibri" w:hAnsi="Calibri" w:cs="Helv"/>
          <w:bCs/>
          <w:color w:val="000000"/>
        </w:rPr>
        <w:t>.  If so found</w:t>
      </w:r>
      <w:r w:rsidR="00412369">
        <w:rPr>
          <w:rFonts w:ascii="Calibri" w:hAnsi="Calibri" w:cs="Helv"/>
          <w:bCs/>
          <w:color w:val="000000"/>
        </w:rPr>
        <w:t>, t</w:t>
      </w:r>
      <w:r w:rsidR="0095546A">
        <w:rPr>
          <w:rFonts w:ascii="Calibri" w:hAnsi="Calibri" w:cs="Helv"/>
          <w:bCs/>
          <w:color w:val="000000"/>
        </w:rPr>
        <w:t>his does not mean that 100% of such proceeds would be taxable, just that any gains would be triggered -</w:t>
      </w:r>
      <w:r w:rsidR="005A615E">
        <w:rPr>
          <w:rFonts w:ascii="Calibri" w:hAnsi="Calibri" w:cs="Helv"/>
          <w:bCs/>
          <w:color w:val="000000"/>
        </w:rPr>
        <w:t xml:space="preserve"> settlement proceeds </w:t>
      </w:r>
      <w:r w:rsidR="00781AD1">
        <w:rPr>
          <w:rFonts w:ascii="Calibri" w:hAnsi="Calibri" w:cs="Helv"/>
          <w:bCs/>
          <w:color w:val="000000"/>
        </w:rPr>
        <w:t>would</w:t>
      </w:r>
      <w:r w:rsidR="005A615E">
        <w:rPr>
          <w:rFonts w:ascii="Calibri" w:hAnsi="Calibri" w:cs="Helv"/>
          <w:bCs/>
          <w:color w:val="000000"/>
        </w:rPr>
        <w:t xml:space="preserve"> not be taxable income if they are merely a substitute in lieu of what would have probably been a</w:t>
      </w:r>
      <w:r w:rsidR="00412369">
        <w:rPr>
          <w:rFonts w:ascii="Calibri" w:hAnsi="Calibri" w:cs="Helv"/>
          <w:bCs/>
          <w:color w:val="000000"/>
        </w:rPr>
        <w:t>n income</w:t>
      </w:r>
      <w:r w:rsidR="005A615E">
        <w:rPr>
          <w:rFonts w:ascii="Calibri" w:hAnsi="Calibri" w:cs="Helv"/>
          <w:bCs/>
          <w:color w:val="000000"/>
        </w:rPr>
        <w:t xml:space="preserve"> tax-free gift/bequest.</w:t>
      </w:r>
      <w:r w:rsidR="005A615E">
        <w:rPr>
          <w:rStyle w:val="FootnoteReference"/>
          <w:rFonts w:ascii="Calibri" w:hAnsi="Calibri" w:cs="Helv"/>
          <w:bCs/>
          <w:color w:val="000000"/>
        </w:rPr>
        <w:footnoteReference w:id="366"/>
      </w:r>
      <w:r w:rsidR="00412369">
        <w:rPr>
          <w:rFonts w:ascii="Calibri" w:hAnsi="Calibri" w:cs="Helv"/>
          <w:bCs/>
          <w:color w:val="000000"/>
        </w:rPr>
        <w:t xml:space="preserve">  However, if the split involves IRD such as inherited IRAs or qualified plans, or </w:t>
      </w:r>
      <w:r w:rsidR="00781AD1">
        <w:rPr>
          <w:rFonts w:ascii="Calibri" w:hAnsi="Calibri" w:cs="Helv"/>
          <w:bCs/>
          <w:color w:val="000000"/>
        </w:rPr>
        <w:t>assets with</w:t>
      </w:r>
      <w:r w:rsidR="00412369">
        <w:rPr>
          <w:rFonts w:ascii="Calibri" w:hAnsi="Calibri" w:cs="Helv"/>
          <w:bCs/>
          <w:color w:val="000000"/>
        </w:rPr>
        <w:t xml:space="preserve"> substantial appreciation, this may be a substantial.</w:t>
      </w:r>
      <w:r w:rsidR="00955F06">
        <w:rPr>
          <w:rFonts w:ascii="Calibri" w:hAnsi="Calibri" w:cs="Helv"/>
          <w:bCs/>
          <w:color w:val="000000"/>
        </w:rPr>
        <w:t xml:space="preserve">  Or, if there happened to be a life insurance policy transferred to a non-insured party, this may be a “transfer for value” removing the usual tax-free status of the death benefit and leading to eventual taxation of the proceeds over the basis.</w:t>
      </w:r>
      <w:r w:rsidR="00955F06">
        <w:rPr>
          <w:rStyle w:val="FootnoteReference"/>
          <w:rFonts w:ascii="Calibri" w:hAnsi="Calibri" w:cs="Helv"/>
          <w:bCs/>
          <w:color w:val="000000"/>
        </w:rPr>
        <w:footnoteReference w:id="367"/>
      </w:r>
      <w:r w:rsidR="003E2E9C">
        <w:rPr>
          <w:rFonts w:ascii="Calibri" w:hAnsi="Calibri" w:cs="Helv"/>
          <w:bCs/>
          <w:color w:val="000000"/>
        </w:rPr>
        <w:t xml:space="preserve">  Worse, if only the income interest is being terminated (e.g. the spouse is paid off and trust continues for children), then the zero basis rule may come into play and the income beneficiary could be taxed on the entire amount.</w:t>
      </w:r>
      <w:r w:rsidR="003E2E9C">
        <w:rPr>
          <w:rStyle w:val="FootnoteReference"/>
          <w:rFonts w:ascii="Calibri" w:hAnsi="Calibri" w:cs="Helv"/>
          <w:bCs/>
          <w:color w:val="000000"/>
        </w:rPr>
        <w:footnoteReference w:id="368"/>
      </w:r>
      <w:r w:rsidR="005A615E">
        <w:rPr>
          <w:rFonts w:ascii="Calibri" w:hAnsi="Calibri" w:cs="Helv"/>
          <w:b/>
          <w:bCs/>
          <w:color w:val="000000"/>
        </w:rPr>
        <w:br w:type="page"/>
      </w:r>
    </w:p>
    <w:p w14:paraId="0AB5C8D1" w14:textId="77777777" w:rsidR="00393869" w:rsidRPr="00943B23" w:rsidRDefault="00393869" w:rsidP="00180FD1">
      <w:pPr>
        <w:pStyle w:val="ListParagraph"/>
        <w:numPr>
          <w:ilvl w:val="0"/>
          <w:numId w:val="23"/>
        </w:numPr>
        <w:autoSpaceDE w:val="0"/>
        <w:autoSpaceDN w:val="0"/>
        <w:adjustRightInd w:val="0"/>
        <w:spacing w:line="360" w:lineRule="auto"/>
        <w:ind w:hanging="720"/>
        <w:rPr>
          <w:rFonts w:ascii="Calibri" w:hAnsi="Calibri" w:cs="Helv"/>
          <w:b/>
          <w:bCs/>
          <w:color w:val="000000"/>
        </w:rPr>
      </w:pPr>
      <w:r w:rsidRPr="00943B23">
        <w:rPr>
          <w:rFonts w:ascii="Calibri" w:hAnsi="Calibri" w:cs="Helv"/>
          <w:b/>
          <w:bCs/>
          <w:color w:val="000000"/>
        </w:rPr>
        <w:lastRenderedPageBreak/>
        <w:t>Decanting with more common</w:t>
      </w:r>
      <w:r w:rsidR="00AD5980" w:rsidRPr="00943B23">
        <w:rPr>
          <w:rFonts w:ascii="Calibri" w:hAnsi="Calibri" w:cs="Helv"/>
          <w:b/>
          <w:bCs/>
          <w:color w:val="000000"/>
        </w:rPr>
        <w:t xml:space="preserve"> “HEMS standard”</w:t>
      </w:r>
      <w:r w:rsidRPr="00943B23">
        <w:rPr>
          <w:rFonts w:ascii="Calibri" w:hAnsi="Calibri" w:cs="Helv"/>
          <w:b/>
          <w:bCs/>
          <w:color w:val="000000"/>
        </w:rPr>
        <w:t xml:space="preserve"> trusts </w:t>
      </w:r>
      <w:r w:rsidRPr="00943B23">
        <w:rPr>
          <w:rFonts w:ascii="Calibri" w:hAnsi="Calibri" w:cs="Helv"/>
          <w:b/>
          <w:bCs/>
          <w:i/>
          <w:color w:val="000000"/>
        </w:rPr>
        <w:t>without</w:t>
      </w:r>
      <w:r w:rsidRPr="00943B23">
        <w:rPr>
          <w:rFonts w:ascii="Calibri" w:hAnsi="Calibri" w:cs="Helv"/>
          <w:b/>
          <w:bCs/>
          <w:color w:val="000000"/>
        </w:rPr>
        <w:t xml:space="preserve"> absolute discre</w:t>
      </w:r>
      <w:r w:rsidR="00AD5980" w:rsidRPr="00943B23">
        <w:rPr>
          <w:rFonts w:ascii="Calibri" w:hAnsi="Calibri" w:cs="Helv"/>
          <w:b/>
          <w:bCs/>
          <w:color w:val="000000"/>
        </w:rPr>
        <w:t>tion</w:t>
      </w:r>
    </w:p>
    <w:p w14:paraId="7AE5A681" w14:textId="77777777" w:rsidR="00393869" w:rsidRDefault="00393869" w:rsidP="00393869">
      <w:pPr>
        <w:autoSpaceDE w:val="0"/>
        <w:autoSpaceDN w:val="0"/>
        <w:adjustRightInd w:val="0"/>
        <w:spacing w:line="360" w:lineRule="auto"/>
        <w:ind w:firstLine="720"/>
        <w:rPr>
          <w:rFonts w:ascii="Calibri" w:hAnsi="Calibri" w:cs="Helv"/>
          <w:bCs/>
          <w:color w:val="000000"/>
        </w:rPr>
      </w:pPr>
      <w:r w:rsidRPr="00393869">
        <w:rPr>
          <w:rFonts w:ascii="Calibri" w:hAnsi="Calibri" w:cs="Helv"/>
          <w:bCs/>
          <w:color w:val="000000"/>
        </w:rPr>
        <w:t>There is a</w:t>
      </w:r>
      <w:r>
        <w:rPr>
          <w:rFonts w:ascii="Calibri" w:hAnsi="Calibri" w:cs="Helv"/>
          <w:bCs/>
          <w:color w:val="000000"/>
        </w:rPr>
        <w:t>n understandable</w:t>
      </w:r>
      <w:r w:rsidRPr="00393869">
        <w:rPr>
          <w:rFonts w:ascii="Calibri" w:hAnsi="Calibri" w:cs="Helv"/>
          <w:bCs/>
          <w:color w:val="000000"/>
        </w:rPr>
        <w:t xml:space="preserve"> misconception that </w:t>
      </w:r>
      <w:r>
        <w:rPr>
          <w:rFonts w:ascii="Calibri" w:hAnsi="Calibri" w:cs="Helv"/>
          <w:bCs/>
          <w:color w:val="000000"/>
        </w:rPr>
        <w:t>decanting can only be accomplished with trusts having absolute discretion</w:t>
      </w:r>
      <w:r w:rsidR="009E46F8">
        <w:rPr>
          <w:rFonts w:ascii="Calibri" w:hAnsi="Calibri" w:cs="Helv"/>
          <w:bCs/>
          <w:color w:val="000000"/>
        </w:rPr>
        <w:t xml:space="preserve">.  However, </w:t>
      </w:r>
      <w:r w:rsidR="00E37BF7">
        <w:rPr>
          <w:rFonts w:ascii="Calibri" w:hAnsi="Calibri" w:cs="Helv"/>
          <w:bCs/>
          <w:color w:val="000000"/>
        </w:rPr>
        <w:t>many</w:t>
      </w:r>
      <w:r w:rsidR="009E46F8">
        <w:rPr>
          <w:rFonts w:ascii="Calibri" w:hAnsi="Calibri" w:cs="Helv"/>
          <w:bCs/>
          <w:color w:val="000000"/>
        </w:rPr>
        <w:t xml:space="preserve"> states have a </w:t>
      </w:r>
      <w:r w:rsidR="007570A9">
        <w:rPr>
          <w:rFonts w:ascii="Calibri" w:hAnsi="Calibri" w:cs="Helv"/>
          <w:bCs/>
          <w:color w:val="000000"/>
        </w:rPr>
        <w:t>“</w:t>
      </w:r>
      <w:r w:rsidR="009E46F8">
        <w:rPr>
          <w:rFonts w:ascii="Calibri" w:hAnsi="Calibri" w:cs="Helv"/>
          <w:bCs/>
          <w:color w:val="000000"/>
        </w:rPr>
        <w:t>dual track</w:t>
      </w:r>
      <w:r w:rsidR="007570A9">
        <w:rPr>
          <w:rFonts w:ascii="Calibri" w:hAnsi="Calibri" w:cs="Helv"/>
          <w:bCs/>
          <w:color w:val="000000"/>
        </w:rPr>
        <w:t>”</w:t>
      </w:r>
      <w:r w:rsidR="009E46F8">
        <w:rPr>
          <w:rFonts w:ascii="Calibri" w:hAnsi="Calibri" w:cs="Helv"/>
          <w:bCs/>
          <w:color w:val="000000"/>
        </w:rPr>
        <w:t xml:space="preserve"> mode of decanting, one level of decanting that is applicable to</w:t>
      </w:r>
      <w:r w:rsidR="007570A9">
        <w:rPr>
          <w:rFonts w:ascii="Calibri" w:hAnsi="Calibri" w:cs="Helv"/>
          <w:bCs/>
          <w:color w:val="000000"/>
        </w:rPr>
        <w:t xml:space="preserve"> trusts with wide discretion, and a more limited level available to those trusts without wide discretion</w:t>
      </w:r>
      <w:r w:rsidR="00312987">
        <w:rPr>
          <w:rFonts w:ascii="Calibri" w:hAnsi="Calibri" w:cs="Helv"/>
          <w:bCs/>
          <w:color w:val="000000"/>
        </w:rPr>
        <w:t>.  Ohio is illustrative:</w:t>
      </w:r>
      <w:r w:rsidR="009E46F8">
        <w:rPr>
          <w:rFonts w:ascii="Calibri" w:hAnsi="Calibri" w:cs="Helv"/>
          <w:bCs/>
          <w:color w:val="000000"/>
        </w:rPr>
        <w:t xml:space="preserve">  Ohio R.C. §5808.18 lays out two levels of decanting in paragraphs A (absolute discretion) and paragraph B (less than absolute discretion).  The former is well known, similar to many other states and even is meant to codify common law.  </w:t>
      </w:r>
    </w:p>
    <w:p w14:paraId="5731A5FD" w14:textId="77777777" w:rsidR="009E46F8" w:rsidRDefault="00E37BF7" w:rsidP="00393869">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The</w:t>
      </w:r>
      <w:r w:rsidR="009E46F8">
        <w:rPr>
          <w:rFonts w:ascii="Calibri" w:hAnsi="Calibri" w:cs="Helv"/>
          <w:bCs/>
          <w:color w:val="000000"/>
        </w:rPr>
        <w:t xml:space="preserve"> latter </w:t>
      </w:r>
      <w:r>
        <w:rPr>
          <w:rFonts w:ascii="Calibri" w:hAnsi="Calibri" w:cs="Helv"/>
          <w:bCs/>
          <w:color w:val="000000"/>
        </w:rPr>
        <w:t xml:space="preserve">is a </w:t>
      </w:r>
      <w:r w:rsidR="009E46F8">
        <w:rPr>
          <w:rFonts w:ascii="Calibri" w:hAnsi="Calibri" w:cs="Helv"/>
          <w:bCs/>
          <w:color w:val="000000"/>
        </w:rPr>
        <w:t xml:space="preserve">more difficult case, </w:t>
      </w:r>
      <w:r>
        <w:rPr>
          <w:rFonts w:ascii="Calibri" w:hAnsi="Calibri" w:cs="Helv"/>
          <w:bCs/>
          <w:color w:val="000000"/>
        </w:rPr>
        <w:t>but such trusts</w:t>
      </w:r>
      <w:r w:rsidR="009E46F8">
        <w:rPr>
          <w:rFonts w:ascii="Calibri" w:hAnsi="Calibri" w:cs="Helv"/>
          <w:bCs/>
          <w:color w:val="000000"/>
        </w:rPr>
        <w:t xml:space="preserve"> </w:t>
      </w:r>
      <w:r>
        <w:rPr>
          <w:rFonts w:ascii="Calibri" w:hAnsi="Calibri" w:cs="Helv"/>
          <w:bCs/>
          <w:color w:val="000000"/>
        </w:rPr>
        <w:t>are</w:t>
      </w:r>
      <w:r w:rsidR="009E46F8">
        <w:rPr>
          <w:rFonts w:ascii="Calibri" w:hAnsi="Calibri" w:cs="Helv"/>
          <w:bCs/>
          <w:color w:val="000000"/>
        </w:rPr>
        <w:t xml:space="preserve"> </w:t>
      </w:r>
      <w:r w:rsidR="009E46F8" w:rsidRPr="00312987">
        <w:rPr>
          <w:rFonts w:ascii="Calibri" w:hAnsi="Calibri" w:cs="Helv"/>
          <w:bCs/>
          <w:i/>
          <w:color w:val="000000"/>
        </w:rPr>
        <w:t>much more common</w:t>
      </w:r>
      <w:r w:rsidR="009E46F8">
        <w:rPr>
          <w:rFonts w:ascii="Calibri" w:hAnsi="Calibri" w:cs="Helv"/>
          <w:bCs/>
          <w:color w:val="000000"/>
        </w:rPr>
        <w:t>.  Why?</w:t>
      </w:r>
      <w:r w:rsidR="002743F1">
        <w:rPr>
          <w:rFonts w:ascii="Calibri" w:hAnsi="Calibri" w:cs="Helv"/>
          <w:bCs/>
          <w:color w:val="000000"/>
        </w:rPr>
        <w:t xml:space="preserve">  For </w:t>
      </w:r>
      <w:r w:rsidR="00175580">
        <w:rPr>
          <w:rFonts w:ascii="Calibri" w:hAnsi="Calibri" w:cs="Helv"/>
          <w:bCs/>
          <w:color w:val="000000"/>
        </w:rPr>
        <w:t>four</w:t>
      </w:r>
      <w:r w:rsidR="002743F1">
        <w:rPr>
          <w:rFonts w:ascii="Calibri" w:hAnsi="Calibri" w:cs="Helv"/>
          <w:bCs/>
          <w:color w:val="000000"/>
        </w:rPr>
        <w:t xml:space="preserve"> main reasons: 1) b</w:t>
      </w:r>
      <w:r w:rsidR="009E46F8">
        <w:rPr>
          <w:rFonts w:ascii="Calibri" w:hAnsi="Calibri" w:cs="Helv"/>
          <w:bCs/>
          <w:color w:val="000000"/>
        </w:rPr>
        <w:t xml:space="preserve">ecause many couples want to name their spouse </w:t>
      </w:r>
      <w:r w:rsidR="002743F1">
        <w:rPr>
          <w:rFonts w:ascii="Calibri" w:hAnsi="Calibri" w:cs="Helv"/>
          <w:bCs/>
          <w:color w:val="000000"/>
        </w:rPr>
        <w:t xml:space="preserve">or child </w:t>
      </w:r>
      <w:r w:rsidR="009E46F8">
        <w:rPr>
          <w:rFonts w:ascii="Calibri" w:hAnsi="Calibri" w:cs="Helv"/>
          <w:bCs/>
          <w:color w:val="000000"/>
        </w:rPr>
        <w:t>as both beneficiary and trustee or co-trustee, there is commonly a HEMS standard</w:t>
      </w:r>
      <w:r w:rsidR="002743F1">
        <w:rPr>
          <w:rFonts w:ascii="Calibri" w:hAnsi="Calibri" w:cs="Helv"/>
          <w:bCs/>
          <w:color w:val="000000"/>
        </w:rPr>
        <w:t xml:space="preserve"> to prevent there being </w:t>
      </w:r>
      <w:r w:rsidR="002B59F2">
        <w:rPr>
          <w:rFonts w:ascii="Calibri" w:hAnsi="Calibri" w:cs="Helv"/>
          <w:bCs/>
          <w:color w:val="000000"/>
        </w:rPr>
        <w:t xml:space="preserve">deemed </w:t>
      </w:r>
      <w:r w:rsidR="002743F1">
        <w:rPr>
          <w:rFonts w:ascii="Calibri" w:hAnsi="Calibri" w:cs="Helv"/>
          <w:bCs/>
          <w:color w:val="000000"/>
        </w:rPr>
        <w:t>a general power of appointment</w:t>
      </w:r>
      <w:r w:rsidR="002B59F2">
        <w:rPr>
          <w:rFonts w:ascii="Calibri" w:hAnsi="Calibri" w:cs="Helv"/>
          <w:bCs/>
          <w:color w:val="000000"/>
        </w:rPr>
        <w:t xml:space="preserve"> that would destroy asset protection</w:t>
      </w:r>
      <w:r w:rsidR="009E46F8">
        <w:rPr>
          <w:rFonts w:ascii="Calibri" w:hAnsi="Calibri" w:cs="Helv"/>
          <w:bCs/>
          <w:color w:val="000000"/>
        </w:rPr>
        <w:t xml:space="preserve"> </w:t>
      </w:r>
      <w:r w:rsidR="002B59F2">
        <w:rPr>
          <w:rFonts w:ascii="Calibri" w:hAnsi="Calibri" w:cs="Helv"/>
          <w:bCs/>
          <w:color w:val="000000"/>
        </w:rPr>
        <w:t xml:space="preserve">and cause estate inclusion; 2) even with an independent trustee, some might want a floor to prevent the trustee from denying </w:t>
      </w:r>
      <w:r w:rsidR="00DD50E1">
        <w:rPr>
          <w:rFonts w:ascii="Calibri" w:hAnsi="Calibri" w:cs="Helv"/>
          <w:bCs/>
          <w:color w:val="000000"/>
        </w:rPr>
        <w:t>the intended</w:t>
      </w:r>
      <w:r w:rsidR="002B59F2">
        <w:rPr>
          <w:rFonts w:ascii="Calibri" w:hAnsi="Calibri" w:cs="Helv"/>
          <w:bCs/>
          <w:color w:val="000000"/>
        </w:rPr>
        <w:t xml:space="preserve"> benefits to the beneficiary and create firmer guidelines for distribution standards; </w:t>
      </w:r>
      <w:r w:rsidR="00326A8A">
        <w:rPr>
          <w:rFonts w:ascii="Calibri" w:hAnsi="Calibri" w:cs="Helv"/>
          <w:bCs/>
          <w:color w:val="000000"/>
        </w:rPr>
        <w:t xml:space="preserve">3) for marital trusts, access to income or a forced estate remainderman has to be hard wired into the trust and unchangeable to qualify for the marital deduction; </w:t>
      </w:r>
      <w:r w:rsidR="002B59F2">
        <w:rPr>
          <w:rFonts w:ascii="Calibri" w:hAnsi="Calibri" w:cs="Helv"/>
          <w:bCs/>
          <w:color w:val="000000"/>
        </w:rPr>
        <w:t xml:space="preserve">and </w:t>
      </w:r>
      <w:r w:rsidR="00326A8A">
        <w:rPr>
          <w:rFonts w:ascii="Calibri" w:hAnsi="Calibri" w:cs="Helv"/>
          <w:bCs/>
          <w:color w:val="000000"/>
        </w:rPr>
        <w:t>lastly, 4</w:t>
      </w:r>
      <w:r w:rsidR="002B59F2">
        <w:rPr>
          <w:rFonts w:ascii="Calibri" w:hAnsi="Calibri" w:cs="Helv"/>
          <w:bCs/>
          <w:color w:val="000000"/>
        </w:rPr>
        <w:t xml:space="preserve">) for many attorneys, </w:t>
      </w:r>
      <w:r w:rsidR="00326A8A">
        <w:rPr>
          <w:rFonts w:ascii="Calibri" w:hAnsi="Calibri" w:cs="Helv"/>
          <w:bCs/>
          <w:color w:val="000000"/>
        </w:rPr>
        <w:t xml:space="preserve">even for non-marital trusts, </w:t>
      </w:r>
      <w:r w:rsidR="002B59F2">
        <w:rPr>
          <w:rFonts w:ascii="Calibri" w:hAnsi="Calibri" w:cs="Helv"/>
          <w:bCs/>
          <w:color w:val="000000"/>
        </w:rPr>
        <w:t>it’s just always been done that way.</w:t>
      </w:r>
    </w:p>
    <w:p w14:paraId="26B9AFF5" w14:textId="77777777" w:rsidR="009E46F8" w:rsidRPr="00DF7372" w:rsidRDefault="009E46F8" w:rsidP="00393869">
      <w:pPr>
        <w:autoSpaceDE w:val="0"/>
        <w:autoSpaceDN w:val="0"/>
        <w:adjustRightInd w:val="0"/>
        <w:spacing w:line="360" w:lineRule="auto"/>
        <w:ind w:firstLine="720"/>
        <w:rPr>
          <w:rFonts w:ascii="Calibri" w:hAnsi="Calibri" w:cs="Calibri"/>
        </w:rPr>
      </w:pPr>
      <w:r w:rsidRPr="00DF7372">
        <w:rPr>
          <w:rFonts w:ascii="Calibri" w:hAnsi="Calibri" w:cs="Calibri"/>
          <w:bCs/>
          <w:color w:val="000000"/>
        </w:rPr>
        <w:t>Paragraph B of Ohio’s decanting statute still permits “</w:t>
      </w:r>
      <w:r w:rsidRPr="00DF7372">
        <w:rPr>
          <w:rFonts w:ascii="Calibri" w:hAnsi="Calibri" w:cs="Calibri"/>
        </w:rPr>
        <w:t>distributing all or any part of the principal subject to the power, and all or any part of any income that is not otherwise currently required to be distributed, t</w:t>
      </w:r>
      <w:r w:rsidR="002B59F2">
        <w:rPr>
          <w:rFonts w:ascii="Calibri" w:hAnsi="Calibri" w:cs="Calibri"/>
        </w:rPr>
        <w:t>o the trustee of a second trust</w:t>
      </w:r>
      <w:r w:rsidRPr="00DF7372">
        <w:rPr>
          <w:rFonts w:ascii="Calibri" w:hAnsi="Calibri" w:cs="Calibri"/>
        </w:rPr>
        <w:t xml:space="preserve">”, but there is the additional requirement that “The exercise of a trustee's power under this division is valid only if the governing instrument for the second trust </w:t>
      </w:r>
      <w:r w:rsidRPr="00DF7372">
        <w:rPr>
          <w:rFonts w:ascii="Calibri" w:hAnsi="Calibri" w:cs="Calibri"/>
          <w:b/>
        </w:rPr>
        <w:t>does not materially change</w:t>
      </w:r>
      <w:r w:rsidRPr="00DF7372">
        <w:rPr>
          <w:rFonts w:ascii="Calibri" w:hAnsi="Calibri" w:cs="Calibri"/>
        </w:rPr>
        <w:t xml:space="preserve"> the interests of the beneficiaries of the first trust.”</w:t>
      </w:r>
      <w:r w:rsidR="006926C3">
        <w:rPr>
          <w:rStyle w:val="FootnoteReference"/>
          <w:rFonts w:ascii="Calibri" w:hAnsi="Calibri" w:cs="Calibri"/>
        </w:rPr>
        <w:footnoteReference w:id="369"/>
      </w:r>
    </w:p>
    <w:p w14:paraId="61BABE9F" w14:textId="77777777" w:rsidR="009E46F8" w:rsidRPr="00DF7372" w:rsidRDefault="009E46F8" w:rsidP="00393869">
      <w:pPr>
        <w:autoSpaceDE w:val="0"/>
        <w:autoSpaceDN w:val="0"/>
        <w:adjustRightInd w:val="0"/>
        <w:spacing w:line="360" w:lineRule="auto"/>
        <w:ind w:firstLine="720"/>
        <w:rPr>
          <w:rFonts w:ascii="Calibri" w:hAnsi="Calibri" w:cs="Calibri"/>
        </w:rPr>
      </w:pPr>
      <w:r w:rsidRPr="00DF7372">
        <w:rPr>
          <w:rFonts w:ascii="Calibri" w:hAnsi="Calibri" w:cs="Calibri"/>
        </w:rPr>
        <w:t xml:space="preserve">This of course begs the question whether the narrowly crafted changes anticipated by this paper would </w:t>
      </w:r>
      <w:r w:rsidRPr="00DF7372">
        <w:rPr>
          <w:rFonts w:ascii="Calibri" w:hAnsi="Calibri" w:cs="Calibri"/>
          <w:i/>
        </w:rPr>
        <w:t>materially</w:t>
      </w:r>
      <w:r w:rsidRPr="00DF7372">
        <w:rPr>
          <w:rFonts w:ascii="Calibri" w:hAnsi="Calibri" w:cs="Calibri"/>
        </w:rPr>
        <w:t xml:space="preserve"> change the interests of the beneficiaries of the original trust.  </w:t>
      </w:r>
      <w:r w:rsidR="00D04647" w:rsidRPr="00DF7372">
        <w:rPr>
          <w:rFonts w:ascii="Calibri" w:hAnsi="Calibri" w:cs="Calibri"/>
        </w:rPr>
        <w:t>How</w:t>
      </w:r>
      <w:r w:rsidR="00B066D9" w:rsidRPr="00DF7372">
        <w:rPr>
          <w:rFonts w:ascii="Calibri" w:hAnsi="Calibri" w:cs="Calibri"/>
        </w:rPr>
        <w:t xml:space="preserve"> do you define </w:t>
      </w:r>
      <w:r w:rsidR="00B066D9" w:rsidRPr="00DF7372">
        <w:rPr>
          <w:rFonts w:ascii="Calibri" w:hAnsi="Calibri" w:cs="Calibri"/>
          <w:i/>
        </w:rPr>
        <w:t>material</w:t>
      </w:r>
      <w:r w:rsidR="00B066D9" w:rsidRPr="00DF7372">
        <w:rPr>
          <w:rFonts w:ascii="Calibri" w:hAnsi="Calibri" w:cs="Calibri"/>
        </w:rPr>
        <w:t>?</w:t>
      </w:r>
      <w:r w:rsidR="00991A1A" w:rsidRPr="00DF7372">
        <w:rPr>
          <w:rFonts w:ascii="Calibri" w:hAnsi="Calibri" w:cs="Calibri"/>
        </w:rPr>
        <w:t xml:space="preserve"> </w:t>
      </w:r>
      <w:r w:rsidR="00B066D9" w:rsidRPr="00DF7372">
        <w:rPr>
          <w:rFonts w:ascii="Calibri" w:hAnsi="Calibri" w:cs="Calibri"/>
        </w:rPr>
        <w:t xml:space="preserve"> I</w:t>
      </w:r>
      <w:r w:rsidR="00EE6153" w:rsidRPr="00DF7372">
        <w:rPr>
          <w:rFonts w:ascii="Calibri" w:hAnsi="Calibri" w:cs="Calibri"/>
        </w:rPr>
        <w:t xml:space="preserve">f time permits you could get the local probate court to </w:t>
      </w:r>
      <w:r w:rsidR="00E37BF7" w:rsidRPr="00DF7372">
        <w:rPr>
          <w:rFonts w:ascii="Calibri" w:hAnsi="Calibri" w:cs="Calibri"/>
        </w:rPr>
        <w:t>approve</w:t>
      </w:r>
      <w:r w:rsidR="00EE6153" w:rsidRPr="00DF7372">
        <w:rPr>
          <w:rFonts w:ascii="Calibri" w:hAnsi="Calibri" w:cs="Calibri"/>
        </w:rPr>
        <w:t xml:space="preserve"> it.</w:t>
      </w:r>
    </w:p>
    <w:p w14:paraId="542FB65F" w14:textId="77777777" w:rsidR="00F01CF0" w:rsidRDefault="00991A1A" w:rsidP="00393869">
      <w:pPr>
        <w:autoSpaceDE w:val="0"/>
        <w:autoSpaceDN w:val="0"/>
        <w:adjustRightInd w:val="0"/>
        <w:spacing w:line="360" w:lineRule="auto"/>
        <w:ind w:firstLine="720"/>
        <w:rPr>
          <w:rFonts w:ascii="Calibri" w:hAnsi="Calibri" w:cs="Calibri"/>
        </w:rPr>
      </w:pPr>
      <w:r w:rsidRPr="00DF7372">
        <w:rPr>
          <w:rFonts w:ascii="Calibri" w:hAnsi="Calibri" w:cs="Calibri"/>
        </w:rPr>
        <w:lastRenderedPageBreak/>
        <w:t>Of course, if you go to probate court</w:t>
      </w:r>
      <w:r w:rsidR="00D04647" w:rsidRPr="00DF7372">
        <w:rPr>
          <w:rFonts w:ascii="Calibri" w:hAnsi="Calibri" w:cs="Calibri"/>
        </w:rPr>
        <w:t xml:space="preserve">, </w:t>
      </w:r>
      <w:r w:rsidRPr="00DF7372">
        <w:rPr>
          <w:rFonts w:ascii="Calibri" w:hAnsi="Calibri" w:cs="Calibri"/>
        </w:rPr>
        <w:t>most states provide</w:t>
      </w:r>
      <w:r w:rsidR="00CB09E9" w:rsidRPr="00DF7372">
        <w:rPr>
          <w:rFonts w:ascii="Calibri" w:hAnsi="Calibri" w:cs="Calibri"/>
        </w:rPr>
        <w:t xml:space="preserve"> </w:t>
      </w:r>
      <w:r w:rsidR="007C6DED" w:rsidRPr="00DF7372">
        <w:rPr>
          <w:rFonts w:ascii="Calibri" w:hAnsi="Calibri" w:cs="Calibri"/>
        </w:rPr>
        <w:t xml:space="preserve">much </w:t>
      </w:r>
      <w:r w:rsidRPr="00DF7372">
        <w:rPr>
          <w:rFonts w:ascii="Calibri" w:hAnsi="Calibri" w:cs="Calibri"/>
        </w:rPr>
        <w:t xml:space="preserve">clearer </w:t>
      </w:r>
      <w:r w:rsidR="00D04647" w:rsidRPr="00DF7372">
        <w:rPr>
          <w:rFonts w:ascii="Calibri" w:hAnsi="Calibri" w:cs="Calibri"/>
        </w:rPr>
        <w:t xml:space="preserve">avenues </w:t>
      </w:r>
      <w:r w:rsidR="00CB09E9" w:rsidRPr="00DF7372">
        <w:rPr>
          <w:rFonts w:ascii="Calibri" w:hAnsi="Calibri" w:cs="Calibri"/>
        </w:rPr>
        <w:t xml:space="preserve">for </w:t>
      </w:r>
      <w:r w:rsidR="00D04647" w:rsidRPr="00DF7372">
        <w:rPr>
          <w:rFonts w:ascii="Calibri" w:hAnsi="Calibri" w:cs="Calibri"/>
        </w:rPr>
        <w:t xml:space="preserve">the trustee to accomplish a </w:t>
      </w:r>
      <w:r w:rsidR="00CB09E9" w:rsidRPr="00DF7372">
        <w:rPr>
          <w:rFonts w:ascii="Calibri" w:hAnsi="Calibri" w:cs="Calibri"/>
        </w:rPr>
        <w:t>court r</w:t>
      </w:r>
      <w:r w:rsidR="00D04647" w:rsidRPr="00DF7372">
        <w:rPr>
          <w:rFonts w:ascii="Calibri" w:hAnsi="Calibri" w:cs="Calibri"/>
        </w:rPr>
        <w:t>eformation to achieve</w:t>
      </w:r>
      <w:r w:rsidR="00CB09E9" w:rsidRPr="00DF7372">
        <w:rPr>
          <w:rFonts w:ascii="Calibri" w:hAnsi="Calibri" w:cs="Calibri"/>
        </w:rPr>
        <w:t xml:space="preserve"> the </w:t>
      </w:r>
      <w:r w:rsidRPr="00DF7372">
        <w:rPr>
          <w:rFonts w:ascii="Calibri" w:hAnsi="Calibri" w:cs="Calibri"/>
        </w:rPr>
        <w:t xml:space="preserve">exact </w:t>
      </w:r>
      <w:r w:rsidR="00CB09E9" w:rsidRPr="00DF7372">
        <w:rPr>
          <w:rFonts w:ascii="Calibri" w:hAnsi="Calibri" w:cs="Calibri"/>
        </w:rPr>
        <w:t>same result</w:t>
      </w:r>
      <w:r w:rsidR="007C6DED" w:rsidRPr="00DF7372">
        <w:rPr>
          <w:rFonts w:ascii="Calibri" w:hAnsi="Calibri" w:cs="Calibri"/>
        </w:rPr>
        <w:t>, without the uncertainty that a “non-absolute discretion” decanting entail</w:t>
      </w:r>
      <w:r w:rsidR="00E37BF7" w:rsidRPr="00DF7372">
        <w:rPr>
          <w:rFonts w:ascii="Calibri" w:hAnsi="Calibri" w:cs="Calibri"/>
        </w:rPr>
        <w:t xml:space="preserve">s, so any court petition might ask for alternative remedies: approve the decanting, but if you can’t approve the decanting, reform the </w:t>
      </w:r>
      <w:r w:rsidR="00786C4E">
        <w:rPr>
          <w:rFonts w:ascii="Calibri" w:hAnsi="Calibri" w:cs="Calibri"/>
        </w:rPr>
        <w:t>trust</w:t>
      </w:r>
      <w:r w:rsidR="007C6DED" w:rsidRPr="00DF7372">
        <w:rPr>
          <w:rFonts w:ascii="Calibri" w:hAnsi="Calibri" w:cs="Calibri"/>
        </w:rPr>
        <w:t>.</w:t>
      </w:r>
      <w:r w:rsidR="00D04647" w:rsidRPr="00DF7372">
        <w:rPr>
          <w:rStyle w:val="FootnoteReference"/>
          <w:rFonts w:ascii="Calibri" w:hAnsi="Calibri" w:cs="Calibri"/>
        </w:rPr>
        <w:footnoteReference w:id="370"/>
      </w:r>
      <w:r w:rsidR="007C6DED" w:rsidRPr="00DF7372">
        <w:rPr>
          <w:rFonts w:ascii="Calibri" w:hAnsi="Calibri" w:cs="Calibri"/>
        </w:rPr>
        <w:t xml:space="preserve"> </w:t>
      </w:r>
      <w:r w:rsidR="007C6DED" w:rsidRPr="007C6DED">
        <w:rPr>
          <w:rFonts w:ascii="Calibri" w:hAnsi="Calibri" w:cs="Calibri"/>
        </w:rPr>
        <w:t>The drawback</w:t>
      </w:r>
      <w:r w:rsidR="007C6DED">
        <w:rPr>
          <w:rFonts w:ascii="Calibri" w:hAnsi="Calibri" w:cs="Calibri"/>
        </w:rPr>
        <w:t>s</w:t>
      </w:r>
      <w:r w:rsidR="007C6DED" w:rsidRPr="007C6DED">
        <w:rPr>
          <w:rFonts w:ascii="Calibri" w:hAnsi="Calibri" w:cs="Calibri"/>
        </w:rPr>
        <w:t xml:space="preserve"> to </w:t>
      </w:r>
      <w:r w:rsidR="00E37BF7">
        <w:rPr>
          <w:rFonts w:ascii="Calibri" w:hAnsi="Calibri" w:cs="Calibri"/>
        </w:rPr>
        <w:t>court petitions</w:t>
      </w:r>
      <w:r w:rsidR="007C6DED" w:rsidRPr="007C6DED">
        <w:rPr>
          <w:rFonts w:ascii="Calibri" w:hAnsi="Calibri" w:cs="Calibri"/>
        </w:rPr>
        <w:t xml:space="preserve"> </w:t>
      </w:r>
      <w:r w:rsidR="007C6DED">
        <w:rPr>
          <w:rFonts w:ascii="Calibri" w:hAnsi="Calibri" w:cs="Calibri"/>
        </w:rPr>
        <w:t xml:space="preserve">vary state to state, </w:t>
      </w:r>
      <w:r w:rsidR="00E37BF7">
        <w:rPr>
          <w:rFonts w:ascii="Calibri" w:hAnsi="Calibri" w:cs="Calibri"/>
        </w:rPr>
        <w:t>but</w:t>
      </w:r>
      <w:r w:rsidR="007C6DED">
        <w:rPr>
          <w:rFonts w:ascii="Calibri" w:hAnsi="Calibri" w:cs="Calibri"/>
        </w:rPr>
        <w:t xml:space="preserve"> are essentially the same as for any court process – is there much cost/delay?  Will there be difficulty</w:t>
      </w:r>
      <w:r w:rsidR="007C6DED" w:rsidRPr="007C6DED">
        <w:rPr>
          <w:rFonts w:ascii="Calibri" w:hAnsi="Calibri" w:cs="Calibri"/>
        </w:rPr>
        <w:t xml:space="preserve"> getting all the necessary</w:t>
      </w:r>
      <w:r w:rsidR="007C6DED">
        <w:rPr>
          <w:rFonts w:ascii="Calibri" w:hAnsi="Calibri" w:cs="Calibri"/>
        </w:rPr>
        <w:t xml:space="preserve"> beneficiaries served</w:t>
      </w:r>
      <w:r w:rsidR="007C6DED" w:rsidRPr="007C6DED">
        <w:rPr>
          <w:rFonts w:ascii="Calibri" w:hAnsi="Calibri" w:cs="Calibri"/>
        </w:rPr>
        <w:t xml:space="preserve"> </w:t>
      </w:r>
      <w:r w:rsidR="007C6DED">
        <w:rPr>
          <w:rFonts w:ascii="Calibri" w:hAnsi="Calibri" w:cs="Calibri"/>
        </w:rPr>
        <w:t>and possibly guardians appointed for minor children or incompetent beneficiaries</w:t>
      </w:r>
      <w:r w:rsidR="00F01CF0">
        <w:rPr>
          <w:rFonts w:ascii="Calibri" w:hAnsi="Calibri" w:cs="Calibri"/>
        </w:rPr>
        <w:t xml:space="preserve"> if there is no clear virtual representation</w:t>
      </w:r>
      <w:r w:rsidR="007C6DED">
        <w:rPr>
          <w:rFonts w:ascii="Calibri" w:hAnsi="Calibri" w:cs="Calibri"/>
        </w:rPr>
        <w:t>?</w:t>
      </w:r>
      <w:r w:rsidR="00C30EC6">
        <w:rPr>
          <w:rStyle w:val="FootnoteReference"/>
          <w:rFonts w:ascii="Calibri" w:hAnsi="Calibri" w:cs="Calibri"/>
        </w:rPr>
        <w:footnoteReference w:id="371"/>
      </w:r>
      <w:r w:rsidR="007C6DED">
        <w:rPr>
          <w:rFonts w:ascii="Calibri" w:hAnsi="Calibri" w:cs="Calibri"/>
        </w:rPr>
        <w:t xml:space="preserve">  Might someone object at a hearing?  Decanting avoids many of these issues</w:t>
      </w:r>
      <w:r w:rsidR="00E37BF7">
        <w:rPr>
          <w:rFonts w:ascii="Calibri" w:hAnsi="Calibri" w:cs="Calibri"/>
        </w:rPr>
        <w:t>, if it’s clear</w:t>
      </w:r>
      <w:r w:rsidR="007C6DED">
        <w:rPr>
          <w:rFonts w:ascii="Calibri" w:hAnsi="Calibri" w:cs="Calibri"/>
        </w:rPr>
        <w:t>, but a court order would lead to a much more certain result</w:t>
      </w:r>
      <w:r w:rsidR="00E053F6">
        <w:rPr>
          <w:rFonts w:ascii="Calibri" w:hAnsi="Calibri" w:cs="Calibri"/>
        </w:rPr>
        <w:t>, especially</w:t>
      </w:r>
      <w:r w:rsidR="00E37BF7">
        <w:rPr>
          <w:rFonts w:ascii="Calibri" w:hAnsi="Calibri" w:cs="Calibri"/>
        </w:rPr>
        <w:t xml:space="preserve"> when there is not absolute discretion to decant</w:t>
      </w:r>
      <w:r w:rsidR="007C6DED">
        <w:rPr>
          <w:rFonts w:ascii="Calibri" w:hAnsi="Calibri" w:cs="Calibri"/>
        </w:rPr>
        <w:t xml:space="preserve">.  </w:t>
      </w:r>
      <w:r w:rsidR="00E053F6">
        <w:rPr>
          <w:rFonts w:ascii="Calibri" w:hAnsi="Calibri" w:cs="Calibri"/>
        </w:rPr>
        <w:t>Having beneficiaries simply agree that there is absolute discretion where there is not is unlikely to be availing.</w:t>
      </w:r>
    </w:p>
    <w:p w14:paraId="7961A51B" w14:textId="77777777" w:rsidR="000530B5" w:rsidRDefault="000530B5" w:rsidP="00393869">
      <w:pPr>
        <w:autoSpaceDE w:val="0"/>
        <w:autoSpaceDN w:val="0"/>
        <w:adjustRightInd w:val="0"/>
        <w:spacing w:line="360" w:lineRule="auto"/>
        <w:ind w:firstLine="720"/>
        <w:rPr>
          <w:rFonts w:ascii="Calibri" w:hAnsi="Calibri" w:cs="Calibri"/>
        </w:rPr>
      </w:pPr>
      <w:r>
        <w:rPr>
          <w:rFonts w:ascii="Calibri" w:hAnsi="Calibri" w:cs="Calibri"/>
        </w:rPr>
        <w:t xml:space="preserve">The same limitation on retroactive tax effect noted above in the discussion of </w:t>
      </w:r>
      <w:r w:rsidRPr="000530B5">
        <w:rPr>
          <w:rFonts w:ascii="Calibri" w:hAnsi="Calibri" w:cs="Calibri"/>
          <w:i/>
        </w:rPr>
        <w:t>Nurseryman</w:t>
      </w:r>
      <w:r>
        <w:rPr>
          <w:rFonts w:ascii="Calibri" w:hAnsi="Calibri" w:cs="Calibri"/>
        </w:rPr>
        <w:t xml:space="preserve"> and other authority applies to decanting, but the prospective tax effect should be the same.  The IRS has indicated </w:t>
      </w:r>
      <w:r w:rsidR="00535E42">
        <w:rPr>
          <w:rFonts w:ascii="Calibri" w:hAnsi="Calibri" w:cs="Calibri"/>
        </w:rPr>
        <w:t xml:space="preserve">for years now </w:t>
      </w:r>
      <w:r>
        <w:rPr>
          <w:rFonts w:ascii="Calibri" w:hAnsi="Calibri" w:cs="Calibri"/>
        </w:rPr>
        <w:t xml:space="preserve">an unwillingness to rule on certain tax aspects of decanting and has </w:t>
      </w:r>
      <w:r w:rsidR="00535E42">
        <w:rPr>
          <w:rFonts w:ascii="Calibri" w:hAnsi="Calibri" w:cs="Calibri"/>
        </w:rPr>
        <w:t>repeatedly stated</w:t>
      </w:r>
      <w:r>
        <w:rPr>
          <w:rFonts w:ascii="Calibri" w:hAnsi="Calibri" w:cs="Calibri"/>
        </w:rPr>
        <w:t xml:space="preserve"> that it is “under study” and expects to issue further guidance.</w:t>
      </w:r>
      <w:r>
        <w:rPr>
          <w:rStyle w:val="FootnoteReference"/>
          <w:rFonts w:ascii="Calibri" w:hAnsi="Calibri" w:cs="Calibri"/>
        </w:rPr>
        <w:footnoteReference w:id="372"/>
      </w:r>
    </w:p>
    <w:p w14:paraId="78DDFE1C" w14:textId="77777777" w:rsidR="00326A8A" w:rsidRDefault="00326A8A" w:rsidP="00393869">
      <w:pPr>
        <w:autoSpaceDE w:val="0"/>
        <w:autoSpaceDN w:val="0"/>
        <w:adjustRightInd w:val="0"/>
        <w:spacing w:line="360" w:lineRule="auto"/>
        <w:ind w:firstLine="720"/>
        <w:rPr>
          <w:rFonts w:ascii="Calibri" w:hAnsi="Calibri" w:cs="Calibri"/>
        </w:rPr>
      </w:pPr>
    </w:p>
    <w:p w14:paraId="776A77FF" w14:textId="77777777" w:rsidR="00F80475" w:rsidRDefault="00F80475" w:rsidP="00F80475">
      <w:pPr>
        <w:pStyle w:val="ListParagraph"/>
        <w:numPr>
          <w:ilvl w:val="0"/>
          <w:numId w:val="23"/>
        </w:numPr>
        <w:autoSpaceDE w:val="0"/>
        <w:autoSpaceDN w:val="0"/>
        <w:adjustRightInd w:val="0"/>
        <w:spacing w:line="360" w:lineRule="auto"/>
        <w:rPr>
          <w:rFonts w:ascii="Calibri" w:hAnsi="Calibri" w:cs="Helv"/>
          <w:b/>
          <w:bCs/>
          <w:color w:val="000000"/>
        </w:rPr>
      </w:pPr>
      <w:r>
        <w:rPr>
          <w:rFonts w:ascii="Calibri" w:hAnsi="Calibri" w:cs="Helv"/>
          <w:b/>
          <w:bCs/>
          <w:color w:val="000000"/>
        </w:rPr>
        <w:t xml:space="preserve">Decanting limits </w:t>
      </w:r>
      <w:r w:rsidRPr="00701CC8">
        <w:rPr>
          <w:rFonts w:ascii="Calibri" w:hAnsi="Calibri" w:cs="Helv"/>
          <w:b/>
          <w:bCs/>
          <w:i/>
          <w:color w:val="000000"/>
        </w:rPr>
        <w:t>even when there is wide discretion</w:t>
      </w:r>
    </w:p>
    <w:p w14:paraId="4A8A6D58" w14:textId="77777777" w:rsidR="00F80475" w:rsidRDefault="00F80475" w:rsidP="00F80475">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Under either common law or most decanting statutes, when the trustee has wide discretion to distribute to a beneficiary outright, a subset of this power is to appoint to a trust </w:t>
      </w:r>
      <w:r w:rsidR="002B59F2">
        <w:rPr>
          <w:rFonts w:ascii="Calibri" w:hAnsi="Calibri" w:cs="Helv"/>
          <w:bCs/>
          <w:color w:val="000000"/>
        </w:rPr>
        <w:lastRenderedPageBreak/>
        <w:t>therefore</w:t>
      </w:r>
      <w:r>
        <w:rPr>
          <w:rFonts w:ascii="Calibri" w:hAnsi="Calibri" w:cs="Helv"/>
          <w:bCs/>
          <w:color w:val="000000"/>
        </w:rPr>
        <w:t xml:space="preserve">.  However, this discretion is not unlimited, and does not </w:t>
      </w:r>
      <w:r w:rsidR="002B59F2">
        <w:rPr>
          <w:rFonts w:ascii="Calibri" w:hAnsi="Calibri" w:cs="Helv"/>
          <w:bCs/>
          <w:color w:val="000000"/>
        </w:rPr>
        <w:t xml:space="preserve">necessarily </w:t>
      </w:r>
      <w:r>
        <w:rPr>
          <w:rFonts w:ascii="Calibri" w:hAnsi="Calibri" w:cs="Helv"/>
          <w:bCs/>
          <w:color w:val="000000"/>
        </w:rPr>
        <w:t xml:space="preserve">extend to changing or adding beneficiaries not chosen by the </w:t>
      </w:r>
      <w:r w:rsidR="00701CC8">
        <w:rPr>
          <w:rFonts w:ascii="Calibri" w:hAnsi="Calibri" w:cs="Helv"/>
          <w:bCs/>
          <w:color w:val="000000"/>
        </w:rPr>
        <w:t xml:space="preserve">original settlor or the </w:t>
      </w:r>
      <w:r>
        <w:rPr>
          <w:rFonts w:ascii="Calibri" w:hAnsi="Calibri" w:cs="Helv"/>
          <w:bCs/>
          <w:color w:val="000000"/>
        </w:rPr>
        <w:t>main beneficiary of the decanting power.  There are not many cases on decanting, but one recent case is illustrative of its limits.</w:t>
      </w:r>
      <w:r>
        <w:rPr>
          <w:rStyle w:val="FootnoteReference"/>
          <w:rFonts w:ascii="Calibri" w:hAnsi="Calibri" w:cs="Helv"/>
          <w:bCs/>
          <w:color w:val="000000"/>
        </w:rPr>
        <w:footnoteReference w:id="373"/>
      </w:r>
      <w:r>
        <w:rPr>
          <w:rFonts w:ascii="Calibri" w:hAnsi="Calibri" w:cs="Helv"/>
          <w:bCs/>
          <w:color w:val="000000"/>
        </w:rPr>
        <w:t xml:space="preserve">  In the </w:t>
      </w:r>
      <w:r w:rsidRPr="00F80475">
        <w:rPr>
          <w:rFonts w:ascii="Calibri" w:hAnsi="Calibri" w:cs="Helv"/>
          <w:bCs/>
          <w:i/>
          <w:color w:val="000000"/>
        </w:rPr>
        <w:t>Johnson</w:t>
      </w:r>
      <w:r>
        <w:rPr>
          <w:rFonts w:ascii="Calibri" w:hAnsi="Calibri" w:cs="Helv"/>
          <w:bCs/>
          <w:color w:val="000000"/>
        </w:rPr>
        <w:t xml:space="preserve"> case, a trustee </w:t>
      </w:r>
      <w:r w:rsidR="00701CC8">
        <w:rPr>
          <w:rFonts w:ascii="Calibri" w:hAnsi="Calibri" w:cs="Helv"/>
          <w:bCs/>
          <w:color w:val="000000"/>
        </w:rPr>
        <w:t>attempted to decant</w:t>
      </w:r>
      <w:r>
        <w:rPr>
          <w:rFonts w:ascii="Calibri" w:hAnsi="Calibri" w:cs="Helv"/>
          <w:bCs/>
          <w:color w:val="000000"/>
        </w:rPr>
        <w:t xml:space="preserve"> two trusts </w:t>
      </w:r>
      <w:r w:rsidR="00701CC8">
        <w:rPr>
          <w:rFonts w:ascii="Calibri" w:hAnsi="Calibri" w:cs="Helv"/>
          <w:bCs/>
          <w:color w:val="000000"/>
        </w:rPr>
        <w:t xml:space="preserve">that </w:t>
      </w:r>
      <w:r w:rsidR="00E053F6">
        <w:rPr>
          <w:rFonts w:ascii="Calibri" w:hAnsi="Calibri" w:cs="Helv"/>
          <w:bCs/>
          <w:color w:val="000000"/>
        </w:rPr>
        <w:t>later divorced husband and wife had</w:t>
      </w:r>
      <w:r w:rsidR="00701CC8">
        <w:rPr>
          <w:rFonts w:ascii="Calibri" w:hAnsi="Calibri" w:cs="Helv"/>
          <w:bCs/>
          <w:color w:val="000000"/>
        </w:rPr>
        <w:t xml:space="preserve"> established </w:t>
      </w:r>
      <w:r>
        <w:rPr>
          <w:rFonts w:ascii="Calibri" w:hAnsi="Calibri" w:cs="Helv"/>
          <w:bCs/>
          <w:color w:val="000000"/>
        </w:rPr>
        <w:t xml:space="preserve">for the benefit of the </w:t>
      </w:r>
      <w:r w:rsidR="00701CC8">
        <w:rPr>
          <w:rFonts w:ascii="Calibri" w:hAnsi="Calibri" w:cs="Helv"/>
          <w:bCs/>
          <w:color w:val="000000"/>
        </w:rPr>
        <w:t xml:space="preserve">two </w:t>
      </w:r>
      <w:r>
        <w:rPr>
          <w:rFonts w:ascii="Calibri" w:hAnsi="Calibri" w:cs="Helv"/>
          <w:bCs/>
          <w:color w:val="000000"/>
        </w:rPr>
        <w:t xml:space="preserve">settlors’ daughter, but </w:t>
      </w:r>
      <w:r w:rsidR="00701CC8">
        <w:rPr>
          <w:rFonts w:ascii="Calibri" w:hAnsi="Calibri" w:cs="Helv"/>
          <w:bCs/>
          <w:color w:val="000000"/>
        </w:rPr>
        <w:t>the new appointive trust removed the daughter’s broad testamentary power to appoint to various parties and changed the takers in default should the daughter fail to exercise her testamentary power of appointment.  The court held this to be an improper exercise under New York’s decanting statute (</w:t>
      </w:r>
      <w:r w:rsidR="00701CC8" w:rsidRPr="00701CC8">
        <w:rPr>
          <w:rFonts w:ascii="Calibri" w:hAnsi="Calibri" w:cs="Helv"/>
          <w:bCs/>
          <w:color w:val="000000"/>
        </w:rPr>
        <w:t>NY EPTL § 10-6.6</w:t>
      </w:r>
      <w:r w:rsidR="00701CC8">
        <w:rPr>
          <w:rFonts w:ascii="Calibri" w:hAnsi="Calibri" w:cs="Helv"/>
          <w:bCs/>
          <w:color w:val="000000"/>
        </w:rPr>
        <w:t>) because it changed/added new remainder beneficiaries</w:t>
      </w:r>
      <w:r w:rsidR="00EF3770">
        <w:rPr>
          <w:rFonts w:ascii="Calibri" w:hAnsi="Calibri" w:cs="Helv"/>
          <w:bCs/>
          <w:color w:val="000000"/>
        </w:rPr>
        <w:t>:</w:t>
      </w:r>
    </w:p>
    <w:p w14:paraId="5C7EB81D" w14:textId="77777777" w:rsidR="00EF3770" w:rsidRPr="00EF3770" w:rsidRDefault="00EF3770" w:rsidP="008A03D3">
      <w:pPr>
        <w:autoSpaceDE w:val="0"/>
        <w:autoSpaceDN w:val="0"/>
        <w:adjustRightInd w:val="0"/>
        <w:ind w:left="720" w:firstLine="720"/>
        <w:rPr>
          <w:rFonts w:ascii="Calibri" w:hAnsi="Calibri" w:cs="Helv"/>
          <w:bCs/>
          <w:color w:val="000000"/>
        </w:rPr>
      </w:pPr>
      <w:r>
        <w:rPr>
          <w:rFonts w:ascii="Calibri" w:hAnsi="Calibri" w:cs="Helv"/>
          <w:bCs/>
          <w:color w:val="000000"/>
        </w:rPr>
        <w:t>“***</w:t>
      </w:r>
      <w:r w:rsidRPr="00EF3770">
        <w:rPr>
          <w:rFonts w:ascii="Calibri" w:hAnsi="Calibri" w:cs="Helv"/>
          <w:bCs/>
          <w:color w:val="000000"/>
        </w:rPr>
        <w:t xml:space="preserve"> the class of successor and remainder beneficiaries of an appointed trust could be narrower than the class of successor and remainder beneficiaries of the invaded trust but could not be broader. Implicit in such expression of legislative intent is: under the 2001 amendment, a trustee would not have had the authority to decant a trust in such a way as to broaden the class of successor and remainder beneficiaries.</w:t>
      </w:r>
    </w:p>
    <w:p w14:paraId="046A0A87" w14:textId="77777777" w:rsidR="003F409E" w:rsidRDefault="00EF3770" w:rsidP="008A03D3">
      <w:pPr>
        <w:autoSpaceDE w:val="0"/>
        <w:autoSpaceDN w:val="0"/>
        <w:adjustRightInd w:val="0"/>
        <w:ind w:left="720" w:firstLine="720"/>
        <w:rPr>
          <w:rFonts w:ascii="Calibri" w:hAnsi="Calibri" w:cs="Helv"/>
          <w:bCs/>
          <w:color w:val="000000"/>
        </w:rPr>
      </w:pPr>
      <w:r w:rsidRPr="00EF3770">
        <w:rPr>
          <w:rFonts w:ascii="Calibri" w:hAnsi="Calibri" w:cs="Helv"/>
          <w:bCs/>
          <w:color w:val="000000"/>
        </w:rPr>
        <w:t>Here, Mr. Lowenfish did just that: the class of remainder beneficiaries of the appointed trust — both the permissible appointees and the takers in default of an effective exercise of the power of appointment — is broader than the class of remainder beneficiaries of the 1985 trust. Therefore, the July 25, 2011 decanting of the 1985 trust into the appointed trust was not in accordance with the statute in existen</w:t>
      </w:r>
      <w:r>
        <w:rPr>
          <w:rFonts w:ascii="Calibri" w:hAnsi="Calibri" w:cs="Helv"/>
          <w:bCs/>
          <w:color w:val="000000"/>
        </w:rPr>
        <w:t>ce at that time and is invalid.</w:t>
      </w:r>
    </w:p>
    <w:p w14:paraId="73229649" w14:textId="77777777" w:rsidR="00EF3770" w:rsidRDefault="003F409E" w:rsidP="008A03D3">
      <w:pPr>
        <w:autoSpaceDE w:val="0"/>
        <w:autoSpaceDN w:val="0"/>
        <w:adjustRightInd w:val="0"/>
        <w:ind w:left="720" w:firstLine="720"/>
        <w:rPr>
          <w:rFonts w:ascii="Calibri" w:hAnsi="Calibri" w:cs="Helv"/>
          <w:bCs/>
          <w:color w:val="000000"/>
        </w:rPr>
      </w:pPr>
      <w:r>
        <w:rPr>
          <w:rFonts w:ascii="Calibri" w:hAnsi="Calibri" w:cs="Helv"/>
          <w:bCs/>
          <w:color w:val="000000"/>
        </w:rPr>
        <w:t>***</w:t>
      </w:r>
      <w:r w:rsidRPr="003F409E">
        <w:rPr>
          <w:rFonts w:ascii="Calibri" w:hAnsi="Calibri" w:cs="Helv"/>
          <w:bCs/>
          <w:color w:val="000000"/>
        </w:rPr>
        <w:t>Under the terms of the 1997 instrument, the class of permissible appointees of the trust remainder consisted of petitioner's spouse and issue. By contrast, under the terms of the instrument of the appointed trust, the class of permissible appointees consisted of the issue of petitioner's father. Thus, except to the extent petitioner's spouse is excluded, the class of permissible appointees under the appointed instrument is broader than that under the 1997 instrument. Accordingly, for the reason stated hereinbefore, the decanting of the 1997 trust violated the version of EPTL § 10-6.6 (b) (1) in effect as of July 25, 2011.</w:t>
      </w:r>
      <w:r w:rsidR="00EF3770">
        <w:rPr>
          <w:rFonts w:ascii="Calibri" w:hAnsi="Calibri" w:cs="Helv"/>
          <w:bCs/>
          <w:color w:val="000000"/>
        </w:rPr>
        <w:t>”</w:t>
      </w:r>
    </w:p>
    <w:p w14:paraId="10EC6609" w14:textId="77777777" w:rsidR="00EF3770" w:rsidRDefault="00EF3770" w:rsidP="00EF3770">
      <w:pPr>
        <w:autoSpaceDE w:val="0"/>
        <w:autoSpaceDN w:val="0"/>
        <w:adjustRightInd w:val="0"/>
        <w:ind w:firstLine="720"/>
        <w:rPr>
          <w:rFonts w:ascii="Calibri" w:hAnsi="Calibri" w:cs="Helv"/>
          <w:bCs/>
          <w:color w:val="000000"/>
        </w:rPr>
      </w:pPr>
    </w:p>
    <w:p w14:paraId="58130FF4" w14:textId="77777777" w:rsidR="006926C3" w:rsidRDefault="003F409E" w:rsidP="006926C3">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In the </w:t>
      </w:r>
      <w:r w:rsidRPr="003F409E">
        <w:rPr>
          <w:rFonts w:ascii="Calibri" w:hAnsi="Calibri" w:cs="Helv"/>
          <w:bCs/>
          <w:i/>
          <w:color w:val="000000"/>
        </w:rPr>
        <w:t>Johnson</w:t>
      </w:r>
      <w:r>
        <w:rPr>
          <w:rFonts w:ascii="Calibri" w:hAnsi="Calibri" w:cs="Helv"/>
          <w:bCs/>
          <w:color w:val="000000"/>
        </w:rPr>
        <w:t xml:space="preserve"> case, the trustee was obviously impermissibly </w:t>
      </w:r>
      <w:r w:rsidR="008A03D3">
        <w:rPr>
          <w:rFonts w:ascii="Calibri" w:hAnsi="Calibri" w:cs="Helv"/>
          <w:bCs/>
          <w:color w:val="000000"/>
        </w:rPr>
        <w:t>decanting to enact</w:t>
      </w:r>
      <w:r>
        <w:rPr>
          <w:rFonts w:ascii="Calibri" w:hAnsi="Calibri" w:cs="Helv"/>
          <w:bCs/>
          <w:color w:val="000000"/>
        </w:rPr>
        <w:t xml:space="preserve"> the settlor-father of </w:t>
      </w:r>
      <w:r w:rsidR="008A03D3">
        <w:rPr>
          <w:rFonts w:ascii="Calibri" w:hAnsi="Calibri" w:cs="Helv"/>
          <w:bCs/>
          <w:color w:val="000000"/>
        </w:rPr>
        <w:t>the beneficiary-</w:t>
      </w:r>
      <w:r>
        <w:rPr>
          <w:rFonts w:ascii="Calibri" w:hAnsi="Calibri" w:cs="Helv"/>
          <w:bCs/>
          <w:color w:val="000000"/>
        </w:rPr>
        <w:t>daughter’s wishes</w:t>
      </w:r>
      <w:r w:rsidR="00EC1E1E">
        <w:rPr>
          <w:rFonts w:ascii="Calibri" w:hAnsi="Calibri" w:cs="Helv"/>
          <w:bCs/>
          <w:color w:val="000000"/>
        </w:rPr>
        <w:t xml:space="preserve"> at the potential expense of the settlor-mother’s and daughter’s family</w:t>
      </w:r>
      <w:r>
        <w:rPr>
          <w:rFonts w:ascii="Calibri" w:hAnsi="Calibri" w:cs="Helv"/>
          <w:bCs/>
          <w:color w:val="000000"/>
        </w:rPr>
        <w:t>, rather than acting for the best intere</w:t>
      </w:r>
      <w:r w:rsidR="00EC1E1E">
        <w:rPr>
          <w:rFonts w:ascii="Calibri" w:hAnsi="Calibri" w:cs="Helv"/>
          <w:bCs/>
          <w:color w:val="000000"/>
        </w:rPr>
        <w:t xml:space="preserve">st of the daughter-beneficiary.  </w:t>
      </w:r>
      <w:r w:rsidR="00EF3770">
        <w:rPr>
          <w:rFonts w:ascii="Calibri" w:hAnsi="Calibri" w:cs="Helv"/>
          <w:bCs/>
          <w:color w:val="000000"/>
        </w:rPr>
        <w:t>Let’</w:t>
      </w:r>
      <w:r>
        <w:rPr>
          <w:rFonts w:ascii="Calibri" w:hAnsi="Calibri" w:cs="Helv"/>
          <w:bCs/>
          <w:color w:val="000000"/>
        </w:rPr>
        <w:t xml:space="preserve">s glean some lessons from this case </w:t>
      </w:r>
      <w:r w:rsidR="002743F1">
        <w:rPr>
          <w:rFonts w:ascii="Calibri" w:hAnsi="Calibri" w:cs="Helv"/>
          <w:bCs/>
          <w:color w:val="000000"/>
        </w:rPr>
        <w:t>to inform</w:t>
      </w:r>
      <w:r>
        <w:rPr>
          <w:rFonts w:ascii="Calibri" w:hAnsi="Calibri" w:cs="Helv"/>
          <w:bCs/>
          <w:color w:val="000000"/>
        </w:rPr>
        <w:t xml:space="preserve"> the broader area of using </w:t>
      </w:r>
      <w:r>
        <w:rPr>
          <w:rFonts w:ascii="Calibri" w:hAnsi="Calibri" w:cs="Helv"/>
          <w:bCs/>
          <w:color w:val="000000"/>
        </w:rPr>
        <w:lastRenderedPageBreak/>
        <w:t xml:space="preserve">decanting powers to add limited or general powers of appointment for income tax </w:t>
      </w:r>
      <w:r w:rsidR="00EC1E1E">
        <w:rPr>
          <w:rFonts w:ascii="Calibri" w:hAnsi="Calibri" w:cs="Helv"/>
          <w:bCs/>
          <w:color w:val="000000"/>
        </w:rPr>
        <w:t xml:space="preserve">shifting and </w:t>
      </w:r>
      <w:r>
        <w:rPr>
          <w:rFonts w:ascii="Calibri" w:hAnsi="Calibri" w:cs="Helv"/>
          <w:bCs/>
          <w:color w:val="000000"/>
        </w:rPr>
        <w:t xml:space="preserve">basis purposes.  First, if the decanting merely adds a </w:t>
      </w:r>
      <w:r w:rsidR="00EC1E1E">
        <w:rPr>
          <w:rFonts w:ascii="Calibri" w:hAnsi="Calibri" w:cs="Helv"/>
          <w:bCs/>
          <w:color w:val="000000"/>
        </w:rPr>
        <w:t xml:space="preserve">testamentary </w:t>
      </w:r>
      <w:r>
        <w:rPr>
          <w:rFonts w:ascii="Calibri" w:hAnsi="Calibri" w:cs="Helv"/>
          <w:bCs/>
          <w:color w:val="000000"/>
        </w:rPr>
        <w:t>limited power of appointment that permits triggering the Delaware Tax Trap in favor of trusts for existing takers in default, this is unlikely to offend most</w:t>
      </w:r>
      <w:r w:rsidR="00726267">
        <w:rPr>
          <w:rFonts w:ascii="Calibri" w:hAnsi="Calibri" w:cs="Helv"/>
          <w:bCs/>
          <w:color w:val="000000"/>
        </w:rPr>
        <w:t>,</w:t>
      </w:r>
      <w:r>
        <w:rPr>
          <w:rFonts w:ascii="Calibri" w:hAnsi="Calibri" w:cs="Helv"/>
          <w:bCs/>
          <w:color w:val="000000"/>
        </w:rPr>
        <w:t xml:space="preserve"> </w:t>
      </w:r>
      <w:r w:rsidR="00EC1E1E">
        <w:rPr>
          <w:rFonts w:ascii="Calibri" w:hAnsi="Calibri" w:cs="Helv"/>
          <w:bCs/>
          <w:color w:val="000000"/>
        </w:rPr>
        <w:t>if not all</w:t>
      </w:r>
      <w:r w:rsidR="00726267">
        <w:rPr>
          <w:rFonts w:ascii="Calibri" w:hAnsi="Calibri" w:cs="Helv"/>
          <w:bCs/>
          <w:color w:val="000000"/>
        </w:rPr>
        <w:t>,</w:t>
      </w:r>
      <w:r w:rsidR="00EC1E1E">
        <w:rPr>
          <w:rFonts w:ascii="Calibri" w:hAnsi="Calibri" w:cs="Helv"/>
          <w:bCs/>
          <w:color w:val="000000"/>
        </w:rPr>
        <w:t xml:space="preserve"> </w:t>
      </w:r>
      <w:r>
        <w:rPr>
          <w:rFonts w:ascii="Calibri" w:hAnsi="Calibri" w:cs="Helv"/>
          <w:bCs/>
          <w:color w:val="000000"/>
        </w:rPr>
        <w:t xml:space="preserve">state decanting statutes.  However, </w:t>
      </w:r>
      <w:r w:rsidR="006926C3">
        <w:rPr>
          <w:rFonts w:ascii="Calibri" w:hAnsi="Calibri" w:cs="Helv"/>
          <w:bCs/>
          <w:color w:val="000000"/>
        </w:rPr>
        <w:t xml:space="preserve">depending on the state decanting statute, adding a </w:t>
      </w:r>
      <w:r w:rsidR="006926C3" w:rsidRPr="002743F1">
        <w:rPr>
          <w:rFonts w:ascii="Calibri" w:hAnsi="Calibri" w:cs="Helv"/>
          <w:bCs/>
          <w:i/>
          <w:color w:val="000000"/>
        </w:rPr>
        <w:t>general</w:t>
      </w:r>
      <w:r w:rsidR="006926C3">
        <w:rPr>
          <w:rFonts w:ascii="Calibri" w:hAnsi="Calibri" w:cs="Helv"/>
          <w:bCs/>
          <w:color w:val="000000"/>
        </w:rPr>
        <w:t xml:space="preserve"> testamentary power of appointment might, since this would be broader than the takers in default (as </w:t>
      </w:r>
      <w:r w:rsidR="002743F1">
        <w:rPr>
          <w:rFonts w:ascii="Calibri" w:hAnsi="Calibri" w:cs="Helv"/>
          <w:bCs/>
          <w:color w:val="000000"/>
        </w:rPr>
        <w:t xml:space="preserve">in </w:t>
      </w:r>
      <w:r w:rsidR="006926C3">
        <w:rPr>
          <w:rFonts w:ascii="Calibri" w:hAnsi="Calibri" w:cs="Helv"/>
          <w:bCs/>
          <w:color w:val="000000"/>
        </w:rPr>
        <w:t xml:space="preserve">the </w:t>
      </w:r>
      <w:r w:rsidR="006926C3" w:rsidRPr="006926C3">
        <w:rPr>
          <w:rFonts w:ascii="Calibri" w:hAnsi="Calibri" w:cs="Helv"/>
          <w:bCs/>
          <w:i/>
          <w:color w:val="000000"/>
        </w:rPr>
        <w:t>Johnson</w:t>
      </w:r>
      <w:r w:rsidR="006926C3">
        <w:rPr>
          <w:rFonts w:ascii="Calibri" w:hAnsi="Calibri" w:cs="Helv"/>
          <w:bCs/>
          <w:color w:val="000000"/>
        </w:rPr>
        <w:t xml:space="preserve"> case above).  Many states’ decanting statutes, however, clearly permit this – here is Ohio’s: </w:t>
      </w:r>
    </w:p>
    <w:p w14:paraId="6E57F5AE" w14:textId="77777777" w:rsidR="006926C3" w:rsidRPr="006926C3" w:rsidRDefault="00726267" w:rsidP="006926C3">
      <w:pPr>
        <w:autoSpaceDE w:val="0"/>
        <w:autoSpaceDN w:val="0"/>
        <w:adjustRightInd w:val="0"/>
        <w:ind w:left="720"/>
        <w:rPr>
          <w:rFonts w:ascii="Calibri" w:hAnsi="Calibri" w:cs="Helv"/>
          <w:bCs/>
          <w:color w:val="000000"/>
        </w:rPr>
      </w:pPr>
      <w:r>
        <w:rPr>
          <w:rFonts w:ascii="Calibri" w:hAnsi="Calibri" w:cs="Helv"/>
          <w:bCs/>
          <w:color w:val="000000"/>
        </w:rPr>
        <w:t>“</w:t>
      </w:r>
      <w:r w:rsidR="006926C3" w:rsidRPr="006926C3">
        <w:rPr>
          <w:rFonts w:ascii="Calibri" w:hAnsi="Calibri" w:cs="Helv"/>
          <w:bCs/>
          <w:color w:val="000000"/>
        </w:rPr>
        <w:t>(3) If property is distributed pursuant to the authority described in division (A) of this section, the governing instrument for the second trust may do either or both of the following:</w:t>
      </w:r>
    </w:p>
    <w:p w14:paraId="3F78FF95" w14:textId="77777777" w:rsidR="00EF3770" w:rsidRDefault="006926C3" w:rsidP="006926C3">
      <w:pPr>
        <w:autoSpaceDE w:val="0"/>
        <w:autoSpaceDN w:val="0"/>
        <w:adjustRightInd w:val="0"/>
        <w:ind w:left="720"/>
        <w:rPr>
          <w:rFonts w:ascii="Calibri" w:hAnsi="Calibri" w:cs="Helv"/>
          <w:bCs/>
          <w:color w:val="000000"/>
        </w:rPr>
      </w:pPr>
      <w:r w:rsidRPr="006926C3">
        <w:rPr>
          <w:rFonts w:ascii="Calibri" w:hAnsi="Calibri" w:cs="Helv"/>
          <w:bCs/>
          <w:color w:val="000000"/>
        </w:rPr>
        <w:t xml:space="preserve">(a) </w:t>
      </w:r>
      <w:r w:rsidRPr="00F022E0">
        <w:rPr>
          <w:rFonts w:ascii="Calibri" w:hAnsi="Calibri" w:cs="Helv"/>
          <w:bCs/>
          <w:i/>
          <w:color w:val="000000"/>
        </w:rPr>
        <w:t>Grant a power of appointment to one or more of the beneficiaries for whose benefit the property was so distributed, including a power to appoint trust property to the power holder, the power holder's creditors, the power holder's estate, the creditors of the power holder's estate, or any other person, whether or not that person is a beneficiary of the first trust or the second trust</w:t>
      </w:r>
      <w:r w:rsidRPr="006926C3">
        <w:rPr>
          <w:rFonts w:ascii="Calibri" w:hAnsi="Calibri" w:cs="Helv"/>
          <w:bCs/>
          <w:color w:val="000000"/>
        </w:rPr>
        <w:t>;</w:t>
      </w:r>
      <w:r w:rsidR="00726267">
        <w:rPr>
          <w:rFonts w:ascii="Calibri" w:hAnsi="Calibri" w:cs="Helv"/>
          <w:bCs/>
          <w:color w:val="000000"/>
        </w:rPr>
        <w:t>”</w:t>
      </w:r>
      <w:r w:rsidR="003774C9">
        <w:rPr>
          <w:rStyle w:val="FootnoteReference"/>
          <w:rFonts w:ascii="Calibri" w:hAnsi="Calibri" w:cs="Helv"/>
          <w:bCs/>
          <w:color w:val="000000"/>
        </w:rPr>
        <w:footnoteReference w:id="374"/>
      </w:r>
    </w:p>
    <w:p w14:paraId="1C99B85F" w14:textId="77777777" w:rsidR="00EF3770" w:rsidRDefault="00EF3770" w:rsidP="00EF3770">
      <w:pPr>
        <w:autoSpaceDE w:val="0"/>
        <w:autoSpaceDN w:val="0"/>
        <w:adjustRightInd w:val="0"/>
        <w:ind w:firstLine="720"/>
        <w:rPr>
          <w:rFonts w:ascii="Calibri" w:hAnsi="Calibri" w:cs="Helv"/>
          <w:bCs/>
          <w:color w:val="000000"/>
        </w:rPr>
      </w:pPr>
    </w:p>
    <w:p w14:paraId="5042C331" w14:textId="77777777" w:rsidR="00F022E0" w:rsidRDefault="00F022E0" w:rsidP="00F022E0">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Thus, the ultimate lesson is to verify </w:t>
      </w:r>
      <w:r w:rsidR="00D60508">
        <w:rPr>
          <w:rFonts w:ascii="Calibri" w:hAnsi="Calibri" w:cs="Helv"/>
          <w:bCs/>
          <w:color w:val="000000"/>
        </w:rPr>
        <w:t xml:space="preserve">that </w:t>
      </w:r>
      <w:r>
        <w:rPr>
          <w:rFonts w:ascii="Calibri" w:hAnsi="Calibri" w:cs="Helv"/>
          <w:bCs/>
          <w:color w:val="000000"/>
        </w:rPr>
        <w:t>your applicable state statute clearly permits adding a general testamentary power of appointment</w:t>
      </w:r>
      <w:r w:rsidR="00EC1E1E">
        <w:rPr>
          <w:rFonts w:ascii="Calibri" w:hAnsi="Calibri" w:cs="Helv"/>
          <w:bCs/>
          <w:color w:val="000000"/>
        </w:rPr>
        <w:t xml:space="preserve"> or lifetime limited power of appointment</w:t>
      </w:r>
      <w:r>
        <w:rPr>
          <w:rFonts w:ascii="Calibri" w:hAnsi="Calibri" w:cs="Helv"/>
          <w:bCs/>
          <w:color w:val="000000"/>
        </w:rPr>
        <w:t>, and if not, change the applicable situs and law to one that does</w:t>
      </w:r>
      <w:r w:rsidR="00D60508">
        <w:rPr>
          <w:rFonts w:ascii="Calibri" w:hAnsi="Calibri" w:cs="Helv"/>
          <w:bCs/>
          <w:color w:val="000000"/>
        </w:rPr>
        <w:t>.  Many decanting statutes permit usage if administration is done in that state (e.g. Ohio) – a trustee could hire an agent such as a bank/trust company to help administer in such a state</w:t>
      </w:r>
      <w:r>
        <w:rPr>
          <w:rFonts w:ascii="Calibri" w:hAnsi="Calibri" w:cs="Helv"/>
          <w:bCs/>
          <w:color w:val="000000"/>
        </w:rPr>
        <w:t>.</w:t>
      </w:r>
    </w:p>
    <w:p w14:paraId="2C470EDC" w14:textId="77777777" w:rsidR="001C7F5A" w:rsidRDefault="001C7F5A" w:rsidP="001C7F5A">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Also note that while the IRS generally has no issue with decantings that effect mere administrative changes and will still issue PLRs in that area, it is studying the potential tax effects of decanting and “will not </w:t>
      </w:r>
      <w:r w:rsidRPr="001C7F5A">
        <w:rPr>
          <w:rFonts w:ascii="Calibri" w:hAnsi="Calibri" w:cs="Helv"/>
          <w:bCs/>
          <w:color w:val="000000"/>
        </w:rPr>
        <w:t>issue private letter rulings (PLRs) with respect to such transfers that result in a change</w:t>
      </w:r>
      <w:r>
        <w:rPr>
          <w:rFonts w:ascii="Calibri" w:hAnsi="Calibri" w:cs="Helv"/>
          <w:bCs/>
          <w:color w:val="000000"/>
        </w:rPr>
        <w:t xml:space="preserve"> </w:t>
      </w:r>
      <w:r w:rsidRPr="001C7F5A">
        <w:rPr>
          <w:rFonts w:ascii="Calibri" w:hAnsi="Calibri" w:cs="Helv"/>
          <w:bCs/>
          <w:color w:val="000000"/>
        </w:rPr>
        <w:t>in beneficial interests. See Sections 5.09, 5.16, and 5.17 of Rev. Proc. 2011-3, 2011-1</w:t>
      </w:r>
      <w:r>
        <w:rPr>
          <w:rFonts w:ascii="Calibri" w:hAnsi="Calibri" w:cs="Helv"/>
          <w:bCs/>
          <w:color w:val="000000"/>
        </w:rPr>
        <w:t xml:space="preserve"> </w:t>
      </w:r>
      <w:r w:rsidRPr="001C7F5A">
        <w:rPr>
          <w:rFonts w:ascii="Calibri" w:hAnsi="Calibri" w:cs="Helv"/>
          <w:bCs/>
          <w:color w:val="000000"/>
        </w:rPr>
        <w:t>I.R.B. 111.</w:t>
      </w:r>
      <w:r>
        <w:rPr>
          <w:rFonts w:ascii="Calibri" w:hAnsi="Calibri" w:cs="Helv"/>
          <w:bCs/>
          <w:color w:val="000000"/>
        </w:rPr>
        <w:t>”</w:t>
      </w:r>
      <w:r>
        <w:rPr>
          <w:rStyle w:val="FootnoteReference"/>
          <w:rFonts w:ascii="Calibri" w:hAnsi="Calibri" w:cs="Helv"/>
          <w:bCs/>
          <w:color w:val="000000"/>
        </w:rPr>
        <w:footnoteReference w:id="375"/>
      </w:r>
    </w:p>
    <w:p w14:paraId="722BBE90" w14:textId="77777777" w:rsidR="005D22E0" w:rsidRDefault="005D22E0" w:rsidP="00726267">
      <w:pPr>
        <w:autoSpaceDE w:val="0"/>
        <w:autoSpaceDN w:val="0"/>
        <w:adjustRightInd w:val="0"/>
        <w:spacing w:line="360" w:lineRule="auto"/>
        <w:ind w:firstLine="720"/>
        <w:rPr>
          <w:rFonts w:ascii="Calibri" w:hAnsi="Calibri" w:cs="Helv"/>
          <w:b/>
          <w:bCs/>
          <w:color w:val="000000"/>
        </w:rPr>
      </w:pPr>
      <w:r>
        <w:rPr>
          <w:rFonts w:ascii="Calibri" w:hAnsi="Calibri" w:cs="Helv"/>
          <w:bCs/>
          <w:color w:val="000000"/>
        </w:rPr>
        <w:t xml:space="preserve">Further, while this paper generally avoids the topic of Medicaid/special needs trusts, decanting may be an ideal solution for converting what may eventually become an available </w:t>
      </w:r>
      <w:r>
        <w:rPr>
          <w:rFonts w:ascii="Calibri" w:hAnsi="Calibri" w:cs="Helv"/>
          <w:bCs/>
          <w:color w:val="000000"/>
        </w:rPr>
        <w:lastRenderedPageBreak/>
        <w:t>resource to a beneficiary into a third</w:t>
      </w:r>
      <w:r w:rsidR="00DE5A25">
        <w:rPr>
          <w:rFonts w:ascii="Calibri" w:hAnsi="Calibri" w:cs="Helv"/>
          <w:bCs/>
          <w:color w:val="000000"/>
        </w:rPr>
        <w:t>-</w:t>
      </w:r>
      <w:r>
        <w:rPr>
          <w:rFonts w:ascii="Calibri" w:hAnsi="Calibri" w:cs="Helv"/>
          <w:bCs/>
          <w:color w:val="000000"/>
        </w:rPr>
        <w:t>party special needs trust that is excluded as an available resource.</w:t>
      </w:r>
      <w:r>
        <w:rPr>
          <w:rStyle w:val="FootnoteReference"/>
          <w:rFonts w:ascii="Calibri" w:hAnsi="Calibri" w:cs="Helv"/>
          <w:bCs/>
          <w:color w:val="000000"/>
        </w:rPr>
        <w:footnoteReference w:id="376"/>
      </w:r>
      <w:r>
        <w:rPr>
          <w:rFonts w:ascii="Calibri" w:hAnsi="Calibri" w:cs="Helv"/>
          <w:b/>
          <w:bCs/>
          <w:color w:val="000000"/>
        </w:rPr>
        <w:br w:type="page"/>
      </w:r>
    </w:p>
    <w:p w14:paraId="47722C4A" w14:textId="77777777" w:rsidR="00F80475" w:rsidRPr="00F80475" w:rsidRDefault="00A30459" w:rsidP="00F80475">
      <w:pPr>
        <w:pStyle w:val="ListParagraph"/>
        <w:numPr>
          <w:ilvl w:val="0"/>
          <w:numId w:val="23"/>
        </w:numPr>
        <w:autoSpaceDE w:val="0"/>
        <w:autoSpaceDN w:val="0"/>
        <w:adjustRightInd w:val="0"/>
        <w:spacing w:line="360" w:lineRule="auto"/>
        <w:rPr>
          <w:rFonts w:ascii="Calibri" w:hAnsi="Calibri" w:cs="Helv"/>
          <w:b/>
          <w:bCs/>
          <w:color w:val="000000"/>
        </w:rPr>
      </w:pPr>
      <w:r w:rsidRPr="00F80475">
        <w:rPr>
          <w:rFonts w:ascii="Calibri" w:hAnsi="Calibri" w:cs="Helv"/>
          <w:b/>
          <w:bCs/>
          <w:color w:val="000000"/>
        </w:rPr>
        <w:lastRenderedPageBreak/>
        <w:t>Why legitimate modifications are superior to “self-help” terminations</w:t>
      </w:r>
      <w:r w:rsidR="00521557">
        <w:rPr>
          <w:rFonts w:ascii="Calibri" w:hAnsi="Calibri" w:cs="Helv"/>
          <w:b/>
          <w:bCs/>
          <w:color w:val="000000"/>
        </w:rPr>
        <w:t>/distributions</w:t>
      </w:r>
    </w:p>
    <w:p w14:paraId="0219F5F1" w14:textId="77777777" w:rsidR="00A16DB9" w:rsidRDefault="00A30459" w:rsidP="00A30459">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Speaking around the country on this topic, one hears </w:t>
      </w:r>
      <w:r w:rsidR="00D07070">
        <w:rPr>
          <w:rFonts w:ascii="Calibri" w:hAnsi="Calibri" w:cs="Helv"/>
          <w:bCs/>
          <w:color w:val="000000"/>
        </w:rPr>
        <w:t xml:space="preserve">plenty of </w:t>
      </w:r>
      <w:r>
        <w:rPr>
          <w:rFonts w:ascii="Calibri" w:hAnsi="Calibri" w:cs="Helv"/>
          <w:bCs/>
          <w:color w:val="000000"/>
        </w:rPr>
        <w:t xml:space="preserve">anecdotal evidence of families </w:t>
      </w:r>
      <w:r w:rsidR="009168F2">
        <w:rPr>
          <w:rFonts w:ascii="Calibri" w:hAnsi="Calibri" w:cs="Helv"/>
          <w:bCs/>
          <w:color w:val="000000"/>
        </w:rPr>
        <w:t xml:space="preserve">with individual trustees </w:t>
      </w:r>
      <w:r>
        <w:rPr>
          <w:rFonts w:ascii="Calibri" w:hAnsi="Calibri" w:cs="Helv"/>
          <w:bCs/>
          <w:color w:val="000000"/>
        </w:rPr>
        <w:t>simply terminating AB trusts where there is no estate tax concern – the</w:t>
      </w:r>
      <w:r w:rsidR="00F80475">
        <w:rPr>
          <w:rFonts w:ascii="Calibri" w:hAnsi="Calibri" w:cs="Helv"/>
          <w:bCs/>
          <w:color w:val="000000"/>
        </w:rPr>
        <w:t>ir</w:t>
      </w:r>
      <w:r>
        <w:rPr>
          <w:rFonts w:ascii="Calibri" w:hAnsi="Calibri" w:cs="Helv"/>
          <w:bCs/>
          <w:color w:val="000000"/>
        </w:rPr>
        <w:t xml:space="preserve"> question being</w:t>
      </w:r>
      <w:r w:rsidR="009F6759">
        <w:rPr>
          <w:rFonts w:ascii="Calibri" w:hAnsi="Calibri" w:cs="Helv"/>
          <w:bCs/>
          <w:color w:val="000000"/>
        </w:rPr>
        <w:t>,</w:t>
      </w:r>
      <w:r>
        <w:rPr>
          <w:rFonts w:ascii="Calibri" w:hAnsi="Calibri" w:cs="Helv"/>
          <w:bCs/>
          <w:color w:val="000000"/>
        </w:rPr>
        <w:t xml:space="preserve"> “</w:t>
      </w:r>
      <w:r w:rsidRPr="00D07070">
        <w:rPr>
          <w:rFonts w:ascii="Calibri" w:hAnsi="Calibri" w:cs="Helv"/>
          <w:bCs/>
          <w:color w:val="000000"/>
        </w:rPr>
        <w:t>so what</w:t>
      </w:r>
      <w:r>
        <w:rPr>
          <w:rFonts w:ascii="Calibri" w:hAnsi="Calibri" w:cs="Helv"/>
          <w:bCs/>
          <w:color w:val="000000"/>
        </w:rPr>
        <w:t xml:space="preserve"> if we just terminate the trust</w:t>
      </w:r>
      <w:r w:rsidR="00D07070">
        <w:rPr>
          <w:rFonts w:ascii="Calibri" w:hAnsi="Calibri" w:cs="Helv"/>
          <w:bCs/>
          <w:color w:val="000000"/>
        </w:rPr>
        <w:t xml:space="preserve"> without all your expensive </w:t>
      </w:r>
      <w:r w:rsidR="00D07070" w:rsidRPr="00D07070">
        <w:rPr>
          <w:rFonts w:ascii="Calibri" w:hAnsi="Calibri" w:cs="Helv"/>
          <w:bCs/>
          <w:i/>
          <w:color w:val="000000"/>
        </w:rPr>
        <w:t>lawyering</w:t>
      </w:r>
      <w:r>
        <w:rPr>
          <w:rFonts w:ascii="Calibri" w:hAnsi="Calibri" w:cs="Helv"/>
          <w:bCs/>
          <w:color w:val="000000"/>
        </w:rPr>
        <w:t>?”  Despite all the asset protection concerns, and remote concerns of grandchildren suing their parents, etc</w:t>
      </w:r>
      <w:r w:rsidR="009168F2">
        <w:rPr>
          <w:rFonts w:ascii="Calibri" w:hAnsi="Calibri" w:cs="Helv"/>
          <w:bCs/>
          <w:color w:val="000000"/>
        </w:rPr>
        <w:t>.</w:t>
      </w:r>
      <w:r>
        <w:rPr>
          <w:rFonts w:ascii="Calibri" w:hAnsi="Calibri" w:cs="Helv"/>
          <w:bCs/>
          <w:color w:val="000000"/>
        </w:rPr>
        <w:t>, this may not lead to the estate inclusion/step up that families believe they would achieve, since it may be void.</w:t>
      </w:r>
      <w:r>
        <w:rPr>
          <w:rStyle w:val="FootnoteReference"/>
          <w:rFonts w:ascii="Calibri" w:hAnsi="Calibri" w:cs="Helv"/>
          <w:bCs/>
          <w:color w:val="000000"/>
        </w:rPr>
        <w:footnoteReference w:id="377"/>
      </w:r>
      <w:r w:rsidR="00F01CF0">
        <w:rPr>
          <w:rFonts w:ascii="Calibri" w:hAnsi="Calibri" w:cs="Helv"/>
          <w:bCs/>
          <w:color w:val="000000"/>
        </w:rPr>
        <w:t xml:space="preserve">  </w:t>
      </w:r>
    </w:p>
    <w:p w14:paraId="56CFDFAE" w14:textId="77777777" w:rsidR="00D07070" w:rsidRDefault="00A16DB9" w:rsidP="00A30459">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Let’s explore a common example of this and how a savvy IRS agent</w:t>
      </w:r>
      <w:r w:rsidR="00AE6EC6">
        <w:rPr>
          <w:rFonts w:ascii="Calibri" w:hAnsi="Calibri" w:cs="Helv"/>
          <w:bCs/>
          <w:color w:val="000000"/>
        </w:rPr>
        <w:t xml:space="preserve"> or tax court</w:t>
      </w:r>
      <w:r>
        <w:rPr>
          <w:rFonts w:ascii="Calibri" w:hAnsi="Calibri" w:cs="Helv"/>
          <w:bCs/>
          <w:color w:val="000000"/>
        </w:rPr>
        <w:t xml:space="preserve"> may attack it.  Mom is a widow and ben</w:t>
      </w:r>
      <w:r w:rsidR="00AE6EC6">
        <w:rPr>
          <w:rFonts w:ascii="Calibri" w:hAnsi="Calibri" w:cs="Helv"/>
          <w:bCs/>
          <w:color w:val="000000"/>
        </w:rPr>
        <w:t>eficiary of a bypass trust of $2</w:t>
      </w:r>
      <w:r>
        <w:rPr>
          <w:rFonts w:ascii="Calibri" w:hAnsi="Calibri" w:cs="Helv"/>
          <w:bCs/>
          <w:color w:val="000000"/>
        </w:rPr>
        <w:t xml:space="preserve"> million</w:t>
      </w:r>
      <w:r w:rsidR="00D07070">
        <w:rPr>
          <w:rFonts w:ascii="Calibri" w:hAnsi="Calibri" w:cs="Helv"/>
          <w:bCs/>
          <w:color w:val="000000"/>
        </w:rPr>
        <w:t xml:space="preserve"> (probably trustee or co-trustee as well)</w:t>
      </w:r>
      <w:r>
        <w:rPr>
          <w:rFonts w:ascii="Calibri" w:hAnsi="Calibri" w:cs="Helv"/>
          <w:bCs/>
          <w:color w:val="000000"/>
        </w:rPr>
        <w:t xml:space="preserve">.  Her other assets are well under $1 million and there are no plans to move to a state with an estate tax.  </w:t>
      </w:r>
      <w:r w:rsidR="000D0F39">
        <w:rPr>
          <w:rFonts w:ascii="Calibri" w:hAnsi="Calibri" w:cs="Helv"/>
          <w:bCs/>
          <w:color w:val="000000"/>
        </w:rPr>
        <w:t>Mom and h</w:t>
      </w:r>
      <w:r>
        <w:rPr>
          <w:rFonts w:ascii="Calibri" w:hAnsi="Calibri" w:cs="Helv"/>
          <w:bCs/>
          <w:color w:val="000000"/>
        </w:rPr>
        <w:t>er children</w:t>
      </w:r>
      <w:r w:rsidR="000D0F39">
        <w:rPr>
          <w:rFonts w:ascii="Calibri" w:hAnsi="Calibri" w:cs="Helv"/>
          <w:bCs/>
          <w:color w:val="000000"/>
        </w:rPr>
        <w:t xml:space="preserve"> agree</w:t>
      </w:r>
      <w:r>
        <w:rPr>
          <w:rFonts w:ascii="Calibri" w:hAnsi="Calibri" w:cs="Helv"/>
          <w:bCs/>
          <w:color w:val="000000"/>
        </w:rPr>
        <w:t xml:space="preserve"> to simply terminate the trust</w:t>
      </w:r>
      <w:r w:rsidR="00AE6EC6">
        <w:rPr>
          <w:rFonts w:ascii="Calibri" w:hAnsi="Calibri" w:cs="Helv"/>
          <w:bCs/>
          <w:color w:val="000000"/>
        </w:rPr>
        <w:t xml:space="preserve"> by distributing all the assets to her</w:t>
      </w:r>
      <w:r>
        <w:rPr>
          <w:rFonts w:ascii="Calibri" w:hAnsi="Calibri" w:cs="Helv"/>
          <w:bCs/>
          <w:color w:val="000000"/>
        </w:rPr>
        <w:t>, despite ascertainable standards limiting her distributions</w:t>
      </w:r>
      <w:r w:rsidR="00AE6EC6">
        <w:rPr>
          <w:rFonts w:ascii="Calibri" w:hAnsi="Calibri" w:cs="Helv"/>
          <w:bCs/>
          <w:color w:val="000000"/>
        </w:rPr>
        <w:t xml:space="preserve"> to health and support needs</w:t>
      </w:r>
      <w:r w:rsidR="009F6759">
        <w:rPr>
          <w:rFonts w:ascii="Calibri" w:hAnsi="Calibri" w:cs="Helv"/>
          <w:bCs/>
          <w:color w:val="000000"/>
        </w:rPr>
        <w:t xml:space="preserve"> only</w:t>
      </w:r>
      <w:r w:rsidR="00AE6EC6">
        <w:rPr>
          <w:rFonts w:ascii="Calibri" w:hAnsi="Calibri" w:cs="Helv"/>
          <w:bCs/>
          <w:color w:val="000000"/>
        </w:rPr>
        <w:t>, and she does so</w:t>
      </w:r>
      <w:r w:rsidR="00103098">
        <w:rPr>
          <w:rFonts w:ascii="Calibri" w:hAnsi="Calibri" w:cs="Helv"/>
          <w:bCs/>
          <w:color w:val="000000"/>
        </w:rPr>
        <w:t xml:space="preserve"> – let’s examine two tax scenarios – in the first mom gets $1.6 million and the kids $400,000, in the second mom gets all $2 million</w:t>
      </w:r>
      <w:r w:rsidR="00AE6EC6">
        <w:rPr>
          <w:rFonts w:ascii="Calibri" w:hAnsi="Calibri" w:cs="Helv"/>
          <w:bCs/>
          <w:color w:val="000000"/>
        </w:rPr>
        <w:t xml:space="preserve">.  </w:t>
      </w:r>
    </w:p>
    <w:p w14:paraId="7FC50327" w14:textId="77777777" w:rsidR="00103098" w:rsidRDefault="00103098" w:rsidP="00A30459">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In the former scenario, such a</w:t>
      </w:r>
      <w:r w:rsidR="003A007C">
        <w:rPr>
          <w:rFonts w:ascii="Calibri" w:hAnsi="Calibri" w:cs="Helv"/>
          <w:bCs/>
          <w:color w:val="000000"/>
        </w:rPr>
        <w:t xml:space="preserve"> drastic change</w:t>
      </w:r>
      <w:r>
        <w:rPr>
          <w:rFonts w:ascii="Calibri" w:hAnsi="Calibri" w:cs="Helv"/>
          <w:bCs/>
          <w:color w:val="000000"/>
        </w:rPr>
        <w:t xml:space="preserve"> and quid pro quo</w:t>
      </w:r>
      <w:r w:rsidR="003A007C">
        <w:rPr>
          <w:rFonts w:ascii="Calibri" w:hAnsi="Calibri" w:cs="Helv"/>
          <w:bCs/>
          <w:color w:val="000000"/>
        </w:rPr>
        <w:t xml:space="preserve"> is much more like the </w:t>
      </w:r>
      <w:r w:rsidR="003A007C" w:rsidRPr="003A007C">
        <w:rPr>
          <w:rFonts w:ascii="Calibri" w:hAnsi="Calibri" w:cs="Helv"/>
          <w:bCs/>
          <w:i/>
          <w:color w:val="000000"/>
        </w:rPr>
        <w:t>Cottage Savings</w:t>
      </w:r>
      <w:r w:rsidR="003A007C">
        <w:rPr>
          <w:rFonts w:ascii="Calibri" w:hAnsi="Calibri" w:cs="Helv"/>
          <w:bCs/>
          <w:color w:val="000000"/>
        </w:rPr>
        <w:t xml:space="preserve"> and </w:t>
      </w:r>
      <w:r w:rsidR="003A007C" w:rsidRPr="003A007C">
        <w:rPr>
          <w:rFonts w:ascii="Calibri" w:hAnsi="Calibri" w:cs="Helv"/>
          <w:bCs/>
          <w:i/>
          <w:color w:val="000000"/>
        </w:rPr>
        <w:t>Evans</w:t>
      </w:r>
      <w:r w:rsidR="003A007C">
        <w:rPr>
          <w:rFonts w:ascii="Calibri" w:hAnsi="Calibri" w:cs="Helv"/>
          <w:bCs/>
          <w:color w:val="000000"/>
        </w:rPr>
        <w:t xml:space="preserve"> cases, and PLR 2002-31011 discussed in section g above, and is certainly not anywhere close to being a severance pursuant to the trust instrument or state law, as exempted in the safe harbor of Treas. Reg. §1.1001-1(h).  So, it’s altogether </w:t>
      </w:r>
      <w:r>
        <w:rPr>
          <w:rFonts w:ascii="Calibri" w:hAnsi="Calibri" w:cs="Helv"/>
          <w:bCs/>
          <w:color w:val="000000"/>
        </w:rPr>
        <w:t>probably</w:t>
      </w:r>
      <w:r w:rsidR="003A007C">
        <w:rPr>
          <w:rFonts w:ascii="Calibri" w:hAnsi="Calibri" w:cs="Helv"/>
          <w:bCs/>
          <w:color w:val="000000"/>
        </w:rPr>
        <w:t xml:space="preserve"> that the family just triggered income tax </w:t>
      </w:r>
      <w:r w:rsidR="00793BA2">
        <w:rPr>
          <w:rFonts w:ascii="Calibri" w:hAnsi="Calibri" w:cs="Helv"/>
          <w:bCs/>
          <w:color w:val="000000"/>
        </w:rPr>
        <w:t>pursuant to IRC §1001</w:t>
      </w:r>
      <w:r w:rsidR="003A007C">
        <w:rPr>
          <w:rFonts w:ascii="Calibri" w:hAnsi="Calibri" w:cs="Helv"/>
          <w:bCs/>
          <w:color w:val="000000"/>
        </w:rPr>
        <w:t>, overriding the general rules of Subchapter J</w:t>
      </w:r>
      <w:r w:rsidR="00793BA2">
        <w:rPr>
          <w:rFonts w:ascii="Calibri" w:hAnsi="Calibri" w:cs="Helv"/>
          <w:bCs/>
          <w:color w:val="000000"/>
        </w:rPr>
        <w:t>, which</w:t>
      </w:r>
      <w:r w:rsidR="003A007C">
        <w:rPr>
          <w:rFonts w:ascii="Calibri" w:hAnsi="Calibri" w:cs="Helv"/>
          <w:bCs/>
          <w:color w:val="000000"/>
        </w:rPr>
        <w:t xml:space="preserve"> would not </w:t>
      </w:r>
      <w:r>
        <w:rPr>
          <w:rFonts w:ascii="Calibri" w:hAnsi="Calibri" w:cs="Helv"/>
          <w:bCs/>
          <w:color w:val="000000"/>
        </w:rPr>
        <w:t xml:space="preserve">have </w:t>
      </w:r>
      <w:r w:rsidR="003A007C">
        <w:rPr>
          <w:rFonts w:ascii="Calibri" w:hAnsi="Calibri" w:cs="Helv"/>
          <w:bCs/>
          <w:color w:val="000000"/>
        </w:rPr>
        <w:t>usually trigger</w:t>
      </w:r>
      <w:r>
        <w:rPr>
          <w:rFonts w:ascii="Calibri" w:hAnsi="Calibri" w:cs="Helv"/>
          <w:bCs/>
          <w:color w:val="000000"/>
        </w:rPr>
        <w:t>ed</w:t>
      </w:r>
      <w:r w:rsidR="003A007C">
        <w:rPr>
          <w:rFonts w:ascii="Calibri" w:hAnsi="Calibri" w:cs="Helv"/>
          <w:bCs/>
          <w:color w:val="000000"/>
        </w:rPr>
        <w:t xml:space="preserve"> </w:t>
      </w:r>
      <w:r w:rsidR="009F6759">
        <w:rPr>
          <w:rFonts w:ascii="Calibri" w:hAnsi="Calibri" w:cs="Helv"/>
          <w:bCs/>
          <w:color w:val="000000"/>
        </w:rPr>
        <w:t xml:space="preserve">any </w:t>
      </w:r>
      <w:r w:rsidR="003A007C">
        <w:rPr>
          <w:rFonts w:ascii="Calibri" w:hAnsi="Calibri" w:cs="Helv"/>
          <w:bCs/>
          <w:color w:val="000000"/>
        </w:rPr>
        <w:t xml:space="preserve">gain upon </w:t>
      </w:r>
      <w:r w:rsidR="00793BA2">
        <w:rPr>
          <w:rFonts w:ascii="Calibri" w:hAnsi="Calibri" w:cs="Helv"/>
          <w:bCs/>
          <w:color w:val="000000"/>
        </w:rPr>
        <w:t>a valid terminating distribution</w:t>
      </w:r>
      <w:r w:rsidR="003A007C">
        <w:rPr>
          <w:rFonts w:ascii="Calibri" w:hAnsi="Calibri" w:cs="Helv"/>
          <w:bCs/>
          <w:color w:val="000000"/>
        </w:rPr>
        <w:t>.</w:t>
      </w:r>
      <w:r w:rsidR="00143A7F">
        <w:rPr>
          <w:rStyle w:val="FootnoteReference"/>
          <w:rFonts w:ascii="Calibri" w:hAnsi="Calibri" w:cs="Helv"/>
          <w:bCs/>
          <w:color w:val="000000"/>
        </w:rPr>
        <w:footnoteReference w:id="378"/>
      </w:r>
      <w:r w:rsidR="00793BA2">
        <w:rPr>
          <w:rFonts w:ascii="Calibri" w:hAnsi="Calibri" w:cs="Helv"/>
          <w:bCs/>
          <w:color w:val="000000"/>
        </w:rPr>
        <w:t xml:space="preserve">  This might not only involve long-term capital gains, but if part of the trust included non-Roth retirement plans payable to the trust, would a deemed “sale” trigger the </w:t>
      </w:r>
      <w:r w:rsidR="00793BA2">
        <w:rPr>
          <w:rFonts w:ascii="Calibri" w:hAnsi="Calibri" w:cs="Helv"/>
          <w:bCs/>
          <w:color w:val="000000"/>
        </w:rPr>
        <w:lastRenderedPageBreak/>
        <w:t xml:space="preserve">inherent ordinary income on </w:t>
      </w:r>
      <w:r w:rsidR="00793BA2" w:rsidRPr="009F6759">
        <w:rPr>
          <w:rFonts w:ascii="Calibri" w:hAnsi="Calibri" w:cs="Helv"/>
          <w:bCs/>
          <w:i/>
          <w:color w:val="000000"/>
        </w:rPr>
        <w:t>those</w:t>
      </w:r>
      <w:r w:rsidR="00793BA2">
        <w:rPr>
          <w:rFonts w:ascii="Calibri" w:hAnsi="Calibri" w:cs="Helv"/>
          <w:bCs/>
          <w:color w:val="000000"/>
        </w:rPr>
        <w:t xml:space="preserve"> accounts</w:t>
      </w:r>
      <w:r w:rsidR="005C2967">
        <w:rPr>
          <w:rFonts w:ascii="Calibri" w:hAnsi="Calibri" w:cs="Helv"/>
          <w:bCs/>
          <w:color w:val="000000"/>
        </w:rPr>
        <w:t xml:space="preserve"> (and/or kill the tax status </w:t>
      </w:r>
      <w:r>
        <w:rPr>
          <w:rFonts w:ascii="Calibri" w:hAnsi="Calibri" w:cs="Helv"/>
          <w:bCs/>
          <w:color w:val="000000"/>
        </w:rPr>
        <w:t>even for Roth</w:t>
      </w:r>
      <w:r w:rsidR="00143A7F">
        <w:rPr>
          <w:rFonts w:ascii="Calibri" w:hAnsi="Calibri" w:cs="Helv"/>
          <w:bCs/>
          <w:color w:val="000000"/>
        </w:rPr>
        <w:t xml:space="preserve"> IRA</w:t>
      </w:r>
      <w:r>
        <w:rPr>
          <w:rFonts w:ascii="Calibri" w:hAnsi="Calibri" w:cs="Helv"/>
          <w:bCs/>
          <w:color w:val="000000"/>
        </w:rPr>
        <w:t xml:space="preserve">s </w:t>
      </w:r>
      <w:r w:rsidR="005C2967">
        <w:rPr>
          <w:rFonts w:ascii="Calibri" w:hAnsi="Calibri" w:cs="Helv"/>
          <w:bCs/>
          <w:color w:val="000000"/>
        </w:rPr>
        <w:t>because it is partially a taxable gift of the interest)</w:t>
      </w:r>
      <w:r w:rsidR="00793BA2">
        <w:rPr>
          <w:rFonts w:ascii="Calibri" w:hAnsi="Calibri" w:cs="Helv"/>
          <w:bCs/>
          <w:color w:val="000000"/>
        </w:rPr>
        <w:t xml:space="preserve">?   </w:t>
      </w:r>
    </w:p>
    <w:p w14:paraId="3F851A46" w14:textId="77777777" w:rsidR="001C6FAE" w:rsidRDefault="00103098" w:rsidP="00D07070">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In our latter scenario where mom receives </w:t>
      </w:r>
      <w:r w:rsidRPr="00103098">
        <w:rPr>
          <w:rFonts w:ascii="Calibri" w:hAnsi="Calibri" w:cs="Helv"/>
          <w:b/>
          <w:bCs/>
          <w:color w:val="000000"/>
        </w:rPr>
        <w:t>all</w:t>
      </w:r>
      <w:r>
        <w:rPr>
          <w:rFonts w:ascii="Calibri" w:hAnsi="Calibri" w:cs="Helv"/>
          <w:bCs/>
          <w:color w:val="000000"/>
        </w:rPr>
        <w:t xml:space="preserve"> the funds, it is less likely to be a taxable sale or exchange, because there is no reciprocal transfer</w:t>
      </w:r>
      <w:r w:rsidR="001C6FAE">
        <w:rPr>
          <w:rFonts w:ascii="Calibri" w:hAnsi="Calibri" w:cs="Helv"/>
          <w:bCs/>
          <w:color w:val="000000"/>
        </w:rPr>
        <w:t xml:space="preserve"> – only the children/remaindermen are giving up anything</w:t>
      </w:r>
      <w:r>
        <w:rPr>
          <w:rFonts w:ascii="Calibri" w:hAnsi="Calibri" w:cs="Helv"/>
          <w:bCs/>
          <w:color w:val="000000"/>
        </w:rPr>
        <w:t xml:space="preserve">. </w:t>
      </w:r>
      <w:r w:rsidR="001C6FAE">
        <w:rPr>
          <w:rFonts w:ascii="Calibri" w:hAnsi="Calibri" w:cs="Helv"/>
          <w:bCs/>
          <w:color w:val="000000"/>
        </w:rPr>
        <w:t xml:space="preserve"> As discussed elsewhere, due to this transfer, §1014(e) could apply to deny a step up in basis should mom die within one year of termination if it is a deemed gift.</w:t>
      </w:r>
    </w:p>
    <w:p w14:paraId="704DD76D" w14:textId="77777777" w:rsidR="001C6FAE" w:rsidRDefault="00AE6EC6" w:rsidP="00D07070">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Could the IRS claim that the title to the assets never legally passed to mom, therefore the assets traceable to the bypass trust are not in her estate, therefore not </w:t>
      </w:r>
      <w:r w:rsidR="00793BA2">
        <w:rPr>
          <w:rFonts w:ascii="Calibri" w:hAnsi="Calibri" w:cs="Helv"/>
          <w:bCs/>
          <w:color w:val="000000"/>
        </w:rPr>
        <w:t xml:space="preserve">even </w:t>
      </w:r>
      <w:r>
        <w:rPr>
          <w:rFonts w:ascii="Calibri" w:hAnsi="Calibri" w:cs="Helv"/>
          <w:bCs/>
          <w:color w:val="000000"/>
        </w:rPr>
        <w:t xml:space="preserve">entitled to a step up in basis?  Unlike Rev. Rul. </w:t>
      </w:r>
      <w:r w:rsidRPr="00AE6EC6">
        <w:rPr>
          <w:rFonts w:ascii="Calibri" w:hAnsi="Calibri" w:cs="Helv"/>
          <w:bCs/>
          <w:color w:val="000000"/>
        </w:rPr>
        <w:t>73-142</w:t>
      </w:r>
      <w:r w:rsidR="00F62C3C">
        <w:rPr>
          <w:rFonts w:ascii="Calibri" w:hAnsi="Calibri" w:cs="Helv"/>
          <w:bCs/>
          <w:color w:val="000000"/>
        </w:rPr>
        <w:t xml:space="preserve"> and</w:t>
      </w:r>
      <w:r w:rsidR="00793BA2">
        <w:rPr>
          <w:rFonts w:ascii="Calibri" w:hAnsi="Calibri" w:cs="Helv"/>
          <w:bCs/>
          <w:color w:val="000000"/>
        </w:rPr>
        <w:t xml:space="preserve"> other authority discussed previously</w:t>
      </w:r>
      <w:r>
        <w:rPr>
          <w:rFonts w:ascii="Calibri" w:hAnsi="Calibri" w:cs="Helv"/>
          <w:bCs/>
          <w:color w:val="000000"/>
        </w:rPr>
        <w:t xml:space="preserve">, this “self-help” trust termination </w:t>
      </w:r>
      <w:r w:rsidR="00D04AD6">
        <w:rPr>
          <w:rFonts w:ascii="Calibri" w:hAnsi="Calibri" w:cs="Helv"/>
          <w:bCs/>
          <w:color w:val="000000"/>
        </w:rPr>
        <w:t>is</w:t>
      </w:r>
      <w:r>
        <w:rPr>
          <w:rFonts w:ascii="Calibri" w:hAnsi="Calibri" w:cs="Helv"/>
          <w:bCs/>
          <w:color w:val="000000"/>
        </w:rPr>
        <w:t xml:space="preserve"> not pursuant to state law or the document, thus encouraging the IRS to simply ignore it for tax purposes (meaning, of course, no step up in basis).  </w:t>
      </w:r>
      <w:r w:rsidR="00521557">
        <w:rPr>
          <w:rFonts w:ascii="Calibri" w:hAnsi="Calibri" w:cs="Helv"/>
          <w:bCs/>
          <w:color w:val="000000"/>
        </w:rPr>
        <w:t>There is some authority for the IRS “avoiding” distributions for estate tax purposes when done without clear authority in the instrument.</w:t>
      </w:r>
      <w:r w:rsidR="00521557">
        <w:rPr>
          <w:rStyle w:val="FootnoteReference"/>
          <w:rFonts w:ascii="Calibri" w:hAnsi="Calibri" w:cs="Helv"/>
          <w:bCs/>
          <w:color w:val="000000"/>
        </w:rPr>
        <w:footnoteReference w:id="379"/>
      </w:r>
      <w:r w:rsidR="00521557">
        <w:rPr>
          <w:rFonts w:ascii="Calibri" w:hAnsi="Calibri" w:cs="Helv"/>
          <w:bCs/>
          <w:color w:val="000000"/>
        </w:rPr>
        <w:t xml:space="preserve">  </w:t>
      </w:r>
      <w:r w:rsidR="001C6FAE">
        <w:rPr>
          <w:rFonts w:ascii="Calibri" w:hAnsi="Calibri" w:cs="Helv"/>
          <w:bCs/>
          <w:color w:val="000000"/>
        </w:rPr>
        <w:t xml:space="preserve">Whether the statute of limitations passed on undoing any ultra-vires transfer may make a difference.  </w:t>
      </w:r>
      <w:r>
        <w:rPr>
          <w:rFonts w:ascii="Calibri" w:hAnsi="Calibri" w:cs="Helv"/>
          <w:bCs/>
          <w:color w:val="000000"/>
        </w:rPr>
        <w:t xml:space="preserve">Any </w:t>
      </w:r>
      <w:r w:rsidRPr="00F62C3C">
        <w:rPr>
          <w:rFonts w:ascii="Calibri" w:hAnsi="Calibri" w:cs="Helv"/>
          <w:bCs/>
          <w:i/>
          <w:color w:val="000000"/>
        </w:rPr>
        <w:t>post-mortem</w:t>
      </w:r>
      <w:r>
        <w:rPr>
          <w:rFonts w:ascii="Calibri" w:hAnsi="Calibri" w:cs="Helv"/>
          <w:bCs/>
          <w:color w:val="000000"/>
        </w:rPr>
        <w:t xml:space="preserve"> attempt by the family to ratify the action would likely be ignored</w:t>
      </w:r>
      <w:r w:rsidR="00777DF2">
        <w:rPr>
          <w:rFonts w:ascii="Calibri" w:hAnsi="Calibri" w:cs="Helv"/>
          <w:bCs/>
          <w:color w:val="000000"/>
        </w:rPr>
        <w:t xml:space="preserve"> for tax purposes</w:t>
      </w:r>
      <w:r>
        <w:rPr>
          <w:rFonts w:ascii="Calibri" w:hAnsi="Calibri" w:cs="Helv"/>
          <w:bCs/>
          <w:color w:val="000000"/>
        </w:rPr>
        <w:t>.</w:t>
      </w:r>
      <w:r w:rsidR="00777DF2">
        <w:rPr>
          <w:rStyle w:val="FootnoteReference"/>
          <w:rFonts w:ascii="Calibri" w:hAnsi="Calibri" w:cs="Helv"/>
          <w:bCs/>
          <w:color w:val="000000"/>
        </w:rPr>
        <w:footnoteReference w:id="380"/>
      </w:r>
      <w:r>
        <w:rPr>
          <w:rFonts w:ascii="Calibri" w:hAnsi="Calibri" w:cs="Helv"/>
          <w:bCs/>
          <w:color w:val="000000"/>
        </w:rPr>
        <w:t xml:space="preserve">  </w:t>
      </w:r>
    </w:p>
    <w:p w14:paraId="5C292837" w14:textId="77777777" w:rsidR="00491FB5" w:rsidRPr="00D07070" w:rsidRDefault="001C6FAE" w:rsidP="00D07070">
      <w:pPr>
        <w:autoSpaceDE w:val="0"/>
        <w:autoSpaceDN w:val="0"/>
        <w:adjustRightInd w:val="0"/>
        <w:spacing w:line="360" w:lineRule="auto"/>
        <w:ind w:firstLine="720"/>
        <w:rPr>
          <w:rFonts w:ascii="Calibri" w:hAnsi="Calibri" w:cs="Helv"/>
          <w:bCs/>
          <w:color w:val="000000"/>
        </w:rPr>
      </w:pPr>
      <w:r>
        <w:rPr>
          <w:rFonts w:ascii="Calibri" w:hAnsi="Calibri" w:cs="Helv"/>
          <w:bCs/>
          <w:color w:val="000000"/>
        </w:rPr>
        <w:t xml:space="preserve">In short, there is simply a lot more tax uncertainty.  </w:t>
      </w:r>
      <w:r w:rsidR="009168F2">
        <w:rPr>
          <w:rFonts w:ascii="Calibri" w:hAnsi="Calibri" w:cs="Helv"/>
          <w:bCs/>
          <w:color w:val="000000"/>
        </w:rPr>
        <w:t xml:space="preserve">Following state law </w:t>
      </w:r>
      <w:r w:rsidR="00484760">
        <w:rPr>
          <w:rFonts w:ascii="Calibri" w:hAnsi="Calibri" w:cs="Helv"/>
          <w:bCs/>
          <w:color w:val="000000"/>
        </w:rPr>
        <w:t xml:space="preserve">formalities </w:t>
      </w:r>
      <w:r w:rsidR="009168F2">
        <w:rPr>
          <w:rFonts w:ascii="Calibri" w:hAnsi="Calibri" w:cs="Helv"/>
          <w:bCs/>
          <w:color w:val="000000"/>
        </w:rPr>
        <w:t>is much more certain to achieve the estate inclusion and step up in basis that families seek.</w:t>
      </w:r>
      <w:r w:rsidR="00AE6EC6">
        <w:rPr>
          <w:rFonts w:ascii="Calibri" w:hAnsi="Calibri" w:cs="Helv"/>
          <w:bCs/>
          <w:color w:val="000000"/>
        </w:rPr>
        <w:t xml:space="preserve">  </w:t>
      </w:r>
      <w:r w:rsidR="00F62C3C">
        <w:rPr>
          <w:rFonts w:ascii="Calibri" w:hAnsi="Calibri" w:cs="Helv"/>
          <w:bCs/>
          <w:color w:val="000000"/>
        </w:rPr>
        <w:t>If mom and children already consent, as noted above, thi</w:t>
      </w:r>
      <w:r w:rsidR="00D04AD6">
        <w:rPr>
          <w:rFonts w:ascii="Calibri" w:hAnsi="Calibri" w:cs="Helv"/>
          <w:bCs/>
          <w:color w:val="000000"/>
        </w:rPr>
        <w:t xml:space="preserve">s would likely </w:t>
      </w:r>
      <w:r w:rsidR="00F62C3C">
        <w:rPr>
          <w:rFonts w:ascii="Calibri" w:hAnsi="Calibri" w:cs="Helv"/>
          <w:bCs/>
          <w:color w:val="000000"/>
        </w:rPr>
        <w:t>involve getting consent of grandchildren (the likely contingent remaindermen), which may involve</w:t>
      </w:r>
      <w:r w:rsidR="00B7149C">
        <w:rPr>
          <w:rFonts w:ascii="Calibri" w:hAnsi="Calibri" w:cs="Helv"/>
          <w:bCs/>
          <w:color w:val="000000"/>
        </w:rPr>
        <w:t xml:space="preserve"> a guardian of the estate or guardian ad litem, or </w:t>
      </w:r>
      <w:r>
        <w:rPr>
          <w:rFonts w:ascii="Calibri" w:hAnsi="Calibri" w:cs="Helv"/>
          <w:bCs/>
          <w:color w:val="000000"/>
        </w:rPr>
        <w:t xml:space="preserve">using a state’s </w:t>
      </w:r>
      <w:r w:rsidR="00B7149C">
        <w:rPr>
          <w:rFonts w:ascii="Calibri" w:hAnsi="Calibri" w:cs="Helv"/>
          <w:bCs/>
          <w:color w:val="000000"/>
        </w:rPr>
        <w:t>virtual representation</w:t>
      </w:r>
      <w:r>
        <w:rPr>
          <w:rFonts w:ascii="Calibri" w:hAnsi="Calibri" w:cs="Helv"/>
          <w:bCs/>
          <w:color w:val="000000"/>
        </w:rPr>
        <w:t xml:space="preserve"> provision</w:t>
      </w:r>
      <w:r w:rsidR="00B7149C">
        <w:rPr>
          <w:rFonts w:ascii="Calibri" w:hAnsi="Calibri" w:cs="Helv"/>
          <w:bCs/>
          <w:color w:val="000000"/>
        </w:rPr>
        <w:t>.</w:t>
      </w:r>
      <w:r w:rsidR="00B7149C">
        <w:rPr>
          <w:rStyle w:val="FootnoteReference"/>
          <w:rFonts w:ascii="Calibri" w:hAnsi="Calibri" w:cs="Helv"/>
          <w:bCs/>
          <w:color w:val="000000"/>
        </w:rPr>
        <w:footnoteReference w:id="381"/>
      </w:r>
      <w:r w:rsidR="0035635F">
        <w:rPr>
          <w:rFonts w:ascii="Calibri" w:hAnsi="Calibri" w:cs="Helv"/>
          <w:b/>
          <w:bCs/>
          <w:color w:val="000000"/>
        </w:rPr>
        <w:br w:type="page"/>
      </w:r>
      <w:r w:rsidR="00491FB5">
        <w:rPr>
          <w:rFonts w:ascii="Calibri" w:hAnsi="Calibri" w:cs="Helv"/>
          <w:b/>
          <w:bCs/>
          <w:color w:val="000000"/>
        </w:rPr>
        <w:lastRenderedPageBreak/>
        <w:t>V</w:t>
      </w:r>
      <w:r w:rsidR="00D63814">
        <w:rPr>
          <w:rFonts w:ascii="Calibri" w:hAnsi="Calibri" w:cs="Helv"/>
          <w:b/>
          <w:bCs/>
          <w:color w:val="000000"/>
        </w:rPr>
        <w:t>II</w:t>
      </w:r>
      <w:r w:rsidR="00935EAB">
        <w:rPr>
          <w:rFonts w:ascii="Calibri" w:hAnsi="Calibri" w:cs="Helv"/>
          <w:b/>
          <w:bCs/>
          <w:color w:val="000000"/>
        </w:rPr>
        <w:t>I.</w:t>
      </w:r>
      <w:r w:rsidR="00935EAB">
        <w:rPr>
          <w:rFonts w:ascii="Calibri" w:hAnsi="Calibri" w:cs="Helv"/>
          <w:b/>
          <w:bCs/>
          <w:color w:val="000000"/>
        </w:rPr>
        <w:tab/>
      </w:r>
      <w:r w:rsidR="00491FB5">
        <w:rPr>
          <w:rFonts w:ascii="Calibri" w:hAnsi="Calibri" w:cs="Helv"/>
          <w:b/>
          <w:bCs/>
          <w:color w:val="000000"/>
        </w:rPr>
        <w:t>The</w:t>
      </w:r>
      <w:r w:rsidR="00491FB5" w:rsidRPr="00CC3AE9">
        <w:rPr>
          <w:rFonts w:ascii="Calibri" w:hAnsi="Calibri" w:cs="Helv"/>
          <w:b/>
          <w:bCs/>
          <w:color w:val="000000"/>
        </w:rPr>
        <w:t xml:space="preserve"> Income Tax Efficiency Trust</w:t>
      </w:r>
      <w:r w:rsidR="00491FB5">
        <w:rPr>
          <w:rFonts w:ascii="Calibri" w:hAnsi="Calibri" w:cs="Helv"/>
          <w:b/>
          <w:bCs/>
          <w:color w:val="000000"/>
        </w:rPr>
        <w:t xml:space="preserve"> –</w:t>
      </w:r>
      <w:r w:rsidR="00684EEA">
        <w:rPr>
          <w:rFonts w:ascii="Calibri" w:hAnsi="Calibri" w:cs="Helv"/>
          <w:b/>
          <w:bCs/>
          <w:color w:val="000000"/>
        </w:rPr>
        <w:t xml:space="preserve"> </w:t>
      </w:r>
      <w:r w:rsidR="00491FB5" w:rsidRPr="00D63814">
        <w:rPr>
          <w:rFonts w:ascii="Calibri" w:hAnsi="Calibri" w:cs="Helv"/>
          <w:b/>
          <w:bCs/>
          <w:i/>
          <w:color w:val="000000"/>
        </w:rPr>
        <w:t>Ongoing</w:t>
      </w:r>
      <w:r w:rsidR="00491FB5">
        <w:rPr>
          <w:rFonts w:ascii="Calibri" w:hAnsi="Calibri" w:cs="Helv"/>
          <w:b/>
          <w:bCs/>
          <w:color w:val="000000"/>
        </w:rPr>
        <w:t xml:space="preserve"> Trust </w:t>
      </w:r>
      <w:r w:rsidR="00D63814">
        <w:rPr>
          <w:rFonts w:ascii="Calibri" w:hAnsi="Calibri" w:cs="Helv"/>
          <w:b/>
          <w:bCs/>
          <w:color w:val="000000"/>
        </w:rPr>
        <w:t xml:space="preserve">Income </w:t>
      </w:r>
      <w:r w:rsidR="00491FB5">
        <w:rPr>
          <w:rFonts w:ascii="Calibri" w:hAnsi="Calibri" w:cs="Helv"/>
          <w:b/>
          <w:bCs/>
          <w:color w:val="000000"/>
        </w:rPr>
        <w:t xml:space="preserve">Tax </w:t>
      </w:r>
      <w:r w:rsidR="00684EEA">
        <w:rPr>
          <w:rFonts w:ascii="Calibri" w:hAnsi="Calibri" w:cs="Helv"/>
          <w:b/>
          <w:bCs/>
          <w:color w:val="000000"/>
        </w:rPr>
        <w:t xml:space="preserve">Planning </w:t>
      </w:r>
      <w:r w:rsidR="00491FB5">
        <w:rPr>
          <w:rFonts w:ascii="Calibri" w:hAnsi="Calibri" w:cs="Helv"/>
          <w:b/>
          <w:bCs/>
          <w:color w:val="000000"/>
        </w:rPr>
        <w:t>Techniques</w:t>
      </w:r>
    </w:p>
    <w:p w14:paraId="2C26154C" w14:textId="77777777" w:rsidR="00491FB5" w:rsidRDefault="00491FB5" w:rsidP="00CB1A61">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 xml:space="preserve">As mentioned in Part I, there is </w:t>
      </w:r>
      <w:r w:rsidR="000D31E1">
        <w:rPr>
          <w:rFonts w:ascii="Calibri" w:hAnsi="Calibri" w:cs="Helv"/>
          <w:bCs/>
          <w:color w:val="000000"/>
        </w:rPr>
        <w:t>2nd</w:t>
      </w:r>
      <w:r>
        <w:rPr>
          <w:rFonts w:ascii="Calibri" w:hAnsi="Calibri" w:cs="Helv"/>
          <w:bCs/>
          <w:color w:val="000000"/>
        </w:rPr>
        <w:t xml:space="preserve"> </w:t>
      </w:r>
      <w:r w:rsidR="000D31E1">
        <w:rPr>
          <w:rFonts w:ascii="Calibri" w:hAnsi="Calibri" w:cs="Helv"/>
          <w:bCs/>
          <w:color w:val="000000"/>
        </w:rPr>
        <w:t xml:space="preserve">major </w:t>
      </w:r>
      <w:r w:rsidR="00422B1D">
        <w:rPr>
          <w:rFonts w:ascii="Calibri" w:hAnsi="Calibri" w:cs="Helv"/>
          <w:bCs/>
          <w:color w:val="000000"/>
        </w:rPr>
        <w:t xml:space="preserve">income tax </w:t>
      </w:r>
      <w:r>
        <w:rPr>
          <w:rFonts w:ascii="Calibri" w:hAnsi="Calibri" w:cs="Helv"/>
          <w:bCs/>
          <w:color w:val="000000"/>
        </w:rPr>
        <w:t xml:space="preserve">issue after ATRA </w:t>
      </w:r>
      <w:r w:rsidR="000D31E1">
        <w:rPr>
          <w:rFonts w:ascii="Calibri" w:hAnsi="Calibri" w:cs="Helv"/>
          <w:bCs/>
          <w:color w:val="000000"/>
        </w:rPr>
        <w:t xml:space="preserve">other than basis </w:t>
      </w:r>
      <w:r>
        <w:rPr>
          <w:rFonts w:ascii="Calibri" w:hAnsi="Calibri" w:cs="Helv"/>
          <w:bCs/>
          <w:color w:val="000000"/>
        </w:rPr>
        <w:t>that may now dissuade the average couple from using ongoing trusts for planning.  With the</w:t>
      </w:r>
      <w:r w:rsidR="001E0D1F">
        <w:rPr>
          <w:rFonts w:ascii="Calibri" w:hAnsi="Calibri" w:cs="Helv"/>
          <w:bCs/>
          <w:color w:val="000000"/>
        </w:rPr>
        <w:t xml:space="preserve"> new tax regime, unless we plan, </w:t>
      </w:r>
      <w:r>
        <w:rPr>
          <w:rFonts w:ascii="Calibri" w:hAnsi="Calibri" w:cs="Helv"/>
          <w:bCs/>
          <w:color w:val="000000"/>
        </w:rPr>
        <w:t xml:space="preserve">administer </w:t>
      </w:r>
      <w:r w:rsidR="001E0D1F">
        <w:rPr>
          <w:rFonts w:ascii="Calibri" w:hAnsi="Calibri" w:cs="Helv"/>
          <w:bCs/>
          <w:color w:val="000000"/>
        </w:rPr>
        <w:t xml:space="preserve">and invest </w:t>
      </w:r>
      <w:r>
        <w:rPr>
          <w:rFonts w:ascii="Calibri" w:hAnsi="Calibri" w:cs="Helv"/>
          <w:bCs/>
          <w:color w:val="000000"/>
        </w:rPr>
        <w:t xml:space="preserve">carefully, the overall income tax to the surviving spouse and family will be higher </w:t>
      </w:r>
      <w:r w:rsidRPr="000D31E1">
        <w:rPr>
          <w:rFonts w:ascii="Calibri" w:hAnsi="Calibri" w:cs="Helv"/>
          <w:bCs/>
          <w:i/>
          <w:color w:val="000000"/>
        </w:rPr>
        <w:t>every year</w:t>
      </w:r>
      <w:r>
        <w:rPr>
          <w:rFonts w:ascii="Calibri" w:hAnsi="Calibri" w:cs="Helv"/>
          <w:bCs/>
          <w:color w:val="000000"/>
        </w:rPr>
        <w:t xml:space="preserve">, sometimes by a considerable amount. </w:t>
      </w:r>
    </w:p>
    <w:p w14:paraId="4C0BC4BF" w14:textId="25EEA880" w:rsidR="001E0D1F" w:rsidRDefault="006511DE" w:rsidP="001E0D1F">
      <w:pPr>
        <w:autoSpaceDE w:val="0"/>
        <w:autoSpaceDN w:val="0"/>
        <w:adjustRightInd w:val="0"/>
        <w:spacing w:line="360" w:lineRule="auto"/>
        <w:ind w:firstLine="720"/>
        <w:jc w:val="both"/>
        <w:rPr>
          <w:rFonts w:ascii="Calibri" w:hAnsi="Calibri" w:cs="Helv"/>
          <w:bCs/>
          <w:color w:val="000000"/>
        </w:rPr>
      </w:pPr>
      <w:r>
        <w:rPr>
          <w:rFonts w:ascii="Calibri" w:hAnsi="Calibri" w:cs="Helv"/>
          <w:bCs/>
          <w:color w:val="000000"/>
        </w:rPr>
        <w:t>Creative use of IRC §64</w:t>
      </w:r>
      <w:r w:rsidR="00422B1D">
        <w:rPr>
          <w:rFonts w:ascii="Calibri" w:hAnsi="Calibri" w:cs="Helv"/>
          <w:bCs/>
          <w:color w:val="000000"/>
        </w:rPr>
        <w:t>3,</w:t>
      </w:r>
      <w:r w:rsidR="00AA5D73">
        <w:rPr>
          <w:rFonts w:ascii="Calibri" w:hAnsi="Calibri" w:cs="Helv"/>
          <w:bCs/>
          <w:color w:val="000000"/>
        </w:rPr>
        <w:t xml:space="preserve"> </w:t>
      </w:r>
      <w:r w:rsidR="00491FB5">
        <w:rPr>
          <w:rFonts w:ascii="Calibri" w:hAnsi="Calibri" w:cs="Helv"/>
          <w:bCs/>
          <w:color w:val="000000"/>
        </w:rPr>
        <w:t>§678</w:t>
      </w:r>
      <w:r>
        <w:rPr>
          <w:rFonts w:ascii="Calibri" w:hAnsi="Calibri" w:cs="Helv"/>
          <w:bCs/>
          <w:color w:val="000000"/>
        </w:rPr>
        <w:t>(</w:t>
      </w:r>
      <w:r w:rsidR="00491FB5">
        <w:rPr>
          <w:rFonts w:ascii="Calibri" w:hAnsi="Calibri" w:cs="Helv"/>
          <w:bCs/>
          <w:color w:val="000000"/>
        </w:rPr>
        <w:t>a</w:t>
      </w:r>
      <w:r>
        <w:rPr>
          <w:rFonts w:ascii="Calibri" w:hAnsi="Calibri" w:cs="Helv"/>
          <w:bCs/>
          <w:color w:val="000000"/>
        </w:rPr>
        <w:t>)</w:t>
      </w:r>
      <w:r w:rsidR="00491FB5">
        <w:rPr>
          <w:rFonts w:ascii="Calibri" w:hAnsi="Calibri" w:cs="Helv"/>
          <w:bCs/>
          <w:color w:val="000000"/>
        </w:rPr>
        <w:t xml:space="preserve"> </w:t>
      </w:r>
      <w:r w:rsidR="00422B1D">
        <w:rPr>
          <w:rFonts w:ascii="Calibri" w:hAnsi="Calibri" w:cs="Helv"/>
          <w:bCs/>
          <w:color w:val="000000"/>
        </w:rPr>
        <w:t>and/or §642(c) provisions</w:t>
      </w:r>
      <w:r w:rsidR="00491FB5">
        <w:rPr>
          <w:rFonts w:ascii="Calibri" w:hAnsi="Calibri" w:cs="Helv"/>
          <w:bCs/>
          <w:color w:val="000000"/>
        </w:rPr>
        <w:t xml:space="preserve"> can ensure that capital gains are not trapped in trust at the highest rates, may get better tax treatment for special assets, and may even be sprayed to beneficiaries or charities in much lower (or even 0%) brackets.  </w:t>
      </w:r>
      <w:r w:rsidR="00EC139C">
        <w:rPr>
          <w:rFonts w:ascii="Calibri" w:hAnsi="Calibri" w:cs="Helv"/>
          <w:bCs/>
          <w:color w:val="000000"/>
        </w:rPr>
        <w:t xml:space="preserve">The </w:t>
      </w:r>
      <w:r w:rsidR="00506D50">
        <w:rPr>
          <w:rFonts w:ascii="Calibri" w:hAnsi="Calibri" w:cs="Helv"/>
          <w:bCs/>
          <w:color w:val="000000"/>
        </w:rPr>
        <w:t>first</w:t>
      </w:r>
      <w:r w:rsidR="00EC139C">
        <w:rPr>
          <w:rFonts w:ascii="Calibri" w:hAnsi="Calibri" w:cs="Helv"/>
          <w:bCs/>
          <w:color w:val="000000"/>
        </w:rPr>
        <w:t xml:space="preserve"> flowchart below outline</w:t>
      </w:r>
      <w:r w:rsidR="00506D50">
        <w:rPr>
          <w:rFonts w:ascii="Calibri" w:hAnsi="Calibri" w:cs="Helv"/>
          <w:bCs/>
          <w:color w:val="000000"/>
        </w:rPr>
        <w:t>s</w:t>
      </w:r>
      <w:r w:rsidR="00EC139C">
        <w:rPr>
          <w:rFonts w:ascii="Calibri" w:hAnsi="Calibri" w:cs="Helv"/>
          <w:bCs/>
          <w:color w:val="000000"/>
        </w:rPr>
        <w:t xml:space="preserve"> the </w:t>
      </w:r>
      <w:r w:rsidR="00506D50">
        <w:rPr>
          <w:rFonts w:ascii="Calibri" w:hAnsi="Calibri" w:cs="Helv"/>
          <w:bCs/>
          <w:color w:val="000000"/>
        </w:rPr>
        <w:t xml:space="preserve">ongoing tax effect of the </w:t>
      </w:r>
      <w:r w:rsidR="00EC139C">
        <w:rPr>
          <w:rFonts w:ascii="Calibri" w:hAnsi="Calibri" w:cs="Helv"/>
          <w:bCs/>
          <w:color w:val="000000"/>
        </w:rPr>
        <w:t>traditional AB trust structure</w:t>
      </w:r>
      <w:r w:rsidR="00506D50">
        <w:rPr>
          <w:rFonts w:ascii="Calibri" w:hAnsi="Calibri" w:cs="Helv"/>
          <w:bCs/>
          <w:color w:val="000000"/>
        </w:rPr>
        <w:t xml:space="preserve"> and the second flowchart envisions </w:t>
      </w:r>
      <w:r w:rsidR="00EC139C">
        <w:rPr>
          <w:rFonts w:ascii="Calibri" w:hAnsi="Calibri" w:cs="Helv"/>
          <w:bCs/>
          <w:color w:val="000000"/>
        </w:rPr>
        <w:t>more efficient variation</w:t>
      </w:r>
      <w:r w:rsidR="00506D50">
        <w:rPr>
          <w:rFonts w:ascii="Calibri" w:hAnsi="Calibri" w:cs="Helv"/>
          <w:bCs/>
          <w:color w:val="000000"/>
        </w:rPr>
        <w:t>s</w:t>
      </w:r>
      <w:r w:rsidR="00EC139C">
        <w:rPr>
          <w:rFonts w:ascii="Calibri" w:hAnsi="Calibri" w:cs="Helv"/>
          <w:bCs/>
          <w:color w:val="000000"/>
        </w:rPr>
        <w:t xml:space="preserve"> that will be discussed.</w:t>
      </w:r>
      <w:r w:rsidR="001E0D1F" w:rsidRPr="001E0D1F">
        <w:rPr>
          <w:rFonts w:ascii="Calibri" w:hAnsi="Calibri" w:cs="Helv"/>
          <w:bCs/>
          <w:color w:val="000000"/>
        </w:rPr>
        <w:t xml:space="preserve"> </w:t>
      </w:r>
    </w:p>
    <w:p w14:paraId="7A87BFCE" w14:textId="13A422D9" w:rsidR="003235D9" w:rsidRDefault="00000000" w:rsidP="001E0D1F">
      <w:pPr>
        <w:autoSpaceDE w:val="0"/>
        <w:autoSpaceDN w:val="0"/>
        <w:adjustRightInd w:val="0"/>
        <w:spacing w:line="360" w:lineRule="auto"/>
        <w:ind w:firstLine="720"/>
        <w:jc w:val="both"/>
        <w:rPr>
          <w:rFonts w:ascii="Calibri" w:hAnsi="Calibri" w:cs="Helv"/>
          <w:bCs/>
          <w:color w:val="000000"/>
        </w:rPr>
      </w:pPr>
      <w:r>
        <w:rPr>
          <w:noProof/>
        </w:rPr>
        <w:pict w14:anchorId="485C2FD7">
          <v:rect id="Rectangle 18" o:spid="_x0000_s2053" style="position:absolute;left:0;text-align:left;margin-left:-10.85pt;margin-top:163.45pt;width:495.45pt;height:65.0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" filled="f" stroked="f">
            <v:textbox style="mso-next-textbox:#Rectangle 18">
              <w:txbxContent>
                <w:p w14:paraId="3C688858" w14:textId="77777777" w:rsidR="00D53D4F" w:rsidRPr="00421175" w:rsidRDefault="00D53D4F" w:rsidP="00421175">
                  <w:pPr>
                    <w:pStyle w:val="NormalWeb"/>
                    <w:kinsoku w:val="0"/>
                    <w:overflowPunct w:val="0"/>
                    <w:spacing w:before="0" w:beforeAutospacing="0" w:after="0" w:afterAutospacing="0"/>
                    <w:textAlignment w:val="baseline"/>
                    <w:rPr>
                      <w:sz w:val="36"/>
                      <w:szCs w:val="36"/>
                    </w:rPr>
                  </w:pPr>
                  <w:r w:rsidRPr="00421175">
                    <w:rPr>
                      <w:rFonts w:ascii="Arial" w:eastAsia="MS PGothic" w:hAnsi="Arial" w:cstheme="minorBidi"/>
                      <w:color w:val="211F20"/>
                      <w:kern w:val="24"/>
                      <w:sz w:val="36"/>
                      <w:szCs w:val="36"/>
                    </w:rPr>
                    <w:t xml:space="preserve">Tax Effect to Mary </w:t>
                  </w:r>
                  <w:r>
                    <w:rPr>
                      <w:rFonts w:ascii="Arial" w:eastAsia="MS PGothic" w:hAnsi="Arial" w:cstheme="minorBidi"/>
                      <w:color w:val="211F20"/>
                      <w:kern w:val="24"/>
                      <w:sz w:val="36"/>
                      <w:szCs w:val="36"/>
                    </w:rPr>
                    <w:t xml:space="preserve"> </w:t>
                  </w:r>
                  <w:r w:rsidRPr="00421175">
                    <w:rPr>
                      <w:rFonts w:ascii="Arial" w:eastAsia="MS PGothic" w:hAnsi="Arial" w:cstheme="minorBidi"/>
                      <w:color w:val="211F20"/>
                      <w:kern w:val="24"/>
                      <w:sz w:val="36"/>
                      <w:szCs w:val="36"/>
                    </w:rPr>
                    <w:t xml:space="preserve">and the Doe Family, </w:t>
                  </w:r>
                  <w:r>
                    <w:rPr>
                      <w:rFonts w:ascii="Arial" w:eastAsia="MS PGothic" w:hAnsi="Arial" w:cstheme="minorBidi"/>
                      <w:color w:val="211F20"/>
                      <w:kern w:val="24"/>
                      <w:sz w:val="36"/>
                      <w:szCs w:val="36"/>
                    </w:rPr>
                    <w:t xml:space="preserve">    </w:t>
                  </w:r>
                  <w:r w:rsidRPr="00421175">
                    <w:rPr>
                      <w:rFonts w:ascii="Arial" w:eastAsia="MS PGothic" w:hAnsi="Arial" w:cstheme="minorBidi"/>
                      <w:color w:val="211F20"/>
                      <w:kern w:val="24"/>
                      <w:sz w:val="36"/>
                      <w:szCs w:val="36"/>
                    </w:rPr>
                    <w:t>during Mary’s life</w:t>
                  </w:r>
                </w:p>
              </w:txbxContent>
            </v:textbox>
          </v:rect>
        </w:pict>
      </w:r>
      <w:r w:rsidR="00421175">
        <w:rPr>
          <w:noProof/>
        </w:rPr>
        <w:drawing>
          <wp:inline distT="0" distB="0" distL="0" distR="0" wp14:anchorId="1B9DAA85" wp14:editId="0AA37FD2">
            <wp:extent cx="5160935" cy="370409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Pr>
          <w:noProof/>
        </w:rPr>
        <w:pict w14:anchorId="142B882A">
          <v:rect id="Rectangle 17" o:spid="_x0000_s2052" style="position:absolute;left:0;text-align:left;margin-left:61.2pt;margin-top:47.5pt;width:452.75pt;height:64.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" filled="f" stroked="f">
            <v:textbox style="mso-next-textbox:#Rectangle 17">
              <w:txbxContent>
                <w:p w14:paraId="62C8BDCC" w14:textId="77777777" w:rsidR="00D53D4F" w:rsidRPr="00421175" w:rsidRDefault="00D53D4F" w:rsidP="00421175">
                  <w:pPr>
                    <w:pStyle w:val="NormalWeb"/>
                    <w:kinsoku w:val="0"/>
                    <w:overflowPunct w:val="0"/>
                    <w:spacing w:before="0" w:beforeAutospacing="0" w:after="0" w:afterAutospacing="0"/>
                    <w:textAlignment w:val="baseline"/>
                    <w:rPr>
                      <w:sz w:val="32"/>
                      <w:szCs w:val="32"/>
                    </w:rPr>
                  </w:pPr>
                  <w:r>
                    <w:rPr>
                      <w:rFonts w:ascii="Arial" w:eastAsia="MS PGothic" w:hAnsi="Arial" w:cstheme="minorBidi"/>
                      <w:color w:val="211F20"/>
                      <w:kern w:val="24"/>
                      <w:sz w:val="38"/>
                      <w:szCs w:val="38"/>
                    </w:rPr>
                    <w:t xml:space="preserve">  </w:t>
                  </w:r>
                  <w:r w:rsidRPr="00421175">
                    <w:rPr>
                      <w:rFonts w:ascii="Arial" w:eastAsia="MS PGothic" w:hAnsi="Arial" w:cstheme="minorBidi"/>
                      <w:color w:val="211F20"/>
                      <w:kern w:val="24"/>
                      <w:sz w:val="32"/>
                      <w:szCs w:val="32"/>
                    </w:rPr>
                    <w:t>At John’s Death</w:t>
                  </w:r>
                </w:p>
              </w:txbxContent>
            </v:textbox>
          </v:rect>
        </w:pict>
      </w:r>
    </w:p>
    <w:p w14:paraId="4A261446" w14:textId="77777777" w:rsidR="003235D9" w:rsidRDefault="003235D9" w:rsidP="003235D9">
      <w:pPr>
        <w:autoSpaceDE w:val="0"/>
        <w:autoSpaceDN w:val="0"/>
        <w:adjustRightInd w:val="0"/>
        <w:spacing w:line="360" w:lineRule="auto"/>
        <w:jc w:val="both"/>
        <w:rPr>
          <w:rFonts w:ascii="Calibri" w:hAnsi="Calibri" w:cs="Helv"/>
          <w:bCs/>
          <w:color w:val="000000"/>
        </w:rPr>
      </w:pPr>
      <w:r>
        <w:rPr>
          <w:rFonts w:ascii="Calibri" w:hAnsi="Calibri" w:cs="Helv"/>
          <w:bCs/>
          <w:color w:val="000000"/>
        </w:rPr>
        <w:tab/>
        <w:t xml:space="preserve">The above refers to </w:t>
      </w:r>
      <w:r w:rsidR="008D1311">
        <w:rPr>
          <w:rFonts w:ascii="Calibri" w:hAnsi="Calibri" w:cs="Helv"/>
          <w:bCs/>
          <w:color w:val="000000"/>
        </w:rPr>
        <w:t>trust tax</w:t>
      </w:r>
      <w:r>
        <w:rPr>
          <w:rFonts w:ascii="Calibri" w:hAnsi="Calibri" w:cs="Helv"/>
          <w:bCs/>
          <w:color w:val="000000"/>
        </w:rPr>
        <w:t xml:space="preserve"> rates on income exceeding $12,150 in 2014 (this number is adjusted for inflation</w:t>
      </w:r>
      <w:r w:rsidR="00EC139C">
        <w:rPr>
          <w:rFonts w:ascii="Calibri" w:hAnsi="Calibri" w:cs="Helv"/>
          <w:bCs/>
          <w:color w:val="000000"/>
        </w:rPr>
        <w:t>)</w:t>
      </w:r>
      <w:r>
        <w:rPr>
          <w:rFonts w:ascii="Calibri" w:hAnsi="Calibri" w:cs="Helv"/>
          <w:bCs/>
          <w:color w:val="000000"/>
        </w:rPr>
        <w:t>.</w:t>
      </w:r>
      <w:r w:rsidR="00EC139C">
        <w:rPr>
          <w:rFonts w:ascii="Calibri" w:hAnsi="Calibri" w:cs="Helv"/>
          <w:bCs/>
          <w:color w:val="000000"/>
        </w:rPr>
        <w:t xml:space="preserve">  Certain income such as qualified plan or IRA distributions may be subject to a lower top rate because it is exempt from the 3.8% Medicare surtax</w:t>
      </w:r>
      <w:r w:rsidR="00B6638D">
        <w:rPr>
          <w:rFonts w:ascii="Calibri" w:hAnsi="Calibri" w:cs="Helv"/>
          <w:bCs/>
          <w:color w:val="000000"/>
        </w:rPr>
        <w:t>.  Higher long-term capital gains rates on</w:t>
      </w:r>
      <w:r w:rsidR="00EC139C">
        <w:rPr>
          <w:rFonts w:ascii="Calibri" w:hAnsi="Calibri" w:cs="Helv"/>
          <w:bCs/>
          <w:color w:val="000000"/>
        </w:rPr>
        <w:t xml:space="preserve"> depreciation recapture and collectibles </w:t>
      </w:r>
      <w:r w:rsidR="00B6638D">
        <w:rPr>
          <w:rFonts w:ascii="Calibri" w:hAnsi="Calibri" w:cs="Helv"/>
          <w:bCs/>
          <w:color w:val="000000"/>
        </w:rPr>
        <w:t>are</w:t>
      </w:r>
      <w:r w:rsidR="00EC139C">
        <w:rPr>
          <w:rFonts w:ascii="Calibri" w:hAnsi="Calibri" w:cs="Helv"/>
          <w:bCs/>
          <w:color w:val="000000"/>
        </w:rPr>
        <w:t xml:space="preserve"> also ignored.  “QD” re</w:t>
      </w:r>
      <w:r w:rsidR="00B6638D">
        <w:rPr>
          <w:rFonts w:ascii="Calibri" w:hAnsi="Calibri" w:cs="Helv"/>
          <w:bCs/>
          <w:color w:val="000000"/>
        </w:rPr>
        <w:t>fers to qualified dividend rate</w:t>
      </w:r>
      <w:r w:rsidR="00EC139C">
        <w:rPr>
          <w:rFonts w:ascii="Calibri" w:hAnsi="Calibri" w:cs="Helv"/>
          <w:bCs/>
          <w:color w:val="000000"/>
        </w:rPr>
        <w:t>.  The trapping of taxable income at trust rates might be exacerbated further depending on state income taxation of trusts as well.</w:t>
      </w:r>
    </w:p>
    <w:p w14:paraId="31E4A11D" w14:textId="77777777" w:rsidR="00421175" w:rsidRDefault="00B65CE4" w:rsidP="001E0D1F">
      <w:pPr>
        <w:autoSpaceDE w:val="0"/>
        <w:autoSpaceDN w:val="0"/>
        <w:adjustRightInd w:val="0"/>
        <w:spacing w:line="360" w:lineRule="auto"/>
        <w:ind w:firstLine="720"/>
        <w:jc w:val="both"/>
        <w:rPr>
          <w:rFonts w:ascii="Calibri" w:hAnsi="Calibri" w:cs="Helv"/>
          <w:bCs/>
          <w:color w:val="000000"/>
        </w:rPr>
      </w:pPr>
      <w:r>
        <w:rPr>
          <w:noProof/>
        </w:rPr>
        <w:lastRenderedPageBreak/>
        <w:drawing>
          <wp:inline distT="0" distB="0" distL="0" distR="0" wp14:anchorId="4722F266" wp14:editId="22BA186F">
            <wp:extent cx="5160935" cy="3704095"/>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B05ADA7" w14:textId="77777777" w:rsidR="008907BC" w:rsidRPr="008907BC" w:rsidRDefault="008907BC" w:rsidP="00180FD1">
      <w:pPr>
        <w:pStyle w:val="ListParagraph"/>
        <w:numPr>
          <w:ilvl w:val="0"/>
          <w:numId w:val="24"/>
        </w:numPr>
        <w:autoSpaceDE w:val="0"/>
        <w:autoSpaceDN w:val="0"/>
        <w:adjustRightInd w:val="0"/>
        <w:spacing w:line="360" w:lineRule="auto"/>
        <w:ind w:left="720" w:hanging="720"/>
        <w:jc w:val="both"/>
        <w:rPr>
          <w:rFonts w:ascii="Calibri" w:hAnsi="Calibri" w:cs="Helv"/>
          <w:b/>
          <w:bCs/>
          <w:color w:val="000000"/>
        </w:rPr>
      </w:pPr>
      <w:r w:rsidRPr="008907BC">
        <w:rPr>
          <w:rFonts w:ascii="Calibri" w:hAnsi="Calibri" w:cs="Helv"/>
          <w:b/>
          <w:bCs/>
          <w:color w:val="000000"/>
        </w:rPr>
        <w:t xml:space="preserve">Changes to Trust Income Taxation Wrought by ATRA and </w:t>
      </w:r>
      <w:r w:rsidR="006B2D6C">
        <w:rPr>
          <w:rFonts w:ascii="Calibri" w:hAnsi="Calibri" w:cs="Helv"/>
          <w:b/>
          <w:bCs/>
          <w:color w:val="000000"/>
        </w:rPr>
        <w:t xml:space="preserve">the </w:t>
      </w:r>
      <w:r w:rsidRPr="008907BC">
        <w:rPr>
          <w:rFonts w:ascii="Calibri" w:hAnsi="Calibri" w:cs="Helv"/>
          <w:b/>
          <w:bCs/>
          <w:color w:val="000000"/>
        </w:rPr>
        <w:t xml:space="preserve">ACA </w:t>
      </w:r>
    </w:p>
    <w:p w14:paraId="13E3AA86" w14:textId="77777777" w:rsidR="001E0D1F" w:rsidRPr="001E0D1F" w:rsidRDefault="001E0D1F" w:rsidP="001E0D1F">
      <w:pPr>
        <w:autoSpaceDE w:val="0"/>
        <w:autoSpaceDN w:val="0"/>
        <w:adjustRightInd w:val="0"/>
        <w:spacing w:line="360" w:lineRule="auto"/>
        <w:ind w:firstLine="720"/>
        <w:jc w:val="both"/>
        <w:rPr>
          <w:rFonts w:ascii="Calibri" w:hAnsi="Calibri" w:cs="Helv"/>
          <w:bCs/>
          <w:color w:val="000000"/>
        </w:rPr>
      </w:pPr>
      <w:r w:rsidRPr="001E0D1F">
        <w:rPr>
          <w:rFonts w:ascii="Calibri" w:hAnsi="Calibri" w:cs="Helv"/>
          <w:bCs/>
          <w:color w:val="000000"/>
        </w:rPr>
        <w:t xml:space="preserve">First, let’s pause for a refresher on </w:t>
      </w:r>
      <w:r>
        <w:rPr>
          <w:rFonts w:ascii="Calibri" w:hAnsi="Calibri" w:cs="Helv"/>
          <w:bCs/>
          <w:color w:val="000000"/>
        </w:rPr>
        <w:t xml:space="preserve">how </w:t>
      </w:r>
      <w:r w:rsidRPr="001E0D1F">
        <w:rPr>
          <w:rFonts w:ascii="Calibri" w:hAnsi="Calibri" w:cs="Helv"/>
          <w:bCs/>
          <w:color w:val="000000"/>
        </w:rPr>
        <w:t>the</w:t>
      </w:r>
      <w:r>
        <w:rPr>
          <w:rFonts w:ascii="Calibri" w:hAnsi="Calibri" w:cs="Helv"/>
          <w:bCs/>
          <w:color w:val="000000"/>
        </w:rPr>
        <w:t xml:space="preserve"> new tax regime, including the M</w:t>
      </w:r>
      <w:r w:rsidRPr="001E0D1F">
        <w:rPr>
          <w:rFonts w:ascii="Calibri" w:hAnsi="Calibri" w:cs="Helv"/>
          <w:bCs/>
          <w:color w:val="000000"/>
        </w:rPr>
        <w:t>edicare surtax, affects non-grantor trusts and beneficiaries</w:t>
      </w:r>
      <w:r w:rsidR="00541816">
        <w:rPr>
          <w:rFonts w:ascii="Calibri" w:hAnsi="Calibri" w:cs="Helv"/>
          <w:bCs/>
          <w:color w:val="000000"/>
        </w:rPr>
        <w:t>, and why 2013 changes the game</w:t>
      </w:r>
      <w:r w:rsidRPr="001E0D1F">
        <w:rPr>
          <w:rFonts w:ascii="Calibri" w:hAnsi="Calibri" w:cs="Helv"/>
          <w:bCs/>
          <w:color w:val="000000"/>
        </w:rPr>
        <w:t>.</w:t>
      </w:r>
    </w:p>
    <w:p w14:paraId="20119BC4" w14:textId="77777777" w:rsidR="001E0D1F" w:rsidRPr="001E0D1F" w:rsidRDefault="001E0D1F" w:rsidP="001E0D1F">
      <w:pPr>
        <w:autoSpaceDE w:val="0"/>
        <w:autoSpaceDN w:val="0"/>
        <w:adjustRightInd w:val="0"/>
        <w:spacing w:line="360" w:lineRule="auto"/>
        <w:ind w:firstLine="720"/>
        <w:rPr>
          <w:rFonts w:ascii="Calibri" w:hAnsi="Calibri"/>
        </w:rPr>
      </w:pPr>
      <w:r w:rsidRPr="001E0D1F">
        <w:rPr>
          <w:rFonts w:ascii="Calibri" w:hAnsi="Calibri"/>
        </w:rPr>
        <w:t>For individuals, the 3.8% tax will apply in 2013 to the lesser of net investment income or the excess of a taxpayer’s modified adjusted gross income (MAGI) over:</w:t>
      </w:r>
    </w:p>
    <w:p w14:paraId="5E9173CF" w14:textId="77777777" w:rsidR="001E0D1F" w:rsidRPr="001E0D1F" w:rsidRDefault="001E0D1F" w:rsidP="00180FD1">
      <w:pPr>
        <w:numPr>
          <w:ilvl w:val="0"/>
          <w:numId w:val="9"/>
        </w:numPr>
        <w:autoSpaceDE w:val="0"/>
        <w:autoSpaceDN w:val="0"/>
        <w:adjustRightInd w:val="0"/>
        <w:spacing w:line="360" w:lineRule="auto"/>
        <w:rPr>
          <w:rFonts w:ascii="Calibri" w:hAnsi="Calibri"/>
        </w:rPr>
      </w:pPr>
      <w:r w:rsidRPr="001E0D1F">
        <w:rPr>
          <w:rFonts w:ascii="Calibri" w:hAnsi="Calibri"/>
        </w:rPr>
        <w:t>$125,000 (married filing separately)</w:t>
      </w:r>
    </w:p>
    <w:p w14:paraId="0D14C297" w14:textId="77777777" w:rsidR="001E0D1F" w:rsidRPr="001E0D1F" w:rsidRDefault="001E0D1F" w:rsidP="00180FD1">
      <w:pPr>
        <w:numPr>
          <w:ilvl w:val="0"/>
          <w:numId w:val="9"/>
        </w:numPr>
        <w:autoSpaceDE w:val="0"/>
        <w:autoSpaceDN w:val="0"/>
        <w:adjustRightInd w:val="0"/>
        <w:spacing w:line="360" w:lineRule="auto"/>
        <w:rPr>
          <w:rFonts w:ascii="Calibri" w:hAnsi="Calibri"/>
        </w:rPr>
      </w:pPr>
      <w:r w:rsidRPr="001E0D1F">
        <w:rPr>
          <w:rFonts w:ascii="Calibri" w:hAnsi="Calibri"/>
        </w:rPr>
        <w:t>$250,000 (married filing jointly and qualifying widower)</w:t>
      </w:r>
    </w:p>
    <w:p w14:paraId="7079CE07" w14:textId="77777777" w:rsidR="001E0D1F" w:rsidRPr="001E0D1F" w:rsidRDefault="001E0D1F" w:rsidP="00180FD1">
      <w:pPr>
        <w:numPr>
          <w:ilvl w:val="0"/>
          <w:numId w:val="9"/>
        </w:numPr>
        <w:autoSpaceDE w:val="0"/>
        <w:autoSpaceDN w:val="0"/>
        <w:adjustRightInd w:val="0"/>
        <w:spacing w:line="360" w:lineRule="auto"/>
        <w:rPr>
          <w:rFonts w:ascii="Calibri" w:hAnsi="Calibri"/>
        </w:rPr>
      </w:pPr>
      <w:r w:rsidRPr="001E0D1F">
        <w:rPr>
          <w:rFonts w:ascii="Calibri" w:hAnsi="Calibri"/>
        </w:rPr>
        <w:t xml:space="preserve">$200,000 (single) (individual thresholds in IRC §1411(b)) </w:t>
      </w:r>
    </w:p>
    <w:p w14:paraId="0BE1E512" w14:textId="77777777" w:rsidR="001E0D1F" w:rsidRPr="001E0D1F" w:rsidRDefault="001E0D1F" w:rsidP="001E0D1F">
      <w:pPr>
        <w:autoSpaceDE w:val="0"/>
        <w:autoSpaceDN w:val="0"/>
        <w:adjustRightInd w:val="0"/>
        <w:spacing w:line="360" w:lineRule="auto"/>
        <w:ind w:firstLine="720"/>
        <w:rPr>
          <w:rFonts w:ascii="Calibri" w:hAnsi="Calibri"/>
        </w:rPr>
      </w:pPr>
      <w:r w:rsidRPr="001E0D1F">
        <w:rPr>
          <w:rFonts w:ascii="Calibri" w:hAnsi="Calibri"/>
        </w:rPr>
        <w:t xml:space="preserve">The “modified” applies to those who live abroad and use the foreign earned income exclusion – for 99% of taxpayers, this is </w:t>
      </w:r>
      <w:r w:rsidR="00541816">
        <w:rPr>
          <w:rFonts w:ascii="Calibri" w:hAnsi="Calibri"/>
        </w:rPr>
        <w:t xml:space="preserve">the same as </w:t>
      </w:r>
      <w:r w:rsidRPr="001E0D1F">
        <w:rPr>
          <w:rFonts w:ascii="Calibri" w:hAnsi="Calibri"/>
        </w:rPr>
        <w:t>adjusted gross income (AGI), the bottom line of Form 1040.</w:t>
      </w:r>
    </w:p>
    <w:p w14:paraId="741DA732" w14:textId="77777777" w:rsidR="001E0D1F" w:rsidRPr="001E0D1F" w:rsidRDefault="001E0D1F" w:rsidP="001E0D1F">
      <w:pPr>
        <w:autoSpaceDE w:val="0"/>
        <w:autoSpaceDN w:val="0"/>
        <w:adjustRightInd w:val="0"/>
        <w:spacing w:line="360" w:lineRule="auto"/>
        <w:ind w:firstLine="720"/>
        <w:rPr>
          <w:rFonts w:ascii="Calibri" w:hAnsi="Calibri"/>
        </w:rPr>
      </w:pPr>
      <w:r w:rsidRPr="001E0D1F">
        <w:rPr>
          <w:rFonts w:ascii="Calibri" w:hAnsi="Calibri"/>
        </w:rPr>
        <w:t>For estates and trusts, it applies to the lesser of the undistributed net investment income or the excess of an estate/trust’s adjusted (not modified) gross income (AGI) over</w:t>
      </w:r>
    </w:p>
    <w:p w14:paraId="30A42A31" w14:textId="77777777" w:rsidR="001E0D1F" w:rsidRPr="001E0D1F" w:rsidRDefault="00541816" w:rsidP="00180FD1">
      <w:pPr>
        <w:numPr>
          <w:ilvl w:val="0"/>
          <w:numId w:val="9"/>
        </w:numPr>
        <w:autoSpaceDE w:val="0"/>
        <w:autoSpaceDN w:val="0"/>
        <w:adjustRightInd w:val="0"/>
        <w:spacing w:line="360" w:lineRule="auto"/>
        <w:rPr>
          <w:rFonts w:ascii="Calibri" w:hAnsi="Calibri"/>
        </w:rPr>
      </w:pPr>
      <w:r>
        <w:rPr>
          <w:rFonts w:ascii="Calibri" w:hAnsi="Calibri"/>
        </w:rPr>
        <w:t>$11,9</w:t>
      </w:r>
      <w:r w:rsidR="001E0D1F" w:rsidRPr="001E0D1F">
        <w:rPr>
          <w:rFonts w:ascii="Calibri" w:hAnsi="Calibri"/>
        </w:rPr>
        <w:t xml:space="preserve">50 (top tax bracket, adjusted for inflation) (IRC §1411(a)(2)) </w:t>
      </w:r>
    </w:p>
    <w:p w14:paraId="24F36B8D" w14:textId="77777777" w:rsidR="001E0D1F" w:rsidRPr="001E0D1F" w:rsidRDefault="001E0D1F" w:rsidP="001E0D1F">
      <w:pPr>
        <w:ind w:left="720"/>
        <w:rPr>
          <w:rFonts w:ascii="Calibri" w:hAnsi="Calibri" w:cs="Lucida Sans Unicode"/>
          <w:lang w:val="en"/>
        </w:rPr>
      </w:pPr>
      <w:r w:rsidRPr="001E0D1F">
        <w:rPr>
          <w:rFonts w:ascii="Calibri" w:hAnsi="Calibri"/>
        </w:rPr>
        <w:t xml:space="preserve">“Net investment income” is </w:t>
      </w:r>
    </w:p>
    <w:p w14:paraId="2971BA38" w14:textId="77777777" w:rsidR="001E0D1F" w:rsidRPr="001E0D1F" w:rsidRDefault="001E0D1F" w:rsidP="001E0D1F">
      <w:pPr>
        <w:ind w:left="720"/>
        <w:rPr>
          <w:rFonts w:ascii="Calibri" w:hAnsi="Calibri" w:cs="Lucida Sans Unicode"/>
          <w:lang w:val="en"/>
        </w:rPr>
      </w:pPr>
      <w:bookmarkStart w:id="13" w:name="c_1_A_i"/>
      <w:bookmarkEnd w:id="13"/>
      <w:r w:rsidRPr="001E0D1F">
        <w:rPr>
          <w:rStyle w:val="enumbell1"/>
          <w:rFonts w:ascii="Calibri" w:hAnsi="Calibri" w:cs="Lucida Sans Unicode"/>
          <w:lang w:val="en"/>
        </w:rPr>
        <w:lastRenderedPageBreak/>
        <w:t>“A (i)</w:t>
      </w:r>
      <w:r w:rsidRPr="001E0D1F">
        <w:rPr>
          <w:rFonts w:ascii="Calibri" w:hAnsi="Calibri" w:cs="Lucida Sans Unicode"/>
          <w:lang w:val="en"/>
        </w:rPr>
        <w:t xml:space="preserve"> </w:t>
      </w:r>
      <w:r w:rsidRPr="001E0D1F">
        <w:rPr>
          <w:rStyle w:val="ptext-25"/>
          <w:rFonts w:ascii="Calibri" w:hAnsi="Calibri" w:cs="Lucida Sans Unicode"/>
          <w:lang w:val="en"/>
        </w:rPr>
        <w:t xml:space="preserve">gross income from interest, dividends, annuities, royalties, and rents, other than such income which is derived in the ordinary course of a trade or business not described in paragraph (2), </w:t>
      </w:r>
    </w:p>
    <w:p w14:paraId="0B01C074" w14:textId="77777777" w:rsidR="001E0D1F" w:rsidRPr="001E0D1F" w:rsidRDefault="001E0D1F" w:rsidP="001E0D1F">
      <w:pPr>
        <w:ind w:left="720"/>
        <w:rPr>
          <w:rFonts w:ascii="Calibri" w:hAnsi="Calibri" w:cs="Lucida Sans Unicode"/>
          <w:lang w:val="en"/>
        </w:rPr>
      </w:pPr>
      <w:bookmarkStart w:id="14" w:name="c_1_A_ii"/>
      <w:bookmarkEnd w:id="14"/>
      <w:r w:rsidRPr="001E0D1F">
        <w:rPr>
          <w:rStyle w:val="enumbell1"/>
          <w:rFonts w:ascii="Calibri" w:hAnsi="Calibri" w:cs="Lucida Sans Unicode"/>
          <w:lang w:val="en"/>
        </w:rPr>
        <w:t>(ii)</w:t>
      </w:r>
      <w:r w:rsidRPr="001E0D1F">
        <w:rPr>
          <w:rFonts w:ascii="Calibri" w:hAnsi="Calibri" w:cs="Lucida Sans Unicode"/>
          <w:lang w:val="en"/>
        </w:rPr>
        <w:t xml:space="preserve"> </w:t>
      </w:r>
      <w:r w:rsidRPr="001E0D1F">
        <w:rPr>
          <w:rStyle w:val="ptext-25"/>
          <w:rFonts w:ascii="Calibri" w:hAnsi="Calibri" w:cs="Lucida Sans Unicode"/>
          <w:lang w:val="en"/>
        </w:rPr>
        <w:t xml:space="preserve">other gross income derived from a trade or business described in paragraph (2), and </w:t>
      </w:r>
    </w:p>
    <w:p w14:paraId="5D40C7E7" w14:textId="77777777" w:rsidR="001E0D1F" w:rsidRPr="001E0D1F" w:rsidRDefault="001E0D1F" w:rsidP="001E0D1F">
      <w:pPr>
        <w:ind w:left="720"/>
        <w:rPr>
          <w:rStyle w:val="ptext-25"/>
          <w:rFonts w:ascii="Calibri" w:hAnsi="Calibri" w:cs="Lucida Sans Unicode"/>
          <w:lang w:val="en"/>
        </w:rPr>
      </w:pPr>
      <w:bookmarkStart w:id="15" w:name="c_1_A_iii"/>
      <w:bookmarkEnd w:id="15"/>
      <w:r w:rsidRPr="001E0D1F">
        <w:rPr>
          <w:rStyle w:val="enumbell1"/>
          <w:rFonts w:ascii="Calibri" w:hAnsi="Calibri" w:cs="Lucida Sans Unicode"/>
          <w:lang w:val="en"/>
        </w:rPr>
        <w:t>(iii)</w:t>
      </w:r>
      <w:r w:rsidRPr="001E0D1F">
        <w:rPr>
          <w:rFonts w:ascii="Calibri" w:hAnsi="Calibri" w:cs="Lucida Sans Unicode"/>
          <w:lang w:val="en"/>
        </w:rPr>
        <w:t xml:space="preserve"> </w:t>
      </w:r>
      <w:r w:rsidRPr="001E0D1F">
        <w:rPr>
          <w:rStyle w:val="ptext-25"/>
          <w:rFonts w:ascii="Calibri" w:hAnsi="Calibri" w:cs="Lucida Sans Unicode"/>
          <w:lang w:val="en"/>
        </w:rPr>
        <w:t xml:space="preserve">net gain (to the extent taken into account in computing taxable income) attributable to the disposition of property other than property held in a trade or business not described in paragraph (2), </w:t>
      </w:r>
    </w:p>
    <w:p w14:paraId="1941D7BD" w14:textId="77777777" w:rsidR="001E0D1F" w:rsidRPr="001E0D1F" w:rsidRDefault="001E0D1F" w:rsidP="001E0D1F">
      <w:pPr>
        <w:rPr>
          <w:rFonts w:ascii="Calibri" w:hAnsi="Calibri" w:cs="Lucida Sans Unicode"/>
          <w:b/>
          <w:lang w:val="en"/>
        </w:rPr>
      </w:pPr>
      <w:r w:rsidRPr="001E0D1F">
        <w:rPr>
          <w:rStyle w:val="enumbell1"/>
          <w:rFonts w:ascii="Calibri" w:hAnsi="Calibri" w:cs="Lucida Sans Unicode"/>
          <w:lang w:val="en"/>
        </w:rPr>
        <w:tab/>
        <w:t>[</w:t>
      </w:r>
      <w:r w:rsidRPr="001E0D1F">
        <w:rPr>
          <w:rStyle w:val="enumbell1"/>
          <w:rFonts w:ascii="Calibri" w:hAnsi="Calibri" w:cs="Lucida Sans Unicode"/>
          <w:b w:val="0"/>
          <w:lang w:val="en"/>
        </w:rPr>
        <w:t xml:space="preserve">Minus,] </w:t>
      </w:r>
    </w:p>
    <w:p w14:paraId="0DFE39F1" w14:textId="77777777" w:rsidR="001E0D1F" w:rsidRPr="001E0D1F" w:rsidRDefault="001E0D1F" w:rsidP="001E0D1F">
      <w:pPr>
        <w:ind w:left="720"/>
        <w:rPr>
          <w:rFonts w:ascii="Calibri" w:hAnsi="Calibri" w:cs="Lucida Sans Unicode"/>
          <w:lang w:val="en"/>
        </w:rPr>
      </w:pPr>
      <w:bookmarkStart w:id="16" w:name="c_1_B"/>
      <w:bookmarkEnd w:id="16"/>
      <w:r w:rsidRPr="001E0D1F">
        <w:rPr>
          <w:rStyle w:val="enumbell1"/>
          <w:rFonts w:ascii="Calibri" w:hAnsi="Calibri" w:cs="Lucida Sans Unicode"/>
          <w:lang w:val="en"/>
        </w:rPr>
        <w:t>(B)</w:t>
      </w:r>
      <w:r w:rsidRPr="001E0D1F">
        <w:rPr>
          <w:rFonts w:ascii="Calibri" w:hAnsi="Calibri" w:cs="Lucida Sans Unicode"/>
          <w:lang w:val="en"/>
        </w:rPr>
        <w:t xml:space="preserve"> </w:t>
      </w:r>
      <w:r w:rsidRPr="001E0D1F">
        <w:rPr>
          <w:rStyle w:val="ptext-25"/>
          <w:rFonts w:ascii="Calibri" w:hAnsi="Calibri" w:cs="Lucida Sans Unicode"/>
          <w:lang w:val="en"/>
        </w:rPr>
        <w:t>the deductions allowed by this subtitle which are properly allocable to such gross income or net gain.”</w:t>
      </w:r>
      <w:r w:rsidR="00541816">
        <w:rPr>
          <w:rStyle w:val="FootnoteReference"/>
          <w:rFonts w:ascii="Calibri" w:hAnsi="Calibri" w:cs="Lucida Sans Unicode"/>
          <w:lang w:val="en"/>
        </w:rPr>
        <w:footnoteReference w:id="382"/>
      </w:r>
      <w:r w:rsidRPr="001E0D1F">
        <w:rPr>
          <w:rStyle w:val="ptext-25"/>
          <w:rFonts w:ascii="Calibri" w:hAnsi="Calibri" w:cs="Lucida Sans Unicode"/>
          <w:lang w:val="en"/>
        </w:rPr>
        <w:t xml:space="preserve"> </w:t>
      </w:r>
    </w:p>
    <w:p w14:paraId="6DFB5229" w14:textId="77777777" w:rsidR="00541816" w:rsidRDefault="00541816" w:rsidP="001E0D1F">
      <w:pPr>
        <w:autoSpaceDE w:val="0"/>
        <w:autoSpaceDN w:val="0"/>
        <w:adjustRightInd w:val="0"/>
        <w:spacing w:line="360" w:lineRule="auto"/>
        <w:ind w:firstLine="720"/>
        <w:rPr>
          <w:rFonts w:ascii="Calibri" w:hAnsi="Calibri"/>
        </w:rPr>
      </w:pPr>
    </w:p>
    <w:p w14:paraId="5D8BEC66" w14:textId="77777777" w:rsidR="001E0D1F" w:rsidRPr="001E0D1F" w:rsidRDefault="001E0D1F" w:rsidP="001E0D1F">
      <w:pPr>
        <w:autoSpaceDE w:val="0"/>
        <w:autoSpaceDN w:val="0"/>
        <w:adjustRightInd w:val="0"/>
        <w:spacing w:line="360" w:lineRule="auto"/>
        <w:ind w:firstLine="720"/>
        <w:rPr>
          <w:rFonts w:ascii="Calibri" w:hAnsi="Calibri"/>
        </w:rPr>
      </w:pPr>
      <w:r w:rsidRPr="001E0D1F">
        <w:rPr>
          <w:rFonts w:ascii="Calibri" w:hAnsi="Calibri"/>
        </w:rPr>
        <w:t>Qualified retirement income is excluded, as well as wages, self-employment income, active business income or gain from a sale of such a business</w:t>
      </w:r>
      <w:r w:rsidR="00541816">
        <w:rPr>
          <w:rFonts w:ascii="Calibri" w:hAnsi="Calibri"/>
        </w:rPr>
        <w:t>.</w:t>
      </w:r>
      <w:r w:rsidR="00541816">
        <w:rPr>
          <w:rStyle w:val="FootnoteReference"/>
          <w:rFonts w:ascii="Calibri" w:hAnsi="Calibri"/>
        </w:rPr>
        <w:footnoteReference w:id="383"/>
      </w:r>
    </w:p>
    <w:p w14:paraId="76FBB84E" w14:textId="77777777" w:rsidR="001E0D1F" w:rsidRPr="001E0D1F" w:rsidRDefault="001E0D1F" w:rsidP="001E0D1F">
      <w:pPr>
        <w:autoSpaceDE w:val="0"/>
        <w:autoSpaceDN w:val="0"/>
        <w:adjustRightInd w:val="0"/>
        <w:spacing w:line="360" w:lineRule="auto"/>
        <w:ind w:firstLine="720"/>
        <w:rPr>
          <w:rFonts w:ascii="Calibri" w:hAnsi="Calibri"/>
        </w:rPr>
      </w:pPr>
      <w:r w:rsidRPr="001E0D1F">
        <w:rPr>
          <w:rFonts w:ascii="Calibri" w:hAnsi="Calibri"/>
        </w:rPr>
        <w:t xml:space="preserve">There are many basic ways of restructuring finances and investments to avoid the surtax, </w:t>
      </w:r>
      <w:r w:rsidR="00541816">
        <w:rPr>
          <w:rFonts w:ascii="Calibri" w:hAnsi="Calibri"/>
        </w:rPr>
        <w:t xml:space="preserve">most of which also avoid/defer income tax, </w:t>
      </w:r>
      <w:r w:rsidRPr="001E0D1F">
        <w:rPr>
          <w:rFonts w:ascii="Calibri" w:hAnsi="Calibri"/>
        </w:rPr>
        <w:t>such as:</w:t>
      </w:r>
    </w:p>
    <w:p w14:paraId="31DA91AE" w14:textId="77777777" w:rsidR="001E0D1F" w:rsidRPr="001E0D1F" w:rsidRDefault="001E0D1F" w:rsidP="00180FD1">
      <w:pPr>
        <w:numPr>
          <w:ilvl w:val="0"/>
          <w:numId w:val="10"/>
        </w:numPr>
        <w:tabs>
          <w:tab w:val="clear" w:pos="1440"/>
          <w:tab w:val="num" w:pos="720"/>
        </w:tabs>
        <w:autoSpaceDE w:val="0"/>
        <w:autoSpaceDN w:val="0"/>
        <w:adjustRightInd w:val="0"/>
        <w:spacing w:line="360" w:lineRule="auto"/>
        <w:ind w:left="720"/>
        <w:rPr>
          <w:rFonts w:ascii="Calibri" w:hAnsi="Calibri"/>
        </w:rPr>
      </w:pPr>
      <w:r w:rsidRPr="001E0D1F">
        <w:rPr>
          <w:rFonts w:ascii="Calibri" w:hAnsi="Calibri"/>
        </w:rPr>
        <w:t>using tax exempt investments such as municipal bonds;</w:t>
      </w:r>
    </w:p>
    <w:p w14:paraId="2913981B" w14:textId="77777777" w:rsidR="001E0D1F" w:rsidRPr="001E0D1F" w:rsidRDefault="001E0D1F" w:rsidP="00180FD1">
      <w:pPr>
        <w:numPr>
          <w:ilvl w:val="0"/>
          <w:numId w:val="10"/>
        </w:numPr>
        <w:tabs>
          <w:tab w:val="clear" w:pos="1440"/>
          <w:tab w:val="num" w:pos="720"/>
        </w:tabs>
        <w:autoSpaceDE w:val="0"/>
        <w:autoSpaceDN w:val="0"/>
        <w:adjustRightInd w:val="0"/>
        <w:spacing w:line="360" w:lineRule="auto"/>
        <w:ind w:left="720"/>
        <w:rPr>
          <w:rFonts w:ascii="Calibri" w:hAnsi="Calibri"/>
        </w:rPr>
      </w:pPr>
      <w:r w:rsidRPr="001E0D1F">
        <w:rPr>
          <w:rFonts w:ascii="Calibri" w:hAnsi="Calibri"/>
        </w:rPr>
        <w:t>using investments or accounts with tax deferral features such as life insurance, deferred annuity contracts, deferred comp or retirement plans;</w:t>
      </w:r>
    </w:p>
    <w:p w14:paraId="6FBEF9C1" w14:textId="77777777" w:rsidR="001E0D1F" w:rsidRPr="001E0D1F" w:rsidRDefault="001E0D1F" w:rsidP="00180FD1">
      <w:pPr>
        <w:numPr>
          <w:ilvl w:val="0"/>
          <w:numId w:val="10"/>
        </w:numPr>
        <w:tabs>
          <w:tab w:val="clear" w:pos="1440"/>
          <w:tab w:val="num" w:pos="720"/>
        </w:tabs>
        <w:autoSpaceDE w:val="0"/>
        <w:autoSpaceDN w:val="0"/>
        <w:adjustRightInd w:val="0"/>
        <w:spacing w:line="360" w:lineRule="auto"/>
        <w:ind w:left="720"/>
        <w:rPr>
          <w:rFonts w:ascii="Calibri" w:hAnsi="Calibri"/>
        </w:rPr>
      </w:pPr>
      <w:r w:rsidRPr="001E0D1F">
        <w:rPr>
          <w:rFonts w:ascii="Calibri" w:hAnsi="Calibri"/>
        </w:rPr>
        <w:t>utilizing traditional techniques to defer recognition/timing of gains, such as tax-free exchanges, installment sales or charitable remainder trusts;</w:t>
      </w:r>
    </w:p>
    <w:p w14:paraId="0C8058ED" w14:textId="77777777" w:rsidR="001E0D1F" w:rsidRPr="001E0D1F" w:rsidRDefault="001E0D1F" w:rsidP="00180FD1">
      <w:pPr>
        <w:numPr>
          <w:ilvl w:val="0"/>
          <w:numId w:val="10"/>
        </w:numPr>
        <w:tabs>
          <w:tab w:val="clear" w:pos="1440"/>
          <w:tab w:val="num" w:pos="720"/>
        </w:tabs>
        <w:autoSpaceDE w:val="0"/>
        <w:autoSpaceDN w:val="0"/>
        <w:adjustRightInd w:val="0"/>
        <w:spacing w:line="360" w:lineRule="auto"/>
        <w:ind w:left="720"/>
        <w:rPr>
          <w:rFonts w:ascii="Calibri" w:hAnsi="Calibri"/>
        </w:rPr>
      </w:pPr>
      <w:r w:rsidRPr="001E0D1F">
        <w:rPr>
          <w:rFonts w:ascii="Calibri" w:hAnsi="Calibri"/>
        </w:rPr>
        <w:t>investing in assets with tax depreciation features, such as traditional real estate or oil and gas investments;</w:t>
      </w:r>
    </w:p>
    <w:p w14:paraId="32E040A8" w14:textId="77777777" w:rsidR="001E0D1F" w:rsidRPr="001E0D1F" w:rsidRDefault="001E0D1F" w:rsidP="00180FD1">
      <w:pPr>
        <w:numPr>
          <w:ilvl w:val="0"/>
          <w:numId w:val="10"/>
        </w:numPr>
        <w:tabs>
          <w:tab w:val="clear" w:pos="1440"/>
          <w:tab w:val="num" w:pos="720"/>
        </w:tabs>
        <w:autoSpaceDE w:val="0"/>
        <w:autoSpaceDN w:val="0"/>
        <w:adjustRightInd w:val="0"/>
        <w:spacing w:line="360" w:lineRule="auto"/>
        <w:ind w:left="720"/>
        <w:rPr>
          <w:rFonts w:ascii="Calibri" w:hAnsi="Calibri"/>
        </w:rPr>
      </w:pPr>
      <w:r w:rsidRPr="001E0D1F">
        <w:rPr>
          <w:rFonts w:ascii="Calibri" w:hAnsi="Calibri"/>
        </w:rPr>
        <w:t>more sensitive attention to tax recognition, such as using low turnover funds, ETFs and/or managing individual stocks and bonds;</w:t>
      </w:r>
    </w:p>
    <w:p w14:paraId="601D4E96" w14:textId="77777777" w:rsidR="001E0D1F" w:rsidRPr="001E0D1F" w:rsidRDefault="001E0D1F" w:rsidP="00180FD1">
      <w:pPr>
        <w:numPr>
          <w:ilvl w:val="0"/>
          <w:numId w:val="10"/>
        </w:numPr>
        <w:tabs>
          <w:tab w:val="clear" w:pos="1440"/>
          <w:tab w:val="num" w:pos="720"/>
        </w:tabs>
        <w:autoSpaceDE w:val="0"/>
        <w:autoSpaceDN w:val="0"/>
        <w:adjustRightInd w:val="0"/>
        <w:spacing w:line="360" w:lineRule="auto"/>
        <w:ind w:left="720"/>
        <w:rPr>
          <w:rFonts w:ascii="Calibri" w:hAnsi="Calibri"/>
        </w:rPr>
      </w:pPr>
      <w:r w:rsidRPr="001E0D1F">
        <w:rPr>
          <w:rFonts w:ascii="Calibri" w:hAnsi="Calibri"/>
        </w:rPr>
        <w:t>accelerating the timing of income recognition into 2012, via Roth IRA conversions, distributing C Corporation dividends or harvesting long-term capital gains;</w:t>
      </w:r>
    </w:p>
    <w:p w14:paraId="5F5CBD5D" w14:textId="77777777" w:rsidR="001E0D1F" w:rsidRPr="001E0D1F" w:rsidRDefault="001E0D1F" w:rsidP="00180FD1">
      <w:pPr>
        <w:numPr>
          <w:ilvl w:val="0"/>
          <w:numId w:val="10"/>
        </w:numPr>
        <w:tabs>
          <w:tab w:val="clear" w:pos="1440"/>
          <w:tab w:val="num" w:pos="720"/>
        </w:tabs>
        <w:autoSpaceDE w:val="0"/>
        <w:autoSpaceDN w:val="0"/>
        <w:adjustRightInd w:val="0"/>
        <w:spacing w:line="360" w:lineRule="auto"/>
        <w:ind w:left="720"/>
        <w:rPr>
          <w:rFonts w:ascii="Calibri" w:hAnsi="Calibri"/>
        </w:rPr>
      </w:pPr>
      <w:r w:rsidRPr="001E0D1F">
        <w:rPr>
          <w:rFonts w:ascii="Calibri" w:hAnsi="Calibri"/>
        </w:rPr>
        <w:t xml:space="preserve">for decedent’s estate/qualifying trusts, electing fiscal years ending/beginning in November, 2012 (the tax applies to years </w:t>
      </w:r>
      <w:r w:rsidRPr="001E0D1F">
        <w:rPr>
          <w:rFonts w:ascii="Calibri" w:hAnsi="Calibri"/>
          <w:i/>
        </w:rPr>
        <w:t>beginning</w:t>
      </w:r>
      <w:r w:rsidRPr="001E0D1F">
        <w:rPr>
          <w:rFonts w:ascii="Calibri" w:hAnsi="Calibri"/>
        </w:rPr>
        <w:t xml:space="preserve"> after Dec 31, 2012, so a Dec 1, 2012-Nov 31, 2013 fiscal year allow</w:t>
      </w:r>
      <w:r w:rsidR="000778B7">
        <w:rPr>
          <w:rFonts w:ascii="Calibri" w:hAnsi="Calibri"/>
        </w:rPr>
        <w:t>s</w:t>
      </w:r>
      <w:r w:rsidRPr="001E0D1F">
        <w:rPr>
          <w:rFonts w:ascii="Calibri" w:hAnsi="Calibri"/>
        </w:rPr>
        <w:t xml:space="preserve"> eleven months of 2013 income </w:t>
      </w:r>
      <w:r w:rsidR="00541816">
        <w:rPr>
          <w:rFonts w:ascii="Calibri" w:hAnsi="Calibri"/>
        </w:rPr>
        <w:t xml:space="preserve">to </w:t>
      </w:r>
      <w:r w:rsidRPr="001E0D1F">
        <w:rPr>
          <w:rFonts w:ascii="Calibri" w:hAnsi="Calibri"/>
        </w:rPr>
        <w:t xml:space="preserve">avoid </w:t>
      </w:r>
      <w:r w:rsidR="000778B7">
        <w:rPr>
          <w:rFonts w:ascii="Calibri" w:hAnsi="Calibri"/>
        </w:rPr>
        <w:t>sur</w:t>
      </w:r>
      <w:r w:rsidRPr="001E0D1F">
        <w:rPr>
          <w:rFonts w:ascii="Calibri" w:hAnsi="Calibri"/>
        </w:rPr>
        <w:t xml:space="preserve">tax). </w:t>
      </w:r>
    </w:p>
    <w:p w14:paraId="03D96FB5" w14:textId="77777777" w:rsidR="006717D4" w:rsidRDefault="001E0D1F" w:rsidP="001E0D1F">
      <w:pPr>
        <w:autoSpaceDE w:val="0"/>
        <w:autoSpaceDN w:val="0"/>
        <w:adjustRightInd w:val="0"/>
        <w:spacing w:line="360" w:lineRule="auto"/>
        <w:ind w:firstLine="720"/>
        <w:rPr>
          <w:rFonts w:ascii="Calibri" w:hAnsi="Calibri"/>
        </w:rPr>
      </w:pPr>
      <w:r w:rsidRPr="001E0D1F">
        <w:rPr>
          <w:rFonts w:ascii="Calibri" w:hAnsi="Calibri"/>
        </w:rPr>
        <w:lastRenderedPageBreak/>
        <w:t xml:space="preserve">Most of these techniques are not new to the surtax and have traditionally been used for basic income tax planning.  </w:t>
      </w:r>
      <w:r w:rsidR="00541816">
        <w:rPr>
          <w:rFonts w:ascii="Calibri" w:hAnsi="Calibri"/>
        </w:rPr>
        <w:t xml:space="preserve">While some are effective planning for any year, </w:t>
      </w:r>
      <w:r w:rsidR="006717D4">
        <w:rPr>
          <w:rFonts w:ascii="Calibri" w:hAnsi="Calibri"/>
        </w:rPr>
        <w:t xml:space="preserve">overuse can simply become the “tax tail wagging the investment dog”.  </w:t>
      </w:r>
    </w:p>
    <w:p w14:paraId="479F1AD7" w14:textId="77777777" w:rsidR="001E0D1F" w:rsidRPr="001E0D1F" w:rsidRDefault="001E0D1F" w:rsidP="001E0D1F">
      <w:pPr>
        <w:autoSpaceDE w:val="0"/>
        <w:autoSpaceDN w:val="0"/>
        <w:adjustRightInd w:val="0"/>
        <w:spacing w:line="360" w:lineRule="auto"/>
        <w:ind w:firstLine="720"/>
        <w:rPr>
          <w:rFonts w:ascii="Calibri" w:hAnsi="Calibri"/>
        </w:rPr>
      </w:pPr>
      <w:r w:rsidRPr="001E0D1F">
        <w:rPr>
          <w:rFonts w:ascii="Calibri" w:hAnsi="Calibri"/>
        </w:rPr>
        <w:t xml:space="preserve">This </w:t>
      </w:r>
      <w:r w:rsidR="006717D4">
        <w:rPr>
          <w:rFonts w:ascii="Calibri" w:hAnsi="Calibri"/>
        </w:rPr>
        <w:t>outline</w:t>
      </w:r>
      <w:r w:rsidRPr="001E0D1F">
        <w:rPr>
          <w:rFonts w:ascii="Calibri" w:hAnsi="Calibri"/>
        </w:rPr>
        <w:t xml:space="preserve"> will discuss more unique opportunities and pitfalls of this new surtax </w:t>
      </w:r>
      <w:r w:rsidR="006717D4">
        <w:rPr>
          <w:rFonts w:ascii="Calibri" w:hAnsi="Calibri"/>
        </w:rPr>
        <w:t xml:space="preserve">and higher tax rates </w:t>
      </w:r>
      <w:r w:rsidRPr="001E0D1F">
        <w:rPr>
          <w:rFonts w:ascii="Calibri" w:hAnsi="Calibri"/>
        </w:rPr>
        <w:t xml:space="preserve">as applied to ongoing </w:t>
      </w:r>
      <w:r w:rsidR="00716DE9">
        <w:rPr>
          <w:rFonts w:ascii="Calibri" w:hAnsi="Calibri"/>
        </w:rPr>
        <w:t>non-charitable, non-</w:t>
      </w:r>
      <w:r w:rsidR="006717D4">
        <w:rPr>
          <w:rFonts w:ascii="Calibri" w:hAnsi="Calibri"/>
        </w:rPr>
        <w:t xml:space="preserve">grantor </w:t>
      </w:r>
      <w:r w:rsidRPr="001E0D1F">
        <w:rPr>
          <w:rFonts w:ascii="Calibri" w:hAnsi="Calibri"/>
        </w:rPr>
        <w:t>trusts,</w:t>
      </w:r>
      <w:r w:rsidRPr="001E0D1F">
        <w:rPr>
          <w:rStyle w:val="FootnoteReference"/>
          <w:rFonts w:ascii="Calibri" w:hAnsi="Calibri"/>
        </w:rPr>
        <w:footnoteReference w:id="384"/>
      </w:r>
      <w:r w:rsidRPr="001E0D1F">
        <w:rPr>
          <w:rFonts w:ascii="Calibri" w:hAnsi="Calibri"/>
        </w:rPr>
        <w:t xml:space="preserve"> through more proactive trust drafting, planning and administration.  Without such planning, many trusts will get stuck paying a tax that might be easily avoided</w:t>
      </w:r>
      <w:r w:rsidR="00B9289B">
        <w:rPr>
          <w:rFonts w:ascii="Calibri" w:hAnsi="Calibri"/>
        </w:rPr>
        <w:t xml:space="preserve"> (or reduced)</w:t>
      </w:r>
      <w:r w:rsidRPr="001E0D1F">
        <w:rPr>
          <w:rFonts w:ascii="Calibri" w:hAnsi="Calibri"/>
        </w:rPr>
        <w:t xml:space="preserve">.  </w:t>
      </w:r>
      <w:r w:rsidR="00592600">
        <w:rPr>
          <w:rFonts w:ascii="Calibri" w:hAnsi="Calibri"/>
        </w:rPr>
        <w:t>F</w:t>
      </w:r>
      <w:r w:rsidRPr="001E0D1F">
        <w:rPr>
          <w:rFonts w:ascii="Calibri" w:hAnsi="Calibri"/>
        </w:rPr>
        <w:t>irst</w:t>
      </w:r>
      <w:r w:rsidR="00592600">
        <w:rPr>
          <w:rFonts w:ascii="Calibri" w:hAnsi="Calibri"/>
        </w:rPr>
        <w:t>, we’ll</w:t>
      </w:r>
      <w:r w:rsidRPr="001E0D1F">
        <w:rPr>
          <w:rFonts w:ascii="Calibri" w:hAnsi="Calibri"/>
        </w:rPr>
        <w:t xml:space="preserve"> set forth a</w:t>
      </w:r>
      <w:r w:rsidR="00592600">
        <w:rPr>
          <w:rFonts w:ascii="Calibri" w:hAnsi="Calibri"/>
        </w:rPr>
        <w:t xml:space="preserve"> typical</w:t>
      </w:r>
      <w:r w:rsidRPr="001E0D1F">
        <w:rPr>
          <w:rFonts w:ascii="Calibri" w:hAnsi="Calibri"/>
        </w:rPr>
        <w:t xml:space="preserve"> example of the basic problem, then explore potential solutions to avoid the </w:t>
      </w:r>
      <w:r w:rsidR="00592600">
        <w:rPr>
          <w:rFonts w:ascii="Calibri" w:hAnsi="Calibri"/>
        </w:rPr>
        <w:t xml:space="preserve">higher </w:t>
      </w:r>
      <w:r w:rsidRPr="001E0D1F">
        <w:rPr>
          <w:rFonts w:ascii="Calibri" w:hAnsi="Calibri"/>
        </w:rPr>
        <w:t>tax</w:t>
      </w:r>
      <w:r w:rsidR="00592600">
        <w:rPr>
          <w:rFonts w:ascii="Calibri" w:hAnsi="Calibri"/>
        </w:rPr>
        <w:t>es</w:t>
      </w:r>
      <w:r w:rsidRPr="001E0D1F">
        <w:rPr>
          <w:rFonts w:ascii="Calibri" w:hAnsi="Calibri"/>
        </w:rPr>
        <w:t xml:space="preserve">.    </w:t>
      </w:r>
    </w:p>
    <w:p w14:paraId="443940D1" w14:textId="77777777" w:rsidR="001E0D1F" w:rsidRPr="001E0D1F" w:rsidRDefault="001E0D1F" w:rsidP="001E0D1F">
      <w:pPr>
        <w:autoSpaceDE w:val="0"/>
        <w:autoSpaceDN w:val="0"/>
        <w:adjustRightInd w:val="0"/>
        <w:spacing w:line="360" w:lineRule="auto"/>
        <w:ind w:firstLine="720"/>
        <w:rPr>
          <w:rFonts w:ascii="Calibri" w:hAnsi="Calibri" w:cs="Helv"/>
          <w:color w:val="000000"/>
        </w:rPr>
      </w:pPr>
      <w:r w:rsidRPr="001E0D1F">
        <w:rPr>
          <w:rFonts w:ascii="Calibri" w:hAnsi="Calibri" w:cs="Helv"/>
          <w:color w:val="000000"/>
        </w:rPr>
        <w:t>The first example below assumes that all trust/beneficiary income is otherwise subject to surtax pursuant to IRC §1411(c) (i.e.</w:t>
      </w:r>
      <w:r w:rsidR="000A5C20">
        <w:rPr>
          <w:rFonts w:ascii="Calibri" w:hAnsi="Calibri" w:cs="Helv"/>
          <w:color w:val="000000"/>
        </w:rPr>
        <w:t>,</w:t>
      </w:r>
      <w:r w:rsidRPr="001E0D1F">
        <w:rPr>
          <w:rFonts w:ascii="Calibri" w:hAnsi="Calibri" w:cs="Helv"/>
          <w:color w:val="000000"/>
        </w:rPr>
        <w:t xml:space="preserve"> interest, dividends, capital gains, annuities, rents, royalties, passive activity income, </w:t>
      </w:r>
      <w:r w:rsidRPr="006717D4">
        <w:rPr>
          <w:rFonts w:ascii="Calibri" w:hAnsi="Calibri" w:cs="Helv"/>
          <w:b/>
          <w:color w:val="000000"/>
        </w:rPr>
        <w:t>not</w:t>
      </w:r>
      <w:r w:rsidRPr="001E0D1F">
        <w:rPr>
          <w:rFonts w:ascii="Calibri" w:hAnsi="Calibri" w:cs="Helv"/>
          <w:color w:val="000000"/>
        </w:rPr>
        <w:t xml:space="preserve"> retirement income, </w:t>
      </w:r>
      <w:r w:rsidR="006717D4">
        <w:rPr>
          <w:rFonts w:ascii="Calibri" w:hAnsi="Calibri" w:cs="Helv"/>
          <w:color w:val="000000"/>
        </w:rPr>
        <w:t xml:space="preserve">municipal bond interest, </w:t>
      </w:r>
      <w:r w:rsidRPr="001E0D1F">
        <w:rPr>
          <w:rFonts w:ascii="Calibri" w:hAnsi="Calibri" w:cs="Helv"/>
          <w:color w:val="000000"/>
        </w:rPr>
        <w:t xml:space="preserve">active business income, sale of active business or other exception) and any capital gains is not within a special tax </w:t>
      </w:r>
      <w:r w:rsidR="00592600">
        <w:rPr>
          <w:rFonts w:ascii="Calibri" w:hAnsi="Calibri" w:cs="Helv"/>
          <w:color w:val="000000"/>
        </w:rPr>
        <w:t>rate category (such as</w:t>
      </w:r>
      <w:r w:rsidRPr="001E0D1F">
        <w:rPr>
          <w:rFonts w:ascii="Calibri" w:hAnsi="Calibri" w:cs="Helv"/>
          <w:color w:val="000000"/>
        </w:rPr>
        <w:t xml:space="preserve"> </w:t>
      </w:r>
      <w:r w:rsidR="0078410E">
        <w:rPr>
          <w:rFonts w:ascii="Calibri" w:hAnsi="Calibri" w:cs="Helv"/>
          <w:color w:val="000000"/>
        </w:rPr>
        <w:t>25% §1250 gain</w:t>
      </w:r>
      <w:r w:rsidR="006717D4">
        <w:rPr>
          <w:rFonts w:ascii="Calibri" w:hAnsi="Calibri" w:cs="Helv"/>
          <w:color w:val="000000"/>
        </w:rPr>
        <w:t xml:space="preserve"> or</w:t>
      </w:r>
      <w:r w:rsidRPr="001E0D1F">
        <w:rPr>
          <w:rFonts w:ascii="Calibri" w:hAnsi="Calibri" w:cs="Helv"/>
          <w:color w:val="000000"/>
        </w:rPr>
        <w:t xml:space="preserve"> </w:t>
      </w:r>
      <w:r w:rsidR="00592600">
        <w:rPr>
          <w:rFonts w:ascii="Calibri" w:hAnsi="Calibri" w:cs="Helv"/>
          <w:color w:val="000000"/>
        </w:rPr>
        <w:t xml:space="preserve">28% </w:t>
      </w:r>
      <w:r w:rsidRPr="001E0D1F">
        <w:rPr>
          <w:rFonts w:ascii="Calibri" w:hAnsi="Calibri" w:cs="Helv"/>
          <w:color w:val="000000"/>
        </w:rPr>
        <w:t>rate for collectibles)</w:t>
      </w:r>
      <w:r w:rsidR="000A5C20">
        <w:rPr>
          <w:rFonts w:ascii="Calibri" w:hAnsi="Calibri" w:cs="Helv"/>
          <w:color w:val="000000"/>
        </w:rPr>
        <w:t>.</w:t>
      </w:r>
      <w:r w:rsidR="00592600">
        <w:rPr>
          <w:rStyle w:val="FootnoteReference"/>
          <w:rFonts w:ascii="Calibri" w:hAnsi="Calibri" w:cs="Helv"/>
          <w:color w:val="000000"/>
        </w:rPr>
        <w:footnoteReference w:id="385"/>
      </w:r>
      <w:r w:rsidRPr="001E0D1F">
        <w:rPr>
          <w:rFonts w:ascii="Calibri" w:hAnsi="Calibri" w:cs="Helv"/>
          <w:color w:val="000000"/>
        </w:rPr>
        <w:t xml:space="preserve">  The $100/$300 </w:t>
      </w:r>
      <w:r w:rsidR="00013F32">
        <w:rPr>
          <w:rFonts w:ascii="Calibri" w:hAnsi="Calibri" w:cs="Helv"/>
          <w:color w:val="000000"/>
        </w:rPr>
        <w:t>personal exemption</w:t>
      </w:r>
      <w:r w:rsidRPr="001E0D1F">
        <w:rPr>
          <w:rFonts w:ascii="Calibri" w:hAnsi="Calibri" w:cs="Helv"/>
          <w:color w:val="000000"/>
        </w:rPr>
        <w:t xml:space="preserve"> and other common deductible expenses are ignored for simplicity</w:t>
      </w:r>
      <w:r w:rsidR="00A354D5">
        <w:rPr>
          <w:rFonts w:ascii="Calibri" w:hAnsi="Calibri" w:cs="Helv"/>
          <w:color w:val="000000"/>
        </w:rPr>
        <w:t>, as well as any state income taxes</w:t>
      </w:r>
      <w:r w:rsidRPr="001E0D1F">
        <w:rPr>
          <w:rFonts w:ascii="Calibri" w:hAnsi="Calibri" w:cs="Helv"/>
          <w:color w:val="000000"/>
        </w:rPr>
        <w:t>.</w:t>
      </w:r>
    </w:p>
    <w:p w14:paraId="1F0461C8" w14:textId="77777777" w:rsidR="00491FB5" w:rsidRPr="007D7B82" w:rsidRDefault="006717D4" w:rsidP="007D7B82">
      <w:pPr>
        <w:autoSpaceDE w:val="0"/>
        <w:autoSpaceDN w:val="0"/>
        <w:adjustRightInd w:val="0"/>
        <w:spacing w:line="360" w:lineRule="auto"/>
        <w:ind w:firstLine="720"/>
        <w:rPr>
          <w:rFonts w:ascii="Calibri" w:hAnsi="Calibri" w:cs="Helv"/>
          <w:color w:val="000000"/>
        </w:rPr>
      </w:pPr>
      <w:r>
        <w:rPr>
          <w:rFonts w:ascii="Calibri" w:hAnsi="Calibri" w:cs="Helv"/>
          <w:color w:val="000000"/>
        </w:rPr>
        <w:t>C</w:t>
      </w:r>
      <w:r w:rsidR="00491FB5" w:rsidRPr="007D7B82">
        <w:rPr>
          <w:rFonts w:ascii="Calibri" w:hAnsi="Calibri" w:cs="Helv"/>
          <w:color w:val="000000"/>
        </w:rPr>
        <w:t xml:space="preserve">ONSIDER:  Barbara, recently widowed, is the primary beneficiary of a $2 million bypass trust established by her late husband.  Her income outside the trust is $70,000. For 2013, the trust has ordinary income of $40,000 (which I have assumed to be also equal to the trust’s accounting income and distributable net income (DNI)), short-term capital gains of $30,000, and long-term capital gains of </w:t>
      </w:r>
      <w:r w:rsidR="00491FB5">
        <w:rPr>
          <w:rFonts w:ascii="Calibri" w:hAnsi="Calibri" w:cs="Helv"/>
          <w:color w:val="000000"/>
        </w:rPr>
        <w:t>$7</w:t>
      </w:r>
      <w:r w:rsidR="00491FB5" w:rsidRPr="007D7B82">
        <w:rPr>
          <w:rFonts w:ascii="Calibri" w:hAnsi="Calibri" w:cs="Helv"/>
          <w:color w:val="000000"/>
        </w:rPr>
        <w:t>0,000. The trustee allocates all capital gains to trust principal.</w:t>
      </w:r>
      <w:r w:rsidR="0078410E">
        <w:rPr>
          <w:rStyle w:val="FootnoteReference"/>
          <w:rFonts w:ascii="Calibri" w:hAnsi="Calibri" w:cs="Helv"/>
          <w:color w:val="000000"/>
        </w:rPr>
        <w:footnoteReference w:id="386"/>
      </w:r>
      <w:r w:rsidR="00491FB5" w:rsidRPr="007D7B82">
        <w:rPr>
          <w:rFonts w:ascii="Calibri" w:hAnsi="Calibri" w:cs="Helv"/>
          <w:color w:val="000000"/>
        </w:rPr>
        <w:t xml:space="preserve"> </w:t>
      </w:r>
      <w:r w:rsidR="00491FB5">
        <w:rPr>
          <w:rFonts w:ascii="Calibri" w:hAnsi="Calibri" w:cs="Helv"/>
          <w:color w:val="000000"/>
        </w:rPr>
        <w:t xml:space="preserve"> In its discretion, t</w:t>
      </w:r>
      <w:r w:rsidR="00491FB5" w:rsidRPr="007D7B82">
        <w:rPr>
          <w:rFonts w:ascii="Calibri" w:hAnsi="Calibri" w:cs="Helv"/>
          <w:color w:val="000000"/>
        </w:rPr>
        <w:t xml:space="preserve">he trustee distributes to Barbara all of </w:t>
      </w:r>
      <w:r w:rsidR="00491FB5">
        <w:rPr>
          <w:rFonts w:ascii="Calibri" w:hAnsi="Calibri" w:cs="Helv"/>
          <w:color w:val="000000"/>
        </w:rPr>
        <w:t>the accounting</w:t>
      </w:r>
      <w:r w:rsidR="00491FB5" w:rsidRPr="007D7B82">
        <w:rPr>
          <w:rFonts w:ascii="Calibri" w:hAnsi="Calibri" w:cs="Helv"/>
          <w:color w:val="000000"/>
        </w:rPr>
        <w:t xml:space="preserve"> income ($40,000) as well as a discretionary distribution of principal of $</w:t>
      </w:r>
      <w:r w:rsidR="00491FB5">
        <w:rPr>
          <w:rFonts w:ascii="Calibri" w:hAnsi="Calibri" w:cs="Helv"/>
          <w:color w:val="000000"/>
        </w:rPr>
        <w:t>75</w:t>
      </w:r>
      <w:r w:rsidR="00491FB5" w:rsidRPr="007D7B82">
        <w:rPr>
          <w:rFonts w:ascii="Calibri" w:hAnsi="Calibri" w:cs="Helv"/>
          <w:color w:val="000000"/>
        </w:rPr>
        <w:t xml:space="preserve">,000 needed for her </w:t>
      </w:r>
      <w:r w:rsidR="00491FB5" w:rsidRPr="007D7B82">
        <w:rPr>
          <w:rFonts w:ascii="Calibri" w:hAnsi="Calibri" w:cs="Helv"/>
          <w:color w:val="000000"/>
        </w:rPr>
        <w:lastRenderedPageBreak/>
        <w:t xml:space="preserve">support. The trust is entitled to a distribution deduction of </w:t>
      </w:r>
      <w:r w:rsidR="00491FB5">
        <w:rPr>
          <w:rFonts w:ascii="Calibri" w:hAnsi="Calibri" w:cs="Helv"/>
          <w:color w:val="000000"/>
        </w:rPr>
        <w:t xml:space="preserve">only </w:t>
      </w:r>
      <w:r w:rsidR="00491FB5" w:rsidRPr="007D7B82">
        <w:rPr>
          <w:rFonts w:ascii="Calibri" w:hAnsi="Calibri" w:cs="Helv"/>
          <w:color w:val="000000"/>
        </w:rPr>
        <w:t xml:space="preserve">$40,000 and has </w:t>
      </w:r>
      <w:r w:rsidR="00491FB5" w:rsidRPr="007D7B82">
        <w:rPr>
          <w:rFonts w:ascii="Calibri" w:hAnsi="Calibri" w:cs="Helv"/>
          <w:i/>
          <w:color w:val="000000"/>
        </w:rPr>
        <w:t xml:space="preserve">taxable income </w:t>
      </w:r>
      <w:r w:rsidR="00491FB5">
        <w:rPr>
          <w:rFonts w:ascii="Calibri" w:hAnsi="Calibri" w:cs="Helv"/>
          <w:i/>
          <w:color w:val="000000"/>
        </w:rPr>
        <w:t>of $10</w:t>
      </w:r>
      <w:r w:rsidR="00491FB5" w:rsidRPr="007D7B82">
        <w:rPr>
          <w:rFonts w:ascii="Calibri" w:hAnsi="Calibri" w:cs="Helv"/>
          <w:i/>
          <w:color w:val="000000"/>
        </w:rPr>
        <w:t>0,000</w:t>
      </w:r>
      <w:r w:rsidR="00491FB5" w:rsidRPr="007D7B82">
        <w:rPr>
          <w:rFonts w:ascii="Calibri" w:hAnsi="Calibri" w:cs="Helv"/>
          <w:color w:val="000000"/>
        </w:rPr>
        <w:t xml:space="preserve"> (the sum of its short-term and long-term capital gains).</w:t>
      </w:r>
    </w:p>
    <w:p w14:paraId="45C29C88" w14:textId="77777777" w:rsidR="00491FB5" w:rsidRDefault="00491FB5" w:rsidP="007D7B82">
      <w:pPr>
        <w:autoSpaceDE w:val="0"/>
        <w:autoSpaceDN w:val="0"/>
        <w:adjustRightInd w:val="0"/>
        <w:spacing w:line="360" w:lineRule="auto"/>
        <w:ind w:firstLine="720"/>
        <w:rPr>
          <w:rFonts w:ascii="Calibri" w:hAnsi="Calibri" w:cs="Helv"/>
          <w:color w:val="000000"/>
        </w:rPr>
      </w:pPr>
      <w:r>
        <w:rPr>
          <w:rFonts w:ascii="Calibri" w:hAnsi="Calibri" w:cs="Helv"/>
          <w:color w:val="000000"/>
        </w:rPr>
        <w:t>T</w:t>
      </w:r>
      <w:r w:rsidRPr="007D7B82">
        <w:rPr>
          <w:rFonts w:ascii="Calibri" w:hAnsi="Calibri" w:cs="Helv"/>
          <w:color w:val="000000"/>
        </w:rPr>
        <w:t xml:space="preserve">he </w:t>
      </w:r>
      <w:r>
        <w:rPr>
          <w:rFonts w:ascii="Calibri" w:hAnsi="Calibri" w:cs="Helv"/>
          <w:color w:val="000000"/>
        </w:rPr>
        <w:t>$75</w:t>
      </w:r>
      <w:r w:rsidRPr="007D7B82">
        <w:rPr>
          <w:rFonts w:ascii="Calibri" w:hAnsi="Calibri" w:cs="Helv"/>
          <w:color w:val="000000"/>
        </w:rPr>
        <w:t>,000 principal distribution is not ordinarily included as part of what is called the “DNI deduction”.</w:t>
      </w:r>
      <w:r>
        <w:rPr>
          <w:rStyle w:val="FootnoteReference"/>
          <w:rFonts w:ascii="Calibri" w:hAnsi="Calibri" w:cs="Helv"/>
          <w:color w:val="000000"/>
        </w:rPr>
        <w:footnoteReference w:id="387"/>
      </w:r>
      <w:r w:rsidRPr="007D7B82">
        <w:rPr>
          <w:rFonts w:ascii="Calibri" w:hAnsi="Calibri" w:cs="Helv"/>
          <w:color w:val="000000"/>
        </w:rPr>
        <w:t xml:space="preserve">  It is this latter aspect of trust income taxation that is often overlooked and misunderstood by practitioners, and is potentially the source and trap for </w:t>
      </w:r>
      <w:r>
        <w:rPr>
          <w:rFonts w:ascii="Calibri" w:hAnsi="Calibri" w:cs="Helv"/>
          <w:color w:val="000000"/>
        </w:rPr>
        <w:t>higher tax</w:t>
      </w:r>
      <w:r w:rsidRPr="007D7B82">
        <w:rPr>
          <w:rFonts w:ascii="Calibri" w:hAnsi="Calibri" w:cs="Helv"/>
          <w:color w:val="000000"/>
        </w:rPr>
        <w:t>.</w:t>
      </w:r>
      <w:r>
        <w:rPr>
          <w:rFonts w:ascii="Calibri" w:hAnsi="Calibri" w:cs="Helv"/>
          <w:color w:val="000000"/>
        </w:rPr>
        <w:t xml:space="preserve">  Once the trust is over $11,950 of taxable income (roughly $88,0</w:t>
      </w:r>
      <w:r w:rsidR="006717D4">
        <w:rPr>
          <w:rFonts w:ascii="Calibri" w:hAnsi="Calibri" w:cs="Helv"/>
          <w:color w:val="000000"/>
        </w:rPr>
        <w:t>5</w:t>
      </w:r>
      <w:r>
        <w:rPr>
          <w:rFonts w:ascii="Calibri" w:hAnsi="Calibri" w:cs="Helv"/>
          <w:color w:val="000000"/>
        </w:rPr>
        <w:t>0 in this case), it is taxed at 39.6% (20% if LTCG/</w:t>
      </w:r>
      <w:r w:rsidR="006717D4">
        <w:rPr>
          <w:rFonts w:ascii="Calibri" w:hAnsi="Calibri" w:cs="Helv"/>
          <w:color w:val="000000"/>
        </w:rPr>
        <w:t xml:space="preserve">qualified </w:t>
      </w:r>
      <w:r>
        <w:rPr>
          <w:rFonts w:ascii="Calibri" w:hAnsi="Calibri" w:cs="Helv"/>
          <w:color w:val="000000"/>
        </w:rPr>
        <w:t>dividends), plus, unless it m</w:t>
      </w:r>
      <w:r w:rsidR="00757E72">
        <w:rPr>
          <w:rFonts w:ascii="Calibri" w:hAnsi="Calibri" w:cs="Helv"/>
          <w:color w:val="000000"/>
        </w:rPr>
        <w:t>eets an exception such as IRA or qualified plan</w:t>
      </w:r>
      <w:r>
        <w:rPr>
          <w:rFonts w:ascii="Calibri" w:hAnsi="Calibri" w:cs="Helv"/>
          <w:color w:val="000000"/>
        </w:rPr>
        <w:t xml:space="preserve"> distributions, it is also subject to the 3.8% surtax.</w:t>
      </w:r>
      <w:r w:rsidR="008C791A">
        <w:rPr>
          <w:rStyle w:val="FootnoteReference"/>
          <w:rFonts w:ascii="Calibri" w:hAnsi="Calibri" w:cs="Helv"/>
          <w:color w:val="000000"/>
        </w:rPr>
        <w:footnoteReference w:id="388"/>
      </w:r>
      <w:r>
        <w:rPr>
          <w:rFonts w:ascii="Calibri" w:hAnsi="Calibri" w:cs="Helv"/>
          <w:color w:val="000000"/>
        </w:rPr>
        <w:t xml:space="preserve">  </w:t>
      </w:r>
      <w:r w:rsidR="004A29D9">
        <w:rPr>
          <w:rFonts w:ascii="Calibri" w:hAnsi="Calibri" w:cs="Helv"/>
          <w:color w:val="000000"/>
        </w:rPr>
        <w:t>Even worse, if there are substantial undistributed dividends, the alternative minimum tax could also hit hard.</w:t>
      </w:r>
      <w:r w:rsidR="004A29D9">
        <w:rPr>
          <w:rStyle w:val="FootnoteReference"/>
          <w:rFonts w:ascii="Calibri" w:hAnsi="Calibri" w:cs="Helv"/>
          <w:color w:val="000000"/>
        </w:rPr>
        <w:footnoteReference w:id="389"/>
      </w:r>
    </w:p>
    <w:p w14:paraId="67BF211A" w14:textId="77777777" w:rsidR="006717D4" w:rsidRPr="00A354D5" w:rsidRDefault="006717D4" w:rsidP="006717D4">
      <w:pPr>
        <w:autoSpaceDE w:val="0"/>
        <w:autoSpaceDN w:val="0"/>
        <w:adjustRightInd w:val="0"/>
        <w:spacing w:line="360" w:lineRule="auto"/>
        <w:ind w:firstLine="720"/>
        <w:rPr>
          <w:rFonts w:ascii="Calibri" w:hAnsi="Calibri" w:cs="Helv"/>
          <w:color w:val="000000"/>
        </w:rPr>
      </w:pPr>
      <w:r w:rsidRPr="00A354D5">
        <w:rPr>
          <w:rFonts w:ascii="Calibri" w:hAnsi="Calibri" w:cs="Helv"/>
          <w:color w:val="000000"/>
        </w:rPr>
        <w:t xml:space="preserve">Back to our example and the new effect of the </w:t>
      </w:r>
      <w:r w:rsidR="00A354D5" w:rsidRPr="00A354D5">
        <w:rPr>
          <w:rFonts w:ascii="Calibri" w:hAnsi="Calibri" w:cs="Helv"/>
          <w:color w:val="000000"/>
        </w:rPr>
        <w:t xml:space="preserve">higher rates and the </w:t>
      </w:r>
      <w:r w:rsidRPr="00A354D5">
        <w:rPr>
          <w:rFonts w:ascii="Calibri" w:hAnsi="Calibri" w:cs="Helv"/>
          <w:color w:val="000000"/>
        </w:rPr>
        <w:t xml:space="preserve">surtax: beginning in 2013, all of that short term capital gains (after $11,950) is subject to top income tax rate (39.6%), </w:t>
      </w:r>
      <w:r w:rsidRPr="00A354D5">
        <w:rPr>
          <w:rFonts w:ascii="Calibri" w:hAnsi="Calibri" w:cs="Helv"/>
          <w:b/>
          <w:color w:val="000000"/>
        </w:rPr>
        <w:t>plus</w:t>
      </w:r>
      <w:r w:rsidRPr="00A354D5">
        <w:rPr>
          <w:rFonts w:ascii="Calibri" w:hAnsi="Calibri" w:cs="Helv"/>
          <w:color w:val="000000"/>
        </w:rPr>
        <w:t xml:space="preserve"> the 3.8% surtax.  All of the long-term capital gains is subject to a top long-term capital gains tax rate of 20%, </w:t>
      </w:r>
      <w:r w:rsidRPr="00A354D5">
        <w:rPr>
          <w:rFonts w:ascii="Calibri" w:hAnsi="Calibri" w:cs="Helv"/>
          <w:b/>
          <w:color w:val="000000"/>
        </w:rPr>
        <w:t>plus</w:t>
      </w:r>
      <w:r w:rsidRPr="00A354D5">
        <w:rPr>
          <w:rFonts w:ascii="Calibri" w:hAnsi="Calibri" w:cs="Helv"/>
          <w:color w:val="000000"/>
        </w:rPr>
        <w:t xml:space="preserve"> the 3.8% surtax.  Can we work some trust accounting alchemy allow capital gains to escape being trapped in the trust?  In our example, </w:t>
      </w:r>
      <w:r w:rsidRPr="00A354D5">
        <w:rPr>
          <w:rFonts w:ascii="Calibri" w:hAnsi="Calibri" w:cs="Helv"/>
          <w:i/>
          <w:color w:val="000000"/>
        </w:rPr>
        <w:t>this may allow investment income to completely avoid the surtax</w:t>
      </w:r>
      <w:r w:rsidRPr="00A354D5">
        <w:rPr>
          <w:rFonts w:ascii="Calibri" w:hAnsi="Calibri" w:cs="Helv"/>
          <w:b/>
          <w:color w:val="000000"/>
        </w:rPr>
        <w:t xml:space="preserve"> </w:t>
      </w:r>
      <w:r w:rsidRPr="00A354D5">
        <w:rPr>
          <w:rFonts w:ascii="Calibri" w:hAnsi="Calibri" w:cs="Helv"/>
          <w:color w:val="000000"/>
        </w:rPr>
        <w:t xml:space="preserve">and lower taxes on short-term </w:t>
      </w:r>
      <w:r w:rsidR="006B3CE0">
        <w:rPr>
          <w:rFonts w:ascii="Calibri" w:hAnsi="Calibri" w:cs="Helv"/>
          <w:color w:val="000000"/>
        </w:rPr>
        <w:t xml:space="preserve">and long-term </w:t>
      </w:r>
      <w:r w:rsidRPr="00A354D5">
        <w:rPr>
          <w:rFonts w:ascii="Calibri" w:hAnsi="Calibri" w:cs="Helv"/>
          <w:color w:val="000000"/>
        </w:rPr>
        <w:t xml:space="preserve">capital gains as well.  This would subject the short-term gains to a </w:t>
      </w:r>
      <w:r w:rsidR="00A354D5">
        <w:rPr>
          <w:rFonts w:ascii="Calibri" w:hAnsi="Calibri" w:cs="Helv"/>
          <w:color w:val="000000"/>
        </w:rPr>
        <w:t>mere 25</w:t>
      </w:r>
      <w:r w:rsidRPr="00A354D5">
        <w:rPr>
          <w:rFonts w:ascii="Calibri" w:hAnsi="Calibri" w:cs="Helv"/>
          <w:color w:val="000000"/>
        </w:rPr>
        <w:t xml:space="preserve">% or </w:t>
      </w:r>
      <w:r w:rsidR="00A354D5">
        <w:rPr>
          <w:rFonts w:ascii="Calibri" w:hAnsi="Calibri" w:cs="Helv"/>
          <w:color w:val="000000"/>
        </w:rPr>
        <w:t>28</w:t>
      </w:r>
      <w:r w:rsidRPr="00A354D5">
        <w:rPr>
          <w:rFonts w:ascii="Calibri" w:hAnsi="Calibri" w:cs="Helv"/>
          <w:color w:val="000000"/>
        </w:rPr>
        <w:t xml:space="preserve">% tax in the hands of the beneficiary (the lower rate would apply if Barbara is a qualifying widower or remarried), instead of 43.4% (39.6% +3.8% surtax), and subject the long-term gains to a mere </w:t>
      </w:r>
      <w:r w:rsidR="00A354D5" w:rsidRPr="00A354D5">
        <w:rPr>
          <w:rFonts w:ascii="Calibri" w:hAnsi="Calibri" w:cs="Helv"/>
          <w:color w:val="000000"/>
        </w:rPr>
        <w:t>15</w:t>
      </w:r>
      <w:r w:rsidRPr="00A354D5">
        <w:rPr>
          <w:rFonts w:ascii="Calibri" w:hAnsi="Calibri" w:cs="Helv"/>
          <w:color w:val="000000"/>
        </w:rPr>
        <w:t xml:space="preserve">% in the hands of the beneficiary instead of 23.8% (20% +3.8% surtax).  </w:t>
      </w:r>
    </w:p>
    <w:p w14:paraId="2A65C2A8" w14:textId="77777777" w:rsidR="006717D4" w:rsidRPr="00A354D5" w:rsidRDefault="006717D4" w:rsidP="006717D4">
      <w:pPr>
        <w:autoSpaceDE w:val="0"/>
        <w:autoSpaceDN w:val="0"/>
        <w:adjustRightInd w:val="0"/>
        <w:spacing w:line="360" w:lineRule="auto"/>
        <w:ind w:firstLine="720"/>
        <w:rPr>
          <w:rFonts w:ascii="Calibri" w:hAnsi="Calibri" w:cs="Helv"/>
          <w:color w:val="000000"/>
        </w:rPr>
      </w:pPr>
      <w:r w:rsidRPr="00A354D5">
        <w:rPr>
          <w:rFonts w:ascii="Calibri" w:hAnsi="Calibri" w:cs="Helv"/>
          <w:color w:val="000000"/>
        </w:rPr>
        <w:t>Potential tax saving in this example if no capital gains is trapped in trust</w:t>
      </w:r>
      <w:r w:rsidR="006B3CE0">
        <w:rPr>
          <w:rFonts w:ascii="Calibri" w:hAnsi="Calibri" w:cs="Helv"/>
          <w:color w:val="000000"/>
        </w:rPr>
        <w:t xml:space="preserve"> (assuming remarriage or qualifying widow filing status, if not, savings slightly less)</w:t>
      </w:r>
      <w:r w:rsidRPr="00A354D5">
        <w:rPr>
          <w:rFonts w:ascii="Calibri" w:hAnsi="Calibri" w:cs="Helv"/>
          <w:color w:val="000000"/>
        </w:rPr>
        <w:t xml:space="preserve">:  </w:t>
      </w:r>
    </w:p>
    <w:p w14:paraId="1CE96333" w14:textId="77777777" w:rsidR="006717D4" w:rsidRPr="00A354D5" w:rsidRDefault="006717D4" w:rsidP="006717D4">
      <w:pPr>
        <w:autoSpaceDE w:val="0"/>
        <w:autoSpaceDN w:val="0"/>
        <w:adjustRightInd w:val="0"/>
        <w:spacing w:line="360" w:lineRule="auto"/>
        <w:ind w:firstLine="720"/>
        <w:rPr>
          <w:rFonts w:ascii="Calibri" w:hAnsi="Calibri" w:cs="Helv"/>
          <w:color w:val="000000"/>
        </w:rPr>
      </w:pPr>
      <w:r w:rsidRPr="00A354D5">
        <w:rPr>
          <w:rFonts w:ascii="Calibri" w:hAnsi="Calibri" w:cs="Helv"/>
          <w:color w:val="000000"/>
        </w:rPr>
        <w:t>23.8%-</w:t>
      </w:r>
      <w:r w:rsidR="00A354D5">
        <w:rPr>
          <w:rFonts w:ascii="Calibri" w:hAnsi="Calibri" w:cs="Helv"/>
          <w:color w:val="000000"/>
        </w:rPr>
        <w:t>15</w:t>
      </w:r>
      <w:r w:rsidRPr="00A354D5">
        <w:rPr>
          <w:rFonts w:ascii="Calibri" w:hAnsi="Calibri" w:cs="Helv"/>
          <w:color w:val="000000"/>
        </w:rPr>
        <w:t xml:space="preserve">% </w:t>
      </w:r>
      <w:r w:rsidR="00A354D5">
        <w:rPr>
          <w:rFonts w:ascii="Calibri" w:hAnsi="Calibri" w:cs="Helv"/>
          <w:color w:val="000000"/>
        </w:rPr>
        <w:t>(8</w:t>
      </w:r>
      <w:r w:rsidRPr="00A354D5">
        <w:rPr>
          <w:rFonts w:ascii="Calibri" w:hAnsi="Calibri" w:cs="Helv"/>
          <w:color w:val="000000"/>
        </w:rPr>
        <w:t xml:space="preserve">.8%) times </w:t>
      </w:r>
      <w:r w:rsidR="00A354D5">
        <w:rPr>
          <w:rFonts w:ascii="Calibri" w:hAnsi="Calibri" w:cs="Helv"/>
          <w:color w:val="000000"/>
        </w:rPr>
        <w:t xml:space="preserve">total </w:t>
      </w:r>
      <w:r w:rsidRPr="00A354D5">
        <w:rPr>
          <w:rFonts w:ascii="Calibri" w:hAnsi="Calibri" w:cs="Helv"/>
          <w:color w:val="000000"/>
        </w:rPr>
        <w:t>LTCG (</w:t>
      </w:r>
      <w:r w:rsidR="00A354D5">
        <w:rPr>
          <w:rFonts w:ascii="Calibri" w:hAnsi="Calibri" w:cs="Helv"/>
          <w:color w:val="000000"/>
        </w:rPr>
        <w:t>$70</w:t>
      </w:r>
      <w:r w:rsidRPr="00A354D5">
        <w:rPr>
          <w:rFonts w:ascii="Calibri" w:hAnsi="Calibri" w:cs="Helv"/>
          <w:color w:val="000000"/>
        </w:rPr>
        <w:t>,000) = $</w:t>
      </w:r>
      <w:r w:rsidR="00A354D5">
        <w:rPr>
          <w:rFonts w:ascii="Calibri" w:hAnsi="Calibri" w:cs="Helv"/>
          <w:color w:val="000000"/>
        </w:rPr>
        <w:t>6,16</w:t>
      </w:r>
      <w:r w:rsidRPr="00A354D5">
        <w:rPr>
          <w:rFonts w:ascii="Calibri" w:hAnsi="Calibri" w:cs="Helv"/>
          <w:color w:val="000000"/>
        </w:rPr>
        <w:t>0</w:t>
      </w:r>
    </w:p>
    <w:p w14:paraId="408F6FE6" w14:textId="77777777" w:rsidR="006717D4" w:rsidRPr="00A354D5" w:rsidRDefault="006717D4" w:rsidP="006717D4">
      <w:pPr>
        <w:autoSpaceDE w:val="0"/>
        <w:autoSpaceDN w:val="0"/>
        <w:adjustRightInd w:val="0"/>
        <w:spacing w:line="360" w:lineRule="auto"/>
        <w:ind w:firstLine="720"/>
        <w:rPr>
          <w:rFonts w:ascii="Calibri" w:hAnsi="Calibri" w:cs="Helv"/>
          <w:color w:val="000000"/>
        </w:rPr>
      </w:pPr>
      <w:r w:rsidRPr="00A354D5">
        <w:rPr>
          <w:rFonts w:ascii="Calibri" w:hAnsi="Calibri" w:cs="Helv"/>
          <w:color w:val="000000"/>
        </w:rPr>
        <w:t xml:space="preserve">(amount of overall LTCG and surtax savings </w:t>
      </w:r>
      <w:r w:rsidR="00A354D5">
        <w:rPr>
          <w:rFonts w:ascii="Calibri" w:hAnsi="Calibri" w:cs="Helv"/>
          <w:color w:val="000000"/>
        </w:rPr>
        <w:t xml:space="preserve">by </w:t>
      </w:r>
      <w:r w:rsidRPr="00A354D5">
        <w:rPr>
          <w:rFonts w:ascii="Calibri" w:hAnsi="Calibri" w:cs="Helv"/>
          <w:color w:val="000000"/>
        </w:rPr>
        <w:t>taxing to beneficiary not trust)</w:t>
      </w:r>
      <w:r w:rsidR="001327AC" w:rsidRPr="001327AC">
        <w:rPr>
          <w:rFonts w:ascii="Calibri" w:hAnsi="Calibri" w:cs="Helv"/>
          <w:i/>
          <w:color w:val="000000"/>
        </w:rPr>
        <w:t xml:space="preserve"> </w:t>
      </w:r>
      <w:r w:rsidR="001327AC" w:rsidRPr="00A354D5">
        <w:rPr>
          <w:rFonts w:ascii="Calibri" w:hAnsi="Calibri" w:cs="Helv"/>
          <w:i/>
          <w:color w:val="000000"/>
        </w:rPr>
        <w:t>plus</w:t>
      </w:r>
    </w:p>
    <w:p w14:paraId="59C49243" w14:textId="77777777" w:rsidR="006717D4" w:rsidRPr="00A354D5" w:rsidRDefault="006717D4" w:rsidP="001327AC">
      <w:pPr>
        <w:autoSpaceDE w:val="0"/>
        <w:autoSpaceDN w:val="0"/>
        <w:adjustRightInd w:val="0"/>
        <w:spacing w:line="360" w:lineRule="auto"/>
        <w:ind w:firstLine="720"/>
        <w:rPr>
          <w:rFonts w:ascii="Calibri" w:hAnsi="Calibri" w:cs="Helv"/>
          <w:color w:val="000000"/>
        </w:rPr>
      </w:pPr>
      <w:r w:rsidRPr="00A354D5">
        <w:rPr>
          <w:rFonts w:ascii="Calibri" w:hAnsi="Calibri" w:cs="Helv"/>
          <w:color w:val="000000"/>
        </w:rPr>
        <w:t>43.4%-28% (15.4%) times STCG ($30,000</w:t>
      </w:r>
      <w:r w:rsidR="00A354D5">
        <w:rPr>
          <w:rFonts w:ascii="Calibri" w:hAnsi="Calibri" w:cs="Helv"/>
          <w:color w:val="000000"/>
        </w:rPr>
        <w:t xml:space="preserve"> -$11,9</w:t>
      </w:r>
      <w:r w:rsidRPr="00A354D5">
        <w:rPr>
          <w:rFonts w:ascii="Calibri" w:hAnsi="Calibri" w:cs="Helv"/>
          <w:color w:val="000000"/>
        </w:rPr>
        <w:t>50) = $2,</w:t>
      </w:r>
      <w:r w:rsidR="006B3CE0">
        <w:rPr>
          <w:rFonts w:ascii="Calibri" w:hAnsi="Calibri" w:cs="Helv"/>
          <w:color w:val="000000"/>
        </w:rPr>
        <w:t>780</w:t>
      </w:r>
    </w:p>
    <w:p w14:paraId="652BE7A8" w14:textId="77777777" w:rsidR="006717D4" w:rsidRPr="00A354D5" w:rsidRDefault="006717D4" w:rsidP="006717D4">
      <w:pPr>
        <w:autoSpaceDE w:val="0"/>
        <w:autoSpaceDN w:val="0"/>
        <w:adjustRightInd w:val="0"/>
        <w:spacing w:line="360" w:lineRule="auto"/>
        <w:ind w:left="720"/>
        <w:rPr>
          <w:rFonts w:ascii="Calibri" w:hAnsi="Calibri" w:cs="Helv"/>
          <w:color w:val="000000"/>
        </w:rPr>
      </w:pPr>
      <w:r w:rsidRPr="00A354D5">
        <w:rPr>
          <w:rFonts w:ascii="Calibri" w:hAnsi="Calibri" w:cs="Helv"/>
          <w:color w:val="000000"/>
        </w:rPr>
        <w:t>(amount of STCG and surtax savings from taxing to beneficiary, not trust)</w:t>
      </w:r>
    </w:p>
    <w:p w14:paraId="606317A2" w14:textId="77777777" w:rsidR="006717D4" w:rsidRPr="00A354D5" w:rsidRDefault="006717D4" w:rsidP="006717D4">
      <w:pPr>
        <w:autoSpaceDE w:val="0"/>
        <w:autoSpaceDN w:val="0"/>
        <w:adjustRightInd w:val="0"/>
        <w:spacing w:line="360" w:lineRule="auto"/>
        <w:ind w:left="1440"/>
        <w:rPr>
          <w:rFonts w:ascii="Calibri" w:hAnsi="Calibri" w:cs="Helv"/>
          <w:i/>
          <w:color w:val="000000"/>
        </w:rPr>
      </w:pPr>
      <w:r w:rsidRPr="00A354D5">
        <w:rPr>
          <w:rFonts w:ascii="Calibri" w:hAnsi="Calibri" w:cs="Helv"/>
          <w:i/>
          <w:color w:val="000000"/>
        </w:rPr>
        <w:lastRenderedPageBreak/>
        <w:t>(for simplici</w:t>
      </w:r>
      <w:r w:rsidR="00A354D5" w:rsidRPr="00A354D5">
        <w:rPr>
          <w:rFonts w:ascii="Calibri" w:hAnsi="Calibri" w:cs="Helv"/>
          <w:i/>
          <w:color w:val="000000"/>
        </w:rPr>
        <w:t>ty, we’ll assume the first $11,9</w:t>
      </w:r>
      <w:r w:rsidRPr="00A354D5">
        <w:rPr>
          <w:rFonts w:ascii="Calibri" w:hAnsi="Calibri" w:cs="Helv"/>
          <w:i/>
          <w:color w:val="000000"/>
        </w:rPr>
        <w:t>50 taxed to the trust would generate approximately the same tax if taxed to the beneficiary)</w:t>
      </w:r>
    </w:p>
    <w:p w14:paraId="548E8881" w14:textId="77777777" w:rsidR="006717D4" w:rsidRPr="00A354D5" w:rsidRDefault="006717D4" w:rsidP="006717D4">
      <w:pPr>
        <w:autoSpaceDE w:val="0"/>
        <w:autoSpaceDN w:val="0"/>
        <w:adjustRightInd w:val="0"/>
        <w:spacing w:line="360" w:lineRule="auto"/>
        <w:ind w:left="1440"/>
        <w:rPr>
          <w:rFonts w:ascii="Calibri" w:hAnsi="Calibri" w:cs="Helv"/>
          <w:b/>
          <w:color w:val="000000"/>
        </w:rPr>
      </w:pPr>
      <w:r w:rsidRPr="00A354D5">
        <w:rPr>
          <w:rFonts w:ascii="Calibri" w:hAnsi="Calibri" w:cs="Helv"/>
          <w:b/>
          <w:color w:val="000000"/>
        </w:rPr>
        <w:t>Total Potential Tax Savings</w:t>
      </w:r>
      <w:r w:rsidR="00A354D5">
        <w:rPr>
          <w:rFonts w:ascii="Calibri" w:hAnsi="Calibri" w:cs="Helv"/>
          <w:b/>
          <w:color w:val="000000"/>
        </w:rPr>
        <w:t>, Annually</w:t>
      </w:r>
      <w:r w:rsidRPr="00A354D5">
        <w:rPr>
          <w:rFonts w:ascii="Calibri" w:hAnsi="Calibri" w:cs="Helv"/>
          <w:b/>
          <w:color w:val="000000"/>
        </w:rPr>
        <w:t xml:space="preserve"> = $</w:t>
      </w:r>
      <w:r w:rsidR="006B3CE0">
        <w:rPr>
          <w:rFonts w:ascii="Calibri" w:hAnsi="Calibri" w:cs="Helv"/>
          <w:b/>
          <w:color w:val="000000"/>
        </w:rPr>
        <w:t>8,940</w:t>
      </w:r>
    </w:p>
    <w:p w14:paraId="7B1790DB" w14:textId="77777777" w:rsidR="00B2571A" w:rsidRDefault="00B2571A" w:rsidP="00B2571A">
      <w:pPr>
        <w:autoSpaceDE w:val="0"/>
        <w:autoSpaceDN w:val="0"/>
        <w:adjustRightInd w:val="0"/>
        <w:spacing w:line="360" w:lineRule="auto"/>
        <w:ind w:firstLine="720"/>
        <w:rPr>
          <w:rFonts w:ascii="Calibri" w:hAnsi="Calibri" w:cs="Helv"/>
          <w:color w:val="000000"/>
        </w:rPr>
      </w:pPr>
    </w:p>
    <w:p w14:paraId="521D1326" w14:textId="77777777" w:rsidR="00B2571A" w:rsidRPr="00B2571A" w:rsidRDefault="00B2571A" w:rsidP="00B2571A">
      <w:pPr>
        <w:autoSpaceDE w:val="0"/>
        <w:autoSpaceDN w:val="0"/>
        <w:adjustRightInd w:val="0"/>
        <w:spacing w:line="360" w:lineRule="auto"/>
        <w:ind w:firstLine="720"/>
        <w:rPr>
          <w:rFonts w:ascii="Calibri" w:hAnsi="Calibri"/>
        </w:rPr>
      </w:pPr>
      <w:r w:rsidRPr="00B2571A">
        <w:rPr>
          <w:rFonts w:ascii="Calibri" w:hAnsi="Calibri" w:cs="Helv"/>
          <w:color w:val="000000"/>
        </w:rPr>
        <w:t xml:space="preserve">If a beneficiary is </w:t>
      </w:r>
      <w:r>
        <w:rPr>
          <w:rFonts w:ascii="Calibri" w:hAnsi="Calibri" w:cs="Helv"/>
          <w:color w:val="000000"/>
        </w:rPr>
        <w:t xml:space="preserve">otherwise </w:t>
      </w:r>
      <w:r w:rsidRPr="00B2571A">
        <w:rPr>
          <w:rFonts w:ascii="Calibri" w:hAnsi="Calibri" w:cs="Helv"/>
          <w:color w:val="000000"/>
        </w:rPr>
        <w:t>in the highest tax bracket ($400,000/yr single, $450,000 MFJ taxable income</w:t>
      </w:r>
      <w:r w:rsidR="00351BA0">
        <w:rPr>
          <w:rFonts w:ascii="Calibri" w:hAnsi="Calibri" w:cs="Helv"/>
          <w:color w:val="000000"/>
        </w:rPr>
        <w:t>, adjusted annually for inflation</w:t>
      </w:r>
      <w:r w:rsidRPr="00B2571A">
        <w:rPr>
          <w:rFonts w:ascii="Calibri" w:hAnsi="Calibri" w:cs="Helv"/>
          <w:color w:val="000000"/>
        </w:rPr>
        <w:t>), then the fact that income is “trapped” in a bypass/marital trust in 2013 at the highest bracket, plus a 3.8% tax makes no difference - she would have paid that same level of tax anyway.</w:t>
      </w:r>
      <w:r w:rsidR="00716DE9">
        <w:rPr>
          <w:rStyle w:val="FootnoteReference"/>
          <w:rFonts w:ascii="Calibri" w:hAnsi="Calibri" w:cs="Helv"/>
          <w:color w:val="000000"/>
        </w:rPr>
        <w:footnoteReference w:id="390"/>
      </w:r>
      <w:r w:rsidRPr="00B2571A">
        <w:rPr>
          <w:rFonts w:ascii="Calibri" w:hAnsi="Calibri" w:cs="Helv"/>
          <w:color w:val="000000"/>
        </w:rPr>
        <w:t xml:space="preserve">  Whether income is taxed to the trust or to such a beneficiary would usually be income tax rate and Medicare surtax-neutral.  Most</w:t>
      </w:r>
      <w:r w:rsidRPr="00B2571A">
        <w:rPr>
          <w:rFonts w:ascii="Calibri" w:hAnsi="Calibri"/>
        </w:rPr>
        <w:t xml:space="preserve"> trust beneficiaries will not fit in this elite bracket of taxable income, however. </w:t>
      </w:r>
      <w:r w:rsidRPr="00B2571A">
        <w:rPr>
          <w:rFonts w:ascii="Calibri" w:hAnsi="Calibri" w:cs="Helv"/>
          <w:color w:val="000000"/>
        </w:rPr>
        <w:t xml:space="preserve">And, even high-bracket taxpayers may have capital loss carry forwards that could soak up distributed capital gains.  </w:t>
      </w:r>
    </w:p>
    <w:p w14:paraId="507B5D4D" w14:textId="77777777" w:rsidR="00B2571A" w:rsidRPr="00B2571A" w:rsidRDefault="00B2571A" w:rsidP="00B2571A">
      <w:pPr>
        <w:autoSpaceDE w:val="0"/>
        <w:autoSpaceDN w:val="0"/>
        <w:adjustRightInd w:val="0"/>
        <w:spacing w:line="360" w:lineRule="auto"/>
        <w:ind w:firstLine="720"/>
        <w:rPr>
          <w:rFonts w:ascii="Calibri" w:hAnsi="Calibri"/>
          <w:color w:val="000000"/>
        </w:rPr>
      </w:pPr>
      <w:r w:rsidRPr="00B2571A">
        <w:rPr>
          <w:rFonts w:ascii="Calibri" w:hAnsi="Calibri" w:cs="Helv"/>
          <w:color w:val="000000"/>
        </w:rPr>
        <w:t xml:space="preserve">But if distribution standards would otherwise require or permit significant distributions from principal to be made to the beneficiary, then why not arrange the accounting of those same distributions in the most tax-effective manner?  </w:t>
      </w:r>
    </w:p>
    <w:p w14:paraId="27B724DF" w14:textId="77777777" w:rsidR="00491FB5" w:rsidRDefault="00491FB5" w:rsidP="007D7B82">
      <w:pPr>
        <w:autoSpaceDE w:val="0"/>
        <w:autoSpaceDN w:val="0"/>
        <w:adjustRightInd w:val="0"/>
        <w:spacing w:line="360" w:lineRule="auto"/>
        <w:ind w:firstLine="720"/>
        <w:rPr>
          <w:rFonts w:ascii="Calibri" w:hAnsi="Calibri" w:cs="Helv"/>
          <w:color w:val="000000"/>
        </w:rPr>
      </w:pPr>
      <w:r>
        <w:rPr>
          <w:rFonts w:ascii="Calibri" w:hAnsi="Calibri" w:cs="Helv"/>
          <w:color w:val="000000"/>
        </w:rPr>
        <w:t>Some family situations, such as second marriages where a settlor wants the maximum proscription on the spouse’s distributions and maximum remainder for beneficiaries, do not offer much in the way of flexibility.  We are mostly left with standard income tax deferral techniques.  But for many families, there are good options to avoid this fate of higher ongoing trust taxation, especially if we are in drafting mode or have not yet established any history of trust accounting and administration.</w:t>
      </w:r>
    </w:p>
    <w:p w14:paraId="380E46F2" w14:textId="77777777" w:rsidR="00491FB5" w:rsidRDefault="00491FB5" w:rsidP="007D7B82">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There are two main methods – 1) using IRC § 678(a) to allow the spouse to withdraw all </w:t>
      </w:r>
      <w:r w:rsidR="00757E72">
        <w:rPr>
          <w:rFonts w:ascii="Calibri" w:hAnsi="Calibri" w:cs="Helv"/>
          <w:color w:val="000000"/>
        </w:rPr>
        <w:t xml:space="preserve">or most </w:t>
      </w:r>
      <w:r>
        <w:rPr>
          <w:rFonts w:ascii="Calibri" w:hAnsi="Calibri" w:cs="Helv"/>
          <w:color w:val="000000"/>
        </w:rPr>
        <w:t xml:space="preserve">net taxable income, specifically including all net capital gains or, </w:t>
      </w:r>
      <w:r w:rsidR="00DA5DD7">
        <w:rPr>
          <w:rFonts w:ascii="Calibri" w:hAnsi="Calibri" w:cs="Helv"/>
          <w:color w:val="000000"/>
        </w:rPr>
        <w:t xml:space="preserve">usually </w:t>
      </w:r>
      <w:r>
        <w:rPr>
          <w:rFonts w:ascii="Calibri" w:hAnsi="Calibri" w:cs="Helv"/>
          <w:color w:val="000000"/>
        </w:rPr>
        <w:t>better, 2) coming within one of the three exceptions in Treas. Reg. §1.643(a)-3(b) which allow discretionary distributions to carry out net capital gains.</w:t>
      </w:r>
      <w:r w:rsidR="00DF653A" w:rsidRPr="00DF653A">
        <w:rPr>
          <w:rStyle w:val="FootnoteReference"/>
          <w:rFonts w:ascii="Calibri" w:hAnsi="Calibri" w:cs="Helv"/>
          <w:color w:val="000000"/>
        </w:rPr>
        <w:t xml:space="preserve"> </w:t>
      </w:r>
      <w:r w:rsidR="00DF653A">
        <w:rPr>
          <w:rStyle w:val="FootnoteReference"/>
          <w:rFonts w:ascii="Calibri" w:hAnsi="Calibri" w:cs="Helv"/>
          <w:color w:val="000000"/>
        </w:rPr>
        <w:footnoteReference w:id="391"/>
      </w:r>
      <w:r w:rsidR="00DF653A">
        <w:rPr>
          <w:rFonts w:ascii="Calibri" w:hAnsi="Calibri" w:cs="Helv"/>
          <w:color w:val="000000"/>
        </w:rPr>
        <w:t xml:space="preserve">  </w:t>
      </w:r>
    </w:p>
    <w:p w14:paraId="099A662C" w14:textId="77777777" w:rsidR="008907BC" w:rsidRDefault="008907BC" w:rsidP="008907BC">
      <w:pPr>
        <w:autoSpaceDE w:val="0"/>
        <w:autoSpaceDN w:val="0"/>
        <w:adjustRightInd w:val="0"/>
        <w:spacing w:line="360" w:lineRule="auto"/>
        <w:rPr>
          <w:rFonts w:ascii="Calibri" w:hAnsi="Calibri" w:cs="Helv"/>
          <w:b/>
          <w:color w:val="000000"/>
        </w:rPr>
      </w:pPr>
      <w:r>
        <w:rPr>
          <w:rFonts w:ascii="Calibri" w:hAnsi="Calibri" w:cs="Helv"/>
          <w:b/>
          <w:color w:val="000000"/>
        </w:rPr>
        <w:lastRenderedPageBreak/>
        <w:t>b.</w:t>
      </w:r>
      <w:r>
        <w:rPr>
          <w:rFonts w:ascii="Calibri" w:hAnsi="Calibri" w:cs="Helv"/>
          <w:b/>
          <w:color w:val="000000"/>
        </w:rPr>
        <w:tab/>
      </w:r>
      <w:r w:rsidR="00DA5DD7" w:rsidRPr="00DA5DD7">
        <w:rPr>
          <w:rFonts w:ascii="Calibri" w:hAnsi="Calibri" w:cs="Helv"/>
          <w:b/>
          <w:color w:val="000000"/>
        </w:rPr>
        <w:t>IRC §678(a)</w:t>
      </w:r>
      <w:r w:rsidR="00383D15">
        <w:rPr>
          <w:rFonts w:ascii="Calibri" w:hAnsi="Calibri" w:cs="Helv"/>
          <w:b/>
          <w:color w:val="000000"/>
        </w:rPr>
        <w:t xml:space="preserve"> and the “Beneficiary Income-Controlled </w:t>
      </w:r>
      <w:r w:rsidR="006C6E4E">
        <w:rPr>
          <w:rFonts w:ascii="Calibri" w:hAnsi="Calibri" w:cs="Helv"/>
          <w:b/>
          <w:color w:val="000000"/>
        </w:rPr>
        <w:t xml:space="preserve">Grantor </w:t>
      </w:r>
      <w:r w:rsidR="00383D15">
        <w:rPr>
          <w:rFonts w:ascii="Calibri" w:hAnsi="Calibri" w:cs="Helv"/>
          <w:b/>
          <w:color w:val="000000"/>
        </w:rPr>
        <w:t>Trust”</w:t>
      </w:r>
      <w:r w:rsidR="00704EEC">
        <w:rPr>
          <w:rStyle w:val="FootnoteReference"/>
          <w:rFonts w:ascii="Calibri" w:hAnsi="Calibri" w:cs="Helv"/>
          <w:b/>
          <w:color w:val="000000"/>
        </w:rPr>
        <w:footnoteReference w:id="392"/>
      </w:r>
      <w:r w:rsidR="00383D15">
        <w:rPr>
          <w:rFonts w:ascii="Calibri" w:hAnsi="Calibri" w:cs="Helv"/>
          <w:b/>
          <w:color w:val="000000"/>
        </w:rPr>
        <w:t xml:space="preserve"> </w:t>
      </w:r>
    </w:p>
    <w:p w14:paraId="71E17D7B" w14:textId="77777777" w:rsidR="00B2571A" w:rsidRDefault="00DA5DD7" w:rsidP="008907BC">
      <w:pPr>
        <w:autoSpaceDE w:val="0"/>
        <w:autoSpaceDN w:val="0"/>
        <w:adjustRightInd w:val="0"/>
        <w:spacing w:line="360" w:lineRule="auto"/>
        <w:ind w:firstLine="720"/>
        <w:rPr>
          <w:rFonts w:ascii="Calibri" w:hAnsi="Calibri" w:cs="Helv"/>
          <w:color w:val="000000"/>
        </w:rPr>
      </w:pPr>
      <w:r>
        <w:rPr>
          <w:rFonts w:ascii="Calibri" w:hAnsi="Calibri" w:cs="Helv"/>
          <w:color w:val="000000"/>
        </w:rPr>
        <w:t>A trust that merely directs all net income</w:t>
      </w:r>
      <w:r w:rsidR="005D31E4">
        <w:rPr>
          <w:rFonts w:ascii="Calibri" w:hAnsi="Calibri" w:cs="Helv"/>
          <w:color w:val="000000"/>
        </w:rPr>
        <w:t xml:space="preserve"> be paid</w:t>
      </w:r>
      <w:r>
        <w:rPr>
          <w:rFonts w:ascii="Calibri" w:hAnsi="Calibri" w:cs="Helv"/>
          <w:color w:val="000000"/>
        </w:rPr>
        <w:t xml:space="preserve">, or even pays all taxable income, to a beneficiary, is NOT </w:t>
      </w:r>
      <w:r w:rsidR="009A0091">
        <w:rPr>
          <w:rFonts w:ascii="Calibri" w:hAnsi="Calibri" w:cs="Helv"/>
          <w:color w:val="000000"/>
        </w:rPr>
        <w:t>triggering §678</w:t>
      </w:r>
      <w:r>
        <w:rPr>
          <w:rFonts w:ascii="Calibri" w:hAnsi="Calibri" w:cs="Helv"/>
          <w:color w:val="000000"/>
        </w:rPr>
        <w:t xml:space="preserve"> – </w:t>
      </w:r>
      <w:r w:rsidR="00757E72">
        <w:rPr>
          <w:rFonts w:ascii="Calibri" w:hAnsi="Calibri" w:cs="Helv"/>
          <w:color w:val="000000"/>
        </w:rPr>
        <w:t xml:space="preserve">such trusts must </w:t>
      </w:r>
      <w:r>
        <w:rPr>
          <w:rFonts w:ascii="Calibri" w:hAnsi="Calibri" w:cs="Helv"/>
          <w:color w:val="000000"/>
        </w:rPr>
        <w:t>report under the 1041/K-1 Subchapter J tax regime.</w:t>
      </w:r>
      <w:r w:rsidR="006B0D50">
        <w:rPr>
          <w:rStyle w:val="FootnoteReference"/>
          <w:rFonts w:ascii="Calibri" w:hAnsi="Calibri" w:cs="Helv"/>
          <w:color w:val="000000"/>
        </w:rPr>
        <w:footnoteReference w:id="393"/>
      </w:r>
      <w:r>
        <w:rPr>
          <w:rFonts w:ascii="Calibri" w:hAnsi="Calibri" w:cs="Helv"/>
          <w:color w:val="000000"/>
        </w:rPr>
        <w:t xml:space="preserve">  To </w:t>
      </w:r>
      <w:r w:rsidR="00757E72">
        <w:rPr>
          <w:rFonts w:ascii="Calibri" w:hAnsi="Calibri" w:cs="Helv"/>
          <w:color w:val="000000"/>
        </w:rPr>
        <w:t>be taxable directly to the beneficiary, and reported directly on</w:t>
      </w:r>
      <w:r>
        <w:rPr>
          <w:rFonts w:ascii="Calibri" w:hAnsi="Calibri" w:cs="Helv"/>
          <w:color w:val="000000"/>
        </w:rPr>
        <w:t xml:space="preserve"> the beneficiary’s Form 1040, the beneficiary must have an unfettered right to withdraw the taxable income in question</w:t>
      </w:r>
      <w:r w:rsidR="002C4B21">
        <w:rPr>
          <w:rFonts w:ascii="Calibri" w:hAnsi="Calibri" w:cs="Helv"/>
          <w:color w:val="000000"/>
        </w:rPr>
        <w:t xml:space="preserve"> (not limited to an ascertainable standard, or with required consent of another party)</w:t>
      </w:r>
      <w:r>
        <w:rPr>
          <w:rFonts w:ascii="Calibri" w:hAnsi="Calibri" w:cs="Helv"/>
          <w:color w:val="000000"/>
        </w:rPr>
        <w:t xml:space="preserve">.  </w:t>
      </w:r>
      <w:r w:rsidR="008A28C9">
        <w:rPr>
          <w:rFonts w:ascii="Calibri" w:hAnsi="Calibri" w:cs="Helv"/>
          <w:color w:val="000000"/>
        </w:rPr>
        <w:t>This paper will refer to such trusts as “Mallinckrodt trusts”</w:t>
      </w:r>
      <w:r w:rsidR="006B0D50">
        <w:rPr>
          <w:rFonts w:ascii="Calibri" w:hAnsi="Calibri" w:cs="Helv"/>
          <w:color w:val="000000"/>
        </w:rPr>
        <w:t>, or simply, “§678(a) trusts”</w:t>
      </w:r>
      <w:r w:rsidR="00D757B6">
        <w:rPr>
          <w:rFonts w:ascii="Calibri" w:hAnsi="Calibri" w:cs="Helv"/>
          <w:color w:val="000000"/>
        </w:rPr>
        <w:t>, and we’ll eventually divide those further into “§678(a)(1) trusts”</w:t>
      </w:r>
      <w:r w:rsidR="005776B1">
        <w:rPr>
          <w:rFonts w:ascii="Calibri" w:hAnsi="Calibri" w:cs="Helv"/>
          <w:color w:val="000000"/>
        </w:rPr>
        <w:t xml:space="preserve"> (current power)</w:t>
      </w:r>
      <w:r w:rsidR="00D757B6">
        <w:rPr>
          <w:rFonts w:ascii="Calibri" w:hAnsi="Calibri" w:cs="Helv"/>
          <w:color w:val="000000"/>
        </w:rPr>
        <w:t xml:space="preserve"> and “678(a)(2) trusts”</w:t>
      </w:r>
      <w:r w:rsidR="005776B1">
        <w:rPr>
          <w:rFonts w:ascii="Calibri" w:hAnsi="Calibri" w:cs="Helv"/>
          <w:color w:val="000000"/>
        </w:rPr>
        <w:t xml:space="preserve"> (lapsed/released power)</w:t>
      </w:r>
      <w:r w:rsidR="00D757B6">
        <w:rPr>
          <w:rFonts w:ascii="Calibri" w:hAnsi="Calibri" w:cs="Helv"/>
          <w:color w:val="000000"/>
        </w:rPr>
        <w:t>,</w:t>
      </w:r>
      <w:r w:rsidR="005776B1">
        <w:rPr>
          <w:rFonts w:ascii="Calibri" w:hAnsi="Calibri" w:cs="Helv"/>
          <w:color w:val="000000"/>
        </w:rPr>
        <w:t xml:space="preserve"> a</w:t>
      </w:r>
      <w:r w:rsidR="00D757B6">
        <w:rPr>
          <w:rFonts w:ascii="Calibri" w:hAnsi="Calibri" w:cs="Helv"/>
          <w:color w:val="000000"/>
        </w:rPr>
        <w:t xml:space="preserve"> </w:t>
      </w:r>
      <w:r w:rsidR="005776B1">
        <w:rPr>
          <w:rFonts w:ascii="Calibri" w:hAnsi="Calibri" w:cs="Helv"/>
          <w:color w:val="000000"/>
        </w:rPr>
        <w:t xml:space="preserve">variant of which is </w:t>
      </w:r>
      <w:r w:rsidR="00D757B6">
        <w:rPr>
          <w:rFonts w:ascii="Calibri" w:hAnsi="Calibri" w:cs="Helv"/>
          <w:color w:val="000000"/>
        </w:rPr>
        <w:t xml:space="preserve">known to many as </w:t>
      </w:r>
      <w:r w:rsidR="005776B1">
        <w:rPr>
          <w:rFonts w:ascii="Calibri" w:hAnsi="Calibri" w:cs="Helv"/>
          <w:color w:val="000000"/>
        </w:rPr>
        <w:t xml:space="preserve">a </w:t>
      </w:r>
      <w:r w:rsidR="00D757B6">
        <w:rPr>
          <w:rFonts w:ascii="Calibri" w:hAnsi="Calibri" w:cs="Helv"/>
          <w:color w:val="000000"/>
        </w:rPr>
        <w:t>“beneficiary defective inheritor’s trust</w:t>
      </w:r>
      <w:r w:rsidR="005776B1">
        <w:rPr>
          <w:rFonts w:ascii="Calibri" w:hAnsi="Calibri" w:cs="Helv"/>
          <w:color w:val="000000"/>
        </w:rPr>
        <w:t xml:space="preserve"> (BDIT</w:t>
      </w:r>
      <w:r w:rsidR="00D757B6">
        <w:rPr>
          <w:rFonts w:ascii="Calibri" w:hAnsi="Calibri" w:cs="Helv"/>
          <w:color w:val="000000"/>
        </w:rPr>
        <w:t>)”</w:t>
      </w:r>
      <w:r w:rsidR="008A28C9">
        <w:rPr>
          <w:rFonts w:ascii="Calibri" w:hAnsi="Calibri" w:cs="Helv"/>
          <w:color w:val="000000"/>
        </w:rPr>
        <w:t>.</w:t>
      </w:r>
      <w:r w:rsidR="009A0091" w:rsidRPr="009A0091">
        <w:rPr>
          <w:rStyle w:val="FootnoteReference"/>
          <w:rFonts w:ascii="Calibri" w:hAnsi="Calibri" w:cs="Helv"/>
          <w:color w:val="000000"/>
        </w:rPr>
        <w:t xml:space="preserve"> </w:t>
      </w:r>
      <w:r w:rsidR="009A0091" w:rsidRPr="00B2571A">
        <w:rPr>
          <w:rStyle w:val="FootnoteReference"/>
          <w:rFonts w:ascii="Calibri" w:hAnsi="Calibri" w:cs="Helv"/>
          <w:color w:val="000000"/>
        </w:rPr>
        <w:footnoteReference w:id="394"/>
      </w:r>
      <w:r w:rsidR="009A0091" w:rsidRPr="00B2571A">
        <w:rPr>
          <w:rFonts w:ascii="Calibri" w:hAnsi="Calibri" w:cs="Helv"/>
          <w:color w:val="000000"/>
        </w:rPr>
        <w:t xml:space="preserve">  </w:t>
      </w:r>
      <w:r w:rsidR="008A28C9">
        <w:rPr>
          <w:rFonts w:ascii="Calibri" w:hAnsi="Calibri" w:cs="Helv"/>
          <w:color w:val="000000"/>
        </w:rPr>
        <w:t xml:space="preserve">  Let’s first walk through how IRC §678</w:t>
      </w:r>
      <w:r w:rsidR="009A0091">
        <w:rPr>
          <w:rFonts w:ascii="Calibri" w:hAnsi="Calibri" w:cs="Helv"/>
          <w:color w:val="000000"/>
        </w:rPr>
        <w:t>(a)</w:t>
      </w:r>
      <w:r w:rsidR="008A28C9">
        <w:rPr>
          <w:rFonts w:ascii="Calibri" w:hAnsi="Calibri" w:cs="Helv"/>
          <w:color w:val="000000"/>
        </w:rPr>
        <w:t xml:space="preserve"> works, then distinguish </w:t>
      </w:r>
      <w:r w:rsidR="00D757B6">
        <w:rPr>
          <w:rFonts w:ascii="Calibri" w:hAnsi="Calibri" w:cs="Helv"/>
          <w:color w:val="000000"/>
        </w:rPr>
        <w:t>these variants</w:t>
      </w:r>
      <w:r w:rsidR="008A28C9">
        <w:rPr>
          <w:rFonts w:ascii="Calibri" w:hAnsi="Calibri" w:cs="Helv"/>
          <w:color w:val="000000"/>
        </w:rPr>
        <w:t xml:space="preserve"> and explore some of the possibilities and limitations of such structures</w:t>
      </w:r>
      <w:r w:rsidR="00D757B6">
        <w:rPr>
          <w:rFonts w:ascii="Calibri" w:hAnsi="Calibri" w:cs="Helv"/>
          <w:color w:val="000000"/>
        </w:rPr>
        <w:t>, especially the overlooked ones</w:t>
      </w:r>
      <w:r w:rsidR="008A28C9">
        <w:rPr>
          <w:rFonts w:ascii="Calibri" w:hAnsi="Calibri" w:cs="Helv"/>
          <w:color w:val="000000"/>
        </w:rPr>
        <w:t>.</w:t>
      </w:r>
      <w:r w:rsidR="00383D15">
        <w:rPr>
          <w:rFonts w:ascii="Calibri" w:hAnsi="Calibri" w:cs="Helv"/>
          <w:color w:val="000000"/>
        </w:rPr>
        <w:t xml:space="preserve"> </w:t>
      </w:r>
    </w:p>
    <w:p w14:paraId="2758C50A" w14:textId="77777777" w:rsidR="00C87C8C" w:rsidRDefault="00B2571A" w:rsidP="00C87C8C">
      <w:pPr>
        <w:autoSpaceDE w:val="0"/>
        <w:autoSpaceDN w:val="0"/>
        <w:adjustRightInd w:val="0"/>
        <w:spacing w:line="360" w:lineRule="auto"/>
        <w:ind w:firstLine="720"/>
        <w:rPr>
          <w:rFonts w:ascii="Calibri" w:hAnsi="Calibri" w:cs="Helv"/>
          <w:color w:val="000000"/>
        </w:rPr>
      </w:pPr>
      <w:r w:rsidRPr="00B2571A">
        <w:rPr>
          <w:rFonts w:ascii="Calibri" w:hAnsi="Calibri" w:cs="Helv"/>
          <w:color w:val="000000"/>
        </w:rPr>
        <w:t xml:space="preserve">IRC §678(a) </w:t>
      </w:r>
      <w:r w:rsidR="00422B1D">
        <w:rPr>
          <w:rFonts w:ascii="Calibri" w:hAnsi="Calibri" w:cs="Helv"/>
          <w:color w:val="000000"/>
        </w:rPr>
        <w:t>requires</w:t>
      </w:r>
      <w:r w:rsidRPr="00B2571A">
        <w:rPr>
          <w:rFonts w:ascii="Calibri" w:hAnsi="Calibri" w:cs="Helv"/>
          <w:color w:val="000000"/>
        </w:rPr>
        <w:t xml:space="preserve"> that a beneficiary </w:t>
      </w:r>
      <w:r w:rsidR="00422B1D">
        <w:rPr>
          <w:rFonts w:ascii="Calibri" w:hAnsi="Calibri" w:cs="Helv"/>
          <w:color w:val="000000"/>
        </w:rPr>
        <w:t>be</w:t>
      </w:r>
      <w:r w:rsidRPr="00B2571A">
        <w:rPr>
          <w:rFonts w:ascii="Calibri" w:hAnsi="Calibri" w:cs="Helv"/>
          <w:color w:val="000000"/>
        </w:rPr>
        <w:t xml:space="preserve"> considered the owner of </w:t>
      </w:r>
      <w:r w:rsidR="007E6EAC" w:rsidRPr="007E6EAC">
        <w:rPr>
          <w:rFonts w:ascii="Calibri" w:hAnsi="Calibri" w:cs="Helv"/>
          <w:b/>
          <w:i/>
          <w:color w:val="000000"/>
        </w:rPr>
        <w:t xml:space="preserve">any portion </w:t>
      </w:r>
      <w:r w:rsidR="007E6EAC">
        <w:rPr>
          <w:rFonts w:ascii="Calibri" w:hAnsi="Calibri" w:cs="Helv"/>
          <w:color w:val="000000"/>
        </w:rPr>
        <w:t xml:space="preserve">of </w:t>
      </w:r>
      <w:r w:rsidRPr="00B2571A">
        <w:rPr>
          <w:rFonts w:ascii="Calibri" w:hAnsi="Calibri" w:cs="Helv"/>
          <w:color w:val="000000"/>
        </w:rPr>
        <w:t xml:space="preserve">a trust when a beneficiary has the power to </w:t>
      </w:r>
      <w:r w:rsidR="00C87C8C">
        <w:rPr>
          <w:rFonts w:ascii="Calibri" w:hAnsi="Calibri" w:cs="Helv"/>
          <w:color w:val="000000"/>
        </w:rPr>
        <w:t>withdraw income:</w:t>
      </w:r>
      <w:r w:rsidRPr="00B2571A">
        <w:rPr>
          <w:rFonts w:ascii="Calibri" w:hAnsi="Calibri" w:cs="Helv"/>
          <w:color w:val="000000"/>
        </w:rPr>
        <w:t xml:space="preserve"> </w:t>
      </w:r>
    </w:p>
    <w:p w14:paraId="138BE827" w14:textId="77777777" w:rsidR="00C87C8C" w:rsidRPr="00C87C8C" w:rsidRDefault="00C87C8C" w:rsidP="00C87C8C">
      <w:pPr>
        <w:autoSpaceDE w:val="0"/>
        <w:autoSpaceDN w:val="0"/>
        <w:adjustRightInd w:val="0"/>
        <w:ind w:left="720"/>
        <w:rPr>
          <w:rFonts w:ascii="Calibri" w:hAnsi="Calibri" w:cs="Helv"/>
          <w:color w:val="000000"/>
          <w:lang w:val="en"/>
        </w:rPr>
      </w:pPr>
      <w:r w:rsidRPr="00C87C8C">
        <w:rPr>
          <w:rFonts w:ascii="Calibri" w:hAnsi="Calibri" w:cs="Helv"/>
          <w:b/>
          <w:bCs/>
          <w:color w:val="000000"/>
          <w:lang w:val="en"/>
        </w:rPr>
        <w:t>a)</w:t>
      </w:r>
      <w:r w:rsidRPr="00C87C8C">
        <w:rPr>
          <w:rFonts w:ascii="Calibri" w:hAnsi="Calibri" w:cs="Helv"/>
          <w:color w:val="000000"/>
          <w:lang w:val="en"/>
        </w:rPr>
        <w:t xml:space="preserve"> </w:t>
      </w:r>
      <w:r w:rsidRPr="00C87C8C">
        <w:rPr>
          <w:rFonts w:ascii="Calibri" w:hAnsi="Calibri" w:cs="Helv"/>
          <w:b/>
          <w:bCs/>
          <w:color w:val="000000"/>
          <w:lang w:val="en"/>
        </w:rPr>
        <w:t xml:space="preserve">General rule </w:t>
      </w:r>
    </w:p>
    <w:p w14:paraId="7955D9A3" w14:textId="77777777" w:rsidR="00C87C8C" w:rsidRPr="00C87C8C" w:rsidRDefault="00C87C8C" w:rsidP="00C87C8C">
      <w:pPr>
        <w:autoSpaceDE w:val="0"/>
        <w:autoSpaceDN w:val="0"/>
        <w:adjustRightInd w:val="0"/>
        <w:ind w:left="720"/>
        <w:rPr>
          <w:rFonts w:ascii="Calibri" w:hAnsi="Calibri" w:cs="Helv"/>
          <w:color w:val="000000"/>
          <w:lang w:val="en"/>
        </w:rPr>
      </w:pPr>
      <w:r w:rsidRPr="00C87C8C">
        <w:rPr>
          <w:rFonts w:ascii="Calibri" w:hAnsi="Calibri" w:cs="Helv"/>
          <w:color w:val="000000"/>
          <w:lang w:val="en"/>
        </w:rPr>
        <w:t xml:space="preserve">A person other than the grantor shall be treated as the owner of </w:t>
      </w:r>
      <w:r w:rsidRPr="00C87C8C">
        <w:rPr>
          <w:rFonts w:ascii="Calibri" w:hAnsi="Calibri" w:cs="Helv"/>
          <w:b/>
          <w:i/>
          <w:color w:val="000000"/>
          <w:lang w:val="en"/>
        </w:rPr>
        <w:t>any portion</w:t>
      </w:r>
      <w:r w:rsidRPr="00C87C8C">
        <w:rPr>
          <w:rFonts w:ascii="Calibri" w:hAnsi="Calibri" w:cs="Helv"/>
          <w:color w:val="000000"/>
          <w:lang w:val="en"/>
        </w:rPr>
        <w:t xml:space="preserve"> of a trust with respect to which: </w:t>
      </w:r>
    </w:p>
    <w:p w14:paraId="6D8B2844" w14:textId="77777777" w:rsidR="00C87C8C" w:rsidRPr="00C87C8C" w:rsidRDefault="00C87C8C" w:rsidP="00C87C8C">
      <w:pPr>
        <w:autoSpaceDE w:val="0"/>
        <w:autoSpaceDN w:val="0"/>
        <w:adjustRightInd w:val="0"/>
        <w:ind w:left="720"/>
        <w:rPr>
          <w:rFonts w:ascii="Calibri" w:hAnsi="Calibri" w:cs="Helv"/>
          <w:color w:val="000000"/>
          <w:lang w:val="en"/>
        </w:rPr>
      </w:pPr>
      <w:r w:rsidRPr="00C87C8C">
        <w:rPr>
          <w:rFonts w:ascii="Calibri" w:hAnsi="Calibri" w:cs="Helv"/>
          <w:b/>
          <w:bCs/>
          <w:color w:val="000000"/>
          <w:lang w:val="en"/>
        </w:rPr>
        <w:t>(1)</w:t>
      </w:r>
      <w:r w:rsidRPr="00C87C8C">
        <w:rPr>
          <w:rFonts w:ascii="Calibri" w:hAnsi="Calibri" w:cs="Helv"/>
          <w:color w:val="000000"/>
          <w:lang w:val="en"/>
        </w:rPr>
        <w:t xml:space="preserve"> such person has a power </w:t>
      </w:r>
      <w:r w:rsidRPr="00C87C8C">
        <w:rPr>
          <w:rFonts w:ascii="Calibri" w:hAnsi="Calibri" w:cs="Helv"/>
          <w:b/>
          <w:i/>
          <w:color w:val="000000"/>
          <w:lang w:val="en"/>
        </w:rPr>
        <w:t>exercisable solely by himself</w:t>
      </w:r>
      <w:r w:rsidRPr="00C87C8C">
        <w:rPr>
          <w:rFonts w:ascii="Calibri" w:hAnsi="Calibri" w:cs="Helv"/>
          <w:color w:val="000000"/>
          <w:lang w:val="en"/>
        </w:rPr>
        <w:t xml:space="preserve"> to vest the corpus </w:t>
      </w:r>
      <w:r w:rsidRPr="00D757B6">
        <w:rPr>
          <w:rFonts w:ascii="Calibri" w:hAnsi="Calibri" w:cs="Helv"/>
          <w:b/>
          <w:i/>
          <w:color w:val="000000"/>
          <w:highlight w:val="yellow"/>
          <w:lang w:val="en"/>
        </w:rPr>
        <w:t>or</w:t>
      </w:r>
      <w:r w:rsidRPr="00C87C8C">
        <w:rPr>
          <w:rFonts w:ascii="Calibri" w:hAnsi="Calibri" w:cs="Helv"/>
          <w:b/>
          <w:i/>
          <w:color w:val="000000"/>
          <w:lang w:val="en"/>
        </w:rPr>
        <w:t xml:space="preserve"> the income therefrom in himself</w:t>
      </w:r>
      <w:r w:rsidRPr="00C87C8C">
        <w:rPr>
          <w:rFonts w:ascii="Calibri" w:hAnsi="Calibri" w:cs="Helv"/>
          <w:color w:val="000000"/>
          <w:lang w:val="en"/>
        </w:rPr>
        <w:t xml:space="preserve">, </w:t>
      </w:r>
      <w:r w:rsidRPr="00D757B6">
        <w:rPr>
          <w:rFonts w:ascii="Calibri" w:hAnsi="Calibri" w:cs="Helv"/>
          <w:b/>
          <w:color w:val="000000"/>
          <w:highlight w:val="yellow"/>
          <w:lang w:val="en"/>
        </w:rPr>
        <w:t>or</w:t>
      </w:r>
      <w:r w:rsidRPr="00C87C8C">
        <w:rPr>
          <w:rFonts w:ascii="Calibri" w:hAnsi="Calibri" w:cs="Helv"/>
          <w:color w:val="000000"/>
          <w:lang w:val="en"/>
        </w:rPr>
        <w:t xml:space="preserve"> </w:t>
      </w:r>
    </w:p>
    <w:p w14:paraId="0E94A1D5" w14:textId="77777777" w:rsidR="00C87C8C" w:rsidRPr="00C87C8C" w:rsidRDefault="00C87C8C" w:rsidP="00C87C8C">
      <w:pPr>
        <w:autoSpaceDE w:val="0"/>
        <w:autoSpaceDN w:val="0"/>
        <w:adjustRightInd w:val="0"/>
        <w:ind w:left="720"/>
        <w:rPr>
          <w:rFonts w:ascii="Calibri" w:hAnsi="Calibri" w:cs="Helv"/>
          <w:color w:val="000000"/>
          <w:lang w:val="en"/>
        </w:rPr>
      </w:pPr>
      <w:r w:rsidRPr="00C87C8C">
        <w:rPr>
          <w:rFonts w:ascii="Calibri" w:hAnsi="Calibri" w:cs="Helv"/>
          <w:b/>
          <w:bCs/>
          <w:color w:val="000000"/>
          <w:lang w:val="en"/>
        </w:rPr>
        <w:t>(2)</w:t>
      </w:r>
      <w:r w:rsidRPr="00C87C8C">
        <w:rPr>
          <w:rFonts w:ascii="Calibri" w:hAnsi="Calibri" w:cs="Helv"/>
          <w:color w:val="000000"/>
          <w:lang w:val="en"/>
        </w:rPr>
        <w:t xml:space="preserve"> such person has previously partially released or otherwise modified such a power and after the release or modification retains such control as would, within the </w:t>
      </w:r>
      <w:r w:rsidRPr="00C87C8C">
        <w:rPr>
          <w:rFonts w:ascii="Calibri" w:hAnsi="Calibri" w:cs="Helv"/>
          <w:color w:val="000000"/>
          <w:lang w:val="en"/>
        </w:rPr>
        <w:lastRenderedPageBreak/>
        <w:t xml:space="preserve">principles of sections </w:t>
      </w:r>
      <w:hyperlink r:id="rId41" w:tooltip="§ 671 - Trust income, deductions, and credits attributable to grantors and others as substantial owners" w:history="1">
        <w:r w:rsidRPr="00C87C8C">
          <w:rPr>
            <w:rStyle w:val="Hyperlink"/>
            <w:rFonts w:ascii="Calibri" w:hAnsi="Calibri" w:cs="Helv"/>
            <w:lang w:val="en"/>
          </w:rPr>
          <w:t>671</w:t>
        </w:r>
      </w:hyperlink>
      <w:r w:rsidRPr="00C87C8C">
        <w:rPr>
          <w:rFonts w:ascii="Calibri" w:hAnsi="Calibri" w:cs="Helv"/>
          <w:color w:val="000000"/>
          <w:lang w:val="en"/>
        </w:rPr>
        <w:t xml:space="preserve"> to </w:t>
      </w:r>
      <w:hyperlink r:id="rId42" w:tooltip="§ 677 - Income for benefit of grantor" w:history="1">
        <w:r w:rsidRPr="00C87C8C">
          <w:rPr>
            <w:rStyle w:val="Hyperlink"/>
            <w:rFonts w:ascii="Calibri" w:hAnsi="Calibri" w:cs="Helv"/>
            <w:lang w:val="en"/>
          </w:rPr>
          <w:t>677</w:t>
        </w:r>
      </w:hyperlink>
      <w:r w:rsidRPr="00C87C8C">
        <w:rPr>
          <w:rFonts w:ascii="Calibri" w:hAnsi="Calibri" w:cs="Helv"/>
          <w:color w:val="000000"/>
          <w:lang w:val="en"/>
        </w:rPr>
        <w:t xml:space="preserve">, inclusive, subject to grantor of a trust to treatment as the owner thereof. </w:t>
      </w:r>
    </w:p>
    <w:p w14:paraId="771115DB" w14:textId="77777777" w:rsidR="00C87C8C" w:rsidRPr="00704EEC" w:rsidRDefault="00C87C8C" w:rsidP="00C87C8C">
      <w:pPr>
        <w:autoSpaceDE w:val="0"/>
        <w:autoSpaceDN w:val="0"/>
        <w:adjustRightInd w:val="0"/>
        <w:spacing w:line="360" w:lineRule="auto"/>
        <w:ind w:firstLine="720"/>
        <w:rPr>
          <w:rFonts w:ascii="Calibri" w:hAnsi="Calibri" w:cs="Helv"/>
          <w:color w:val="000000"/>
          <w:sz w:val="20"/>
        </w:rPr>
      </w:pPr>
    </w:p>
    <w:p w14:paraId="65807C93" w14:textId="77777777" w:rsidR="005776B1" w:rsidRDefault="005776B1" w:rsidP="00C87C8C">
      <w:pPr>
        <w:autoSpaceDE w:val="0"/>
        <w:autoSpaceDN w:val="0"/>
        <w:adjustRightInd w:val="0"/>
        <w:spacing w:line="360" w:lineRule="auto"/>
        <w:ind w:firstLine="720"/>
        <w:rPr>
          <w:rFonts w:ascii="Calibri" w:hAnsi="Calibri" w:cs="Helv"/>
          <w:color w:val="000000"/>
        </w:rPr>
      </w:pPr>
      <w:r>
        <w:rPr>
          <w:rFonts w:ascii="Calibri" w:hAnsi="Calibri" w:cs="Helv"/>
          <w:color w:val="000000"/>
        </w:rPr>
        <w:t>In the post-mortem context, the most commonly found variant triggering this provision is a marital trust that grants the surviving spouse an unrestricted right of withdrawal of the entire principal of the trust.  This would clearly trigger §678(a), and the trust would be taxed no differently than the surviving spouse’s own revocable living trust.  Unfortunately, such a trust offers the same tax and asset protection benefits as a revocable trust – none!</w:t>
      </w:r>
    </w:p>
    <w:p w14:paraId="0D3803B9" w14:textId="77777777" w:rsidR="00E81175" w:rsidRDefault="001E4E81" w:rsidP="009C415B">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Outside that box, most </w:t>
      </w:r>
      <w:r w:rsidR="00915AD9">
        <w:rPr>
          <w:rFonts w:ascii="Calibri" w:hAnsi="Calibri" w:cs="Helv"/>
          <w:color w:val="000000"/>
        </w:rPr>
        <w:t>prac</w:t>
      </w:r>
      <w:r w:rsidR="006C6E4E">
        <w:rPr>
          <w:rFonts w:ascii="Calibri" w:hAnsi="Calibri" w:cs="Helv"/>
          <w:color w:val="000000"/>
        </w:rPr>
        <w:t xml:space="preserve">titioners </w:t>
      </w:r>
      <w:r w:rsidR="00915AD9">
        <w:rPr>
          <w:rFonts w:ascii="Calibri" w:hAnsi="Calibri" w:cs="Helv"/>
          <w:color w:val="000000"/>
        </w:rPr>
        <w:t xml:space="preserve">mistakenly interpret </w:t>
      </w:r>
      <w:r w:rsidR="00757E72">
        <w:rPr>
          <w:rFonts w:ascii="Calibri" w:hAnsi="Calibri" w:cs="Helv"/>
          <w:color w:val="000000"/>
        </w:rPr>
        <w:t>§</w:t>
      </w:r>
      <w:r w:rsidR="00915AD9">
        <w:rPr>
          <w:rFonts w:ascii="Calibri" w:hAnsi="Calibri" w:cs="Helv"/>
          <w:color w:val="000000"/>
        </w:rPr>
        <w:t xml:space="preserve">678 </w:t>
      </w:r>
      <w:r w:rsidR="00E81175">
        <w:rPr>
          <w:rFonts w:ascii="Calibri" w:hAnsi="Calibri" w:cs="Helv"/>
          <w:color w:val="000000"/>
        </w:rPr>
        <w:t xml:space="preserve">without the </w:t>
      </w:r>
      <w:r w:rsidR="00D757B6">
        <w:rPr>
          <w:rFonts w:ascii="Calibri" w:hAnsi="Calibri" w:cs="Helv"/>
          <w:color w:val="000000"/>
        </w:rPr>
        <w:t xml:space="preserve">word </w:t>
      </w:r>
      <w:r w:rsidR="00E81175">
        <w:rPr>
          <w:rFonts w:ascii="Calibri" w:hAnsi="Calibri" w:cs="Helv"/>
          <w:color w:val="000000"/>
        </w:rPr>
        <w:t xml:space="preserve">“or” in </w:t>
      </w:r>
      <w:r w:rsidR="00C87C8C">
        <w:rPr>
          <w:rFonts w:ascii="Calibri" w:hAnsi="Calibri" w:cs="Helv"/>
          <w:color w:val="000000"/>
        </w:rPr>
        <w:t>§678(a)(1)</w:t>
      </w:r>
      <w:r w:rsidR="00E81175">
        <w:rPr>
          <w:rFonts w:ascii="Calibri" w:hAnsi="Calibri" w:cs="Helv"/>
          <w:color w:val="000000"/>
        </w:rPr>
        <w:t xml:space="preserve">, as if it </w:t>
      </w:r>
      <w:r w:rsidR="00E81175" w:rsidRPr="00E81175">
        <w:rPr>
          <w:rFonts w:ascii="Calibri" w:hAnsi="Calibri" w:cs="Helv"/>
          <w:b/>
          <w:i/>
          <w:color w:val="000000"/>
        </w:rPr>
        <w:t>only</w:t>
      </w:r>
      <w:r w:rsidR="00E81175">
        <w:rPr>
          <w:rFonts w:ascii="Calibri" w:hAnsi="Calibri" w:cs="Helv"/>
          <w:color w:val="000000"/>
        </w:rPr>
        <w:t xml:space="preserve"> applies</w:t>
      </w:r>
      <w:r w:rsidR="00915AD9">
        <w:rPr>
          <w:rFonts w:ascii="Calibri" w:hAnsi="Calibri" w:cs="Helv"/>
          <w:color w:val="000000"/>
        </w:rPr>
        <w:t xml:space="preserve"> when the beneficiary has </w:t>
      </w:r>
      <w:r w:rsidR="00C21698">
        <w:rPr>
          <w:rFonts w:ascii="Calibri" w:hAnsi="Calibri" w:cs="Helv"/>
          <w:color w:val="000000"/>
        </w:rPr>
        <w:t>(</w:t>
      </w:r>
      <w:r w:rsidR="00915AD9">
        <w:rPr>
          <w:rFonts w:ascii="Calibri" w:hAnsi="Calibri" w:cs="Helv"/>
          <w:color w:val="000000"/>
        </w:rPr>
        <w:t>or had</w:t>
      </w:r>
      <w:r w:rsidR="00C21698">
        <w:rPr>
          <w:rFonts w:ascii="Calibri" w:hAnsi="Calibri" w:cs="Helv"/>
          <w:color w:val="000000"/>
        </w:rPr>
        <w:t>)</w:t>
      </w:r>
      <w:r w:rsidR="00915AD9">
        <w:rPr>
          <w:rFonts w:ascii="Calibri" w:hAnsi="Calibri" w:cs="Helv"/>
          <w:color w:val="000000"/>
        </w:rPr>
        <w:t xml:space="preserve"> the right to withdraw the </w:t>
      </w:r>
      <w:r w:rsidR="00915AD9" w:rsidRPr="00C21698">
        <w:rPr>
          <w:rFonts w:ascii="Calibri" w:hAnsi="Calibri" w:cs="Helv"/>
          <w:i/>
          <w:color w:val="000000"/>
        </w:rPr>
        <w:t>entire principal</w:t>
      </w:r>
      <w:r w:rsidR="00915AD9">
        <w:rPr>
          <w:rFonts w:ascii="Calibri" w:hAnsi="Calibri" w:cs="Helv"/>
          <w:color w:val="000000"/>
        </w:rPr>
        <w:t xml:space="preserve"> </w:t>
      </w:r>
      <w:r w:rsidR="002F5D38">
        <w:rPr>
          <w:rFonts w:ascii="Calibri" w:hAnsi="Calibri" w:cs="Helv"/>
          <w:color w:val="000000"/>
        </w:rPr>
        <w:t xml:space="preserve">(corpus) </w:t>
      </w:r>
      <w:r w:rsidR="00915AD9">
        <w:rPr>
          <w:rFonts w:ascii="Calibri" w:hAnsi="Calibri" w:cs="Helv"/>
          <w:color w:val="000000"/>
        </w:rPr>
        <w:t>of the trust.</w:t>
      </w:r>
      <w:r w:rsidR="00915AD9">
        <w:rPr>
          <w:rStyle w:val="FootnoteReference"/>
          <w:rFonts w:ascii="Calibri" w:hAnsi="Calibri" w:cs="Helv"/>
          <w:color w:val="000000"/>
        </w:rPr>
        <w:footnoteReference w:id="395"/>
      </w:r>
      <w:r w:rsidR="00F64359">
        <w:rPr>
          <w:rFonts w:ascii="Calibri" w:hAnsi="Calibri" w:cs="Helv"/>
          <w:color w:val="000000"/>
        </w:rPr>
        <w:t xml:space="preserve">  </w:t>
      </w:r>
      <w:r w:rsidR="00E42F32">
        <w:rPr>
          <w:rFonts w:ascii="Calibri" w:hAnsi="Calibri" w:cs="Helv"/>
          <w:color w:val="000000"/>
        </w:rPr>
        <w:t xml:space="preserve">This is a commonly accepted myth, but understandable, since there have been extremely few reported cases or rulings on </w:t>
      </w:r>
      <w:r w:rsidR="00C21698">
        <w:rPr>
          <w:rFonts w:ascii="Calibri" w:hAnsi="Calibri" w:cs="Helv"/>
          <w:color w:val="000000"/>
        </w:rPr>
        <w:t xml:space="preserve">trust </w:t>
      </w:r>
      <w:r w:rsidR="00E42F32">
        <w:rPr>
          <w:rFonts w:ascii="Calibri" w:hAnsi="Calibri" w:cs="Helv"/>
          <w:color w:val="000000"/>
        </w:rPr>
        <w:t>structure</w:t>
      </w:r>
      <w:r w:rsidR="00C21698">
        <w:rPr>
          <w:rFonts w:ascii="Calibri" w:hAnsi="Calibri" w:cs="Helv"/>
          <w:color w:val="000000"/>
        </w:rPr>
        <w:t>s that only allow withdrawal powers over income</w:t>
      </w:r>
      <w:r w:rsidR="00E42F32">
        <w:rPr>
          <w:rFonts w:ascii="Calibri" w:hAnsi="Calibri" w:cs="Helv"/>
          <w:color w:val="000000"/>
        </w:rPr>
        <w:t xml:space="preserve"> and treatises </w:t>
      </w:r>
      <w:r w:rsidR="006C6E4E">
        <w:rPr>
          <w:rFonts w:ascii="Calibri" w:hAnsi="Calibri" w:cs="Helv"/>
          <w:color w:val="000000"/>
        </w:rPr>
        <w:t>have very little if any discussion of</w:t>
      </w:r>
      <w:r w:rsidR="00E42F32">
        <w:rPr>
          <w:rFonts w:ascii="Calibri" w:hAnsi="Calibri" w:cs="Helv"/>
          <w:color w:val="000000"/>
        </w:rPr>
        <w:t xml:space="preserve"> this potential variation, for the </w:t>
      </w:r>
      <w:r w:rsidR="00C21698">
        <w:rPr>
          <w:rFonts w:ascii="Calibri" w:hAnsi="Calibri" w:cs="Helv"/>
          <w:color w:val="000000"/>
        </w:rPr>
        <w:t>logical</w:t>
      </w:r>
      <w:r w:rsidR="00E42F32">
        <w:rPr>
          <w:rFonts w:ascii="Calibri" w:hAnsi="Calibri" w:cs="Helv"/>
          <w:color w:val="000000"/>
        </w:rPr>
        <w:t xml:space="preserve"> reason that practitioners don’t </w:t>
      </w:r>
      <w:r w:rsidR="00E67651">
        <w:rPr>
          <w:rFonts w:ascii="Calibri" w:hAnsi="Calibri" w:cs="Helv"/>
          <w:color w:val="000000"/>
        </w:rPr>
        <w:t xml:space="preserve">normally </w:t>
      </w:r>
      <w:r w:rsidR="00E42F32">
        <w:rPr>
          <w:rFonts w:ascii="Calibri" w:hAnsi="Calibri" w:cs="Helv"/>
          <w:color w:val="000000"/>
        </w:rPr>
        <w:t>draft trusts this way.</w:t>
      </w:r>
      <w:r w:rsidR="00E67651">
        <w:rPr>
          <w:rStyle w:val="FootnoteReference"/>
          <w:rFonts w:ascii="Calibri" w:hAnsi="Calibri" w:cs="Helv"/>
          <w:color w:val="000000"/>
        </w:rPr>
        <w:footnoteReference w:id="396"/>
      </w:r>
      <w:r w:rsidR="00E42F32">
        <w:rPr>
          <w:rFonts w:ascii="Calibri" w:hAnsi="Calibri" w:cs="Helv"/>
          <w:color w:val="000000"/>
        </w:rPr>
        <w:t xml:space="preserve">  </w:t>
      </w:r>
      <w:r w:rsidR="00E42F32" w:rsidRPr="00E731EF">
        <w:rPr>
          <w:rFonts w:ascii="Calibri" w:hAnsi="Calibri" w:cs="Helv"/>
          <w:b/>
          <w:i/>
          <w:color w:val="000000"/>
        </w:rPr>
        <w:t>Yet</w:t>
      </w:r>
      <w:r w:rsidR="00E42F32">
        <w:rPr>
          <w:rFonts w:ascii="Calibri" w:hAnsi="Calibri" w:cs="Helv"/>
          <w:color w:val="000000"/>
        </w:rPr>
        <w:t>.</w:t>
      </w:r>
      <w:r w:rsidR="006C6E4E">
        <w:rPr>
          <w:rFonts w:ascii="Calibri" w:hAnsi="Calibri" w:cs="Helv"/>
          <w:color w:val="000000"/>
        </w:rPr>
        <w:t xml:space="preserve">  </w:t>
      </w:r>
      <w:r w:rsidR="006C6E4E" w:rsidRPr="00291691">
        <w:rPr>
          <w:rFonts w:ascii="Calibri" w:hAnsi="Calibri" w:cs="Helv"/>
          <w:b/>
          <w:i/>
          <w:color w:val="000000"/>
        </w:rPr>
        <w:t>But there is no reason to ignore the “or” in the</w:t>
      </w:r>
      <w:r w:rsidR="002F5D38" w:rsidRPr="00291691">
        <w:rPr>
          <w:rFonts w:ascii="Calibri" w:hAnsi="Calibri" w:cs="Helv"/>
          <w:b/>
          <w:i/>
          <w:color w:val="000000"/>
        </w:rPr>
        <w:t xml:space="preserve"> statute and no requirement</w:t>
      </w:r>
      <w:r w:rsidR="004E2E04" w:rsidRPr="00291691">
        <w:rPr>
          <w:rFonts w:ascii="Calibri" w:hAnsi="Calibri" w:cs="Helv"/>
          <w:b/>
          <w:i/>
          <w:color w:val="000000"/>
        </w:rPr>
        <w:t xml:space="preserve"> under §678</w:t>
      </w:r>
      <w:r w:rsidR="002F5D38" w:rsidRPr="00291691">
        <w:rPr>
          <w:rFonts w:ascii="Calibri" w:hAnsi="Calibri" w:cs="Helv"/>
          <w:b/>
          <w:i/>
          <w:color w:val="000000"/>
        </w:rPr>
        <w:t xml:space="preserve"> that a beneficiary/powerholder have any power over </w:t>
      </w:r>
      <w:r w:rsidR="00D757B6">
        <w:rPr>
          <w:rFonts w:ascii="Calibri" w:hAnsi="Calibri" w:cs="Helv"/>
          <w:b/>
          <w:i/>
          <w:color w:val="000000"/>
        </w:rPr>
        <w:t xml:space="preserve">any </w:t>
      </w:r>
      <w:r w:rsidR="002F5D38" w:rsidRPr="00291691">
        <w:rPr>
          <w:rFonts w:ascii="Calibri" w:hAnsi="Calibri" w:cs="Helv"/>
          <w:b/>
          <w:i/>
          <w:color w:val="000000"/>
        </w:rPr>
        <w:t>corpus whatsoever</w:t>
      </w:r>
      <w:r w:rsidR="002F5D38">
        <w:rPr>
          <w:rFonts w:ascii="Calibri" w:hAnsi="Calibri" w:cs="Helv"/>
          <w:color w:val="000000"/>
        </w:rPr>
        <w:t>.  In fact, t</w:t>
      </w:r>
      <w:r w:rsidR="006C6E4E">
        <w:rPr>
          <w:rFonts w:ascii="Calibri" w:hAnsi="Calibri" w:cs="Helv"/>
          <w:color w:val="000000"/>
        </w:rPr>
        <w:t>he</w:t>
      </w:r>
      <w:r w:rsidR="006B0D50">
        <w:rPr>
          <w:rFonts w:ascii="Calibri" w:hAnsi="Calibri" w:cs="Helv"/>
          <w:color w:val="000000"/>
        </w:rPr>
        <w:t xml:space="preserve"> seminal</w:t>
      </w:r>
      <w:r w:rsidR="006C6E4E">
        <w:rPr>
          <w:rFonts w:ascii="Calibri" w:hAnsi="Calibri" w:cs="Helv"/>
          <w:color w:val="000000"/>
        </w:rPr>
        <w:t xml:space="preserve"> case that the statute itself was based on had no beneficiary right to withdraw underlying principal.</w:t>
      </w:r>
    </w:p>
    <w:p w14:paraId="19254AA5" w14:textId="77777777" w:rsidR="00C74908" w:rsidRDefault="00B2571A" w:rsidP="00B2571A">
      <w:pPr>
        <w:autoSpaceDE w:val="0"/>
        <w:autoSpaceDN w:val="0"/>
        <w:adjustRightInd w:val="0"/>
        <w:spacing w:line="360" w:lineRule="auto"/>
        <w:ind w:firstLine="720"/>
        <w:rPr>
          <w:rFonts w:ascii="Calibri" w:hAnsi="Calibri" w:cs="Helv"/>
          <w:color w:val="000000"/>
        </w:rPr>
      </w:pPr>
      <w:r w:rsidRPr="00B2571A">
        <w:rPr>
          <w:rFonts w:ascii="Calibri" w:hAnsi="Calibri" w:cs="Helv"/>
          <w:color w:val="000000"/>
        </w:rPr>
        <w:lastRenderedPageBreak/>
        <w:t xml:space="preserve">For instance, a trust may provide that the primary beneficiary has the </w:t>
      </w:r>
      <w:r w:rsidR="00C74908">
        <w:rPr>
          <w:rFonts w:ascii="Calibri" w:hAnsi="Calibri" w:cs="Helv"/>
          <w:color w:val="000000"/>
        </w:rPr>
        <w:t xml:space="preserve">unfettered </w:t>
      </w:r>
      <w:r w:rsidRPr="00B2571A">
        <w:rPr>
          <w:rFonts w:ascii="Calibri" w:hAnsi="Calibri" w:cs="Helv"/>
          <w:color w:val="000000"/>
        </w:rPr>
        <w:t xml:space="preserve">right to </w:t>
      </w:r>
      <w:r w:rsidRPr="00D757B6">
        <w:rPr>
          <w:rFonts w:ascii="Calibri" w:hAnsi="Calibri" w:cs="Helv"/>
          <w:i/>
          <w:color w:val="000000"/>
        </w:rPr>
        <w:t>withdraw</w:t>
      </w:r>
      <w:r w:rsidRPr="00B2571A">
        <w:rPr>
          <w:rFonts w:ascii="Calibri" w:hAnsi="Calibri" w:cs="Helv"/>
          <w:color w:val="000000"/>
        </w:rPr>
        <w:t xml:space="preserve"> all </w:t>
      </w:r>
      <w:r w:rsidR="00C87C8C">
        <w:rPr>
          <w:rFonts w:ascii="Calibri" w:hAnsi="Calibri" w:cs="Helv"/>
          <w:color w:val="000000"/>
        </w:rPr>
        <w:t xml:space="preserve">net </w:t>
      </w:r>
      <w:r w:rsidRPr="00B2571A">
        <w:rPr>
          <w:rFonts w:ascii="Calibri" w:hAnsi="Calibri" w:cs="Helv"/>
          <w:color w:val="000000"/>
        </w:rPr>
        <w:t>income</w:t>
      </w:r>
      <w:r w:rsidR="005D31E4">
        <w:rPr>
          <w:rFonts w:ascii="Calibri" w:hAnsi="Calibri" w:cs="Helv"/>
          <w:color w:val="000000"/>
        </w:rPr>
        <w:t>.</w:t>
      </w:r>
      <w:r w:rsidR="00C74908">
        <w:rPr>
          <w:rStyle w:val="FootnoteReference"/>
          <w:rFonts w:ascii="Calibri" w:hAnsi="Calibri" w:cs="Helv"/>
          <w:color w:val="000000"/>
        </w:rPr>
        <w:footnoteReference w:id="397"/>
      </w:r>
      <w:r w:rsidR="005D31E4">
        <w:rPr>
          <w:rFonts w:ascii="Calibri" w:hAnsi="Calibri" w:cs="Helv"/>
          <w:color w:val="000000"/>
        </w:rPr>
        <w:t xml:space="preserve">  Unless defined otherwise</w:t>
      </w:r>
      <w:r w:rsidR="00C87C8C">
        <w:rPr>
          <w:rFonts w:ascii="Calibri" w:hAnsi="Calibri" w:cs="Helv"/>
          <w:color w:val="000000"/>
        </w:rPr>
        <w:t xml:space="preserve"> in the trust</w:t>
      </w:r>
      <w:r w:rsidR="005D31E4">
        <w:rPr>
          <w:rFonts w:ascii="Calibri" w:hAnsi="Calibri" w:cs="Helv"/>
          <w:color w:val="000000"/>
        </w:rPr>
        <w:t xml:space="preserve">, this means the beneficiary is taxed </w:t>
      </w:r>
      <w:r w:rsidR="00C74908">
        <w:rPr>
          <w:rFonts w:ascii="Calibri" w:hAnsi="Calibri" w:cs="Helv"/>
          <w:color w:val="000000"/>
        </w:rPr>
        <w:t xml:space="preserve">only </w:t>
      </w:r>
      <w:r w:rsidR="005D31E4">
        <w:rPr>
          <w:rFonts w:ascii="Calibri" w:hAnsi="Calibri" w:cs="Helv"/>
          <w:color w:val="000000"/>
        </w:rPr>
        <w:t>on</w:t>
      </w:r>
      <w:r w:rsidR="00C87C8C">
        <w:rPr>
          <w:rFonts w:ascii="Calibri" w:hAnsi="Calibri" w:cs="Helv"/>
          <w:color w:val="000000"/>
        </w:rPr>
        <w:t xml:space="preserve"> fiduciary</w:t>
      </w:r>
      <w:r w:rsidR="005D31E4">
        <w:rPr>
          <w:rFonts w:ascii="Calibri" w:hAnsi="Calibri" w:cs="Helv"/>
          <w:color w:val="000000"/>
        </w:rPr>
        <w:t xml:space="preserve"> accounting income (dividends, interest, rents), </w:t>
      </w:r>
      <w:r w:rsidR="00744603">
        <w:rPr>
          <w:rFonts w:ascii="Calibri" w:hAnsi="Calibri" w:cs="Helv"/>
          <w:color w:val="000000"/>
        </w:rPr>
        <w:t xml:space="preserve">but </w:t>
      </w:r>
      <w:r w:rsidR="00C87C8C">
        <w:rPr>
          <w:rFonts w:ascii="Calibri" w:hAnsi="Calibri" w:cs="Helv"/>
          <w:color w:val="000000"/>
        </w:rPr>
        <w:t xml:space="preserve">not necessarily all </w:t>
      </w:r>
      <w:r w:rsidR="00C87C8C" w:rsidRPr="002B3E85">
        <w:rPr>
          <w:rFonts w:ascii="Calibri" w:hAnsi="Calibri" w:cs="Helv"/>
          <w:i/>
          <w:color w:val="000000"/>
        </w:rPr>
        <w:t>taxable</w:t>
      </w:r>
      <w:r w:rsidR="002B3E85">
        <w:rPr>
          <w:rFonts w:ascii="Calibri" w:hAnsi="Calibri" w:cs="Helv"/>
          <w:color w:val="000000"/>
        </w:rPr>
        <w:t xml:space="preserve"> income.  For instance, a traditional</w:t>
      </w:r>
      <w:r w:rsidR="00C87C8C">
        <w:rPr>
          <w:rFonts w:ascii="Calibri" w:hAnsi="Calibri" w:cs="Helv"/>
          <w:color w:val="000000"/>
        </w:rPr>
        <w:t xml:space="preserve"> IRA distribution might be 100% </w:t>
      </w:r>
      <w:r w:rsidR="00C87C8C" w:rsidRPr="002C4B21">
        <w:rPr>
          <w:rFonts w:ascii="Calibri" w:hAnsi="Calibri" w:cs="Helv"/>
          <w:i/>
          <w:color w:val="000000"/>
        </w:rPr>
        <w:t>taxable</w:t>
      </w:r>
      <w:r w:rsidR="00C87C8C">
        <w:rPr>
          <w:rFonts w:ascii="Calibri" w:hAnsi="Calibri" w:cs="Helv"/>
          <w:color w:val="000000"/>
        </w:rPr>
        <w:t xml:space="preserve"> income, but</w:t>
      </w:r>
      <w:r w:rsidR="002B3E85">
        <w:rPr>
          <w:rFonts w:ascii="Calibri" w:hAnsi="Calibri" w:cs="Helv"/>
          <w:color w:val="000000"/>
        </w:rPr>
        <w:t xml:space="preserve"> only</w:t>
      </w:r>
      <w:r w:rsidR="00C87C8C">
        <w:rPr>
          <w:rFonts w:ascii="Calibri" w:hAnsi="Calibri" w:cs="Helv"/>
          <w:color w:val="000000"/>
        </w:rPr>
        <w:t xml:space="preserve"> 10% </w:t>
      </w:r>
      <w:r w:rsidR="00C87C8C" w:rsidRPr="002C4B21">
        <w:rPr>
          <w:rFonts w:ascii="Calibri" w:hAnsi="Calibri" w:cs="Helv"/>
          <w:i/>
          <w:color w:val="000000"/>
        </w:rPr>
        <w:t>accounting</w:t>
      </w:r>
      <w:r w:rsidR="00C87C8C">
        <w:rPr>
          <w:rFonts w:ascii="Calibri" w:hAnsi="Calibri" w:cs="Helv"/>
          <w:color w:val="000000"/>
        </w:rPr>
        <w:t xml:space="preserve"> income, and capital gains would not usually be accounting income either.</w:t>
      </w:r>
      <w:r w:rsidR="00ED53B2">
        <w:rPr>
          <w:rStyle w:val="FootnoteReference"/>
          <w:rFonts w:ascii="Calibri" w:hAnsi="Calibri" w:cs="Helv"/>
          <w:color w:val="000000"/>
        </w:rPr>
        <w:footnoteReference w:id="398"/>
      </w:r>
      <w:r w:rsidR="00C87C8C">
        <w:rPr>
          <w:rFonts w:ascii="Calibri" w:hAnsi="Calibri" w:cs="Helv"/>
          <w:color w:val="000000"/>
        </w:rPr>
        <w:t xml:space="preserve">  </w:t>
      </w:r>
      <w:r w:rsidR="006B0D50">
        <w:rPr>
          <w:rFonts w:ascii="Calibri" w:hAnsi="Calibri" w:cs="Helv"/>
          <w:color w:val="000000"/>
        </w:rPr>
        <w:t xml:space="preserve">Conversely, a trust might </w:t>
      </w:r>
      <w:r w:rsidR="00F51B61">
        <w:rPr>
          <w:rFonts w:ascii="Calibri" w:hAnsi="Calibri" w:cs="Helv"/>
          <w:color w:val="000000"/>
        </w:rPr>
        <w:t xml:space="preserve">grant a beneficiary a withdrawal right over income attributable to principal, but not accounting income, and this would shift </w:t>
      </w:r>
      <w:r w:rsidR="007F7B8A">
        <w:rPr>
          <w:rFonts w:ascii="Calibri" w:hAnsi="Calibri" w:cs="Helv"/>
          <w:color w:val="000000"/>
        </w:rPr>
        <w:t xml:space="preserve">only </w:t>
      </w:r>
      <w:r w:rsidR="00F51B61">
        <w:rPr>
          <w:rFonts w:ascii="Calibri" w:hAnsi="Calibri" w:cs="Helv"/>
          <w:color w:val="000000"/>
        </w:rPr>
        <w:t xml:space="preserve">that income </w:t>
      </w:r>
      <w:r w:rsidR="007F7B8A">
        <w:rPr>
          <w:rFonts w:ascii="Calibri" w:hAnsi="Calibri" w:cs="Helv"/>
          <w:color w:val="000000"/>
        </w:rPr>
        <w:t xml:space="preserve">(e.g. </w:t>
      </w:r>
      <w:r w:rsidR="007F7B8A" w:rsidRPr="007F7B8A">
        <w:rPr>
          <w:rFonts w:ascii="Calibri" w:hAnsi="Calibri" w:cs="Helv"/>
          <w:i/>
          <w:color w:val="000000"/>
        </w:rPr>
        <w:t>not</w:t>
      </w:r>
      <w:r w:rsidR="007F7B8A">
        <w:rPr>
          <w:rFonts w:ascii="Calibri" w:hAnsi="Calibri" w:cs="Helv"/>
          <w:color w:val="000000"/>
        </w:rPr>
        <w:t xml:space="preserve"> the interest, dividends, rents) </w:t>
      </w:r>
      <w:r w:rsidR="00F51B61">
        <w:rPr>
          <w:rFonts w:ascii="Calibri" w:hAnsi="Calibri" w:cs="Helv"/>
          <w:color w:val="000000"/>
        </w:rPr>
        <w:t>to the beneficiary.</w:t>
      </w:r>
      <w:r w:rsidR="00F51B61">
        <w:rPr>
          <w:rStyle w:val="FootnoteReference"/>
          <w:rFonts w:ascii="Calibri" w:hAnsi="Calibri" w:cs="Helv"/>
          <w:color w:val="000000"/>
        </w:rPr>
        <w:footnoteReference w:id="399"/>
      </w:r>
      <w:r w:rsidR="00F51B61">
        <w:rPr>
          <w:rFonts w:ascii="Calibri" w:hAnsi="Calibri" w:cs="Helv"/>
          <w:color w:val="000000"/>
        </w:rPr>
        <w:t xml:space="preserve">  </w:t>
      </w:r>
      <w:r w:rsidR="00C87C8C">
        <w:rPr>
          <w:rFonts w:ascii="Calibri" w:hAnsi="Calibri" w:cs="Helv"/>
          <w:color w:val="000000"/>
        </w:rPr>
        <w:t>B</w:t>
      </w:r>
      <w:r w:rsidR="005D31E4">
        <w:rPr>
          <w:rFonts w:ascii="Calibri" w:hAnsi="Calibri" w:cs="Helv"/>
          <w:color w:val="000000"/>
        </w:rPr>
        <w:t>ut a trust could easily define the withdrawal right to include</w:t>
      </w:r>
      <w:r w:rsidRPr="00B2571A">
        <w:rPr>
          <w:rFonts w:ascii="Calibri" w:hAnsi="Calibri" w:cs="Helv"/>
          <w:i/>
          <w:color w:val="000000"/>
        </w:rPr>
        <w:t xml:space="preserve"> </w:t>
      </w:r>
      <w:r w:rsidRPr="005D31E4">
        <w:rPr>
          <w:rFonts w:ascii="Calibri" w:hAnsi="Calibri" w:cs="Helv"/>
          <w:color w:val="000000"/>
        </w:rPr>
        <w:t>capital gains</w:t>
      </w:r>
      <w:r w:rsidR="00C87C8C">
        <w:rPr>
          <w:rFonts w:ascii="Calibri" w:hAnsi="Calibri" w:cs="Helv"/>
          <w:color w:val="000000"/>
        </w:rPr>
        <w:t xml:space="preserve"> or taxable income</w:t>
      </w:r>
      <w:r w:rsidR="00671916" w:rsidRPr="005D31E4">
        <w:rPr>
          <w:rFonts w:ascii="Calibri" w:hAnsi="Calibri" w:cs="Helv"/>
          <w:color w:val="000000"/>
        </w:rPr>
        <w:t xml:space="preserve"> from a particular asset, or </w:t>
      </w:r>
      <w:r w:rsidR="00671916" w:rsidRPr="000D5891">
        <w:rPr>
          <w:rFonts w:ascii="Calibri" w:hAnsi="Calibri" w:cs="Helv"/>
          <w:i/>
          <w:color w:val="000000"/>
        </w:rPr>
        <w:t>all assets</w:t>
      </w:r>
      <w:r w:rsidR="00671916" w:rsidRPr="005D31E4">
        <w:rPr>
          <w:rFonts w:ascii="Calibri" w:hAnsi="Calibri" w:cs="Helv"/>
          <w:color w:val="000000"/>
        </w:rPr>
        <w:t xml:space="preserve"> of a trust</w:t>
      </w:r>
      <w:r w:rsidRPr="00B2571A">
        <w:rPr>
          <w:rFonts w:ascii="Calibri" w:hAnsi="Calibri" w:cs="Helv"/>
          <w:color w:val="000000"/>
        </w:rPr>
        <w:t xml:space="preserve">.  </w:t>
      </w:r>
      <w:r w:rsidR="009F7D76">
        <w:rPr>
          <w:rFonts w:ascii="Calibri" w:hAnsi="Calibri" w:cs="Helv"/>
          <w:color w:val="000000"/>
        </w:rPr>
        <w:t xml:space="preserve">Courts must look to the definition of income in the withdrawal right under the trust instrument, and if a beneficiary can withdraw capital gains, then the beneficiary must report the </w:t>
      </w:r>
      <w:r w:rsidR="00C52A97">
        <w:rPr>
          <w:rFonts w:ascii="Calibri" w:hAnsi="Calibri" w:cs="Helv"/>
          <w:color w:val="000000"/>
        </w:rPr>
        <w:t>capital gains</w:t>
      </w:r>
      <w:r w:rsidR="009F7D76">
        <w:rPr>
          <w:rFonts w:ascii="Calibri" w:hAnsi="Calibri" w:cs="Helv"/>
          <w:color w:val="000000"/>
        </w:rPr>
        <w:t>.</w:t>
      </w:r>
      <w:r w:rsidR="009F7D76">
        <w:rPr>
          <w:rStyle w:val="FootnoteReference"/>
          <w:rFonts w:ascii="Calibri" w:hAnsi="Calibri" w:cs="Helv"/>
          <w:color w:val="000000"/>
        </w:rPr>
        <w:footnoteReference w:id="400"/>
      </w:r>
      <w:r w:rsidR="009F7D76">
        <w:rPr>
          <w:rFonts w:ascii="Calibri" w:hAnsi="Calibri" w:cs="Helv"/>
          <w:color w:val="000000"/>
        </w:rPr>
        <w:t xml:space="preserve">  </w:t>
      </w:r>
      <w:r w:rsidR="007F7B8A">
        <w:rPr>
          <w:rFonts w:ascii="Calibri" w:hAnsi="Calibri" w:cs="Helv"/>
          <w:color w:val="000000"/>
        </w:rPr>
        <w:t xml:space="preserve">It is </w:t>
      </w:r>
      <w:r w:rsidR="007F7B8A" w:rsidRPr="00D757B6">
        <w:rPr>
          <w:rFonts w:ascii="Calibri" w:hAnsi="Calibri" w:cs="Helv"/>
          <w:i/>
          <w:color w:val="000000"/>
        </w:rPr>
        <w:t>not</w:t>
      </w:r>
      <w:r w:rsidR="007F7B8A">
        <w:rPr>
          <w:rFonts w:ascii="Calibri" w:hAnsi="Calibri" w:cs="Helv"/>
          <w:color w:val="000000"/>
        </w:rPr>
        <w:t xml:space="preserve"> optional to report </w:t>
      </w:r>
      <w:r w:rsidR="000D177D">
        <w:rPr>
          <w:rFonts w:ascii="Calibri" w:hAnsi="Calibri" w:cs="Helv"/>
          <w:color w:val="000000"/>
        </w:rPr>
        <w:t>under Subparts A-D of Subchapter J and/</w:t>
      </w:r>
      <w:r w:rsidR="00E731EF">
        <w:rPr>
          <w:rFonts w:ascii="Calibri" w:hAnsi="Calibri" w:cs="Helv"/>
          <w:color w:val="000000"/>
        </w:rPr>
        <w:t xml:space="preserve">or have the trust </w:t>
      </w:r>
      <w:r w:rsidR="00F27D83">
        <w:rPr>
          <w:rFonts w:ascii="Calibri" w:hAnsi="Calibri" w:cs="Helv"/>
          <w:color w:val="000000"/>
        </w:rPr>
        <w:t>be liable for</w:t>
      </w:r>
      <w:r w:rsidR="00E731EF">
        <w:rPr>
          <w:rFonts w:ascii="Calibri" w:hAnsi="Calibri" w:cs="Helv"/>
          <w:color w:val="000000"/>
        </w:rPr>
        <w:t xml:space="preserve"> the tax</w:t>
      </w:r>
      <w:r w:rsidR="007F7B8A">
        <w:rPr>
          <w:rFonts w:ascii="Calibri" w:hAnsi="Calibri" w:cs="Helv"/>
          <w:color w:val="000000"/>
        </w:rPr>
        <w:t>.</w:t>
      </w:r>
    </w:p>
    <w:p w14:paraId="77CEAAC4" w14:textId="77777777" w:rsidR="000D177D" w:rsidRDefault="000D177D" w:rsidP="00B2571A">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Treasury Regulations are </w:t>
      </w:r>
      <w:r w:rsidR="007335B7">
        <w:rPr>
          <w:rFonts w:ascii="Calibri" w:hAnsi="Calibri" w:cs="Helv"/>
          <w:color w:val="000000"/>
        </w:rPr>
        <w:t>crystal</w:t>
      </w:r>
      <w:r>
        <w:rPr>
          <w:rFonts w:ascii="Calibri" w:hAnsi="Calibri" w:cs="Helv"/>
          <w:color w:val="000000"/>
        </w:rPr>
        <w:t xml:space="preserve"> clear that “income” in §678(a) refers to taxable income, </w:t>
      </w:r>
      <w:r w:rsidRPr="00D757B6">
        <w:rPr>
          <w:rFonts w:ascii="Calibri" w:hAnsi="Calibri" w:cs="Helv"/>
          <w:i/>
          <w:color w:val="000000"/>
          <w:u w:val="single"/>
        </w:rPr>
        <w:t>not</w:t>
      </w:r>
      <w:r>
        <w:rPr>
          <w:rFonts w:ascii="Calibri" w:hAnsi="Calibri" w:cs="Helv"/>
          <w:color w:val="000000"/>
        </w:rPr>
        <w:t xml:space="preserve"> accounting income:</w:t>
      </w:r>
    </w:p>
    <w:p w14:paraId="4E7A12DE" w14:textId="77777777" w:rsidR="000D177D" w:rsidRDefault="000D177D" w:rsidP="000D177D">
      <w:pPr>
        <w:autoSpaceDE w:val="0"/>
        <w:autoSpaceDN w:val="0"/>
        <w:adjustRightInd w:val="0"/>
        <w:ind w:left="720"/>
        <w:rPr>
          <w:rFonts w:ascii="Calibri" w:hAnsi="Calibri" w:cs="Helv"/>
          <w:color w:val="000000"/>
        </w:rPr>
      </w:pPr>
      <w:r>
        <w:rPr>
          <w:rFonts w:ascii="Calibri" w:hAnsi="Calibri" w:cs="Helv"/>
          <w:color w:val="000000"/>
        </w:rPr>
        <w:t>“</w:t>
      </w:r>
      <w:r w:rsidRPr="000D177D">
        <w:rPr>
          <w:rFonts w:ascii="Calibri" w:hAnsi="Calibri" w:cs="Helv"/>
          <w:color w:val="000000"/>
        </w:rPr>
        <w:t xml:space="preserve">(b) Since the principle underlying subpart E (section 671 and following [26 USCS §§ 671 et seq.]), part I, subchapter J, chapter 1 of the Code, is in general that income of a trust over which the grantor or another person has retained substantial dominion or control should be taxed to the grantor or other person rather than to the trust which receives the income or to the beneficiary to whom the income may be distributed, </w:t>
      </w:r>
      <w:r w:rsidRPr="000D177D">
        <w:rPr>
          <w:rFonts w:ascii="Calibri" w:hAnsi="Calibri" w:cs="Helv"/>
          <w:b/>
          <w:color w:val="000000"/>
        </w:rPr>
        <w:t xml:space="preserve">it is </w:t>
      </w:r>
      <w:r w:rsidRPr="000D177D">
        <w:rPr>
          <w:rFonts w:ascii="Calibri" w:hAnsi="Calibri" w:cs="Helv"/>
          <w:b/>
          <w:color w:val="000000"/>
        </w:rPr>
        <w:lastRenderedPageBreak/>
        <w:t>ordinarily immaterial whether the income involved constitutes income or corpus for trust accounting purposes. Accordingly, when it is stated in the regulations under subpart E that "income" is attributed to the grantor or another person, the reference, unless specifically limited, is to income determined for tax purposes and not to income for trust accounting purposes</w:t>
      </w:r>
      <w:r w:rsidRPr="000D177D">
        <w:rPr>
          <w:rFonts w:ascii="Calibri" w:hAnsi="Calibri" w:cs="Helv"/>
          <w:color w:val="000000"/>
        </w:rPr>
        <w:t>.</w:t>
      </w:r>
      <w:r>
        <w:rPr>
          <w:rFonts w:ascii="Calibri" w:hAnsi="Calibri" w:cs="Helv"/>
          <w:color w:val="000000"/>
        </w:rPr>
        <w:t>”</w:t>
      </w:r>
      <w:r>
        <w:rPr>
          <w:rStyle w:val="FootnoteReference"/>
          <w:rFonts w:ascii="Calibri" w:hAnsi="Calibri" w:cs="Helv"/>
          <w:color w:val="000000"/>
        </w:rPr>
        <w:footnoteReference w:id="401"/>
      </w:r>
      <w:r w:rsidRPr="000D177D">
        <w:rPr>
          <w:rFonts w:ascii="Calibri" w:hAnsi="Calibri" w:cs="Helv"/>
          <w:color w:val="000000"/>
        </w:rPr>
        <w:t xml:space="preserve"> </w:t>
      </w:r>
    </w:p>
    <w:p w14:paraId="01A1309E" w14:textId="77777777" w:rsidR="000D177D" w:rsidRDefault="000D177D" w:rsidP="000D177D">
      <w:pPr>
        <w:autoSpaceDE w:val="0"/>
        <w:autoSpaceDN w:val="0"/>
        <w:adjustRightInd w:val="0"/>
        <w:ind w:firstLine="720"/>
        <w:rPr>
          <w:rFonts w:ascii="Calibri" w:hAnsi="Calibri" w:cs="Helv"/>
          <w:color w:val="000000"/>
        </w:rPr>
      </w:pPr>
    </w:p>
    <w:p w14:paraId="1FD2C530" w14:textId="77777777" w:rsidR="007335B7" w:rsidRDefault="00291691" w:rsidP="00B2571A">
      <w:pPr>
        <w:autoSpaceDE w:val="0"/>
        <w:autoSpaceDN w:val="0"/>
        <w:adjustRightInd w:val="0"/>
        <w:spacing w:line="360" w:lineRule="auto"/>
        <w:ind w:firstLine="720"/>
        <w:rPr>
          <w:rFonts w:ascii="Calibri" w:hAnsi="Calibri" w:cs="Helv"/>
          <w:color w:val="000000"/>
        </w:rPr>
      </w:pPr>
      <w:r>
        <w:rPr>
          <w:rFonts w:ascii="Calibri" w:hAnsi="Calibri" w:cs="Helv"/>
          <w:color w:val="000000"/>
        </w:rPr>
        <w:t>This is in stark contrast to the definition of income for the rest of S</w:t>
      </w:r>
      <w:r w:rsidR="007335B7">
        <w:rPr>
          <w:rFonts w:ascii="Calibri" w:hAnsi="Calibri" w:cs="Helv"/>
          <w:color w:val="000000"/>
        </w:rPr>
        <w:t>ubchapter J (non-grantor trusts</w:t>
      </w:r>
      <w:r>
        <w:rPr>
          <w:rFonts w:ascii="Calibri" w:hAnsi="Calibri" w:cs="Helv"/>
          <w:color w:val="000000"/>
        </w:rPr>
        <w:t xml:space="preserve">), which </w:t>
      </w:r>
      <w:r w:rsidR="007335B7">
        <w:rPr>
          <w:rFonts w:ascii="Calibri" w:hAnsi="Calibri" w:cs="Helv"/>
          <w:color w:val="000000"/>
        </w:rPr>
        <w:t>defaults to a completely different definition that</w:t>
      </w:r>
      <w:r>
        <w:rPr>
          <w:rFonts w:ascii="Calibri" w:hAnsi="Calibri" w:cs="Helv"/>
          <w:color w:val="000000"/>
        </w:rPr>
        <w:t xml:space="preserve"> relies on trust accounting concepts.</w:t>
      </w:r>
      <w:r>
        <w:rPr>
          <w:rStyle w:val="FootnoteReference"/>
          <w:rFonts w:ascii="Calibri" w:hAnsi="Calibri" w:cs="Helv"/>
          <w:color w:val="000000"/>
        </w:rPr>
        <w:footnoteReference w:id="402"/>
      </w:r>
      <w:r>
        <w:rPr>
          <w:rFonts w:ascii="Calibri" w:hAnsi="Calibri" w:cs="Helv"/>
          <w:color w:val="000000"/>
        </w:rPr>
        <w:t xml:space="preserve">  This is the source of significant confusion among attorneys and accountants.  </w:t>
      </w:r>
    </w:p>
    <w:p w14:paraId="7AC7714E" w14:textId="77777777" w:rsidR="001B7EE1" w:rsidRDefault="001B7EE1" w:rsidP="00B2571A">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Refusing to take the income is </w:t>
      </w:r>
      <w:r w:rsidR="002F5D38">
        <w:rPr>
          <w:rFonts w:ascii="Calibri" w:hAnsi="Calibri" w:cs="Helv"/>
          <w:color w:val="000000"/>
        </w:rPr>
        <w:t xml:space="preserve">not </w:t>
      </w:r>
      <w:r>
        <w:rPr>
          <w:rFonts w:ascii="Calibri" w:hAnsi="Calibri" w:cs="Helv"/>
          <w:color w:val="000000"/>
        </w:rPr>
        <w:t>relevant</w:t>
      </w:r>
      <w:r w:rsidR="002F5D38">
        <w:rPr>
          <w:rFonts w:ascii="Calibri" w:hAnsi="Calibri" w:cs="Helv"/>
          <w:color w:val="000000"/>
        </w:rPr>
        <w:t xml:space="preserve"> to the </w:t>
      </w:r>
      <w:r w:rsidR="007335B7">
        <w:rPr>
          <w:rFonts w:ascii="Calibri" w:hAnsi="Calibri" w:cs="Helv"/>
          <w:color w:val="000000"/>
        </w:rPr>
        <w:t xml:space="preserve">§678 </w:t>
      </w:r>
      <w:r w:rsidR="002F5D38">
        <w:rPr>
          <w:rFonts w:ascii="Calibri" w:hAnsi="Calibri" w:cs="Helv"/>
          <w:color w:val="000000"/>
        </w:rPr>
        <w:t>analysis</w:t>
      </w:r>
      <w:r>
        <w:rPr>
          <w:rFonts w:ascii="Calibri" w:hAnsi="Calibri" w:cs="Helv"/>
          <w:color w:val="000000"/>
        </w:rPr>
        <w:t>, nor is renouncing the right to prior income.</w:t>
      </w:r>
      <w:r>
        <w:rPr>
          <w:rStyle w:val="FootnoteReference"/>
          <w:rFonts w:ascii="Calibri" w:hAnsi="Calibri" w:cs="Helv"/>
          <w:color w:val="000000"/>
        </w:rPr>
        <w:footnoteReference w:id="403"/>
      </w:r>
      <w:r w:rsidR="00730870">
        <w:rPr>
          <w:rFonts w:ascii="Calibri" w:hAnsi="Calibri" w:cs="Helv"/>
          <w:color w:val="000000"/>
        </w:rPr>
        <w:t xml:space="preserve">  Although </w:t>
      </w:r>
      <w:r w:rsidR="000D177D">
        <w:rPr>
          <w:rFonts w:ascii="Calibri" w:hAnsi="Calibri" w:cs="Helv"/>
          <w:color w:val="000000"/>
        </w:rPr>
        <w:t>a withdrawal</w:t>
      </w:r>
      <w:r w:rsidR="00730870">
        <w:rPr>
          <w:rFonts w:ascii="Calibri" w:hAnsi="Calibri" w:cs="Helv"/>
          <w:color w:val="000000"/>
        </w:rPr>
        <w:t xml:space="preserve"> power is effective for §678(a) regardless of a beneficiary’s </w:t>
      </w:r>
      <w:r w:rsidR="00F61B41">
        <w:rPr>
          <w:rFonts w:ascii="Calibri" w:hAnsi="Calibri" w:cs="Helv"/>
          <w:color w:val="000000"/>
        </w:rPr>
        <w:t xml:space="preserve">legal </w:t>
      </w:r>
      <w:r w:rsidR="00730870">
        <w:rPr>
          <w:rFonts w:ascii="Calibri" w:hAnsi="Calibri" w:cs="Helv"/>
          <w:color w:val="000000"/>
        </w:rPr>
        <w:t>capacity, it would be prudent to specifically allow an agent under a durable power of attorney or court-appointed conservator or guardian to exercise the right.</w:t>
      </w:r>
      <w:r w:rsidR="00730870">
        <w:rPr>
          <w:rStyle w:val="FootnoteReference"/>
          <w:rFonts w:ascii="Calibri" w:hAnsi="Calibri" w:cs="Helv"/>
          <w:color w:val="000000"/>
        </w:rPr>
        <w:footnoteReference w:id="404"/>
      </w:r>
      <w:r w:rsidR="00730870">
        <w:rPr>
          <w:rFonts w:ascii="Calibri" w:hAnsi="Calibri" w:cs="Helv"/>
          <w:color w:val="000000"/>
        </w:rPr>
        <w:t xml:space="preserve"> </w:t>
      </w:r>
    </w:p>
    <w:p w14:paraId="3E89A4CE" w14:textId="77777777" w:rsidR="00757E72" w:rsidRDefault="00C74908" w:rsidP="00B2571A">
      <w:pPr>
        <w:autoSpaceDE w:val="0"/>
        <w:autoSpaceDN w:val="0"/>
        <w:adjustRightInd w:val="0"/>
        <w:spacing w:line="360" w:lineRule="auto"/>
        <w:ind w:firstLine="720"/>
        <w:rPr>
          <w:rFonts w:ascii="Calibri" w:hAnsi="Calibri" w:cs="Helv"/>
          <w:color w:val="000000"/>
        </w:rPr>
      </w:pPr>
      <w:r>
        <w:rPr>
          <w:rFonts w:ascii="Calibri" w:hAnsi="Calibri" w:cs="Helv"/>
          <w:color w:val="000000"/>
        </w:rPr>
        <w:t>If a trust has</w:t>
      </w:r>
      <w:r w:rsidR="00B2571A" w:rsidRPr="00B2571A">
        <w:rPr>
          <w:rFonts w:ascii="Calibri" w:hAnsi="Calibri" w:cs="Helv"/>
          <w:color w:val="000000"/>
        </w:rPr>
        <w:t xml:space="preserve"> </w:t>
      </w:r>
      <w:r>
        <w:rPr>
          <w:rFonts w:ascii="Calibri" w:hAnsi="Calibri" w:cs="Helv"/>
          <w:color w:val="000000"/>
        </w:rPr>
        <w:t>a 5% of corpus withdrawal power, then 5% of</w:t>
      </w:r>
      <w:r w:rsidR="000D5891">
        <w:rPr>
          <w:rFonts w:ascii="Calibri" w:hAnsi="Calibri" w:cs="Helv"/>
          <w:color w:val="000000"/>
        </w:rPr>
        <w:t xml:space="preserve"> the</w:t>
      </w:r>
      <w:r>
        <w:rPr>
          <w:rFonts w:ascii="Calibri" w:hAnsi="Calibri" w:cs="Helv"/>
          <w:color w:val="000000"/>
        </w:rPr>
        <w:t xml:space="preserve"> taxable income should be reported on the powerholder’s Form 1040 (regardless of whether it lapses</w:t>
      </w:r>
      <w:r w:rsidR="000D5891">
        <w:rPr>
          <w:rFonts w:ascii="Calibri" w:hAnsi="Calibri" w:cs="Helv"/>
          <w:color w:val="000000"/>
        </w:rPr>
        <w:t xml:space="preserve"> or is taken</w:t>
      </w:r>
      <w:r>
        <w:rPr>
          <w:rFonts w:ascii="Calibri" w:hAnsi="Calibri" w:cs="Helv"/>
          <w:color w:val="000000"/>
        </w:rPr>
        <w:t>)</w:t>
      </w:r>
      <w:r w:rsidR="00B2571A" w:rsidRPr="00B2571A">
        <w:rPr>
          <w:rFonts w:ascii="Calibri" w:hAnsi="Calibri" w:cs="Helv"/>
          <w:color w:val="000000"/>
        </w:rPr>
        <w:t>.</w:t>
      </w:r>
      <w:r w:rsidR="002B3E85">
        <w:rPr>
          <w:rStyle w:val="FootnoteReference"/>
          <w:rFonts w:ascii="Calibri" w:hAnsi="Calibri" w:cs="Helv"/>
          <w:color w:val="000000"/>
        </w:rPr>
        <w:footnoteReference w:id="405"/>
      </w:r>
      <w:r>
        <w:rPr>
          <w:rFonts w:ascii="Calibri" w:hAnsi="Calibri" w:cs="Helv"/>
          <w:color w:val="000000"/>
        </w:rPr>
        <w:t xml:space="preserve">  </w:t>
      </w:r>
      <w:r>
        <w:rPr>
          <w:rFonts w:ascii="Calibri" w:hAnsi="Calibri" w:cs="Helv"/>
          <w:color w:val="000000"/>
        </w:rPr>
        <w:lastRenderedPageBreak/>
        <w:t xml:space="preserve">If the powerholder has the power to withdrawal up to $30,000 </w:t>
      </w:r>
      <w:r w:rsidR="001B7EE1">
        <w:rPr>
          <w:rFonts w:ascii="Calibri" w:hAnsi="Calibri" w:cs="Helv"/>
          <w:color w:val="000000"/>
        </w:rPr>
        <w:t>from</w:t>
      </w:r>
      <w:r>
        <w:rPr>
          <w:rFonts w:ascii="Calibri" w:hAnsi="Calibri" w:cs="Helv"/>
          <w:color w:val="000000"/>
        </w:rPr>
        <w:t xml:space="preserve"> taxable income, then that much should be reported directly on the powerholder’s Form 1040</w:t>
      </w:r>
      <w:r w:rsidR="00ED53B2">
        <w:rPr>
          <w:rFonts w:ascii="Calibri" w:hAnsi="Calibri" w:cs="Helv"/>
          <w:color w:val="000000"/>
        </w:rPr>
        <w:t xml:space="preserve">, subject to the trustee’s grantor trust reporting requirements under Treas. Reg. </w:t>
      </w:r>
      <w:r w:rsidR="00546E6E">
        <w:rPr>
          <w:rFonts w:ascii="Calibri" w:hAnsi="Calibri" w:cs="Helv"/>
          <w:color w:val="000000"/>
        </w:rPr>
        <w:t>§</w:t>
      </w:r>
      <w:r w:rsidR="00ED53B2">
        <w:rPr>
          <w:rFonts w:ascii="Calibri" w:hAnsi="Calibri" w:cs="Helv"/>
          <w:color w:val="000000"/>
        </w:rPr>
        <w:t>1.671-4</w:t>
      </w:r>
      <w:r>
        <w:rPr>
          <w:rFonts w:ascii="Calibri" w:hAnsi="Calibri" w:cs="Helv"/>
          <w:color w:val="000000"/>
        </w:rPr>
        <w:t>.</w:t>
      </w:r>
      <w:r w:rsidR="00B2571A" w:rsidRPr="00B2571A">
        <w:rPr>
          <w:rStyle w:val="FootnoteReference"/>
          <w:rFonts w:ascii="Calibri" w:hAnsi="Calibri" w:cs="Helv"/>
          <w:color w:val="000000"/>
        </w:rPr>
        <w:footnoteReference w:id="406"/>
      </w:r>
      <w:r w:rsidR="00B2571A" w:rsidRPr="00B2571A">
        <w:rPr>
          <w:rFonts w:ascii="Calibri" w:hAnsi="Calibri" w:cs="Helv"/>
          <w:color w:val="000000"/>
        </w:rPr>
        <w:t xml:space="preserve">  </w:t>
      </w:r>
      <w:r w:rsidR="0049613C">
        <w:rPr>
          <w:rFonts w:ascii="Calibri" w:hAnsi="Calibri" w:cs="Helv"/>
          <w:color w:val="000000"/>
        </w:rPr>
        <w:t xml:space="preserve">If the powerholder </w:t>
      </w:r>
      <w:r w:rsidR="0049613C" w:rsidRPr="00F0389F">
        <w:rPr>
          <w:rFonts w:ascii="Calibri" w:hAnsi="Calibri" w:cs="Helv"/>
          <w:i/>
          <w:color w:val="000000"/>
        </w:rPr>
        <w:t>actually</w:t>
      </w:r>
      <w:r w:rsidR="0049613C">
        <w:rPr>
          <w:rFonts w:ascii="Calibri" w:hAnsi="Calibri" w:cs="Helv"/>
          <w:color w:val="000000"/>
        </w:rPr>
        <w:t xml:space="preserve"> withdraws the 5% or $30,000 as noted above, it is a generally a non-event tax-wise that, as noted in Rev. Rul. 67-241</w:t>
      </w:r>
      <w:r w:rsidR="00F0389F">
        <w:rPr>
          <w:rFonts w:ascii="Calibri" w:hAnsi="Calibri" w:cs="Helv"/>
          <w:color w:val="000000"/>
        </w:rPr>
        <w:t xml:space="preserve"> quoted below</w:t>
      </w:r>
      <w:r w:rsidR="0049613C">
        <w:rPr>
          <w:rFonts w:ascii="Calibri" w:hAnsi="Calibri" w:cs="Helv"/>
          <w:color w:val="000000"/>
        </w:rPr>
        <w:t>, is not a distribution reported under Subchapter J, Parts A-D – the important</w:t>
      </w:r>
      <w:r w:rsidR="00F0389F">
        <w:rPr>
          <w:rFonts w:ascii="Calibri" w:hAnsi="Calibri" w:cs="Helv"/>
          <w:color w:val="000000"/>
        </w:rPr>
        <w:t xml:space="preserve"> income</w:t>
      </w:r>
      <w:r w:rsidR="0049613C">
        <w:rPr>
          <w:rFonts w:ascii="Calibri" w:hAnsi="Calibri" w:cs="Helv"/>
          <w:color w:val="000000"/>
        </w:rPr>
        <w:t xml:space="preserve"> tax event is having the power</w:t>
      </w:r>
      <w:r w:rsidR="00F0389F">
        <w:rPr>
          <w:rFonts w:ascii="Calibri" w:hAnsi="Calibri" w:cs="Helv"/>
          <w:color w:val="000000"/>
        </w:rPr>
        <w:t xml:space="preserve"> itself</w:t>
      </w:r>
      <w:r w:rsidR="0049613C">
        <w:rPr>
          <w:rFonts w:ascii="Calibri" w:hAnsi="Calibri" w:cs="Helv"/>
          <w:color w:val="000000"/>
        </w:rPr>
        <w:t xml:space="preserve">. </w:t>
      </w:r>
      <w:r w:rsidR="00F0389F">
        <w:rPr>
          <w:rFonts w:ascii="Calibri" w:hAnsi="Calibri" w:cs="Helv"/>
          <w:color w:val="000000"/>
        </w:rPr>
        <w:t xml:space="preserve">  This is assuming that it is either paid in cash, or if paid in kind, that the trustee has the power to make non-pro rata distributions.</w:t>
      </w:r>
      <w:r w:rsidR="00F0389F">
        <w:rPr>
          <w:rStyle w:val="FootnoteReference"/>
          <w:rFonts w:ascii="Calibri" w:hAnsi="Calibri" w:cs="Helv"/>
          <w:color w:val="000000"/>
        </w:rPr>
        <w:footnoteReference w:id="407"/>
      </w:r>
    </w:p>
    <w:p w14:paraId="4EAE4AB8" w14:textId="77777777" w:rsidR="009A2FCD" w:rsidRDefault="00C52A97" w:rsidP="00B2571A">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The granddaddy of all grantor trust cases, </w:t>
      </w:r>
      <w:r w:rsidR="007F7B8A" w:rsidRPr="007F7B8A">
        <w:rPr>
          <w:rFonts w:ascii="Calibri" w:hAnsi="Calibri" w:cs="Helv"/>
          <w:i/>
          <w:color w:val="000000"/>
        </w:rPr>
        <w:t>Mallinckrodt</w:t>
      </w:r>
      <w:r w:rsidR="007F7B8A">
        <w:rPr>
          <w:rFonts w:ascii="Calibri" w:hAnsi="Calibri" w:cs="Helv"/>
          <w:i/>
          <w:color w:val="000000"/>
        </w:rPr>
        <w:t>,</w:t>
      </w:r>
      <w:r w:rsidR="007F7B8A" w:rsidRPr="007F7B8A">
        <w:rPr>
          <w:rFonts w:ascii="Calibri" w:hAnsi="Calibri" w:cs="Helv"/>
          <w:i/>
          <w:color w:val="000000"/>
        </w:rPr>
        <w:t xml:space="preserve"> </w:t>
      </w:r>
      <w:r w:rsidR="00757E72">
        <w:rPr>
          <w:rFonts w:ascii="Calibri" w:hAnsi="Calibri" w:cs="Helv"/>
          <w:color w:val="000000"/>
        </w:rPr>
        <w:t xml:space="preserve">from </w:t>
      </w:r>
      <w:r>
        <w:rPr>
          <w:rFonts w:ascii="Calibri" w:hAnsi="Calibri" w:cs="Helv"/>
          <w:color w:val="000000"/>
        </w:rPr>
        <w:t xml:space="preserve">which </w:t>
      </w:r>
      <w:r w:rsidR="00757E72">
        <w:rPr>
          <w:rFonts w:ascii="Calibri" w:hAnsi="Calibri" w:cs="Helv"/>
          <w:color w:val="000000"/>
        </w:rPr>
        <w:t xml:space="preserve">Congress </w:t>
      </w:r>
      <w:r>
        <w:rPr>
          <w:rFonts w:ascii="Calibri" w:hAnsi="Calibri" w:cs="Helv"/>
          <w:color w:val="000000"/>
        </w:rPr>
        <w:t>basically codified in 1954</w:t>
      </w:r>
      <w:r w:rsidR="00757E72">
        <w:rPr>
          <w:rFonts w:ascii="Calibri" w:hAnsi="Calibri" w:cs="Helv"/>
          <w:color w:val="000000"/>
        </w:rPr>
        <w:t xml:space="preserve"> into IRC §678</w:t>
      </w:r>
      <w:r>
        <w:rPr>
          <w:rFonts w:ascii="Calibri" w:hAnsi="Calibri" w:cs="Helv"/>
          <w:color w:val="000000"/>
        </w:rPr>
        <w:t>, concerned a</w:t>
      </w:r>
      <w:r w:rsidR="00757E72">
        <w:rPr>
          <w:rFonts w:ascii="Calibri" w:hAnsi="Calibri" w:cs="Helv"/>
          <w:color w:val="000000"/>
        </w:rPr>
        <w:t xml:space="preserve"> father who established a trust for his son, his son’s wife and their children.</w:t>
      </w:r>
      <w:r w:rsidR="005F2A44">
        <w:rPr>
          <w:rStyle w:val="FootnoteReference"/>
          <w:rFonts w:ascii="Calibri" w:hAnsi="Calibri" w:cs="Helv"/>
          <w:color w:val="000000"/>
        </w:rPr>
        <w:footnoteReference w:id="408"/>
      </w:r>
      <w:r w:rsidR="00757E72">
        <w:rPr>
          <w:rFonts w:ascii="Calibri" w:hAnsi="Calibri" w:cs="Helv"/>
          <w:color w:val="000000"/>
        </w:rPr>
        <w:t xml:space="preserve">  The </w:t>
      </w:r>
      <w:r w:rsidR="002F5D38">
        <w:rPr>
          <w:rFonts w:ascii="Calibri" w:hAnsi="Calibri" w:cs="Helv"/>
          <w:color w:val="000000"/>
        </w:rPr>
        <w:t xml:space="preserve">son’s </w:t>
      </w:r>
      <w:r w:rsidR="00757E72">
        <w:rPr>
          <w:rFonts w:ascii="Calibri" w:hAnsi="Calibri" w:cs="Helv"/>
          <w:color w:val="000000"/>
        </w:rPr>
        <w:t xml:space="preserve">wife was to get $10,000/yr, and the son could withdraw </w:t>
      </w:r>
      <w:r w:rsidR="00E42F32">
        <w:rPr>
          <w:rFonts w:ascii="Calibri" w:hAnsi="Calibri" w:cs="Helv"/>
          <w:color w:val="000000"/>
        </w:rPr>
        <w:t>any income above that.</w:t>
      </w:r>
      <w:r>
        <w:rPr>
          <w:rFonts w:ascii="Calibri" w:hAnsi="Calibri" w:cs="Helv"/>
          <w:color w:val="000000"/>
        </w:rPr>
        <w:t xml:space="preserve"> </w:t>
      </w:r>
      <w:r w:rsidR="005F2A44">
        <w:rPr>
          <w:rFonts w:ascii="Calibri" w:hAnsi="Calibri" w:cs="Helv"/>
          <w:color w:val="000000"/>
        </w:rPr>
        <w:t xml:space="preserve"> The trustee reported all the income, including the undistributed income that the son could have withdrawn but did not, and deducted the $10,000 distribution to the wife.  The court held that reporting of income/deduction for the </w:t>
      </w:r>
      <w:r w:rsidR="005F2A44">
        <w:rPr>
          <w:rFonts w:ascii="Calibri" w:hAnsi="Calibri" w:cs="Helv"/>
          <w:color w:val="000000"/>
        </w:rPr>
        <w:lastRenderedPageBreak/>
        <w:t>$10,000 was proper, but that the undistributed income that the son could have withdrawn</w:t>
      </w:r>
      <w:r w:rsidR="002F5D38">
        <w:rPr>
          <w:rFonts w:ascii="Calibri" w:hAnsi="Calibri" w:cs="Helv"/>
          <w:color w:val="000000"/>
        </w:rPr>
        <w:t>,</w:t>
      </w:r>
      <w:r w:rsidR="005F2A44">
        <w:rPr>
          <w:rFonts w:ascii="Calibri" w:hAnsi="Calibri" w:cs="Helv"/>
          <w:color w:val="000000"/>
        </w:rPr>
        <w:t xml:space="preserve"> but did </w:t>
      </w:r>
      <w:r w:rsidR="006B07B9">
        <w:rPr>
          <w:rFonts w:ascii="Calibri" w:hAnsi="Calibri" w:cs="Helv"/>
          <w:color w:val="000000"/>
        </w:rPr>
        <w:t>not</w:t>
      </w:r>
      <w:r w:rsidR="002F5D38">
        <w:rPr>
          <w:rFonts w:ascii="Calibri" w:hAnsi="Calibri" w:cs="Helv"/>
          <w:color w:val="000000"/>
        </w:rPr>
        <w:t>,</w:t>
      </w:r>
      <w:r w:rsidR="006B07B9">
        <w:rPr>
          <w:rFonts w:ascii="Calibri" w:hAnsi="Calibri" w:cs="Helv"/>
          <w:color w:val="000000"/>
        </w:rPr>
        <w:t xml:space="preserve"> </w:t>
      </w:r>
      <w:r w:rsidR="005F2A44">
        <w:rPr>
          <w:rFonts w:ascii="Calibri" w:hAnsi="Calibri" w:cs="Helv"/>
          <w:color w:val="000000"/>
        </w:rPr>
        <w:t>must be reported on his tax return as income</w:t>
      </w:r>
      <w:r w:rsidR="009A2FCD">
        <w:rPr>
          <w:rFonts w:ascii="Calibri" w:hAnsi="Calibri" w:cs="Helv"/>
          <w:color w:val="000000"/>
        </w:rPr>
        <w:t>:</w:t>
      </w:r>
    </w:p>
    <w:p w14:paraId="260736D4" w14:textId="77777777" w:rsidR="009F7D76" w:rsidRDefault="009A2FCD" w:rsidP="009A2FCD">
      <w:pPr>
        <w:autoSpaceDE w:val="0"/>
        <w:autoSpaceDN w:val="0"/>
        <w:adjustRightInd w:val="0"/>
        <w:ind w:left="720"/>
        <w:rPr>
          <w:rFonts w:ascii="Calibri" w:hAnsi="Calibri" w:cs="Helv"/>
          <w:color w:val="000000"/>
        </w:rPr>
      </w:pPr>
      <w:r>
        <w:rPr>
          <w:rFonts w:ascii="Calibri" w:hAnsi="Calibri" w:cs="Helv"/>
          <w:color w:val="000000"/>
        </w:rPr>
        <w:t>[</w:t>
      </w:r>
      <w:r w:rsidR="005F2A44">
        <w:rPr>
          <w:rFonts w:ascii="Calibri" w:hAnsi="Calibri" w:cs="Helv"/>
          <w:color w:val="000000"/>
        </w:rPr>
        <w:t>The</w:t>
      </w:r>
      <w:r>
        <w:rPr>
          <w:rFonts w:ascii="Calibri" w:hAnsi="Calibri" w:cs="Helv"/>
          <w:color w:val="000000"/>
        </w:rPr>
        <w:t>]</w:t>
      </w:r>
      <w:r w:rsidR="005F2A44">
        <w:rPr>
          <w:rFonts w:ascii="Calibri" w:hAnsi="Calibri" w:cs="Helv"/>
          <w:color w:val="000000"/>
        </w:rPr>
        <w:t xml:space="preserve"> “power of the petitioner </w:t>
      </w:r>
      <w:r w:rsidR="005F2A44" w:rsidRPr="005F2A44">
        <w:rPr>
          <w:rFonts w:ascii="Calibri" w:hAnsi="Calibri" w:cs="Helv"/>
          <w:color w:val="000000"/>
        </w:rPr>
        <w:t>to receive this trust income each year, upon request, can be regarded as the equivalent of ownership of the income for purposes of taxation</w:t>
      </w:r>
      <w:r w:rsidR="005F2A44">
        <w:rPr>
          <w:rFonts w:ascii="Calibri" w:hAnsi="Calibri" w:cs="Helv"/>
          <w:color w:val="000000"/>
        </w:rPr>
        <w:t>.</w:t>
      </w:r>
      <w:r w:rsidR="00FB44D5">
        <w:rPr>
          <w:rFonts w:ascii="Calibri" w:hAnsi="Calibri" w:cs="Helv"/>
          <w:color w:val="000000"/>
        </w:rPr>
        <w:t>***</w:t>
      </w:r>
      <w:r w:rsidR="00FB44D5" w:rsidRPr="00FB44D5">
        <w:rPr>
          <w:rFonts w:ascii="Calibri" w:hAnsi="Calibri" w:cs="Helv"/>
          <w:color w:val="000000"/>
        </w:rPr>
        <w:t xml:space="preserve"> income is taxable to the possessor of such power, and that logically it makes no difference whether the possessor is a grantor who retained the power or a beneficiary who acquired it from another</w:t>
      </w:r>
      <w:r w:rsidR="00FB44D5">
        <w:rPr>
          <w:rFonts w:ascii="Calibri" w:hAnsi="Calibri" w:cs="Helv"/>
          <w:color w:val="000000"/>
        </w:rPr>
        <w:t>.</w:t>
      </w:r>
      <w:r w:rsidR="006B07B9">
        <w:rPr>
          <w:rFonts w:ascii="Calibri" w:hAnsi="Calibri" w:cs="Helv"/>
          <w:color w:val="000000"/>
        </w:rPr>
        <w:t>***</w:t>
      </w:r>
      <w:r w:rsidR="006B07B9" w:rsidRPr="006B07B9">
        <w:rPr>
          <w:rFonts w:eastAsiaTheme="minorEastAsia"/>
          <w:sz w:val="20"/>
          <w:szCs w:val="20"/>
        </w:rPr>
        <w:t xml:space="preserve"> </w:t>
      </w:r>
      <w:r w:rsidR="006B07B9" w:rsidRPr="006B07B9">
        <w:rPr>
          <w:rFonts w:ascii="Calibri" w:hAnsi="Calibri" w:cs="Helv"/>
          <w:color w:val="000000"/>
        </w:rPr>
        <w:t>Since the trust income in suit was available to petitioner upon request in each of the years involved, he had in each of those years the "realizable" economic gain necessary to make the income taxable to him.</w:t>
      </w:r>
      <w:r w:rsidR="006B07B9">
        <w:rPr>
          <w:rFonts w:ascii="Calibri" w:hAnsi="Calibri" w:cs="Helv"/>
          <w:color w:val="000000"/>
        </w:rPr>
        <w:t>”</w:t>
      </w:r>
      <w:r w:rsidR="006B07B9">
        <w:rPr>
          <w:rStyle w:val="FootnoteReference"/>
          <w:rFonts w:ascii="Calibri" w:hAnsi="Calibri" w:cs="Helv"/>
          <w:color w:val="000000"/>
        </w:rPr>
        <w:footnoteReference w:id="409"/>
      </w:r>
      <w:r w:rsidR="006B07B9" w:rsidRPr="006B07B9">
        <w:rPr>
          <w:rFonts w:ascii="Calibri" w:hAnsi="Calibri" w:cs="Helv"/>
          <w:color w:val="000000"/>
        </w:rPr>
        <w:t xml:space="preserve">  </w:t>
      </w:r>
    </w:p>
    <w:p w14:paraId="10F43F87" w14:textId="77777777" w:rsidR="009A2FCD" w:rsidRDefault="009A2FCD" w:rsidP="009A2FCD">
      <w:pPr>
        <w:autoSpaceDE w:val="0"/>
        <w:autoSpaceDN w:val="0"/>
        <w:adjustRightInd w:val="0"/>
        <w:ind w:firstLine="720"/>
        <w:rPr>
          <w:rFonts w:ascii="Calibri" w:hAnsi="Calibri" w:cs="Helv"/>
          <w:color w:val="000000"/>
        </w:rPr>
      </w:pPr>
    </w:p>
    <w:p w14:paraId="0535E59A" w14:textId="77777777" w:rsidR="00C66B07" w:rsidRDefault="00C66B07" w:rsidP="00B2571A">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While </w:t>
      </w:r>
      <w:r w:rsidRPr="00C66B07">
        <w:rPr>
          <w:rFonts w:ascii="Calibri" w:hAnsi="Calibri" w:cs="Helv"/>
          <w:i/>
          <w:color w:val="000000"/>
        </w:rPr>
        <w:t>Mallinckrodt</w:t>
      </w:r>
      <w:r>
        <w:rPr>
          <w:rFonts w:ascii="Calibri" w:hAnsi="Calibri" w:cs="Helv"/>
          <w:color w:val="000000"/>
        </w:rPr>
        <w:t xml:space="preserve"> did not specify or discuss whether capital gains was included in </w:t>
      </w:r>
      <w:r w:rsidR="002F5D38">
        <w:rPr>
          <w:rFonts w:ascii="Calibri" w:hAnsi="Calibri" w:cs="Helv"/>
          <w:color w:val="000000"/>
        </w:rPr>
        <w:t xml:space="preserve">the trust’s definition of withdrawable </w:t>
      </w:r>
      <w:r>
        <w:rPr>
          <w:rFonts w:ascii="Calibri" w:hAnsi="Calibri" w:cs="Helv"/>
          <w:color w:val="000000"/>
        </w:rPr>
        <w:t xml:space="preserve">income, </w:t>
      </w:r>
      <w:r w:rsidR="002F5D38">
        <w:rPr>
          <w:rFonts w:ascii="Calibri" w:hAnsi="Calibri" w:cs="Helv"/>
          <w:color w:val="000000"/>
        </w:rPr>
        <w:t>it is clear from the case t</w:t>
      </w:r>
      <w:r w:rsidR="00851DF3">
        <w:rPr>
          <w:rFonts w:ascii="Calibri" w:hAnsi="Calibri" w:cs="Helv"/>
          <w:color w:val="000000"/>
        </w:rPr>
        <w:t>hat if it were</w:t>
      </w:r>
      <w:r w:rsidR="007F7B8A">
        <w:rPr>
          <w:rFonts w:ascii="Calibri" w:hAnsi="Calibri" w:cs="Helv"/>
          <w:color w:val="000000"/>
        </w:rPr>
        <w:t>,</w:t>
      </w:r>
      <w:r w:rsidR="00851DF3">
        <w:rPr>
          <w:rFonts w:ascii="Calibri" w:hAnsi="Calibri" w:cs="Helv"/>
          <w:color w:val="000000"/>
        </w:rPr>
        <w:t xml:space="preserve"> it would be taxable to the powe</w:t>
      </w:r>
      <w:r w:rsidR="004E2E04">
        <w:rPr>
          <w:rFonts w:ascii="Calibri" w:hAnsi="Calibri" w:cs="Helv"/>
          <w:color w:val="000000"/>
        </w:rPr>
        <w:t>r</w:t>
      </w:r>
      <w:r w:rsidR="00851DF3">
        <w:rPr>
          <w:rFonts w:ascii="Calibri" w:hAnsi="Calibri" w:cs="Helv"/>
          <w:color w:val="000000"/>
        </w:rPr>
        <w:t>holder</w:t>
      </w:r>
      <w:r w:rsidR="002F5D38">
        <w:rPr>
          <w:rFonts w:ascii="Calibri" w:hAnsi="Calibri" w:cs="Helv"/>
          <w:color w:val="000000"/>
        </w:rPr>
        <w:t>.  A</w:t>
      </w:r>
      <w:r>
        <w:rPr>
          <w:rFonts w:ascii="Calibri" w:hAnsi="Calibri" w:cs="Helv"/>
          <w:color w:val="000000"/>
        </w:rPr>
        <w:t>nother irrevocable trust from a recent case had this clause:</w:t>
      </w:r>
    </w:p>
    <w:p w14:paraId="7FB60A53" w14:textId="77777777" w:rsidR="00C66B07" w:rsidRDefault="00C66B07" w:rsidP="00C66B07">
      <w:pPr>
        <w:autoSpaceDE w:val="0"/>
        <w:autoSpaceDN w:val="0"/>
        <w:adjustRightInd w:val="0"/>
        <w:ind w:left="720"/>
        <w:rPr>
          <w:rFonts w:ascii="Calibri" w:hAnsi="Calibri" w:cs="Helv"/>
          <w:color w:val="000000"/>
        </w:rPr>
      </w:pPr>
      <w:r>
        <w:rPr>
          <w:rFonts w:ascii="Calibri" w:hAnsi="Calibri" w:cs="Helv"/>
          <w:color w:val="000000"/>
        </w:rPr>
        <w:t>“</w:t>
      </w:r>
      <w:r w:rsidRPr="00C66B07">
        <w:rPr>
          <w:rFonts w:ascii="Calibri" w:hAnsi="Calibri" w:cs="Helv"/>
          <w:color w:val="000000"/>
        </w:rPr>
        <w:t>The net income from said trust shall be distributed by the Trustee to the beneficiaries [petitioner and Kathleen], jointly or the survivor of them, not less than once each year * * *. Provided, however, the Trustee shall distribute only that part of the net income which is derived from Capital gains as is requested each year by the beneficiaries and if no such request be made then all of such capital gains shall be retained as a part of the Trust fund and be reinvested as principal.</w:t>
      </w:r>
      <w:r>
        <w:rPr>
          <w:rFonts w:ascii="Calibri" w:hAnsi="Calibri" w:cs="Helv"/>
          <w:color w:val="000000"/>
        </w:rPr>
        <w:t>”</w:t>
      </w:r>
      <w:r w:rsidR="00657574">
        <w:rPr>
          <w:rStyle w:val="FootnoteReference"/>
          <w:rFonts w:ascii="Calibri" w:hAnsi="Calibri" w:cs="Helv"/>
          <w:color w:val="000000"/>
        </w:rPr>
        <w:footnoteReference w:id="410"/>
      </w:r>
    </w:p>
    <w:p w14:paraId="5C6D319D" w14:textId="77777777" w:rsidR="00657574" w:rsidRDefault="00657574" w:rsidP="00B2571A">
      <w:pPr>
        <w:autoSpaceDE w:val="0"/>
        <w:autoSpaceDN w:val="0"/>
        <w:adjustRightInd w:val="0"/>
        <w:spacing w:line="360" w:lineRule="auto"/>
        <w:ind w:firstLine="720"/>
        <w:rPr>
          <w:rFonts w:ascii="Calibri" w:hAnsi="Calibri" w:cs="Helv"/>
          <w:color w:val="000000"/>
        </w:rPr>
      </w:pPr>
    </w:p>
    <w:p w14:paraId="6415360A" w14:textId="77777777" w:rsidR="00657574" w:rsidRDefault="00C66B07" w:rsidP="00B2571A">
      <w:pPr>
        <w:autoSpaceDE w:val="0"/>
        <w:autoSpaceDN w:val="0"/>
        <w:adjustRightInd w:val="0"/>
        <w:spacing w:line="360" w:lineRule="auto"/>
        <w:ind w:firstLine="720"/>
        <w:rPr>
          <w:rFonts w:ascii="Verdana" w:hAnsi="Verdana"/>
          <w:color w:val="333333"/>
          <w:sz w:val="20"/>
          <w:szCs w:val="20"/>
        </w:rPr>
      </w:pPr>
      <w:r>
        <w:rPr>
          <w:rFonts w:ascii="Calibri" w:hAnsi="Calibri" w:cs="Helv"/>
          <w:color w:val="000000"/>
        </w:rPr>
        <w:t xml:space="preserve">The </w:t>
      </w:r>
      <w:r w:rsidR="00657574">
        <w:rPr>
          <w:rFonts w:ascii="Calibri" w:hAnsi="Calibri" w:cs="Helv"/>
          <w:color w:val="000000"/>
        </w:rPr>
        <w:t xml:space="preserve">beneficiary did not request and the </w:t>
      </w:r>
      <w:r>
        <w:rPr>
          <w:rFonts w:ascii="Calibri" w:hAnsi="Calibri" w:cs="Helv"/>
          <w:color w:val="000000"/>
        </w:rPr>
        <w:t xml:space="preserve">trust did not distribute the capital gains income, although the beneficiary could have clearly requested it.  </w:t>
      </w:r>
      <w:r w:rsidR="00657574">
        <w:rPr>
          <w:rFonts w:ascii="Calibri" w:hAnsi="Calibri" w:cs="Helv"/>
          <w:color w:val="000000"/>
        </w:rPr>
        <w:t xml:space="preserve">Citing </w:t>
      </w:r>
      <w:r w:rsidR="00657574" w:rsidRPr="00657574">
        <w:rPr>
          <w:rFonts w:ascii="Calibri" w:hAnsi="Calibri" w:cs="Helv"/>
          <w:i/>
          <w:color w:val="000000"/>
        </w:rPr>
        <w:t>Mallinckrodt</w:t>
      </w:r>
      <w:r w:rsidR="00657574">
        <w:rPr>
          <w:rFonts w:ascii="Calibri" w:hAnsi="Calibri" w:cs="Helv"/>
          <w:color w:val="000000"/>
        </w:rPr>
        <w:t xml:space="preserve">, the </w:t>
      </w:r>
      <w:r w:rsidR="004E2E04">
        <w:rPr>
          <w:rFonts w:ascii="Calibri" w:hAnsi="Calibri" w:cs="Helv"/>
          <w:color w:val="000000"/>
        </w:rPr>
        <w:t xml:space="preserve">tax </w:t>
      </w:r>
      <w:r w:rsidR="00657574">
        <w:rPr>
          <w:rFonts w:ascii="Calibri" w:hAnsi="Calibri" w:cs="Helv"/>
          <w:color w:val="000000"/>
        </w:rPr>
        <w:t>court held that:</w:t>
      </w:r>
      <w:r w:rsidR="00657574" w:rsidRPr="00657574">
        <w:rPr>
          <w:rFonts w:ascii="Verdana" w:hAnsi="Verdana"/>
          <w:color w:val="333333"/>
          <w:sz w:val="20"/>
          <w:szCs w:val="20"/>
        </w:rPr>
        <w:t xml:space="preserve"> </w:t>
      </w:r>
    </w:p>
    <w:p w14:paraId="1CC70DF4" w14:textId="77777777" w:rsidR="00C66B07" w:rsidRDefault="00657574" w:rsidP="00657574">
      <w:pPr>
        <w:autoSpaceDE w:val="0"/>
        <w:autoSpaceDN w:val="0"/>
        <w:adjustRightInd w:val="0"/>
        <w:ind w:left="720"/>
        <w:rPr>
          <w:rFonts w:ascii="Calibri" w:hAnsi="Calibri" w:cs="Helv"/>
          <w:color w:val="000000"/>
        </w:rPr>
      </w:pPr>
      <w:r>
        <w:rPr>
          <w:rFonts w:ascii="Verdana" w:hAnsi="Verdana"/>
          <w:color w:val="333333"/>
          <w:sz w:val="20"/>
          <w:szCs w:val="20"/>
        </w:rPr>
        <w:t>“</w:t>
      </w:r>
      <w:r w:rsidRPr="00FB5847">
        <w:rPr>
          <w:rFonts w:ascii="Verdana" w:hAnsi="Verdana"/>
          <w:sz w:val="20"/>
          <w:szCs w:val="20"/>
        </w:rPr>
        <w:t xml:space="preserve">Section 678(a)(1) </w:t>
      </w:r>
      <w:r w:rsidRPr="00657574">
        <w:rPr>
          <w:rFonts w:ascii="Calibri" w:hAnsi="Calibri" w:cs="Helv"/>
          <w:color w:val="000000"/>
        </w:rPr>
        <w:t>clearly provides that a person with the power, exercisable solely by himself, to vest the corpus or the income in himself will be treated as the owner of that portion of the trust over which his power exists. Here, Kathleen and petitioner had the power exercisable solely by themselves to receive the King Trusts' capital gains income. Accordingly, pursuant to section 678(a)(1), petitioners are deemed to be the owners of the capital gains income from the King Trusts.</w:t>
      </w:r>
      <w:r>
        <w:rPr>
          <w:rFonts w:ascii="Calibri" w:hAnsi="Calibri" w:cs="Helv"/>
          <w:color w:val="000000"/>
        </w:rPr>
        <w:t>”</w:t>
      </w:r>
      <w:r w:rsidR="00851DF3">
        <w:rPr>
          <w:rStyle w:val="FootnoteReference"/>
          <w:rFonts w:ascii="Calibri" w:hAnsi="Calibri" w:cs="Helv"/>
          <w:color w:val="000000"/>
        </w:rPr>
        <w:footnoteReference w:id="411"/>
      </w:r>
    </w:p>
    <w:p w14:paraId="0D8C4715" w14:textId="77777777" w:rsidR="00657574" w:rsidRDefault="00657574" w:rsidP="00657574">
      <w:pPr>
        <w:autoSpaceDE w:val="0"/>
        <w:autoSpaceDN w:val="0"/>
        <w:adjustRightInd w:val="0"/>
        <w:ind w:left="720"/>
        <w:rPr>
          <w:rFonts w:ascii="Calibri" w:hAnsi="Calibri" w:cs="Helv"/>
          <w:color w:val="000000"/>
        </w:rPr>
      </w:pPr>
    </w:p>
    <w:p w14:paraId="598F95CB" w14:textId="77777777" w:rsidR="00BC1BB0" w:rsidRDefault="00BC1BB0" w:rsidP="00B2571A">
      <w:pPr>
        <w:autoSpaceDE w:val="0"/>
        <w:autoSpaceDN w:val="0"/>
        <w:adjustRightInd w:val="0"/>
        <w:spacing w:line="360" w:lineRule="auto"/>
        <w:ind w:firstLine="720"/>
        <w:rPr>
          <w:rFonts w:ascii="Calibri" w:hAnsi="Calibri" w:cs="Helv"/>
          <w:color w:val="000000"/>
        </w:rPr>
      </w:pPr>
      <w:r>
        <w:rPr>
          <w:rFonts w:ascii="Calibri" w:hAnsi="Calibri" w:cs="Helv"/>
          <w:color w:val="000000"/>
        </w:rPr>
        <w:t>Thus, with the plain language of §678</w:t>
      </w:r>
      <w:r w:rsidR="000D177D">
        <w:rPr>
          <w:rFonts w:ascii="Calibri" w:hAnsi="Calibri" w:cs="Helv"/>
          <w:color w:val="000000"/>
        </w:rPr>
        <w:t>(a)</w:t>
      </w:r>
      <w:r w:rsidR="00D757B6">
        <w:rPr>
          <w:rFonts w:ascii="Calibri" w:hAnsi="Calibri" w:cs="Helv"/>
          <w:color w:val="000000"/>
        </w:rPr>
        <w:t>(1)</w:t>
      </w:r>
      <w:r w:rsidR="000D177D">
        <w:rPr>
          <w:rFonts w:ascii="Calibri" w:hAnsi="Calibri" w:cs="Helv"/>
          <w:color w:val="000000"/>
        </w:rPr>
        <w:t xml:space="preserve">, regulations under </w:t>
      </w:r>
      <w:r w:rsidR="00D757B6">
        <w:rPr>
          <w:rFonts w:ascii="Calibri" w:hAnsi="Calibri" w:cs="Helv"/>
          <w:color w:val="000000"/>
        </w:rPr>
        <w:t xml:space="preserve">Treas. Reg. </w:t>
      </w:r>
      <w:r w:rsidR="000D177D">
        <w:rPr>
          <w:rFonts w:ascii="Calibri" w:hAnsi="Calibri" w:cs="Helv"/>
          <w:color w:val="000000"/>
        </w:rPr>
        <w:t>§1.671-2</w:t>
      </w:r>
      <w:r>
        <w:rPr>
          <w:rFonts w:ascii="Calibri" w:hAnsi="Calibri" w:cs="Helv"/>
          <w:color w:val="000000"/>
        </w:rPr>
        <w:t xml:space="preserve"> and longstanding case precedent, it’s clear that beneficiaries with withdrawal rights over trust </w:t>
      </w:r>
      <w:r>
        <w:rPr>
          <w:rFonts w:ascii="Calibri" w:hAnsi="Calibri" w:cs="Helv"/>
          <w:color w:val="000000"/>
        </w:rPr>
        <w:lastRenderedPageBreak/>
        <w:t>income (including capital gains) MUST report any such income on their Form 1040</w:t>
      </w:r>
      <w:r w:rsidR="00D757B6">
        <w:rPr>
          <w:rFonts w:ascii="Calibri" w:hAnsi="Calibri" w:cs="Helv"/>
          <w:color w:val="000000"/>
        </w:rPr>
        <w:t>, regardless of whether there is any power over corpus/principal</w:t>
      </w:r>
      <w:r>
        <w:rPr>
          <w:rFonts w:ascii="Calibri" w:hAnsi="Calibri" w:cs="Helv"/>
          <w:color w:val="000000"/>
        </w:rPr>
        <w:t xml:space="preserve"> – failure to do so may lead to substantial penalties, especially since </w:t>
      </w:r>
      <w:r w:rsidRPr="007F7B8A">
        <w:rPr>
          <w:rFonts w:ascii="Calibri" w:hAnsi="Calibri" w:cs="Helv"/>
          <w:i/>
          <w:color w:val="000000"/>
        </w:rPr>
        <w:t xml:space="preserve">there is </w:t>
      </w:r>
      <w:r w:rsidR="00C85ABA" w:rsidRPr="007F7B8A">
        <w:rPr>
          <w:rFonts w:ascii="Calibri" w:hAnsi="Calibri" w:cs="Helv"/>
          <w:i/>
          <w:color w:val="000000"/>
        </w:rPr>
        <w:t xml:space="preserve">no </w:t>
      </w:r>
      <w:r w:rsidRPr="007F7B8A">
        <w:rPr>
          <w:rFonts w:ascii="Calibri" w:hAnsi="Calibri" w:cs="Helv"/>
          <w:i/>
          <w:color w:val="000000"/>
        </w:rPr>
        <w:t>substantial authority to argue otherwise</w:t>
      </w:r>
      <w:r>
        <w:rPr>
          <w:rFonts w:ascii="Calibri" w:hAnsi="Calibri" w:cs="Helv"/>
          <w:color w:val="000000"/>
        </w:rPr>
        <w:t>.</w:t>
      </w:r>
    </w:p>
    <w:p w14:paraId="74726A2E" w14:textId="77777777" w:rsidR="004F24B2" w:rsidRDefault="004F24B2" w:rsidP="00B2571A">
      <w:pPr>
        <w:autoSpaceDE w:val="0"/>
        <w:autoSpaceDN w:val="0"/>
        <w:adjustRightInd w:val="0"/>
        <w:spacing w:line="360" w:lineRule="auto"/>
        <w:ind w:firstLine="720"/>
        <w:rPr>
          <w:rFonts w:ascii="Calibri" w:hAnsi="Calibri" w:cs="Helv"/>
          <w:color w:val="000000"/>
        </w:rPr>
      </w:pPr>
      <w:r>
        <w:rPr>
          <w:rFonts w:ascii="Calibri" w:hAnsi="Calibri" w:cs="Helv"/>
          <w:color w:val="000000"/>
        </w:rPr>
        <w:t>Though it is not a citable precedent as the above authority</w:t>
      </w:r>
      <w:r w:rsidR="00521945">
        <w:rPr>
          <w:rFonts w:ascii="Calibri" w:hAnsi="Calibri" w:cs="Helv"/>
          <w:color w:val="000000"/>
        </w:rPr>
        <w:t xml:space="preserve"> is</w:t>
      </w:r>
      <w:r>
        <w:rPr>
          <w:rFonts w:ascii="Calibri" w:hAnsi="Calibri" w:cs="Helv"/>
          <w:color w:val="000000"/>
        </w:rPr>
        <w:t xml:space="preserve">, a recent PLR </w:t>
      </w:r>
      <w:r w:rsidR="00521945">
        <w:rPr>
          <w:rFonts w:ascii="Calibri" w:hAnsi="Calibri" w:cs="Helv"/>
          <w:color w:val="000000"/>
        </w:rPr>
        <w:t xml:space="preserve">is in accord: </w:t>
      </w:r>
      <w:r>
        <w:rPr>
          <w:rFonts w:ascii="Calibri" w:hAnsi="Calibri" w:cs="Helv"/>
          <w:color w:val="000000"/>
        </w:rPr>
        <w:t xml:space="preserve">a trust </w:t>
      </w:r>
      <w:r w:rsidR="00521945">
        <w:rPr>
          <w:rFonts w:ascii="Calibri" w:hAnsi="Calibri" w:cs="Helv"/>
          <w:color w:val="000000"/>
        </w:rPr>
        <w:t xml:space="preserve">had </w:t>
      </w:r>
      <w:r>
        <w:rPr>
          <w:rFonts w:ascii="Calibri" w:hAnsi="Calibri" w:cs="Helv"/>
          <w:color w:val="000000"/>
        </w:rPr>
        <w:t xml:space="preserve">granted a </w:t>
      </w:r>
      <w:r w:rsidR="00521945">
        <w:rPr>
          <w:rFonts w:ascii="Calibri" w:hAnsi="Calibri" w:cs="Helv"/>
          <w:color w:val="000000"/>
        </w:rPr>
        <w:t xml:space="preserve">§678 </w:t>
      </w:r>
      <w:r w:rsidR="00521945" w:rsidRPr="00521945">
        <w:rPr>
          <w:rFonts w:ascii="Calibri" w:hAnsi="Calibri" w:cs="Helv"/>
          <w:color w:val="000000"/>
        </w:rPr>
        <w:t xml:space="preserve">solely exercisable </w:t>
      </w:r>
      <w:r>
        <w:rPr>
          <w:rFonts w:ascii="Calibri" w:hAnsi="Calibri" w:cs="Helv"/>
          <w:color w:val="000000"/>
        </w:rPr>
        <w:t xml:space="preserve">withdrawal </w:t>
      </w:r>
      <w:r w:rsidR="00521945" w:rsidRPr="00521945">
        <w:rPr>
          <w:rFonts w:ascii="Calibri" w:hAnsi="Calibri" w:cs="Helv"/>
          <w:color w:val="000000"/>
        </w:rPr>
        <w:t>power</w:t>
      </w:r>
      <w:r w:rsidR="00521945">
        <w:rPr>
          <w:rFonts w:ascii="Calibri" w:hAnsi="Calibri" w:cs="Helv"/>
          <w:color w:val="000000"/>
        </w:rPr>
        <w:t xml:space="preserve"> over the net income, with the </w:t>
      </w:r>
      <w:r w:rsidR="00521945" w:rsidRPr="00521945">
        <w:rPr>
          <w:rFonts w:ascii="Calibri" w:hAnsi="Calibri" w:cs="Helv"/>
          <w:color w:val="000000"/>
        </w:rPr>
        <w:t xml:space="preserve">power </w:t>
      </w:r>
      <w:r w:rsidR="00521945">
        <w:rPr>
          <w:rFonts w:ascii="Calibri" w:hAnsi="Calibri" w:cs="Helv"/>
          <w:color w:val="000000"/>
        </w:rPr>
        <w:t xml:space="preserve">lapsing </w:t>
      </w:r>
      <w:r w:rsidR="00521945" w:rsidRPr="00521945">
        <w:rPr>
          <w:rFonts w:ascii="Calibri" w:hAnsi="Calibri" w:cs="Helv"/>
          <w:color w:val="000000"/>
        </w:rPr>
        <w:t xml:space="preserve">on the last day of </w:t>
      </w:r>
      <w:r w:rsidR="00521945">
        <w:rPr>
          <w:rFonts w:ascii="Calibri" w:hAnsi="Calibri" w:cs="Helv"/>
          <w:color w:val="000000"/>
        </w:rPr>
        <w:t>the</w:t>
      </w:r>
      <w:r w:rsidR="00521945" w:rsidRPr="00521945">
        <w:rPr>
          <w:rFonts w:ascii="Calibri" w:hAnsi="Calibri" w:cs="Helv"/>
          <w:color w:val="000000"/>
        </w:rPr>
        <w:t xml:space="preserve"> calendar year.</w:t>
      </w:r>
      <w:r w:rsidR="00521945">
        <w:rPr>
          <w:rStyle w:val="FootnoteReference"/>
          <w:rFonts w:ascii="Calibri" w:hAnsi="Calibri" w:cs="Helv"/>
          <w:color w:val="000000"/>
        </w:rPr>
        <w:footnoteReference w:id="412"/>
      </w:r>
      <w:r w:rsidR="00521945" w:rsidRPr="00521945">
        <w:rPr>
          <w:rFonts w:ascii="Calibri" w:hAnsi="Calibri" w:cs="Helv"/>
          <w:color w:val="000000"/>
        </w:rPr>
        <w:t xml:space="preserve"> </w:t>
      </w:r>
      <w:r w:rsidR="00521945">
        <w:rPr>
          <w:rFonts w:ascii="Calibri" w:hAnsi="Calibri" w:cs="Helv"/>
          <w:color w:val="000000"/>
        </w:rPr>
        <w:t>Income</w:t>
      </w:r>
      <w:r w:rsidR="00521945" w:rsidRPr="00521945">
        <w:rPr>
          <w:rFonts w:ascii="Calibri" w:hAnsi="Calibri" w:cs="Helv"/>
          <w:color w:val="000000"/>
        </w:rPr>
        <w:t xml:space="preserve"> </w:t>
      </w:r>
      <w:r w:rsidR="00521945">
        <w:rPr>
          <w:rFonts w:ascii="Calibri" w:hAnsi="Calibri" w:cs="Helv"/>
          <w:color w:val="000000"/>
        </w:rPr>
        <w:t xml:space="preserve">was defined to include not only </w:t>
      </w:r>
      <w:r w:rsidR="00521945" w:rsidRPr="00521945">
        <w:rPr>
          <w:rFonts w:ascii="Calibri" w:hAnsi="Calibri" w:cs="Helv"/>
          <w:color w:val="000000"/>
        </w:rPr>
        <w:t xml:space="preserve">dividends, interest, fees and other amounts characterized as income under § 643(b) of the Code, </w:t>
      </w:r>
      <w:r w:rsidR="00521945">
        <w:rPr>
          <w:rFonts w:ascii="Calibri" w:hAnsi="Calibri" w:cs="Helv"/>
          <w:color w:val="000000"/>
        </w:rPr>
        <w:t xml:space="preserve">but </w:t>
      </w:r>
      <w:r w:rsidR="00521945" w:rsidRPr="00521945">
        <w:rPr>
          <w:rFonts w:ascii="Calibri" w:hAnsi="Calibri" w:cs="Helv"/>
          <w:i/>
          <w:color w:val="000000"/>
        </w:rPr>
        <w:t>any net capital gains as well</w:t>
      </w:r>
      <w:r w:rsidR="00521945">
        <w:rPr>
          <w:rFonts w:ascii="Calibri" w:hAnsi="Calibri" w:cs="Helv"/>
          <w:color w:val="000000"/>
        </w:rPr>
        <w:t>.  The IRS ruled that the net capital gains, as well as the net income that would be</w:t>
      </w:r>
      <w:r>
        <w:rPr>
          <w:rFonts w:ascii="Calibri" w:hAnsi="Calibri" w:cs="Helv"/>
          <w:color w:val="000000"/>
        </w:rPr>
        <w:t xml:space="preserve"> </w:t>
      </w:r>
      <w:r w:rsidR="00521945">
        <w:rPr>
          <w:rFonts w:ascii="Calibri" w:hAnsi="Calibri" w:cs="Helv"/>
          <w:color w:val="000000"/>
        </w:rPr>
        <w:t xml:space="preserve">part of DNI, would be </w:t>
      </w:r>
      <w:r w:rsidR="00521945" w:rsidRPr="00521945">
        <w:rPr>
          <w:rFonts w:ascii="Calibri" w:hAnsi="Calibri" w:cs="Helv"/>
          <w:i/>
          <w:color w:val="000000"/>
        </w:rPr>
        <w:t>taxed to the power holder</w:t>
      </w:r>
      <w:r w:rsidR="00521945">
        <w:rPr>
          <w:rFonts w:ascii="Calibri" w:hAnsi="Calibri" w:cs="Helv"/>
          <w:color w:val="000000"/>
        </w:rPr>
        <w:t>.</w:t>
      </w:r>
    </w:p>
    <w:p w14:paraId="5E81B18C" w14:textId="77777777" w:rsidR="00C00642" w:rsidRDefault="00C00642" w:rsidP="00DA5DD7">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To understand the </w:t>
      </w:r>
      <w:r w:rsidR="00C14820">
        <w:rPr>
          <w:rFonts w:ascii="Calibri" w:hAnsi="Calibri" w:cs="Helv"/>
          <w:color w:val="000000"/>
        </w:rPr>
        <w:t xml:space="preserve">practical </w:t>
      </w:r>
      <w:r>
        <w:rPr>
          <w:rFonts w:ascii="Calibri" w:hAnsi="Calibri" w:cs="Helv"/>
          <w:color w:val="000000"/>
        </w:rPr>
        <w:t xml:space="preserve">basics, let’s go back to </w:t>
      </w:r>
      <w:r w:rsidR="00DA30D4">
        <w:rPr>
          <w:rFonts w:ascii="Calibri" w:hAnsi="Calibri" w:cs="Helv"/>
          <w:color w:val="000000"/>
        </w:rPr>
        <w:t>Barbara</w:t>
      </w:r>
      <w:r w:rsidR="00967172">
        <w:rPr>
          <w:rFonts w:ascii="Calibri" w:hAnsi="Calibri" w:cs="Helv"/>
          <w:color w:val="000000"/>
        </w:rPr>
        <w:t>’s bypass trust</w:t>
      </w:r>
      <w:r w:rsidR="00DA30D4">
        <w:rPr>
          <w:rFonts w:ascii="Calibri" w:hAnsi="Calibri" w:cs="Helv"/>
          <w:color w:val="000000"/>
        </w:rPr>
        <w:t xml:space="preserve"> in our</w:t>
      </w:r>
      <w:r>
        <w:rPr>
          <w:rFonts w:ascii="Calibri" w:hAnsi="Calibri" w:cs="Helv"/>
          <w:color w:val="000000"/>
        </w:rPr>
        <w:t xml:space="preserve"> example above:</w:t>
      </w:r>
      <w:r w:rsidR="00967172">
        <w:rPr>
          <w:rFonts w:ascii="Calibri" w:hAnsi="Calibri" w:cs="Helv"/>
          <w:color w:val="000000"/>
        </w:rPr>
        <w:t xml:space="preserve"> w</w:t>
      </w:r>
      <w:r w:rsidR="00DA30D4">
        <w:rPr>
          <w:rFonts w:ascii="Calibri" w:hAnsi="Calibri" w:cs="Helv"/>
          <w:color w:val="000000"/>
        </w:rPr>
        <w:t>ith</w:t>
      </w:r>
      <w:r>
        <w:rPr>
          <w:rFonts w:ascii="Calibri" w:hAnsi="Calibri" w:cs="Helv"/>
          <w:color w:val="000000"/>
        </w:rPr>
        <w:t xml:space="preserve"> a </w:t>
      </w:r>
      <w:r w:rsidR="00DA30D4">
        <w:rPr>
          <w:rFonts w:ascii="Calibri" w:hAnsi="Calibri" w:cs="Helv"/>
          <w:color w:val="000000"/>
        </w:rPr>
        <w:t>fully §</w:t>
      </w:r>
      <w:r>
        <w:rPr>
          <w:rFonts w:ascii="Calibri" w:hAnsi="Calibri" w:cs="Helv"/>
          <w:color w:val="000000"/>
        </w:rPr>
        <w:t>678(a) trust</w:t>
      </w:r>
      <w:r w:rsidR="00C14820">
        <w:rPr>
          <w:rFonts w:ascii="Calibri" w:hAnsi="Calibri" w:cs="Helv"/>
          <w:color w:val="000000"/>
        </w:rPr>
        <w:t xml:space="preserve"> in which Barbara can withdraw all taxable income, including capital gains</w:t>
      </w:r>
      <w:r>
        <w:rPr>
          <w:rFonts w:ascii="Calibri" w:hAnsi="Calibri" w:cs="Helv"/>
          <w:color w:val="000000"/>
        </w:rPr>
        <w:t xml:space="preserve">, Barbara would simply </w:t>
      </w:r>
      <w:r w:rsidR="00967172">
        <w:rPr>
          <w:rFonts w:ascii="Calibri" w:hAnsi="Calibri" w:cs="Helv"/>
          <w:color w:val="000000"/>
        </w:rPr>
        <w:t>report</w:t>
      </w:r>
      <w:r>
        <w:rPr>
          <w:rFonts w:ascii="Calibri" w:hAnsi="Calibri" w:cs="Helv"/>
          <w:color w:val="000000"/>
        </w:rPr>
        <w:t xml:space="preserve"> all $140,000 of taxable income </w:t>
      </w:r>
      <w:r w:rsidR="00DA30D4">
        <w:rPr>
          <w:rFonts w:ascii="Calibri" w:hAnsi="Calibri" w:cs="Helv"/>
          <w:color w:val="000000"/>
        </w:rPr>
        <w:t xml:space="preserve">on her Form 1040 </w:t>
      </w:r>
      <w:r>
        <w:rPr>
          <w:rFonts w:ascii="Calibri" w:hAnsi="Calibri" w:cs="Helv"/>
          <w:color w:val="000000"/>
        </w:rPr>
        <w:t xml:space="preserve">regardless of what she actually receives, and </w:t>
      </w:r>
      <w:r w:rsidRPr="002C4B21">
        <w:rPr>
          <w:rFonts w:ascii="Calibri" w:hAnsi="Calibri" w:cs="Helv"/>
          <w:i/>
          <w:color w:val="000000"/>
        </w:rPr>
        <w:t>the trust has no income</w:t>
      </w:r>
      <w:r>
        <w:rPr>
          <w:rFonts w:ascii="Calibri" w:hAnsi="Calibri" w:cs="Helv"/>
          <w:color w:val="000000"/>
        </w:rPr>
        <w:t>.</w:t>
      </w:r>
      <w:r w:rsidR="007F7B8A">
        <w:rPr>
          <w:rStyle w:val="FootnoteReference"/>
          <w:rFonts w:ascii="Calibri" w:hAnsi="Calibri" w:cs="Helv"/>
          <w:color w:val="000000"/>
        </w:rPr>
        <w:footnoteReference w:id="413"/>
      </w:r>
      <w:r>
        <w:rPr>
          <w:rFonts w:ascii="Calibri" w:hAnsi="Calibri" w:cs="Helv"/>
          <w:color w:val="000000"/>
        </w:rPr>
        <w:t xml:space="preserve">  </w:t>
      </w:r>
      <w:r w:rsidR="00DA30D4">
        <w:rPr>
          <w:rFonts w:ascii="Calibri" w:hAnsi="Calibri" w:cs="Helv"/>
          <w:color w:val="000000"/>
        </w:rPr>
        <w:t>A trust could be partially subject to §678</w:t>
      </w:r>
      <w:r w:rsidR="000E7CB7">
        <w:rPr>
          <w:rFonts w:ascii="Calibri" w:hAnsi="Calibri" w:cs="Helv"/>
          <w:color w:val="000000"/>
        </w:rPr>
        <w:t>(a)</w:t>
      </w:r>
      <w:r w:rsidR="00DA30D4">
        <w:rPr>
          <w:rFonts w:ascii="Calibri" w:hAnsi="Calibri" w:cs="Helv"/>
          <w:color w:val="000000"/>
        </w:rPr>
        <w:t>.  If Barbara only had an unfettered right to withdraw accounting income (interest, dividends, rents), then $40,000 would go onto her Form 1040 (ultimately, th</w:t>
      </w:r>
      <w:r w:rsidR="00C14820">
        <w:rPr>
          <w:rFonts w:ascii="Calibri" w:hAnsi="Calibri" w:cs="Helv"/>
          <w:color w:val="000000"/>
        </w:rPr>
        <w:t>e same as if it had been K-1’d), and deductible expenses would have to be pro rated accordingly.</w:t>
      </w:r>
      <w:r w:rsidR="00C14820">
        <w:rPr>
          <w:rStyle w:val="FootnoteReference"/>
          <w:rFonts w:ascii="Calibri" w:hAnsi="Calibri" w:cs="Helv"/>
          <w:color w:val="000000"/>
        </w:rPr>
        <w:footnoteReference w:id="414"/>
      </w:r>
      <w:r w:rsidR="00C14820">
        <w:rPr>
          <w:rFonts w:ascii="Calibri" w:hAnsi="Calibri" w:cs="Helv"/>
          <w:color w:val="000000"/>
        </w:rPr>
        <w:t xml:space="preserve">  </w:t>
      </w:r>
      <w:r w:rsidR="00893B9A">
        <w:rPr>
          <w:rFonts w:ascii="Calibri" w:hAnsi="Calibri" w:cs="Helv"/>
          <w:color w:val="000000"/>
        </w:rPr>
        <w:t>Similarly, if Barbara had a cap, e.g., up to $100,000 – then she would only be taxable to the cap, and expenses would be prorated accordingly</w:t>
      </w:r>
      <w:r w:rsidR="00F8433B">
        <w:rPr>
          <w:rFonts w:ascii="Calibri" w:hAnsi="Calibri" w:cs="Helv"/>
          <w:color w:val="000000"/>
        </w:rPr>
        <w:t xml:space="preserve"> (regardless of whether she actually takes the $100,000)</w:t>
      </w:r>
      <w:r w:rsidR="00893B9A">
        <w:rPr>
          <w:rFonts w:ascii="Calibri" w:hAnsi="Calibri" w:cs="Helv"/>
          <w:color w:val="000000"/>
        </w:rPr>
        <w:t xml:space="preserve">.  </w:t>
      </w:r>
      <w:r w:rsidR="00C14820">
        <w:rPr>
          <w:rFonts w:ascii="Calibri" w:hAnsi="Calibri" w:cs="Helv"/>
          <w:color w:val="000000"/>
        </w:rPr>
        <w:t>If Barbara sends some of her withdrawable income to charity, she (not the trust) would be eligible for a Schedule A tax deduction under §170.</w:t>
      </w:r>
      <w:r w:rsidR="00C14820">
        <w:rPr>
          <w:rStyle w:val="FootnoteReference"/>
          <w:rFonts w:ascii="Calibri" w:hAnsi="Calibri" w:cs="Helv"/>
          <w:color w:val="000000"/>
        </w:rPr>
        <w:footnoteReference w:id="415"/>
      </w:r>
    </w:p>
    <w:p w14:paraId="736CA30B" w14:textId="77777777" w:rsidR="004D70B7" w:rsidRDefault="00DA5DD7" w:rsidP="00DA5DD7">
      <w:pPr>
        <w:autoSpaceDE w:val="0"/>
        <w:autoSpaceDN w:val="0"/>
        <w:adjustRightInd w:val="0"/>
        <w:spacing w:line="360" w:lineRule="auto"/>
        <w:ind w:firstLine="720"/>
        <w:rPr>
          <w:rFonts w:ascii="Calibri" w:hAnsi="Calibri" w:cs="Helv"/>
          <w:color w:val="000000"/>
        </w:rPr>
      </w:pPr>
      <w:r>
        <w:rPr>
          <w:rFonts w:ascii="Calibri" w:hAnsi="Calibri" w:cs="Helv"/>
          <w:color w:val="000000"/>
        </w:rPr>
        <w:lastRenderedPageBreak/>
        <w:t xml:space="preserve">A </w:t>
      </w:r>
      <w:r w:rsidR="00DA30D4">
        <w:rPr>
          <w:rFonts w:ascii="Calibri" w:hAnsi="Calibri" w:cs="Helv"/>
          <w:color w:val="000000"/>
        </w:rPr>
        <w:t xml:space="preserve">fully </w:t>
      </w:r>
      <w:r w:rsidR="00C14820">
        <w:rPr>
          <w:rFonts w:ascii="Calibri" w:hAnsi="Calibri" w:cs="Helv"/>
          <w:color w:val="000000"/>
        </w:rPr>
        <w:t>“beneficiary income-controlled</w:t>
      </w:r>
      <w:r>
        <w:rPr>
          <w:rFonts w:ascii="Calibri" w:hAnsi="Calibri" w:cs="Helv"/>
          <w:color w:val="000000"/>
        </w:rPr>
        <w:t xml:space="preserve">” </w:t>
      </w:r>
      <w:r w:rsidR="00195BDE">
        <w:rPr>
          <w:rFonts w:ascii="Calibri" w:hAnsi="Calibri" w:cs="Helv"/>
          <w:color w:val="000000"/>
        </w:rPr>
        <w:t xml:space="preserve">or “beneficiary-defective” </w:t>
      </w:r>
      <w:r w:rsidR="00A510DF">
        <w:rPr>
          <w:rFonts w:ascii="Calibri" w:hAnsi="Calibri" w:cs="Helv"/>
          <w:color w:val="000000"/>
        </w:rPr>
        <w:t xml:space="preserve">§678(a) </w:t>
      </w:r>
      <w:r>
        <w:rPr>
          <w:rFonts w:ascii="Calibri" w:hAnsi="Calibri" w:cs="Helv"/>
          <w:color w:val="000000"/>
        </w:rPr>
        <w:t xml:space="preserve">grantor trust does have </w:t>
      </w:r>
      <w:r w:rsidR="00546E6E">
        <w:rPr>
          <w:rFonts w:ascii="Calibri" w:hAnsi="Calibri" w:cs="Helv"/>
          <w:color w:val="000000"/>
        </w:rPr>
        <w:t>more than a few advantages</w:t>
      </w:r>
      <w:r>
        <w:rPr>
          <w:rFonts w:ascii="Calibri" w:hAnsi="Calibri" w:cs="Helv"/>
          <w:color w:val="000000"/>
        </w:rPr>
        <w:t xml:space="preserve"> and may be useful in specific situations.  For instance, it may be preferable that certain assets, such as a personal residence, non-qualified annuity or qualifying small business stock, be owned by a §678(a) trust, because of the preferred tax treatment that individual </w:t>
      </w:r>
      <w:r w:rsidR="00AB13D7">
        <w:rPr>
          <w:rFonts w:ascii="Calibri" w:hAnsi="Calibri" w:cs="Helv"/>
          <w:color w:val="000000"/>
        </w:rPr>
        <w:t xml:space="preserve">Form 1040 </w:t>
      </w:r>
      <w:r>
        <w:rPr>
          <w:rFonts w:ascii="Calibri" w:hAnsi="Calibri" w:cs="Helv"/>
          <w:color w:val="000000"/>
        </w:rPr>
        <w:t>taxpayers may avail themselves of that non-grantor trusts simply can’t.</w:t>
      </w:r>
      <w:r>
        <w:rPr>
          <w:rStyle w:val="FootnoteReference"/>
          <w:rFonts w:ascii="Calibri" w:hAnsi="Calibri" w:cs="Helv"/>
          <w:color w:val="000000"/>
        </w:rPr>
        <w:footnoteReference w:id="416"/>
      </w:r>
      <w:r w:rsidR="001E5D8B">
        <w:rPr>
          <w:rFonts w:ascii="Calibri" w:hAnsi="Calibri" w:cs="Helv"/>
          <w:color w:val="000000"/>
        </w:rPr>
        <w:t xml:space="preserve">  </w:t>
      </w:r>
      <w:r w:rsidR="004D70B7">
        <w:rPr>
          <w:rFonts w:ascii="Calibri" w:hAnsi="Calibri" w:cs="Helv"/>
          <w:color w:val="000000"/>
        </w:rPr>
        <w:t xml:space="preserve">The most </w:t>
      </w:r>
      <w:r w:rsidR="00F8433B">
        <w:rPr>
          <w:rFonts w:ascii="Calibri" w:hAnsi="Calibri" w:cs="Helv"/>
          <w:color w:val="000000"/>
        </w:rPr>
        <w:t>ubiquitous and</w:t>
      </w:r>
      <w:r w:rsidR="004D70B7">
        <w:rPr>
          <w:rFonts w:ascii="Calibri" w:hAnsi="Calibri" w:cs="Helv"/>
          <w:color w:val="000000"/>
        </w:rPr>
        <w:t xml:space="preserve"> valuable benefit, §121, is discussed in its own section below.</w:t>
      </w:r>
    </w:p>
    <w:p w14:paraId="0DFFAB8E" w14:textId="77777777" w:rsidR="00DA5DD7" w:rsidRDefault="001E5D8B" w:rsidP="00DA5DD7">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Surprising to many people, estates and non-grantor trusts are not eligible for the juicy $500,000 </w:t>
      </w:r>
      <w:r w:rsidR="00195BDE">
        <w:rPr>
          <w:rFonts w:ascii="Calibri" w:hAnsi="Calibri" w:cs="Helv"/>
          <w:color w:val="000000"/>
        </w:rPr>
        <w:t>§179 expensing</w:t>
      </w:r>
      <w:r>
        <w:rPr>
          <w:rFonts w:ascii="Calibri" w:hAnsi="Calibri" w:cs="Helv"/>
          <w:color w:val="000000"/>
        </w:rPr>
        <w:t xml:space="preserve"> depreciation deduction – that alone should be a reason to allow for toggling to a beneficiary defective status for portions of the trust </w:t>
      </w:r>
      <w:r w:rsidR="00155469">
        <w:rPr>
          <w:rFonts w:ascii="Calibri" w:hAnsi="Calibri" w:cs="Helv"/>
          <w:color w:val="000000"/>
        </w:rPr>
        <w:t xml:space="preserve">attributable to </w:t>
      </w:r>
      <w:r>
        <w:rPr>
          <w:rFonts w:ascii="Calibri" w:hAnsi="Calibri" w:cs="Helv"/>
          <w:color w:val="000000"/>
        </w:rPr>
        <w:t xml:space="preserve">a </w:t>
      </w:r>
      <w:r w:rsidR="00D757B6">
        <w:rPr>
          <w:rFonts w:ascii="Calibri" w:hAnsi="Calibri" w:cs="Helv"/>
          <w:color w:val="000000"/>
        </w:rPr>
        <w:t>capital-</w:t>
      </w:r>
      <w:r w:rsidR="00155469">
        <w:rPr>
          <w:rFonts w:ascii="Calibri" w:hAnsi="Calibri" w:cs="Helv"/>
          <w:color w:val="000000"/>
        </w:rPr>
        <w:t xml:space="preserve"> intensive </w:t>
      </w:r>
      <w:r w:rsidR="004E2E04">
        <w:rPr>
          <w:rFonts w:ascii="Calibri" w:hAnsi="Calibri" w:cs="Helv"/>
          <w:color w:val="000000"/>
        </w:rPr>
        <w:t xml:space="preserve">pass through entity </w:t>
      </w:r>
      <w:r>
        <w:rPr>
          <w:rFonts w:ascii="Calibri" w:hAnsi="Calibri" w:cs="Helv"/>
          <w:color w:val="000000"/>
        </w:rPr>
        <w:t>business.</w:t>
      </w:r>
      <w:r>
        <w:rPr>
          <w:rStyle w:val="FootnoteReference"/>
          <w:rFonts w:ascii="Calibri" w:hAnsi="Calibri" w:cs="Helv"/>
          <w:color w:val="000000"/>
        </w:rPr>
        <w:footnoteReference w:id="417"/>
      </w:r>
      <w:r w:rsidR="00DA5DD7">
        <w:rPr>
          <w:rFonts w:ascii="Calibri" w:hAnsi="Calibri" w:cs="Helv"/>
          <w:color w:val="000000"/>
        </w:rPr>
        <w:t xml:space="preserve">  </w:t>
      </w:r>
      <w:r w:rsidR="00195BDE">
        <w:rPr>
          <w:rFonts w:ascii="Calibri" w:hAnsi="Calibri" w:cs="Helv"/>
          <w:color w:val="000000"/>
        </w:rPr>
        <w:t>Grantor trusts are also eligible S corporation stockholders, regardless of whether there is a QSST or ESBT election, but it cannot be partially grantor as to accounting income only.</w:t>
      </w:r>
      <w:r w:rsidR="00195BDE">
        <w:rPr>
          <w:rStyle w:val="FootnoteReference"/>
          <w:rFonts w:ascii="Calibri" w:hAnsi="Calibri" w:cs="Helv"/>
          <w:color w:val="000000"/>
        </w:rPr>
        <w:footnoteReference w:id="418"/>
      </w:r>
      <w:r w:rsidR="00195BDE">
        <w:rPr>
          <w:rFonts w:ascii="Calibri" w:hAnsi="Calibri" w:cs="Helv"/>
          <w:color w:val="000000"/>
        </w:rPr>
        <w:t xml:space="preserve">  </w:t>
      </w:r>
      <w:r w:rsidR="00155469">
        <w:rPr>
          <w:rFonts w:ascii="Calibri" w:hAnsi="Calibri" w:cs="Helv"/>
          <w:color w:val="000000"/>
        </w:rPr>
        <w:t xml:space="preserve">Though more rare, provisions for taking $50,000/$100,000 ordinary rather than capital losses for sales of small business stock are unavailable to trusts, but </w:t>
      </w:r>
      <w:r w:rsidR="00BA572E">
        <w:rPr>
          <w:rFonts w:ascii="Calibri" w:hAnsi="Calibri" w:cs="Helv"/>
          <w:color w:val="000000"/>
        </w:rPr>
        <w:t>may</w:t>
      </w:r>
      <w:r w:rsidR="00155469">
        <w:rPr>
          <w:rFonts w:ascii="Calibri" w:hAnsi="Calibri" w:cs="Helv"/>
          <w:color w:val="000000"/>
        </w:rPr>
        <w:t xml:space="preserve"> be available to a beneficiary under a §678(a) structure</w:t>
      </w:r>
      <w:r w:rsidR="00CD3934">
        <w:rPr>
          <w:rFonts w:ascii="Calibri" w:hAnsi="Calibri" w:cs="Helv"/>
          <w:color w:val="000000"/>
        </w:rPr>
        <w:t>, subject to the potential caveats</w:t>
      </w:r>
      <w:r w:rsidR="00BA572E">
        <w:rPr>
          <w:rFonts w:ascii="Calibri" w:hAnsi="Calibri" w:cs="Helv"/>
          <w:color w:val="000000"/>
        </w:rPr>
        <w:t xml:space="preserve"> on treatment of losses</w:t>
      </w:r>
      <w:r w:rsidR="00CD3934">
        <w:rPr>
          <w:rFonts w:ascii="Calibri" w:hAnsi="Calibri" w:cs="Helv"/>
          <w:color w:val="000000"/>
        </w:rPr>
        <w:t xml:space="preserve"> discussed later in this section</w:t>
      </w:r>
      <w:r w:rsidR="00155469">
        <w:rPr>
          <w:rFonts w:ascii="Calibri" w:hAnsi="Calibri" w:cs="Helv"/>
          <w:color w:val="000000"/>
        </w:rPr>
        <w:t>.</w:t>
      </w:r>
      <w:r w:rsidR="00155469">
        <w:rPr>
          <w:rStyle w:val="FootnoteReference"/>
          <w:rFonts w:ascii="Calibri" w:hAnsi="Calibri" w:cs="Helv"/>
          <w:color w:val="000000"/>
        </w:rPr>
        <w:footnoteReference w:id="419"/>
      </w:r>
    </w:p>
    <w:p w14:paraId="61620FBC" w14:textId="77777777" w:rsidR="00ED26A5" w:rsidRDefault="00DA5DD7" w:rsidP="00DA5DD7">
      <w:pPr>
        <w:autoSpaceDE w:val="0"/>
        <w:autoSpaceDN w:val="0"/>
        <w:adjustRightInd w:val="0"/>
        <w:spacing w:line="360" w:lineRule="auto"/>
        <w:ind w:firstLine="720"/>
        <w:rPr>
          <w:rFonts w:ascii="Calibri" w:hAnsi="Calibri" w:cs="Helv"/>
          <w:color w:val="000000"/>
        </w:rPr>
      </w:pPr>
      <w:r>
        <w:rPr>
          <w:rFonts w:ascii="Calibri" w:hAnsi="Calibri" w:cs="Helv"/>
          <w:color w:val="000000"/>
        </w:rPr>
        <w:lastRenderedPageBreak/>
        <w:t>In fact, there is no reason that the trust cannot provide different standards for income from these special assets</w:t>
      </w:r>
      <w:r w:rsidR="00083C95">
        <w:rPr>
          <w:rFonts w:ascii="Calibri" w:hAnsi="Calibri" w:cs="Helv"/>
          <w:color w:val="000000"/>
        </w:rPr>
        <w:t xml:space="preserve"> (beneficiary withdrawal</w:t>
      </w:r>
      <w:r w:rsidR="004E2E04" w:rsidRPr="004E2E04">
        <w:rPr>
          <w:rFonts w:ascii="Calibri" w:hAnsi="Calibri" w:cs="Helv"/>
          <w:color w:val="000000"/>
        </w:rPr>
        <w:t xml:space="preserve"> </w:t>
      </w:r>
      <w:r w:rsidR="004E2E04">
        <w:rPr>
          <w:rFonts w:ascii="Calibri" w:hAnsi="Calibri" w:cs="Helv"/>
          <w:color w:val="000000"/>
        </w:rPr>
        <w:t xml:space="preserve">as opposed to </w:t>
      </w:r>
      <w:r w:rsidR="00B11DDC">
        <w:rPr>
          <w:rFonts w:ascii="Calibri" w:hAnsi="Calibri" w:cs="Helv"/>
          <w:color w:val="000000"/>
        </w:rPr>
        <w:t xml:space="preserve">traditional </w:t>
      </w:r>
      <w:r w:rsidR="004E2E04">
        <w:rPr>
          <w:rFonts w:ascii="Calibri" w:hAnsi="Calibri" w:cs="Helv"/>
          <w:color w:val="000000"/>
        </w:rPr>
        <w:t>trustee distribution</w:t>
      </w:r>
      <w:r w:rsidR="00083C95">
        <w:rPr>
          <w:rFonts w:ascii="Calibri" w:hAnsi="Calibri" w:cs="Helv"/>
          <w:color w:val="000000"/>
        </w:rPr>
        <w:t>)</w:t>
      </w:r>
      <w:r>
        <w:rPr>
          <w:rFonts w:ascii="Calibri" w:hAnsi="Calibri" w:cs="Helv"/>
          <w:color w:val="000000"/>
        </w:rPr>
        <w:t xml:space="preserve">, </w:t>
      </w:r>
      <w:r w:rsidR="00195BDE">
        <w:rPr>
          <w:rFonts w:ascii="Calibri" w:hAnsi="Calibri" w:cs="Helv"/>
          <w:color w:val="000000"/>
        </w:rPr>
        <w:t>in some cases</w:t>
      </w:r>
      <w:r>
        <w:rPr>
          <w:rFonts w:ascii="Calibri" w:hAnsi="Calibri" w:cs="Helv"/>
          <w:color w:val="000000"/>
        </w:rPr>
        <w:t xml:space="preserve"> as a separate </w:t>
      </w:r>
      <w:r w:rsidR="00195BDE">
        <w:rPr>
          <w:rFonts w:ascii="Calibri" w:hAnsi="Calibri" w:cs="Helv"/>
          <w:color w:val="000000"/>
        </w:rPr>
        <w:t>sub</w:t>
      </w:r>
      <w:r>
        <w:rPr>
          <w:rFonts w:ascii="Calibri" w:hAnsi="Calibri" w:cs="Helv"/>
          <w:color w:val="000000"/>
        </w:rPr>
        <w:t>trust, but you would not necessarily have to</w:t>
      </w:r>
      <w:r w:rsidR="00B11DDC">
        <w:rPr>
          <w:rFonts w:ascii="Calibri" w:hAnsi="Calibri" w:cs="Helv"/>
          <w:color w:val="000000"/>
        </w:rPr>
        <w:t xml:space="preserve"> (somewhat akin to some practitioners’ preference for standalone IRA trusts)</w:t>
      </w:r>
      <w:r>
        <w:rPr>
          <w:rFonts w:ascii="Calibri" w:hAnsi="Calibri" w:cs="Helv"/>
          <w:color w:val="000000"/>
        </w:rPr>
        <w:t xml:space="preserve">.  </w:t>
      </w:r>
    </w:p>
    <w:p w14:paraId="0A029816" w14:textId="77777777" w:rsidR="00AC7B5E" w:rsidRDefault="00ED26A5" w:rsidP="00DA5DD7">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Another unique advantage of using §678(a) over using </w:t>
      </w:r>
      <w:r w:rsidR="00D757B6">
        <w:rPr>
          <w:rFonts w:ascii="Calibri" w:hAnsi="Calibri" w:cs="Helv"/>
          <w:color w:val="000000"/>
        </w:rPr>
        <w:t xml:space="preserve">traditional </w:t>
      </w:r>
      <w:r>
        <w:rPr>
          <w:rFonts w:ascii="Calibri" w:hAnsi="Calibri" w:cs="Helv"/>
          <w:color w:val="000000"/>
        </w:rPr>
        <w:t xml:space="preserve">DNI distributions to shift income to the beneficiary from the trust is the ability to limit it to </w:t>
      </w:r>
      <w:r w:rsidRPr="00ED26A5">
        <w:rPr>
          <w:rFonts w:ascii="Calibri" w:hAnsi="Calibri" w:cs="Helv"/>
          <w:i/>
          <w:color w:val="000000"/>
        </w:rPr>
        <w:t>taxable</w:t>
      </w:r>
      <w:r>
        <w:rPr>
          <w:rFonts w:ascii="Calibri" w:hAnsi="Calibri" w:cs="Helv"/>
          <w:color w:val="000000"/>
        </w:rPr>
        <w:t xml:space="preserve"> income.  Let’s change our example above so that $30,000 of the $40,000 trust income is from municipal bonds – tax exempt income.  A §678(a) power can be over </w:t>
      </w:r>
      <w:r w:rsidR="00D757B6">
        <w:rPr>
          <w:rFonts w:ascii="Calibri" w:hAnsi="Calibri" w:cs="Helv"/>
          <w:color w:val="000000"/>
        </w:rPr>
        <w:t xml:space="preserve">income from </w:t>
      </w:r>
      <w:r>
        <w:rPr>
          <w:rFonts w:ascii="Calibri" w:hAnsi="Calibri" w:cs="Helv"/>
          <w:color w:val="000000"/>
        </w:rPr>
        <w:t xml:space="preserve">all assets </w:t>
      </w:r>
      <w:r w:rsidRPr="00D757B6">
        <w:rPr>
          <w:rFonts w:ascii="Calibri" w:hAnsi="Calibri" w:cs="Helv"/>
          <w:i/>
          <w:color w:val="000000"/>
        </w:rPr>
        <w:t>except</w:t>
      </w:r>
      <w:r>
        <w:rPr>
          <w:rFonts w:ascii="Calibri" w:hAnsi="Calibri" w:cs="Helv"/>
          <w:color w:val="000000"/>
        </w:rPr>
        <w:t xml:space="preserve"> the muni bonds, allowing the tax-exempt assets</w:t>
      </w:r>
      <w:r w:rsidR="00D757B6">
        <w:rPr>
          <w:rFonts w:ascii="Calibri" w:hAnsi="Calibri" w:cs="Helv"/>
          <w:color w:val="000000"/>
        </w:rPr>
        <w:t>/income</w:t>
      </w:r>
      <w:r>
        <w:rPr>
          <w:rFonts w:ascii="Calibri" w:hAnsi="Calibri" w:cs="Helv"/>
          <w:color w:val="000000"/>
        </w:rPr>
        <w:t xml:space="preserve"> to stay trapped in trust without requiring withdrawal or deemed withdrawal (to the extent no additional distributions are made).  This </w:t>
      </w:r>
      <w:r w:rsidR="00D757B6">
        <w:rPr>
          <w:rFonts w:ascii="Calibri" w:hAnsi="Calibri" w:cs="Helv"/>
          <w:color w:val="000000"/>
        </w:rPr>
        <w:t xml:space="preserve">selective character of income division </w:t>
      </w:r>
      <w:r>
        <w:rPr>
          <w:rFonts w:ascii="Calibri" w:hAnsi="Calibri" w:cs="Helv"/>
          <w:color w:val="000000"/>
        </w:rPr>
        <w:t xml:space="preserve">cannot be done with ordinary trust distributions, which must </w:t>
      </w:r>
      <w:r w:rsidR="00D757B6">
        <w:rPr>
          <w:rFonts w:ascii="Calibri" w:hAnsi="Calibri" w:cs="Helv"/>
          <w:color w:val="000000"/>
        </w:rPr>
        <w:t xml:space="preserve">typically </w:t>
      </w:r>
      <w:r>
        <w:rPr>
          <w:rFonts w:ascii="Calibri" w:hAnsi="Calibri" w:cs="Helv"/>
          <w:color w:val="000000"/>
        </w:rPr>
        <w:t>carry out non</w:t>
      </w:r>
      <w:r w:rsidR="00B11DDC">
        <w:rPr>
          <w:rFonts w:ascii="Calibri" w:hAnsi="Calibri" w:cs="Helv"/>
          <w:color w:val="000000"/>
        </w:rPr>
        <w:t>-</w:t>
      </w:r>
      <w:r>
        <w:rPr>
          <w:rFonts w:ascii="Calibri" w:hAnsi="Calibri" w:cs="Helv"/>
          <w:color w:val="000000"/>
        </w:rPr>
        <w:t>taxable income as well as taxable income.</w:t>
      </w:r>
    </w:p>
    <w:p w14:paraId="20912FFA" w14:textId="77777777" w:rsidR="000F7EFA" w:rsidRDefault="00DA5DD7" w:rsidP="0000341C">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Many practitioners already segregate IRA/qualified plan assets into separate or </w:t>
      </w:r>
      <w:r w:rsidR="00155469">
        <w:rPr>
          <w:rFonts w:ascii="Calibri" w:hAnsi="Calibri" w:cs="Helv"/>
          <w:color w:val="000000"/>
        </w:rPr>
        <w:t xml:space="preserve">even </w:t>
      </w:r>
      <w:r>
        <w:rPr>
          <w:rFonts w:ascii="Calibri" w:hAnsi="Calibri" w:cs="Helv"/>
          <w:color w:val="000000"/>
        </w:rPr>
        <w:t xml:space="preserve">standalone trusts for various </w:t>
      </w:r>
      <w:r w:rsidR="00AC7B5E">
        <w:rPr>
          <w:rFonts w:ascii="Calibri" w:hAnsi="Calibri" w:cs="Helv"/>
          <w:color w:val="000000"/>
        </w:rPr>
        <w:t xml:space="preserve">tax and </w:t>
      </w:r>
      <w:r>
        <w:rPr>
          <w:rFonts w:ascii="Calibri" w:hAnsi="Calibri" w:cs="Helv"/>
          <w:color w:val="000000"/>
        </w:rPr>
        <w:t>administrative reasons.</w:t>
      </w:r>
      <w:r w:rsidR="00B07FF7">
        <w:rPr>
          <w:rStyle w:val="FootnoteReference"/>
          <w:rFonts w:ascii="Calibri" w:hAnsi="Calibri" w:cs="Helv"/>
          <w:color w:val="000000"/>
        </w:rPr>
        <w:footnoteReference w:id="420"/>
      </w:r>
      <w:r>
        <w:rPr>
          <w:rFonts w:ascii="Calibri" w:hAnsi="Calibri" w:cs="Helv"/>
          <w:color w:val="000000"/>
        </w:rPr>
        <w:t xml:space="preserve">  Taxpayers may need to use such special assets to fund a trust to exploit the state’s </w:t>
      </w:r>
      <w:r w:rsidR="00AC7B5E">
        <w:rPr>
          <w:rFonts w:ascii="Calibri" w:hAnsi="Calibri" w:cs="Helv"/>
          <w:color w:val="000000"/>
        </w:rPr>
        <w:t xml:space="preserve">estate </w:t>
      </w:r>
      <w:r>
        <w:rPr>
          <w:rFonts w:ascii="Calibri" w:hAnsi="Calibri" w:cs="Helv"/>
          <w:color w:val="000000"/>
        </w:rPr>
        <w:t>exclusion amount, and making it a beneficiary-defective trust as to the income generated therein may be a significant benefit, even if it is slightly more “leaky”.</w:t>
      </w:r>
      <w:r w:rsidR="00AC7B5E">
        <w:rPr>
          <w:rStyle w:val="FootnoteReference"/>
          <w:rFonts w:ascii="Calibri" w:hAnsi="Calibri" w:cs="Helv"/>
          <w:color w:val="000000"/>
        </w:rPr>
        <w:footnoteReference w:id="421"/>
      </w:r>
      <w:r>
        <w:rPr>
          <w:rFonts w:ascii="Calibri" w:hAnsi="Calibri" w:cs="Helv"/>
          <w:color w:val="000000"/>
        </w:rPr>
        <w:t xml:space="preserve">  This asset protection drawback and inherent “leakiness” </w:t>
      </w:r>
      <w:r w:rsidR="00D757B6">
        <w:rPr>
          <w:rFonts w:ascii="Calibri" w:hAnsi="Calibri" w:cs="Helv"/>
          <w:color w:val="000000"/>
        </w:rPr>
        <w:t>can be significantly</w:t>
      </w:r>
      <w:r>
        <w:rPr>
          <w:rFonts w:ascii="Calibri" w:hAnsi="Calibri" w:cs="Helv"/>
          <w:color w:val="000000"/>
        </w:rPr>
        <w:t xml:space="preserve"> mitigated through a </w:t>
      </w:r>
      <w:r w:rsidRPr="004F24B2">
        <w:rPr>
          <w:rFonts w:ascii="Calibri" w:hAnsi="Calibri" w:cs="Helv"/>
          <w:i/>
          <w:color w:val="000000"/>
        </w:rPr>
        <w:t>Crummey</w:t>
      </w:r>
      <w:r>
        <w:rPr>
          <w:rFonts w:ascii="Calibri" w:hAnsi="Calibri" w:cs="Helv"/>
          <w:color w:val="000000"/>
        </w:rPr>
        <w:t>/hanging power wherein the beneficiary merely has a power to withdraw the taxable income and to the extent it is not withdrawn, the power lapses annually over 5%.</w:t>
      </w:r>
      <w:r w:rsidR="00B07FF7">
        <w:rPr>
          <w:rStyle w:val="FootnoteReference"/>
          <w:rFonts w:ascii="Calibri" w:hAnsi="Calibri" w:cs="Helv"/>
          <w:color w:val="000000"/>
        </w:rPr>
        <w:footnoteReference w:id="422"/>
      </w:r>
      <w:r>
        <w:rPr>
          <w:rFonts w:ascii="Calibri" w:hAnsi="Calibri" w:cs="Helv"/>
          <w:color w:val="000000"/>
        </w:rPr>
        <w:t xml:space="preserve"> </w:t>
      </w:r>
      <w:r w:rsidR="003265D8">
        <w:rPr>
          <w:rFonts w:ascii="Calibri" w:hAnsi="Calibri" w:cs="Helv"/>
          <w:color w:val="000000"/>
        </w:rPr>
        <w:t xml:space="preserve"> Not to mention the investment policy of the trust.</w:t>
      </w:r>
    </w:p>
    <w:p w14:paraId="78629EA2" w14:textId="77777777" w:rsidR="0000341C" w:rsidRDefault="00083C95" w:rsidP="0000341C">
      <w:pPr>
        <w:autoSpaceDE w:val="0"/>
        <w:autoSpaceDN w:val="0"/>
        <w:adjustRightInd w:val="0"/>
        <w:spacing w:line="360" w:lineRule="auto"/>
        <w:ind w:firstLine="720"/>
        <w:rPr>
          <w:rFonts w:ascii="Calibri" w:hAnsi="Calibri" w:cs="Helv"/>
          <w:color w:val="000000"/>
        </w:rPr>
      </w:pPr>
      <w:r>
        <w:rPr>
          <w:rFonts w:ascii="Calibri" w:hAnsi="Calibri" w:cs="Helv"/>
          <w:color w:val="000000"/>
        </w:rPr>
        <w:lastRenderedPageBreak/>
        <w:t xml:space="preserve">Unlike a </w:t>
      </w:r>
      <w:r w:rsidRPr="004F24B2">
        <w:rPr>
          <w:rFonts w:ascii="Calibri" w:hAnsi="Calibri" w:cs="Helv"/>
          <w:i/>
          <w:color w:val="000000"/>
        </w:rPr>
        <w:t>Crummey</w:t>
      </w:r>
      <w:r>
        <w:rPr>
          <w:rFonts w:ascii="Calibri" w:hAnsi="Calibri" w:cs="Helv"/>
          <w:color w:val="000000"/>
        </w:rPr>
        <w:t xml:space="preserve"> clause, forfeiture provisions (</w:t>
      </w:r>
      <w:r w:rsidR="00CA54DC">
        <w:rPr>
          <w:rFonts w:ascii="Calibri" w:hAnsi="Calibri" w:cs="Helv"/>
          <w:color w:val="000000"/>
        </w:rPr>
        <w:t xml:space="preserve">a.k.a. “cessor provisions”, </w:t>
      </w:r>
      <w:r>
        <w:rPr>
          <w:rFonts w:ascii="Calibri" w:hAnsi="Calibri" w:cs="Helv"/>
          <w:color w:val="000000"/>
        </w:rPr>
        <w:t>usually embedded in a more robust spendthrift clause) can automatically cut off such a withdrawal right</w:t>
      </w:r>
      <w:r w:rsidR="000F7EFA">
        <w:rPr>
          <w:rFonts w:ascii="Calibri" w:hAnsi="Calibri" w:cs="Helv"/>
          <w:color w:val="000000"/>
        </w:rPr>
        <w:t xml:space="preserve"> that is not needed to qualify for the annual gift tax exclusion</w:t>
      </w:r>
      <w:r>
        <w:rPr>
          <w:rFonts w:ascii="Calibri" w:hAnsi="Calibri" w:cs="Helv"/>
          <w:color w:val="000000"/>
        </w:rPr>
        <w:t xml:space="preserve"> </w:t>
      </w:r>
      <w:r w:rsidR="0000341C">
        <w:rPr>
          <w:rFonts w:ascii="Calibri" w:hAnsi="Calibri" w:cs="Helv"/>
          <w:color w:val="000000"/>
        </w:rPr>
        <w:t xml:space="preserve">in the event of creditor attack </w:t>
      </w:r>
      <w:r>
        <w:rPr>
          <w:rFonts w:ascii="Calibri" w:hAnsi="Calibri" w:cs="Helv"/>
          <w:color w:val="000000"/>
        </w:rPr>
        <w:t>(with appropriate carve out for QSST/marital/conduit trusts)</w:t>
      </w:r>
      <w:r w:rsidR="0000341C">
        <w:rPr>
          <w:rFonts w:ascii="Calibri" w:hAnsi="Calibri" w:cs="Helv"/>
          <w:color w:val="000000"/>
        </w:rPr>
        <w:t>, or a trust protector provision might do so as well</w:t>
      </w:r>
      <w:r>
        <w:rPr>
          <w:rFonts w:ascii="Calibri" w:hAnsi="Calibri" w:cs="Helv"/>
          <w:color w:val="000000"/>
        </w:rPr>
        <w:t>.</w:t>
      </w:r>
      <w:r w:rsidR="003265D8" w:rsidRPr="003265D8">
        <w:rPr>
          <w:rFonts w:ascii="Calibri" w:hAnsi="Calibri" w:cs="Helv"/>
          <w:color w:val="000000"/>
        </w:rPr>
        <w:t xml:space="preserve"> </w:t>
      </w:r>
      <w:r w:rsidR="003265D8">
        <w:rPr>
          <w:rFonts w:ascii="Calibri" w:hAnsi="Calibri" w:cs="Helv"/>
          <w:color w:val="000000"/>
        </w:rPr>
        <w:t xml:space="preserve">To keep within the §678(a) “sole” power requirement, </w:t>
      </w:r>
      <w:r w:rsidR="000D5891">
        <w:rPr>
          <w:rFonts w:ascii="Calibri" w:hAnsi="Calibri" w:cs="Helv"/>
          <w:color w:val="000000"/>
        </w:rPr>
        <w:t>and improve asset protection, withdrawal rights can be limited to a window in time (e.g. December 15-31</w:t>
      </w:r>
      <w:r w:rsidR="00D757B6">
        <w:rPr>
          <w:rFonts w:ascii="Calibri" w:hAnsi="Calibri" w:cs="Helv"/>
          <w:color w:val="000000"/>
        </w:rPr>
        <w:t>, or as one PLR did, simply the last day of the year</w:t>
      </w:r>
      <w:r w:rsidR="000D5891">
        <w:rPr>
          <w:rFonts w:ascii="Calibri" w:hAnsi="Calibri" w:cs="Helv"/>
          <w:color w:val="000000"/>
        </w:rPr>
        <w:t>),</w:t>
      </w:r>
      <w:r w:rsidR="00F512AE" w:rsidRPr="00F512AE">
        <w:t xml:space="preserve"> </w:t>
      </w:r>
      <w:r w:rsidR="00F512AE" w:rsidRPr="00F512AE">
        <w:rPr>
          <w:rFonts w:ascii="Calibri" w:hAnsi="Calibri" w:cs="Helv"/>
          <w:color w:val="000000"/>
        </w:rPr>
        <w:t xml:space="preserve">similar to </w:t>
      </w:r>
      <w:r w:rsidR="00D757B6">
        <w:rPr>
          <w:rFonts w:ascii="Calibri" w:hAnsi="Calibri" w:cs="Helv"/>
          <w:color w:val="000000"/>
        </w:rPr>
        <w:t xml:space="preserve">how </w:t>
      </w:r>
      <w:r w:rsidR="00F512AE" w:rsidRPr="00F512AE">
        <w:rPr>
          <w:rFonts w:ascii="Calibri" w:hAnsi="Calibri" w:cs="Helv"/>
          <w:color w:val="000000"/>
        </w:rPr>
        <w:t xml:space="preserve">5/5 power limitations </w:t>
      </w:r>
      <w:r w:rsidR="00D757B6">
        <w:rPr>
          <w:rFonts w:ascii="Calibri" w:hAnsi="Calibri" w:cs="Helv"/>
          <w:color w:val="000000"/>
        </w:rPr>
        <w:t>are often drafted</w:t>
      </w:r>
      <w:r w:rsidR="00F512AE">
        <w:rPr>
          <w:rFonts w:ascii="Calibri" w:hAnsi="Calibri" w:cs="Helv"/>
          <w:color w:val="000000"/>
        </w:rPr>
        <w:t>,</w:t>
      </w:r>
      <w:r w:rsidR="000D5891">
        <w:rPr>
          <w:rFonts w:ascii="Calibri" w:hAnsi="Calibri" w:cs="Helv"/>
          <w:color w:val="000000"/>
        </w:rPr>
        <w:t xml:space="preserve"> and </w:t>
      </w:r>
      <w:r w:rsidR="00F8433B">
        <w:rPr>
          <w:rFonts w:ascii="Calibri" w:hAnsi="Calibri" w:cs="Helv"/>
          <w:color w:val="000000"/>
        </w:rPr>
        <w:t>cessor</w:t>
      </w:r>
      <w:r w:rsidR="003265D8">
        <w:rPr>
          <w:rFonts w:ascii="Calibri" w:hAnsi="Calibri" w:cs="Helv"/>
          <w:color w:val="000000"/>
        </w:rPr>
        <w:t xml:space="preserve"> provisions should probably only become effective </w:t>
      </w:r>
      <w:r w:rsidR="000D5891">
        <w:rPr>
          <w:rFonts w:ascii="Calibri" w:hAnsi="Calibri" w:cs="Helv"/>
          <w:color w:val="000000"/>
        </w:rPr>
        <w:t>prospectively so as not to impugn the “sole power”</w:t>
      </w:r>
      <w:r w:rsidR="003265D8">
        <w:rPr>
          <w:rFonts w:ascii="Calibri" w:hAnsi="Calibri" w:cs="Helv"/>
          <w:color w:val="000000"/>
        </w:rPr>
        <w:t>.</w:t>
      </w:r>
    </w:p>
    <w:p w14:paraId="7A6CB657" w14:textId="77777777" w:rsidR="005B6D1B" w:rsidRDefault="001E6BA2" w:rsidP="00DA5DD7">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There is no reason that a </w:t>
      </w:r>
      <w:r w:rsidR="00751FF1">
        <w:rPr>
          <w:rFonts w:ascii="Calibri" w:hAnsi="Calibri" w:cs="Helv"/>
          <w:color w:val="000000"/>
        </w:rPr>
        <w:t>§</w:t>
      </w:r>
      <w:r>
        <w:rPr>
          <w:rFonts w:ascii="Calibri" w:hAnsi="Calibri" w:cs="Helv"/>
          <w:color w:val="000000"/>
        </w:rPr>
        <w:t>678(a)</w:t>
      </w:r>
      <w:r w:rsidR="00D757B6">
        <w:rPr>
          <w:rFonts w:ascii="Calibri" w:hAnsi="Calibri" w:cs="Helv"/>
          <w:color w:val="000000"/>
        </w:rPr>
        <w:t>(1)</w:t>
      </w:r>
      <w:r>
        <w:rPr>
          <w:rFonts w:ascii="Calibri" w:hAnsi="Calibri" w:cs="Helv"/>
          <w:color w:val="000000"/>
        </w:rPr>
        <w:t xml:space="preserve"> power has to be all or nothing, or even the same every year!  </w:t>
      </w:r>
      <w:r w:rsidR="008A2454">
        <w:rPr>
          <w:rFonts w:ascii="Calibri" w:hAnsi="Calibri" w:cs="Helv"/>
          <w:color w:val="000000"/>
        </w:rPr>
        <w:t>It</w:t>
      </w:r>
      <w:r w:rsidR="0000341C">
        <w:rPr>
          <w:rFonts w:ascii="Calibri" w:hAnsi="Calibri" w:cs="Helv"/>
          <w:color w:val="000000"/>
        </w:rPr>
        <w:t xml:space="preserve"> can be more targeted than the traditional distribution structure</w:t>
      </w:r>
      <w:r w:rsidR="005B6D1B">
        <w:rPr>
          <w:rFonts w:ascii="Calibri" w:hAnsi="Calibri" w:cs="Helv"/>
          <w:color w:val="000000"/>
        </w:rPr>
        <w:t xml:space="preserve"> under Subchapter J, which does not allow tracing of types of income</w:t>
      </w:r>
      <w:r w:rsidR="0000341C">
        <w:rPr>
          <w:rFonts w:ascii="Calibri" w:hAnsi="Calibri" w:cs="Helv"/>
          <w:color w:val="000000"/>
        </w:rPr>
        <w:t xml:space="preserve">.  For example, </w:t>
      </w:r>
      <w:r w:rsidR="00F8433B">
        <w:rPr>
          <w:rFonts w:ascii="Calibri" w:hAnsi="Calibri" w:cs="Helv"/>
          <w:color w:val="000000"/>
        </w:rPr>
        <w:t xml:space="preserve">let’s </w:t>
      </w:r>
      <w:r w:rsidR="0000341C">
        <w:rPr>
          <w:rFonts w:ascii="Calibri" w:hAnsi="Calibri" w:cs="Helv"/>
          <w:color w:val="000000"/>
        </w:rPr>
        <w:t xml:space="preserve">say a trust grants the beneficiary the </w:t>
      </w:r>
      <w:r w:rsidR="00D7767C">
        <w:rPr>
          <w:rFonts w:ascii="Calibri" w:hAnsi="Calibri" w:cs="Helv"/>
          <w:color w:val="000000"/>
        </w:rPr>
        <w:t xml:space="preserve">unfettered withdrawal </w:t>
      </w:r>
      <w:r w:rsidR="0000341C">
        <w:rPr>
          <w:rFonts w:ascii="Calibri" w:hAnsi="Calibri" w:cs="Helv"/>
          <w:color w:val="000000"/>
        </w:rPr>
        <w:t xml:space="preserve">right to all income attributable to all assets </w:t>
      </w:r>
      <w:r w:rsidR="0000341C" w:rsidRPr="00D7767C">
        <w:rPr>
          <w:rFonts w:ascii="Calibri" w:hAnsi="Calibri" w:cs="Helv"/>
          <w:i/>
          <w:color w:val="000000"/>
        </w:rPr>
        <w:t>except</w:t>
      </w:r>
      <w:r w:rsidR="0000341C">
        <w:rPr>
          <w:rFonts w:ascii="Calibri" w:hAnsi="Calibri" w:cs="Helv"/>
          <w:color w:val="000000"/>
        </w:rPr>
        <w:t xml:space="preserve"> the municipal bond portfolio</w:t>
      </w:r>
      <w:r w:rsidR="005B6D1B">
        <w:rPr>
          <w:rFonts w:ascii="Calibri" w:hAnsi="Calibri" w:cs="Helv"/>
          <w:color w:val="000000"/>
        </w:rPr>
        <w:t>, the stock portfolio</w:t>
      </w:r>
      <w:r w:rsidR="0049545F">
        <w:rPr>
          <w:rFonts w:ascii="Calibri" w:hAnsi="Calibri" w:cs="Helv"/>
          <w:color w:val="000000"/>
        </w:rPr>
        <w:t xml:space="preserve"> and the Roth IRA</w:t>
      </w:r>
      <w:r w:rsidR="0000341C">
        <w:rPr>
          <w:rFonts w:ascii="Calibri" w:hAnsi="Calibri" w:cs="Helv"/>
          <w:color w:val="000000"/>
        </w:rPr>
        <w:t>.</w:t>
      </w:r>
      <w:r w:rsidR="00AE383A">
        <w:rPr>
          <w:rFonts w:ascii="Calibri" w:hAnsi="Calibri" w:cs="Helv"/>
          <w:color w:val="000000"/>
        </w:rPr>
        <w:t xml:space="preserve">  This leaves income from those assets (0%, 23.8% for LTCG/QD, 0%</w:t>
      </w:r>
      <w:r w:rsidR="008A2454">
        <w:rPr>
          <w:rFonts w:ascii="Calibri" w:hAnsi="Calibri" w:cs="Helv"/>
          <w:color w:val="000000"/>
        </w:rPr>
        <w:t xml:space="preserve"> respectively</w:t>
      </w:r>
      <w:r w:rsidR="00AE383A">
        <w:rPr>
          <w:rFonts w:ascii="Calibri" w:hAnsi="Calibri" w:cs="Helv"/>
          <w:color w:val="000000"/>
        </w:rPr>
        <w:t xml:space="preserve">) in trust, and </w:t>
      </w:r>
      <w:r w:rsidR="00F8433B">
        <w:rPr>
          <w:rFonts w:ascii="Calibri" w:hAnsi="Calibri" w:cs="Helv"/>
          <w:color w:val="000000"/>
        </w:rPr>
        <w:t xml:space="preserve">only </w:t>
      </w:r>
      <w:r w:rsidR="00AE383A">
        <w:rPr>
          <w:rFonts w:ascii="Calibri" w:hAnsi="Calibri" w:cs="Helv"/>
          <w:color w:val="000000"/>
        </w:rPr>
        <w:t>shifts t</w:t>
      </w:r>
      <w:r w:rsidR="00F8433B">
        <w:rPr>
          <w:rFonts w:ascii="Calibri" w:hAnsi="Calibri" w:cs="Helv"/>
          <w:color w:val="000000"/>
        </w:rPr>
        <w:t>axation of any ordinary income</w:t>
      </w:r>
      <w:r w:rsidR="00AE383A">
        <w:rPr>
          <w:rFonts w:ascii="Calibri" w:hAnsi="Calibri" w:cs="Helv"/>
          <w:color w:val="000000"/>
        </w:rPr>
        <w:t xml:space="preserve"> </w:t>
      </w:r>
      <w:r w:rsidR="005B6D1B">
        <w:rPr>
          <w:rFonts w:ascii="Calibri" w:hAnsi="Calibri" w:cs="Helv"/>
          <w:color w:val="000000"/>
        </w:rPr>
        <w:t>rent, traditional IRA</w:t>
      </w:r>
      <w:r w:rsidR="00F8433B">
        <w:rPr>
          <w:rFonts w:ascii="Calibri" w:hAnsi="Calibri" w:cs="Helv"/>
          <w:color w:val="000000"/>
        </w:rPr>
        <w:t xml:space="preserve"> distribution, annuity</w:t>
      </w:r>
      <w:r w:rsidR="008A2454">
        <w:rPr>
          <w:rFonts w:ascii="Calibri" w:hAnsi="Calibri" w:cs="Helv"/>
          <w:color w:val="000000"/>
        </w:rPr>
        <w:t xml:space="preserve"> </w:t>
      </w:r>
      <w:r w:rsidR="00F8433B">
        <w:rPr>
          <w:rFonts w:ascii="Calibri" w:hAnsi="Calibri" w:cs="Helv"/>
          <w:color w:val="000000"/>
        </w:rPr>
        <w:t xml:space="preserve">or </w:t>
      </w:r>
      <w:r w:rsidR="005B6D1B">
        <w:rPr>
          <w:rFonts w:ascii="Calibri" w:hAnsi="Calibri" w:cs="Helv"/>
          <w:color w:val="000000"/>
        </w:rPr>
        <w:t xml:space="preserve">taxable interest </w:t>
      </w:r>
      <w:r w:rsidR="00AE383A">
        <w:rPr>
          <w:rFonts w:ascii="Calibri" w:hAnsi="Calibri" w:cs="Helv"/>
          <w:color w:val="000000"/>
        </w:rPr>
        <w:t xml:space="preserve">to the beneficiary.  This </w:t>
      </w:r>
      <w:r w:rsidR="00F8433B">
        <w:rPr>
          <w:rFonts w:ascii="Calibri" w:hAnsi="Calibri" w:cs="Helv"/>
          <w:color w:val="000000"/>
        </w:rPr>
        <w:t>exploits a larg</w:t>
      </w:r>
      <w:r w:rsidR="00CD3934">
        <w:rPr>
          <w:rFonts w:ascii="Calibri" w:hAnsi="Calibri" w:cs="Helv"/>
          <w:color w:val="000000"/>
        </w:rPr>
        <w:t>er delta of the likely tax rate differential</w:t>
      </w:r>
      <w:r w:rsidR="00F8433B">
        <w:rPr>
          <w:rFonts w:ascii="Calibri" w:hAnsi="Calibri" w:cs="Helv"/>
          <w:color w:val="000000"/>
        </w:rPr>
        <w:t xml:space="preserve"> between a trust and beneficiary, i.e. </w:t>
      </w:r>
      <w:r w:rsidR="00AE383A">
        <w:rPr>
          <w:rFonts w:ascii="Calibri" w:hAnsi="Calibri" w:cs="Helv"/>
          <w:color w:val="000000"/>
        </w:rPr>
        <w:t>a</w:t>
      </w:r>
      <w:r w:rsidR="005B6D1B">
        <w:rPr>
          <w:rFonts w:ascii="Calibri" w:hAnsi="Calibri" w:cs="Helv"/>
          <w:color w:val="000000"/>
        </w:rPr>
        <w:t xml:space="preserve"> 43.4%</w:t>
      </w:r>
      <w:r w:rsidR="00F8433B">
        <w:rPr>
          <w:rFonts w:ascii="Calibri" w:hAnsi="Calibri" w:cs="Helv"/>
          <w:color w:val="000000"/>
        </w:rPr>
        <w:t xml:space="preserve"> or 39.6%</w:t>
      </w:r>
      <w:r w:rsidR="005B6D1B">
        <w:rPr>
          <w:rFonts w:ascii="Calibri" w:hAnsi="Calibri" w:cs="Helv"/>
          <w:color w:val="000000"/>
        </w:rPr>
        <w:t xml:space="preserve"> </w:t>
      </w:r>
      <w:r w:rsidR="00F8433B">
        <w:rPr>
          <w:rFonts w:ascii="Calibri" w:hAnsi="Calibri" w:cs="Helv"/>
          <w:color w:val="000000"/>
        </w:rPr>
        <w:t xml:space="preserve">trust tax </w:t>
      </w:r>
      <w:r w:rsidR="005B6D1B">
        <w:rPr>
          <w:rFonts w:ascii="Calibri" w:hAnsi="Calibri" w:cs="Helv"/>
          <w:color w:val="000000"/>
        </w:rPr>
        <w:t xml:space="preserve">rate </w:t>
      </w:r>
      <w:r w:rsidR="00F8433B">
        <w:rPr>
          <w:rFonts w:ascii="Calibri" w:hAnsi="Calibri" w:cs="Helv"/>
          <w:color w:val="000000"/>
        </w:rPr>
        <w:t xml:space="preserve">down </w:t>
      </w:r>
      <w:r w:rsidR="00AE383A">
        <w:rPr>
          <w:rFonts w:ascii="Calibri" w:hAnsi="Calibri" w:cs="Helv"/>
          <w:color w:val="000000"/>
        </w:rPr>
        <w:t xml:space="preserve">to </w:t>
      </w:r>
      <w:r w:rsidR="008A2454">
        <w:rPr>
          <w:rFonts w:ascii="Calibri" w:hAnsi="Calibri" w:cs="Helv"/>
          <w:color w:val="000000"/>
        </w:rPr>
        <w:t xml:space="preserve">a likely </w:t>
      </w:r>
      <w:r w:rsidR="00AE383A">
        <w:rPr>
          <w:rFonts w:ascii="Calibri" w:hAnsi="Calibri" w:cs="Helv"/>
          <w:color w:val="000000"/>
        </w:rPr>
        <w:t>15</w:t>
      </w:r>
      <w:r w:rsidR="008A2454">
        <w:rPr>
          <w:rFonts w:ascii="Calibri" w:hAnsi="Calibri" w:cs="Helv"/>
          <w:color w:val="000000"/>
        </w:rPr>
        <w:t>%</w:t>
      </w:r>
      <w:r w:rsidR="00F8433B">
        <w:rPr>
          <w:rFonts w:ascii="Calibri" w:hAnsi="Calibri" w:cs="Helv"/>
          <w:color w:val="000000"/>
        </w:rPr>
        <w:t xml:space="preserve"> or</w:t>
      </w:r>
      <w:r w:rsidR="00AE383A">
        <w:rPr>
          <w:rFonts w:ascii="Calibri" w:hAnsi="Calibri" w:cs="Helv"/>
          <w:color w:val="000000"/>
        </w:rPr>
        <w:t xml:space="preserve"> 25% taxed to the beneficiary.</w:t>
      </w:r>
      <w:r w:rsidR="00F8433B">
        <w:rPr>
          <w:rFonts w:ascii="Calibri" w:hAnsi="Calibri" w:cs="Helv"/>
          <w:color w:val="000000"/>
        </w:rPr>
        <w:t xml:space="preserve">  Or, </w:t>
      </w:r>
      <w:r w:rsidR="00D757B6">
        <w:rPr>
          <w:rFonts w:ascii="Calibri" w:hAnsi="Calibri" w:cs="Helv"/>
          <w:color w:val="000000"/>
        </w:rPr>
        <w:t>the 678(a)(1) withdrawal right</w:t>
      </w:r>
      <w:r w:rsidR="00F8433B">
        <w:rPr>
          <w:rFonts w:ascii="Calibri" w:hAnsi="Calibri" w:cs="Helv"/>
          <w:color w:val="000000"/>
        </w:rPr>
        <w:t xml:space="preserve"> might be limited to only </w:t>
      </w:r>
      <w:r w:rsidR="00D757B6">
        <w:rPr>
          <w:rFonts w:ascii="Calibri" w:hAnsi="Calibri" w:cs="Helv"/>
          <w:color w:val="000000"/>
        </w:rPr>
        <w:t xml:space="preserve">taxable </w:t>
      </w:r>
      <w:r w:rsidR="00F8433B">
        <w:rPr>
          <w:rFonts w:ascii="Calibri" w:hAnsi="Calibri" w:cs="Helv"/>
          <w:color w:val="000000"/>
        </w:rPr>
        <w:t>income</w:t>
      </w:r>
      <w:r w:rsidR="00D757B6">
        <w:rPr>
          <w:rFonts w:ascii="Calibri" w:hAnsi="Calibri" w:cs="Helv"/>
          <w:color w:val="000000"/>
        </w:rPr>
        <w:t xml:space="preserve"> (i.e., exempt the income</w:t>
      </w:r>
      <w:r w:rsidR="00F8433B">
        <w:rPr>
          <w:rFonts w:ascii="Calibri" w:hAnsi="Calibri" w:cs="Helv"/>
          <w:color w:val="000000"/>
        </w:rPr>
        <w:t xml:space="preserve"> attributable to Roth </w:t>
      </w:r>
      <w:r w:rsidR="00D757B6">
        <w:rPr>
          <w:rFonts w:ascii="Calibri" w:hAnsi="Calibri" w:cs="Helv"/>
          <w:color w:val="000000"/>
        </w:rPr>
        <w:t>IRA distributions and muni bond interest)</w:t>
      </w:r>
      <w:r w:rsidR="00F8433B">
        <w:rPr>
          <w:rFonts w:ascii="Calibri" w:hAnsi="Calibri" w:cs="Helv"/>
          <w:color w:val="000000"/>
        </w:rPr>
        <w:t>.</w:t>
      </w:r>
      <w:r w:rsidR="0000341C">
        <w:rPr>
          <w:rFonts w:ascii="Calibri" w:hAnsi="Calibri" w:cs="Helv"/>
          <w:color w:val="000000"/>
        </w:rPr>
        <w:t xml:space="preserve">  </w:t>
      </w:r>
    </w:p>
    <w:p w14:paraId="379C33CC" w14:textId="77777777" w:rsidR="001E6BA2" w:rsidRDefault="0000341C" w:rsidP="00DA5DD7">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This </w:t>
      </w:r>
      <w:r w:rsidR="005B6D1B">
        <w:rPr>
          <w:rFonts w:ascii="Calibri" w:hAnsi="Calibri" w:cs="Helv"/>
          <w:color w:val="000000"/>
        </w:rPr>
        <w:t xml:space="preserve">withdrawal power </w:t>
      </w:r>
      <w:r>
        <w:rPr>
          <w:rFonts w:ascii="Calibri" w:hAnsi="Calibri" w:cs="Helv"/>
          <w:color w:val="000000"/>
        </w:rPr>
        <w:t xml:space="preserve">could also be capped – e.g., all income attributable to assets other than the </w:t>
      </w:r>
      <w:r w:rsidR="00CD3934">
        <w:rPr>
          <w:rFonts w:ascii="Calibri" w:hAnsi="Calibri" w:cs="Helv"/>
          <w:color w:val="000000"/>
        </w:rPr>
        <w:t>muni bond portfolio above $12,40</w:t>
      </w:r>
      <w:r>
        <w:rPr>
          <w:rFonts w:ascii="Calibri" w:hAnsi="Calibri" w:cs="Helv"/>
          <w:color w:val="000000"/>
        </w:rPr>
        <w:t>0, or</w:t>
      </w:r>
      <w:r w:rsidR="000359EA">
        <w:rPr>
          <w:rFonts w:ascii="Calibri" w:hAnsi="Calibri" w:cs="Helv"/>
          <w:color w:val="000000"/>
        </w:rPr>
        <w:t xml:space="preserve"> even </w:t>
      </w:r>
      <w:r w:rsidR="00FC5FC4">
        <w:rPr>
          <w:rFonts w:ascii="Calibri" w:hAnsi="Calibri" w:cs="Helv"/>
          <w:color w:val="000000"/>
        </w:rPr>
        <w:t>reference an external criteria,</w:t>
      </w:r>
      <w:r w:rsidR="000359EA">
        <w:rPr>
          <w:rFonts w:ascii="Calibri" w:hAnsi="Calibri" w:cs="Helv"/>
          <w:color w:val="000000"/>
        </w:rPr>
        <w:t xml:space="preserve"> such as</w:t>
      </w:r>
      <w:r w:rsidR="001E6BA2">
        <w:rPr>
          <w:rFonts w:ascii="Calibri" w:hAnsi="Calibri" w:cs="Helv"/>
          <w:color w:val="000000"/>
        </w:rPr>
        <w:t xml:space="preserve"> income to a point until his/her taxable income exceeds $400,000/$450,000</w:t>
      </w:r>
      <w:r w:rsidR="00D757B6">
        <w:rPr>
          <w:rFonts w:ascii="Calibri" w:hAnsi="Calibri" w:cs="Helv"/>
          <w:color w:val="000000"/>
        </w:rPr>
        <w:t xml:space="preserve"> (as </w:t>
      </w:r>
      <w:r w:rsidR="00D757B6">
        <w:rPr>
          <w:rFonts w:ascii="Calibri" w:hAnsi="Calibri" w:cs="Helv"/>
          <w:color w:val="000000"/>
        </w:rPr>
        <w:lastRenderedPageBreak/>
        <w:t>adjusted for inflation)</w:t>
      </w:r>
      <w:r w:rsidR="001E6BA2">
        <w:rPr>
          <w:rFonts w:ascii="Calibri" w:hAnsi="Calibri" w:cs="Helv"/>
          <w:color w:val="000000"/>
        </w:rPr>
        <w:t xml:space="preserve"> top income tax bracket.</w:t>
      </w:r>
      <w:r w:rsidR="000359EA">
        <w:rPr>
          <w:rFonts w:ascii="Calibri" w:hAnsi="Calibri" w:cs="Helv"/>
          <w:color w:val="000000"/>
        </w:rPr>
        <w:t xml:space="preserve">  </w:t>
      </w:r>
      <w:r w:rsidR="00FC5FC4">
        <w:rPr>
          <w:rFonts w:ascii="Calibri" w:hAnsi="Calibri" w:cs="Helv"/>
          <w:color w:val="000000"/>
        </w:rPr>
        <w:t>Th</w:t>
      </w:r>
      <w:r w:rsidR="00D757B6">
        <w:rPr>
          <w:rFonts w:ascii="Calibri" w:hAnsi="Calibri" w:cs="Helv"/>
          <w:color w:val="000000"/>
        </w:rPr>
        <w:t>ese variations</w:t>
      </w:r>
      <w:r w:rsidR="00FC5FC4">
        <w:rPr>
          <w:rFonts w:ascii="Calibri" w:hAnsi="Calibri" w:cs="Helv"/>
          <w:color w:val="000000"/>
        </w:rPr>
        <w:t xml:space="preserve"> certainly </w:t>
      </w:r>
      <w:r w:rsidR="00D757B6">
        <w:rPr>
          <w:rFonts w:ascii="Calibri" w:hAnsi="Calibri" w:cs="Helv"/>
          <w:i/>
          <w:color w:val="000000"/>
        </w:rPr>
        <w:t>complicate</w:t>
      </w:r>
      <w:r w:rsidR="00FC5FC4" w:rsidRPr="008A2454">
        <w:rPr>
          <w:rFonts w:ascii="Calibri" w:hAnsi="Calibri" w:cs="Helv"/>
          <w:i/>
          <w:color w:val="000000"/>
        </w:rPr>
        <w:t xml:space="preserve"> administration</w:t>
      </w:r>
      <w:r w:rsidR="00FC5FC4">
        <w:rPr>
          <w:rFonts w:ascii="Calibri" w:hAnsi="Calibri" w:cs="Helv"/>
          <w:i/>
          <w:color w:val="000000"/>
        </w:rPr>
        <w:t>, however, and, similar to our discussions in Part III about formula powers, the desire to squeeze every last cent of tax savings leads to diminishing returns that may not be warranted because of greater complexity.</w:t>
      </w:r>
      <w:r w:rsidR="00FC5FC4">
        <w:rPr>
          <w:rFonts w:ascii="Calibri" w:hAnsi="Calibri" w:cs="Helv"/>
          <w:color w:val="000000"/>
        </w:rPr>
        <w:t xml:space="preserve"> </w:t>
      </w:r>
      <w:r w:rsidR="000359EA">
        <w:rPr>
          <w:rFonts w:ascii="Calibri" w:hAnsi="Calibri" w:cs="Helv"/>
          <w:color w:val="000000"/>
        </w:rPr>
        <w:t xml:space="preserve">Remember </w:t>
      </w:r>
      <w:r w:rsidR="00FC5FC4">
        <w:rPr>
          <w:rFonts w:ascii="Calibri" w:hAnsi="Calibri" w:cs="Helv"/>
          <w:color w:val="000000"/>
        </w:rPr>
        <w:t>that a partial grantor trust</w:t>
      </w:r>
      <w:r w:rsidR="000359EA">
        <w:rPr>
          <w:rFonts w:ascii="Calibri" w:hAnsi="Calibri" w:cs="Helv"/>
          <w:color w:val="000000"/>
        </w:rPr>
        <w:t xml:space="preserve"> also forces a portioning of any expenses, such as investment management/trustee</w:t>
      </w:r>
      <w:r w:rsidR="005B6D1B">
        <w:rPr>
          <w:rFonts w:ascii="Calibri" w:hAnsi="Calibri" w:cs="Helv"/>
          <w:color w:val="000000"/>
        </w:rPr>
        <w:t>, attorney</w:t>
      </w:r>
      <w:r w:rsidR="000359EA">
        <w:rPr>
          <w:rFonts w:ascii="Calibri" w:hAnsi="Calibri" w:cs="Helv"/>
          <w:color w:val="000000"/>
        </w:rPr>
        <w:t xml:space="preserve"> fees, though directly attributable expenses (e.g. real estate taxes on the residence) may </w:t>
      </w:r>
      <w:r w:rsidR="00A07E50">
        <w:rPr>
          <w:rFonts w:ascii="Calibri" w:hAnsi="Calibri" w:cs="Helv"/>
          <w:color w:val="000000"/>
        </w:rPr>
        <w:t xml:space="preserve">be traced and </w:t>
      </w:r>
      <w:r w:rsidR="00D757B6">
        <w:rPr>
          <w:rFonts w:ascii="Calibri" w:hAnsi="Calibri" w:cs="Helv"/>
          <w:color w:val="000000"/>
        </w:rPr>
        <w:t>be specifically allocated to</w:t>
      </w:r>
      <w:r w:rsidR="000359EA">
        <w:rPr>
          <w:rFonts w:ascii="Calibri" w:hAnsi="Calibri" w:cs="Helv"/>
          <w:color w:val="000000"/>
        </w:rPr>
        <w:t xml:space="preserve"> the §678(a) beneficiary</w:t>
      </w:r>
      <w:r w:rsidR="00D757B6">
        <w:rPr>
          <w:rFonts w:ascii="Calibri" w:hAnsi="Calibri" w:cs="Helv"/>
          <w:color w:val="000000"/>
        </w:rPr>
        <w:t>’s income</w:t>
      </w:r>
      <w:r w:rsidR="000359EA">
        <w:rPr>
          <w:rFonts w:ascii="Calibri" w:hAnsi="Calibri" w:cs="Helv"/>
          <w:color w:val="000000"/>
        </w:rPr>
        <w:t xml:space="preserve"> or </w:t>
      </w:r>
      <w:r w:rsidR="00D757B6">
        <w:rPr>
          <w:rFonts w:ascii="Calibri" w:hAnsi="Calibri" w:cs="Helv"/>
          <w:color w:val="000000"/>
        </w:rPr>
        <w:t xml:space="preserve">the </w:t>
      </w:r>
      <w:r w:rsidR="00AE383A">
        <w:rPr>
          <w:rFonts w:ascii="Calibri" w:hAnsi="Calibri" w:cs="Helv"/>
          <w:color w:val="000000"/>
        </w:rPr>
        <w:t xml:space="preserve">non-grantor </w:t>
      </w:r>
      <w:r w:rsidR="000359EA">
        <w:rPr>
          <w:rFonts w:ascii="Calibri" w:hAnsi="Calibri" w:cs="Helv"/>
          <w:color w:val="000000"/>
        </w:rPr>
        <w:t xml:space="preserve">trust </w:t>
      </w:r>
      <w:r w:rsidR="00AE383A">
        <w:rPr>
          <w:rFonts w:ascii="Calibri" w:hAnsi="Calibri" w:cs="Helv"/>
          <w:color w:val="000000"/>
        </w:rPr>
        <w:t xml:space="preserve">portion, </w:t>
      </w:r>
      <w:r w:rsidR="00D757B6">
        <w:rPr>
          <w:rFonts w:ascii="Calibri" w:hAnsi="Calibri" w:cs="Helv"/>
          <w:color w:val="000000"/>
        </w:rPr>
        <w:t>depending on</w:t>
      </w:r>
      <w:r w:rsidR="00FC5FC4">
        <w:rPr>
          <w:rFonts w:ascii="Calibri" w:hAnsi="Calibri" w:cs="Helv"/>
          <w:color w:val="000000"/>
        </w:rPr>
        <w:t xml:space="preserve"> which portion is getting the income</w:t>
      </w:r>
      <w:r w:rsidR="000359EA">
        <w:rPr>
          <w:rFonts w:ascii="Calibri" w:hAnsi="Calibri" w:cs="Helv"/>
          <w:color w:val="000000"/>
        </w:rPr>
        <w:t>.</w:t>
      </w:r>
      <w:r w:rsidR="000359EA">
        <w:rPr>
          <w:rStyle w:val="FootnoteReference"/>
          <w:rFonts w:ascii="Calibri" w:hAnsi="Calibri" w:cs="Helv"/>
          <w:color w:val="000000"/>
        </w:rPr>
        <w:footnoteReference w:id="423"/>
      </w:r>
      <w:r w:rsidR="00D7767C">
        <w:rPr>
          <w:rFonts w:ascii="Calibri" w:hAnsi="Calibri" w:cs="Helv"/>
          <w:color w:val="000000"/>
        </w:rPr>
        <w:t xml:space="preserve">  Any structure with withdrawal rights over only certain types of assets would have issues if the beneficiary were the </w:t>
      </w:r>
      <w:r w:rsidR="00A07E50">
        <w:rPr>
          <w:rFonts w:ascii="Calibri" w:hAnsi="Calibri" w:cs="Helv"/>
          <w:color w:val="000000"/>
        </w:rPr>
        <w:t xml:space="preserve">sole trustee or </w:t>
      </w:r>
      <w:r w:rsidR="00D7767C">
        <w:rPr>
          <w:rFonts w:ascii="Calibri" w:hAnsi="Calibri" w:cs="Helv"/>
          <w:color w:val="000000"/>
        </w:rPr>
        <w:t>controlling investment trustee</w:t>
      </w:r>
      <w:r w:rsidR="00A07E50">
        <w:rPr>
          <w:rFonts w:ascii="Calibri" w:hAnsi="Calibri" w:cs="Helv"/>
          <w:color w:val="000000"/>
        </w:rPr>
        <w:t>/advisor</w:t>
      </w:r>
      <w:r w:rsidR="00D7767C">
        <w:rPr>
          <w:rFonts w:ascii="Calibri" w:hAnsi="Calibri" w:cs="Helv"/>
          <w:color w:val="000000"/>
        </w:rPr>
        <w:t>, and fiduciary duties and conflicts would have to be worked around even with an independent trustee, but it’s not insurmountable.</w:t>
      </w:r>
    </w:p>
    <w:p w14:paraId="7349AFC6" w14:textId="77777777" w:rsidR="000D5891" w:rsidRDefault="000D5891" w:rsidP="00DA5DD7">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Despite the above possibilities, by far the most likely use for this is a family that wants to SIMPLIFY trust administration </w:t>
      </w:r>
      <w:r w:rsidR="00B47939">
        <w:rPr>
          <w:rFonts w:ascii="Calibri" w:hAnsi="Calibri" w:cs="Helv"/>
          <w:color w:val="000000"/>
        </w:rPr>
        <w:t>and accounting and ensure they c</w:t>
      </w:r>
      <w:r>
        <w:rPr>
          <w:rFonts w:ascii="Calibri" w:hAnsi="Calibri" w:cs="Helv"/>
          <w:color w:val="000000"/>
        </w:rPr>
        <w:t xml:space="preserve">ould not be “worse off” income tax wise with a trust. </w:t>
      </w:r>
      <w:r w:rsidR="00AE383A">
        <w:rPr>
          <w:rFonts w:ascii="Calibri" w:hAnsi="Calibri" w:cs="Helv"/>
          <w:color w:val="000000"/>
        </w:rPr>
        <w:t xml:space="preserve">This means a withdrawal power over </w:t>
      </w:r>
      <w:r w:rsidR="00AE383A" w:rsidRPr="008A2454">
        <w:rPr>
          <w:rFonts w:ascii="Calibri" w:hAnsi="Calibri" w:cs="Helv"/>
          <w:b/>
          <w:color w:val="000000"/>
        </w:rPr>
        <w:t>all</w:t>
      </w:r>
      <w:r w:rsidR="00AE383A">
        <w:rPr>
          <w:rFonts w:ascii="Calibri" w:hAnsi="Calibri" w:cs="Helv"/>
          <w:color w:val="000000"/>
        </w:rPr>
        <w:t xml:space="preserve"> taxable income.</w:t>
      </w:r>
      <w:r>
        <w:rPr>
          <w:rFonts w:ascii="Calibri" w:hAnsi="Calibri" w:cs="Helv"/>
          <w:color w:val="000000"/>
        </w:rPr>
        <w:t xml:space="preserve"> </w:t>
      </w:r>
      <w:r w:rsidR="00AE383A">
        <w:rPr>
          <w:rFonts w:ascii="Calibri" w:hAnsi="Calibri" w:cs="Helv"/>
          <w:color w:val="000000"/>
        </w:rPr>
        <w:t>Such a provision can eliminate a traditional 1041 filing</w:t>
      </w:r>
      <w:r>
        <w:rPr>
          <w:rFonts w:ascii="Calibri" w:hAnsi="Calibri" w:cs="Helv"/>
          <w:color w:val="000000"/>
        </w:rPr>
        <w:t xml:space="preserve">, </w:t>
      </w:r>
      <w:r w:rsidR="00AE383A">
        <w:rPr>
          <w:rFonts w:ascii="Calibri" w:hAnsi="Calibri" w:cs="Helv"/>
          <w:color w:val="000000"/>
        </w:rPr>
        <w:t xml:space="preserve">even </w:t>
      </w:r>
      <w:r w:rsidR="008A2454">
        <w:rPr>
          <w:rFonts w:ascii="Calibri" w:hAnsi="Calibri" w:cs="Helv"/>
          <w:color w:val="000000"/>
        </w:rPr>
        <w:t xml:space="preserve">though </w:t>
      </w:r>
      <w:r w:rsidR="00D757B6">
        <w:rPr>
          <w:rFonts w:ascii="Calibri" w:hAnsi="Calibri" w:cs="Helv"/>
          <w:color w:val="000000"/>
        </w:rPr>
        <w:t xml:space="preserve">even fully </w:t>
      </w:r>
      <w:r>
        <w:rPr>
          <w:rFonts w:ascii="Calibri" w:hAnsi="Calibri" w:cs="Helv"/>
          <w:color w:val="000000"/>
        </w:rPr>
        <w:t>grantor trusts still have nominal reporting requirements.</w:t>
      </w:r>
      <w:r>
        <w:rPr>
          <w:rStyle w:val="FootnoteReference"/>
          <w:rFonts w:ascii="Calibri" w:hAnsi="Calibri" w:cs="Helv"/>
          <w:color w:val="000000"/>
        </w:rPr>
        <w:footnoteReference w:id="424"/>
      </w:r>
    </w:p>
    <w:p w14:paraId="4C0DC2C0" w14:textId="77777777" w:rsidR="00FC5FC4" w:rsidRDefault="00FC5FC4" w:rsidP="00DA5DD7">
      <w:pPr>
        <w:autoSpaceDE w:val="0"/>
        <w:autoSpaceDN w:val="0"/>
        <w:adjustRightInd w:val="0"/>
        <w:spacing w:line="360" w:lineRule="auto"/>
        <w:ind w:firstLine="720"/>
        <w:rPr>
          <w:rFonts w:ascii="Calibri" w:hAnsi="Calibri" w:cs="Helv"/>
          <w:color w:val="000000"/>
        </w:rPr>
      </w:pPr>
      <w:r>
        <w:rPr>
          <w:rFonts w:ascii="Calibri" w:hAnsi="Calibri" w:cs="Helv"/>
          <w:color w:val="000000"/>
        </w:rPr>
        <w:t>As we discussed in Parts II and III, estate planning practitioners often pay short shrift to the possibility that assets decline in value (hence the common use of the term “step up”, optimistically ignoring the fact that it may also be a “step down”).  This is also an important concept to remember for ongoing income tax planning.  If a non-grantor trust or estate incurs a</w:t>
      </w:r>
      <w:r w:rsidR="00CB6674">
        <w:rPr>
          <w:rFonts w:ascii="Calibri" w:hAnsi="Calibri" w:cs="Helv"/>
          <w:color w:val="000000"/>
        </w:rPr>
        <w:t>n anomalous</w:t>
      </w:r>
      <w:r>
        <w:rPr>
          <w:rFonts w:ascii="Calibri" w:hAnsi="Calibri" w:cs="Helv"/>
          <w:color w:val="000000"/>
        </w:rPr>
        <w:t xml:space="preserve"> net capital </w:t>
      </w:r>
      <w:r w:rsidRPr="00FC5FC4">
        <w:rPr>
          <w:rFonts w:ascii="Calibri" w:hAnsi="Calibri" w:cs="Helv"/>
          <w:b/>
          <w:i/>
          <w:color w:val="000000"/>
        </w:rPr>
        <w:t>loss</w:t>
      </w:r>
      <w:r>
        <w:rPr>
          <w:rFonts w:ascii="Calibri" w:hAnsi="Calibri" w:cs="Helv"/>
          <w:b/>
          <w:i/>
          <w:color w:val="000000"/>
        </w:rPr>
        <w:t xml:space="preserve">, </w:t>
      </w:r>
      <w:r w:rsidRPr="00FC5FC4">
        <w:rPr>
          <w:rFonts w:ascii="Calibri" w:hAnsi="Calibri" w:cs="Helv"/>
          <w:i/>
          <w:color w:val="000000"/>
        </w:rPr>
        <w:t xml:space="preserve">this is </w:t>
      </w:r>
      <w:r w:rsidR="00CB6674">
        <w:rPr>
          <w:rFonts w:ascii="Calibri" w:hAnsi="Calibri" w:cs="Helv"/>
          <w:i/>
          <w:color w:val="000000"/>
        </w:rPr>
        <w:t>often</w:t>
      </w:r>
      <w:r w:rsidRPr="00FC5FC4">
        <w:rPr>
          <w:rFonts w:ascii="Calibri" w:hAnsi="Calibri" w:cs="Helv"/>
          <w:i/>
          <w:color w:val="000000"/>
        </w:rPr>
        <w:t xml:space="preserve"> completely wasted, unless it is a final year of termination, at which point it can pass out to beneficiaries and be used by them to the extent of gains, or up to $3,000 of ordinary income</w:t>
      </w:r>
      <w:r>
        <w:rPr>
          <w:rFonts w:ascii="Calibri" w:hAnsi="Calibri" w:cs="Helv"/>
          <w:b/>
          <w:i/>
          <w:color w:val="000000"/>
        </w:rPr>
        <w:t>.</w:t>
      </w:r>
      <w:r>
        <w:rPr>
          <w:rStyle w:val="FootnoteReference"/>
          <w:rFonts w:ascii="Calibri" w:hAnsi="Calibri" w:cs="Helv"/>
          <w:b/>
          <w:i/>
          <w:color w:val="000000"/>
        </w:rPr>
        <w:footnoteReference w:id="425"/>
      </w:r>
      <w:r w:rsidR="00E57266">
        <w:rPr>
          <w:rFonts w:ascii="Calibri" w:hAnsi="Calibri" w:cs="Helv"/>
          <w:b/>
          <w:i/>
          <w:color w:val="000000"/>
        </w:rPr>
        <w:t xml:space="preserve">  </w:t>
      </w:r>
      <w:r w:rsidR="00E57266" w:rsidRPr="00CD3934">
        <w:rPr>
          <w:rFonts w:ascii="Calibri" w:hAnsi="Calibri" w:cs="Helv"/>
          <w:i/>
          <w:color w:val="000000"/>
        </w:rPr>
        <w:t>By contrast, a</w:t>
      </w:r>
      <w:r w:rsidR="00CD3934" w:rsidRPr="00CD3934">
        <w:rPr>
          <w:rFonts w:ascii="Calibri" w:hAnsi="Calibri" w:cs="Helv"/>
          <w:i/>
          <w:color w:val="000000"/>
        </w:rPr>
        <w:t xml:space="preserve"> fully</w:t>
      </w:r>
      <w:r w:rsidR="00E57266" w:rsidRPr="00CD3934">
        <w:rPr>
          <w:rFonts w:ascii="Calibri" w:hAnsi="Calibri" w:cs="Helv"/>
          <w:i/>
          <w:color w:val="000000"/>
        </w:rPr>
        <w:t xml:space="preserve"> grantor trust</w:t>
      </w:r>
      <w:r w:rsidR="00CB6674" w:rsidRPr="00CD3934">
        <w:rPr>
          <w:rFonts w:ascii="Calibri" w:hAnsi="Calibri" w:cs="Helv"/>
          <w:i/>
          <w:color w:val="000000"/>
        </w:rPr>
        <w:t>, even a beneficiary-deemed owner trust,</w:t>
      </w:r>
      <w:r w:rsidR="00E57266" w:rsidRPr="00CD3934">
        <w:rPr>
          <w:rFonts w:ascii="Calibri" w:hAnsi="Calibri" w:cs="Helv"/>
          <w:i/>
          <w:color w:val="000000"/>
        </w:rPr>
        <w:t xml:space="preserve"> wherein the beneficiary is responsible for the gains and losses </w:t>
      </w:r>
      <w:r w:rsidR="00E57266" w:rsidRPr="00CD3934">
        <w:rPr>
          <w:rFonts w:ascii="Calibri" w:hAnsi="Calibri" w:cs="Helv"/>
          <w:i/>
          <w:color w:val="000000"/>
        </w:rPr>
        <w:lastRenderedPageBreak/>
        <w:t>on a particular asset</w:t>
      </w:r>
      <w:r w:rsidR="00D757B6">
        <w:rPr>
          <w:rFonts w:ascii="Calibri" w:hAnsi="Calibri" w:cs="Helv"/>
          <w:i/>
          <w:color w:val="000000"/>
        </w:rPr>
        <w:t>,</w:t>
      </w:r>
      <w:r w:rsidR="00E57266" w:rsidRPr="00CD3934">
        <w:rPr>
          <w:rFonts w:ascii="Calibri" w:hAnsi="Calibri" w:cs="Helv"/>
          <w:i/>
          <w:color w:val="000000"/>
        </w:rPr>
        <w:t xml:space="preserve"> </w:t>
      </w:r>
      <w:r w:rsidR="00D757B6">
        <w:rPr>
          <w:rFonts w:ascii="Calibri" w:hAnsi="Calibri" w:cs="Helv"/>
          <w:i/>
          <w:color w:val="000000"/>
        </w:rPr>
        <w:t>may</w:t>
      </w:r>
      <w:r w:rsidR="00E57266" w:rsidRPr="00CD3934">
        <w:rPr>
          <w:rFonts w:ascii="Calibri" w:hAnsi="Calibri" w:cs="Helv"/>
          <w:i/>
          <w:color w:val="000000"/>
        </w:rPr>
        <w:t xml:space="preserve"> pass through any capital losses directly to the beneficiary.</w:t>
      </w:r>
      <w:r w:rsidR="00E57266" w:rsidRPr="00CD3934">
        <w:rPr>
          <w:rStyle w:val="FootnoteReference"/>
          <w:rFonts w:ascii="Calibri" w:hAnsi="Calibri" w:cs="Helv"/>
          <w:i/>
          <w:color w:val="000000"/>
        </w:rPr>
        <w:footnoteReference w:id="426"/>
      </w:r>
      <w:r w:rsidR="00E57266">
        <w:rPr>
          <w:rFonts w:ascii="Calibri" w:hAnsi="Calibri" w:cs="Helv"/>
          <w:color w:val="000000"/>
        </w:rPr>
        <w:t xml:space="preserve">  </w:t>
      </w:r>
      <w:r w:rsidR="00D757B6">
        <w:rPr>
          <w:rFonts w:ascii="Calibri" w:hAnsi="Calibri" w:cs="Helv"/>
          <w:color w:val="000000"/>
        </w:rPr>
        <w:t xml:space="preserve">However, we should explore a potential tax difference here between §678(a)(1) trusts that contain a current withdrawal power over only </w:t>
      </w:r>
      <w:r w:rsidR="00D757B6" w:rsidRPr="00D757B6">
        <w:rPr>
          <w:rFonts w:ascii="Calibri" w:hAnsi="Calibri" w:cs="Helv"/>
          <w:i/>
          <w:color w:val="000000"/>
        </w:rPr>
        <w:t>income</w:t>
      </w:r>
      <w:r w:rsidR="00D757B6">
        <w:rPr>
          <w:rFonts w:ascii="Calibri" w:hAnsi="Calibri" w:cs="Helv"/>
          <w:color w:val="000000"/>
        </w:rPr>
        <w:t xml:space="preserve">, and a §678(a)(1) or (2) trust that contains a current or lapsed/released power over the entire </w:t>
      </w:r>
      <w:r w:rsidR="00D757B6" w:rsidRPr="00D757B6">
        <w:rPr>
          <w:rFonts w:ascii="Calibri" w:hAnsi="Calibri" w:cs="Helv"/>
          <w:i/>
          <w:color w:val="000000"/>
        </w:rPr>
        <w:t>corpus</w:t>
      </w:r>
      <w:r w:rsidR="00C35C5A">
        <w:rPr>
          <w:rFonts w:ascii="Calibri" w:hAnsi="Calibri" w:cs="Helv"/>
          <w:color w:val="000000"/>
        </w:rPr>
        <w:t>.</w:t>
      </w:r>
    </w:p>
    <w:p w14:paraId="0C3D8F12" w14:textId="77777777" w:rsidR="00D757B6" w:rsidRDefault="00CB6674" w:rsidP="00DA5DD7">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The prospect of a loss passing through </w:t>
      </w:r>
      <w:r w:rsidR="00D757B6">
        <w:rPr>
          <w:rFonts w:ascii="Calibri" w:hAnsi="Calibri" w:cs="Helv"/>
          <w:color w:val="000000"/>
        </w:rPr>
        <w:t xml:space="preserve">when there is only a §678(a)(1) power over income </w:t>
      </w:r>
      <w:r>
        <w:rPr>
          <w:rFonts w:ascii="Calibri" w:hAnsi="Calibri" w:cs="Helv"/>
          <w:color w:val="000000"/>
        </w:rPr>
        <w:t xml:space="preserve">is a strange one, and merits a bit of explanation – neither the </w:t>
      </w:r>
      <w:r w:rsidRPr="00CB6674">
        <w:rPr>
          <w:rFonts w:ascii="Calibri" w:hAnsi="Calibri" w:cs="Helv"/>
          <w:i/>
          <w:color w:val="000000"/>
        </w:rPr>
        <w:t>Mallinck</w:t>
      </w:r>
      <w:r w:rsidR="00176EF8">
        <w:rPr>
          <w:rFonts w:ascii="Calibri" w:hAnsi="Calibri" w:cs="Helv"/>
          <w:i/>
          <w:color w:val="000000"/>
        </w:rPr>
        <w:t>r</w:t>
      </w:r>
      <w:r w:rsidRPr="00CB6674">
        <w:rPr>
          <w:rFonts w:ascii="Calibri" w:hAnsi="Calibri" w:cs="Helv"/>
          <w:i/>
          <w:color w:val="000000"/>
        </w:rPr>
        <w:t>odt</w:t>
      </w:r>
      <w:r>
        <w:rPr>
          <w:rFonts w:ascii="Calibri" w:hAnsi="Calibri" w:cs="Helv"/>
          <w:color w:val="000000"/>
        </w:rPr>
        <w:t xml:space="preserve">, </w:t>
      </w:r>
      <w:r w:rsidRPr="00CB6674">
        <w:rPr>
          <w:rFonts w:ascii="Calibri" w:hAnsi="Calibri" w:cs="Helv"/>
          <w:i/>
          <w:color w:val="000000"/>
        </w:rPr>
        <w:t>Townsend</w:t>
      </w:r>
      <w:r>
        <w:rPr>
          <w:rFonts w:ascii="Calibri" w:hAnsi="Calibri" w:cs="Helv"/>
          <w:color w:val="000000"/>
        </w:rPr>
        <w:t xml:space="preserve"> or </w:t>
      </w:r>
      <w:r w:rsidRPr="00CB6674">
        <w:rPr>
          <w:rFonts w:ascii="Calibri" w:hAnsi="Calibri" w:cs="Helv"/>
          <w:i/>
          <w:color w:val="000000"/>
        </w:rPr>
        <w:t>Campbell</w:t>
      </w:r>
      <w:r>
        <w:rPr>
          <w:rFonts w:ascii="Calibri" w:hAnsi="Calibri" w:cs="Helv"/>
          <w:color w:val="000000"/>
        </w:rPr>
        <w:t xml:space="preserve"> cases cited above </w:t>
      </w:r>
      <w:r w:rsidR="00B0230A">
        <w:rPr>
          <w:rFonts w:ascii="Calibri" w:hAnsi="Calibri" w:cs="Helv"/>
          <w:color w:val="000000"/>
        </w:rPr>
        <w:t xml:space="preserve">(nor any other) </w:t>
      </w:r>
      <w:r>
        <w:rPr>
          <w:rFonts w:ascii="Calibri" w:hAnsi="Calibri" w:cs="Helv"/>
          <w:color w:val="000000"/>
        </w:rPr>
        <w:t xml:space="preserve">dealt with </w:t>
      </w:r>
      <w:r w:rsidR="00B0230A">
        <w:rPr>
          <w:rFonts w:ascii="Calibri" w:hAnsi="Calibri" w:cs="Helv"/>
          <w:color w:val="000000"/>
        </w:rPr>
        <w:t xml:space="preserve">the effect of </w:t>
      </w:r>
      <w:r w:rsidR="00CD3934">
        <w:rPr>
          <w:rFonts w:ascii="Calibri" w:hAnsi="Calibri" w:cs="Helv"/>
          <w:color w:val="000000"/>
        </w:rPr>
        <w:t xml:space="preserve">a withdrawal right pursuant to §678 over </w:t>
      </w:r>
      <w:r w:rsidR="00B0230A" w:rsidRPr="00CD3934">
        <w:rPr>
          <w:rFonts w:ascii="Calibri" w:hAnsi="Calibri" w:cs="Helv"/>
          <w:i/>
          <w:color w:val="000000"/>
        </w:rPr>
        <w:t>negative</w:t>
      </w:r>
      <w:r w:rsidR="00B0230A">
        <w:rPr>
          <w:rFonts w:ascii="Calibri" w:hAnsi="Calibri" w:cs="Helv"/>
          <w:color w:val="000000"/>
        </w:rPr>
        <w:t xml:space="preserve"> income</w:t>
      </w:r>
      <w:r>
        <w:rPr>
          <w:rFonts w:ascii="Calibri" w:hAnsi="Calibri" w:cs="Helv"/>
          <w:color w:val="000000"/>
        </w:rPr>
        <w:t xml:space="preserve">.  How do you have the right to withdrawal a </w:t>
      </w:r>
      <w:r w:rsidRPr="00CB6674">
        <w:rPr>
          <w:rFonts w:ascii="Calibri" w:hAnsi="Calibri" w:cs="Helv"/>
          <w:i/>
          <w:color w:val="000000"/>
        </w:rPr>
        <w:t>negative</w:t>
      </w:r>
      <w:r>
        <w:rPr>
          <w:rFonts w:ascii="Calibri" w:hAnsi="Calibri" w:cs="Helv"/>
          <w:color w:val="000000"/>
        </w:rPr>
        <w:t xml:space="preserve"> amount, which </w:t>
      </w:r>
      <w:r w:rsidR="00CD3934">
        <w:rPr>
          <w:rFonts w:ascii="Calibri" w:hAnsi="Calibri" w:cs="Helv"/>
          <w:color w:val="000000"/>
        </w:rPr>
        <w:t>may be</w:t>
      </w:r>
      <w:r>
        <w:rPr>
          <w:rFonts w:ascii="Calibri" w:hAnsi="Calibri" w:cs="Helv"/>
          <w:color w:val="000000"/>
        </w:rPr>
        <w:t xml:space="preserve"> indicated if there is a net capital loss?</w:t>
      </w:r>
      <w:r w:rsidR="00B0230A">
        <w:rPr>
          <w:rFonts w:ascii="Calibri" w:hAnsi="Calibri" w:cs="Helv"/>
          <w:color w:val="000000"/>
        </w:rPr>
        <w:t xml:space="preserve">  If there is sufficient </w:t>
      </w:r>
      <w:r w:rsidR="00CD3934">
        <w:rPr>
          <w:rFonts w:ascii="Calibri" w:hAnsi="Calibri" w:cs="Helv"/>
          <w:color w:val="000000"/>
        </w:rPr>
        <w:t xml:space="preserve">other capital gains or </w:t>
      </w:r>
      <w:r w:rsidR="00B0230A">
        <w:rPr>
          <w:rFonts w:ascii="Calibri" w:hAnsi="Calibri" w:cs="Helv"/>
          <w:color w:val="000000"/>
        </w:rPr>
        <w:t xml:space="preserve">DNI type income, it </w:t>
      </w:r>
      <w:r w:rsidR="00D757B6">
        <w:rPr>
          <w:rFonts w:ascii="Calibri" w:hAnsi="Calibri" w:cs="Helv"/>
          <w:color w:val="000000"/>
        </w:rPr>
        <w:t>is</w:t>
      </w:r>
      <w:r w:rsidR="00B0230A">
        <w:rPr>
          <w:rFonts w:ascii="Calibri" w:hAnsi="Calibri" w:cs="Helv"/>
          <w:color w:val="000000"/>
        </w:rPr>
        <w:t xml:space="preserve"> logical to net them, and the powerholder’s sole unfettered access and the rationale for Subpart E still makes perfect sense (e.g., if the trust has $50,000 dividends, and $30,000 net capital loss, the powerholder can withdraw </w:t>
      </w:r>
      <w:r w:rsidR="00D757B6">
        <w:rPr>
          <w:rFonts w:ascii="Calibri" w:hAnsi="Calibri" w:cs="Helv"/>
          <w:color w:val="000000"/>
        </w:rPr>
        <w:t xml:space="preserve">an amount equal to </w:t>
      </w:r>
      <w:r w:rsidR="00CD3934">
        <w:rPr>
          <w:rFonts w:ascii="Calibri" w:hAnsi="Calibri" w:cs="Helv"/>
          <w:color w:val="000000"/>
        </w:rPr>
        <w:t xml:space="preserve">the net taxable income of </w:t>
      </w:r>
      <w:r w:rsidR="00B0230A">
        <w:rPr>
          <w:rFonts w:ascii="Calibri" w:hAnsi="Calibri" w:cs="Helv"/>
          <w:color w:val="000000"/>
        </w:rPr>
        <w:t xml:space="preserve">$20,000).  But what if the trust had $50,000 of dividends and a $100,000 capital </w:t>
      </w:r>
      <w:r w:rsidR="00B0230A" w:rsidRPr="00B0230A">
        <w:rPr>
          <w:rFonts w:ascii="Calibri" w:hAnsi="Calibri" w:cs="Helv"/>
          <w:i/>
          <w:color w:val="FF0000"/>
        </w:rPr>
        <w:t>loss</w:t>
      </w:r>
      <w:r w:rsidR="00B0230A">
        <w:rPr>
          <w:rFonts w:ascii="Calibri" w:hAnsi="Calibri" w:cs="Helv"/>
          <w:color w:val="000000"/>
        </w:rPr>
        <w:t>?  The beneficiary would have no right to withdraw anything.</w:t>
      </w:r>
      <w:r w:rsidR="00D757B6">
        <w:rPr>
          <w:rStyle w:val="FootnoteReference"/>
          <w:rFonts w:ascii="Calibri" w:hAnsi="Calibri" w:cs="Helv"/>
          <w:color w:val="000000"/>
        </w:rPr>
        <w:footnoteReference w:id="427"/>
      </w:r>
      <w:r w:rsidR="00B0230A">
        <w:rPr>
          <w:rFonts w:ascii="Calibri" w:hAnsi="Calibri" w:cs="Helv"/>
          <w:color w:val="000000"/>
        </w:rPr>
        <w:t xml:space="preserve"> </w:t>
      </w:r>
      <w:r w:rsidR="00CD3934">
        <w:rPr>
          <w:rFonts w:ascii="Calibri" w:hAnsi="Calibri" w:cs="Helv"/>
          <w:color w:val="000000"/>
        </w:rPr>
        <w:t xml:space="preserve"> </w:t>
      </w:r>
      <w:r w:rsidR="005460A3">
        <w:rPr>
          <w:rFonts w:ascii="Calibri" w:hAnsi="Calibri" w:cs="Helv"/>
          <w:color w:val="000000"/>
        </w:rPr>
        <w:t xml:space="preserve">Must or may </w:t>
      </w:r>
      <w:r w:rsidR="005460A3" w:rsidRPr="00FC1411">
        <w:rPr>
          <w:rFonts w:ascii="Calibri" w:hAnsi="Calibri" w:cs="Helv"/>
          <w:i/>
          <w:color w:val="000000"/>
        </w:rPr>
        <w:t>the beneficiary</w:t>
      </w:r>
      <w:r w:rsidR="005460A3">
        <w:rPr>
          <w:rFonts w:ascii="Calibri" w:hAnsi="Calibri" w:cs="Helv"/>
          <w:color w:val="000000"/>
        </w:rPr>
        <w:t xml:space="preserve"> report the loss?  Probably so</w:t>
      </w:r>
      <w:r w:rsidR="00D757B6">
        <w:rPr>
          <w:rFonts w:ascii="Calibri" w:hAnsi="Calibri" w:cs="Helv"/>
          <w:color w:val="000000"/>
        </w:rPr>
        <w:t xml:space="preserve">, but it may depend on whether the beneficiary power holder bears the burden of the loss by the </w:t>
      </w:r>
      <w:r w:rsidR="00FC1411">
        <w:rPr>
          <w:rFonts w:ascii="Calibri" w:hAnsi="Calibri" w:cs="Helv"/>
          <w:color w:val="000000"/>
        </w:rPr>
        <w:t xml:space="preserve">trust </w:t>
      </w:r>
      <w:r w:rsidR="00D757B6">
        <w:rPr>
          <w:rFonts w:ascii="Calibri" w:hAnsi="Calibri" w:cs="Helv"/>
          <w:color w:val="000000"/>
        </w:rPr>
        <w:t xml:space="preserve">document accounting for this and truing the books in future years.  After all, </w:t>
      </w:r>
      <w:r w:rsidR="005460A3">
        <w:rPr>
          <w:rFonts w:ascii="Calibri" w:hAnsi="Calibri" w:cs="Helv"/>
          <w:color w:val="000000"/>
        </w:rPr>
        <w:t xml:space="preserve">it was the beneficiary </w:t>
      </w:r>
      <w:r w:rsidR="00D757B6">
        <w:rPr>
          <w:rFonts w:ascii="Calibri" w:hAnsi="Calibri" w:cs="Helv"/>
          <w:color w:val="000000"/>
        </w:rPr>
        <w:t xml:space="preserve">power holder </w:t>
      </w:r>
      <w:r w:rsidR="005460A3">
        <w:rPr>
          <w:rFonts w:ascii="Calibri" w:hAnsi="Calibri" w:cs="Helv"/>
          <w:color w:val="000000"/>
        </w:rPr>
        <w:t>who has the ultimate stake in whether the assets produce a gain or not</w:t>
      </w:r>
      <w:r w:rsidR="00D757B6">
        <w:rPr>
          <w:rFonts w:ascii="Calibri" w:hAnsi="Calibri" w:cs="Helv"/>
          <w:color w:val="000000"/>
        </w:rPr>
        <w:t xml:space="preserve">.  </w:t>
      </w:r>
    </w:p>
    <w:p w14:paraId="7C12F932" w14:textId="77777777" w:rsidR="00CB6674" w:rsidRDefault="00D757B6" w:rsidP="00DA5DD7">
      <w:pPr>
        <w:autoSpaceDE w:val="0"/>
        <w:autoSpaceDN w:val="0"/>
        <w:adjustRightInd w:val="0"/>
        <w:spacing w:line="360" w:lineRule="auto"/>
        <w:ind w:firstLine="720"/>
        <w:rPr>
          <w:rFonts w:ascii="Calibri" w:hAnsi="Calibri" w:cs="Helv"/>
          <w:color w:val="000000"/>
        </w:rPr>
      </w:pPr>
      <w:r>
        <w:rPr>
          <w:rFonts w:ascii="Calibri" w:hAnsi="Calibri" w:cs="Helv"/>
          <w:color w:val="000000"/>
        </w:rPr>
        <w:t>That said</w:t>
      </w:r>
      <w:r w:rsidR="005460A3">
        <w:rPr>
          <w:rFonts w:ascii="Calibri" w:hAnsi="Calibri" w:cs="Helv"/>
          <w:color w:val="000000"/>
        </w:rPr>
        <w:t xml:space="preserve">, </w:t>
      </w:r>
      <w:r w:rsidR="00CD3934">
        <w:rPr>
          <w:rFonts w:ascii="Calibri" w:hAnsi="Calibri" w:cs="Helv"/>
          <w:color w:val="000000"/>
        </w:rPr>
        <w:t>the law is</w:t>
      </w:r>
      <w:r w:rsidR="005460A3">
        <w:rPr>
          <w:rFonts w:ascii="Calibri" w:hAnsi="Calibri" w:cs="Helv"/>
          <w:color w:val="000000"/>
        </w:rPr>
        <w:t xml:space="preserve"> </w:t>
      </w:r>
      <w:r>
        <w:rPr>
          <w:rFonts w:ascii="Calibri" w:hAnsi="Calibri" w:cs="Helv"/>
          <w:color w:val="000000"/>
        </w:rPr>
        <w:t>far from</w:t>
      </w:r>
      <w:r w:rsidR="005460A3">
        <w:rPr>
          <w:rFonts w:ascii="Calibri" w:hAnsi="Calibri" w:cs="Helv"/>
          <w:color w:val="000000"/>
        </w:rPr>
        <w:t xml:space="preserve"> clear</w:t>
      </w:r>
      <w:r w:rsidR="00CD3934">
        <w:rPr>
          <w:rFonts w:ascii="Calibri" w:hAnsi="Calibri" w:cs="Helv"/>
          <w:color w:val="000000"/>
        </w:rPr>
        <w:t xml:space="preserve"> on this point</w:t>
      </w:r>
      <w:r w:rsidR="005460A3">
        <w:rPr>
          <w:rFonts w:ascii="Calibri" w:hAnsi="Calibri" w:cs="Helv"/>
          <w:color w:val="000000"/>
        </w:rPr>
        <w:t xml:space="preserve">.  </w:t>
      </w:r>
      <w:r w:rsidR="00B0230A">
        <w:rPr>
          <w:rFonts w:ascii="Calibri" w:hAnsi="Calibri" w:cs="Helv"/>
          <w:color w:val="000000"/>
        </w:rPr>
        <w:t xml:space="preserve">One recent PLR cited above, PLR 2016-33021, was completely silent on the issue and merely ruled that net capital gains </w:t>
      </w:r>
      <w:r>
        <w:rPr>
          <w:rFonts w:ascii="Calibri" w:hAnsi="Calibri" w:cs="Helv"/>
          <w:color w:val="000000"/>
        </w:rPr>
        <w:t xml:space="preserve">with a withdrawal provision </w:t>
      </w:r>
      <w:r w:rsidR="00B0230A">
        <w:rPr>
          <w:rFonts w:ascii="Calibri" w:hAnsi="Calibri" w:cs="Helv"/>
          <w:color w:val="000000"/>
        </w:rPr>
        <w:t>would pass through to the beneficiary</w:t>
      </w:r>
      <w:r>
        <w:rPr>
          <w:rFonts w:ascii="Calibri" w:hAnsi="Calibri" w:cs="Helv"/>
          <w:color w:val="000000"/>
        </w:rPr>
        <w:t>,</w:t>
      </w:r>
      <w:r w:rsidR="00267859">
        <w:rPr>
          <w:rFonts w:ascii="Calibri" w:hAnsi="Calibri" w:cs="Helv"/>
          <w:color w:val="000000"/>
        </w:rPr>
        <w:t xml:space="preserve"> without speaking</w:t>
      </w:r>
      <w:r>
        <w:rPr>
          <w:rFonts w:ascii="Calibri" w:hAnsi="Calibri" w:cs="Helv"/>
          <w:color w:val="000000"/>
        </w:rPr>
        <w:t xml:space="preserve"> at all</w:t>
      </w:r>
      <w:r w:rsidR="00267859">
        <w:rPr>
          <w:rFonts w:ascii="Calibri" w:hAnsi="Calibri" w:cs="Helv"/>
          <w:color w:val="000000"/>
        </w:rPr>
        <w:t xml:space="preserve"> to how </w:t>
      </w:r>
      <w:r>
        <w:rPr>
          <w:rFonts w:ascii="Calibri" w:hAnsi="Calibri" w:cs="Helv"/>
          <w:color w:val="000000"/>
        </w:rPr>
        <w:t xml:space="preserve">any </w:t>
      </w:r>
      <w:r w:rsidR="00267859">
        <w:rPr>
          <w:rFonts w:ascii="Calibri" w:hAnsi="Calibri" w:cs="Helv"/>
          <w:color w:val="000000"/>
        </w:rPr>
        <w:t xml:space="preserve">net </w:t>
      </w:r>
      <w:r w:rsidR="00267859" w:rsidRPr="00D757B6">
        <w:rPr>
          <w:rFonts w:ascii="Calibri" w:hAnsi="Calibri" w:cs="Helv"/>
          <w:i/>
          <w:color w:val="000000"/>
        </w:rPr>
        <w:t>losses</w:t>
      </w:r>
      <w:r w:rsidR="00267859">
        <w:rPr>
          <w:rFonts w:ascii="Calibri" w:hAnsi="Calibri" w:cs="Helv"/>
          <w:color w:val="000000"/>
        </w:rPr>
        <w:t xml:space="preserve"> </w:t>
      </w:r>
      <w:r>
        <w:rPr>
          <w:rFonts w:ascii="Calibri" w:hAnsi="Calibri" w:cs="Helv"/>
          <w:color w:val="000000"/>
        </w:rPr>
        <w:t>should</w:t>
      </w:r>
      <w:r w:rsidR="00267859">
        <w:rPr>
          <w:rFonts w:ascii="Calibri" w:hAnsi="Calibri" w:cs="Helv"/>
          <w:color w:val="000000"/>
        </w:rPr>
        <w:t xml:space="preserve"> be treated</w:t>
      </w:r>
      <w:r w:rsidR="00B0230A">
        <w:rPr>
          <w:rFonts w:ascii="Calibri" w:hAnsi="Calibri" w:cs="Helv"/>
          <w:color w:val="000000"/>
        </w:rPr>
        <w:t xml:space="preserve">.  </w:t>
      </w:r>
      <w:r w:rsidR="005460A3">
        <w:rPr>
          <w:rFonts w:ascii="Calibri" w:hAnsi="Calibri" w:cs="Helv"/>
          <w:color w:val="000000"/>
        </w:rPr>
        <w:t xml:space="preserve">IRC §678 and </w:t>
      </w:r>
      <w:r w:rsidR="00B0230A">
        <w:rPr>
          <w:rFonts w:ascii="Calibri" w:hAnsi="Calibri" w:cs="Helv"/>
          <w:color w:val="000000"/>
        </w:rPr>
        <w:t xml:space="preserve">Treas. Reg. </w:t>
      </w:r>
      <w:r>
        <w:rPr>
          <w:rFonts w:ascii="Calibri" w:hAnsi="Calibri" w:cs="Helv"/>
          <w:color w:val="000000"/>
        </w:rPr>
        <w:t>§</w:t>
      </w:r>
      <w:r w:rsidR="00B0230A">
        <w:rPr>
          <w:rFonts w:ascii="Calibri" w:hAnsi="Calibri" w:cs="Helv"/>
          <w:color w:val="000000"/>
        </w:rPr>
        <w:t>1.671-3(a)</w:t>
      </w:r>
      <w:r w:rsidR="005848A6">
        <w:rPr>
          <w:rFonts w:ascii="Calibri" w:hAnsi="Calibri" w:cs="Helv"/>
          <w:color w:val="000000"/>
        </w:rPr>
        <w:t>(1)</w:t>
      </w:r>
      <w:r w:rsidR="00B0230A">
        <w:rPr>
          <w:rFonts w:ascii="Calibri" w:hAnsi="Calibri" w:cs="Helv"/>
          <w:color w:val="000000"/>
        </w:rPr>
        <w:t xml:space="preserve"> </w:t>
      </w:r>
      <w:r w:rsidR="00CA79A9">
        <w:rPr>
          <w:rFonts w:ascii="Calibri" w:hAnsi="Calibri" w:cs="Helv"/>
          <w:color w:val="000000"/>
        </w:rPr>
        <w:t>are clear that once</w:t>
      </w:r>
      <w:r w:rsidR="00B0230A">
        <w:rPr>
          <w:rFonts w:ascii="Calibri" w:hAnsi="Calibri" w:cs="Helv"/>
          <w:color w:val="000000"/>
        </w:rPr>
        <w:t xml:space="preserve"> the beneficiary is deemed the owner, ALL income, deductions and credits p</w:t>
      </w:r>
      <w:r w:rsidR="005848A6">
        <w:rPr>
          <w:rFonts w:ascii="Calibri" w:hAnsi="Calibri" w:cs="Helv"/>
          <w:color w:val="000000"/>
        </w:rPr>
        <w:t xml:space="preserve">ass through to the deemed owner, </w:t>
      </w:r>
      <w:r w:rsidR="005848A6" w:rsidRPr="005460A3">
        <w:rPr>
          <w:rFonts w:ascii="Calibri" w:hAnsi="Calibri" w:cs="Helv"/>
          <w:i/>
          <w:color w:val="000000"/>
        </w:rPr>
        <w:t>including</w:t>
      </w:r>
      <w:r w:rsidR="005848A6">
        <w:rPr>
          <w:rFonts w:ascii="Calibri" w:hAnsi="Calibri" w:cs="Helv"/>
          <w:color w:val="000000"/>
        </w:rPr>
        <w:t xml:space="preserve"> losses</w:t>
      </w:r>
      <w:r w:rsidR="005460A3">
        <w:rPr>
          <w:rFonts w:ascii="Calibri" w:hAnsi="Calibri" w:cs="Helv"/>
          <w:color w:val="000000"/>
        </w:rPr>
        <w:t xml:space="preserve">, but </w:t>
      </w:r>
      <w:r w:rsidR="00267859">
        <w:rPr>
          <w:rFonts w:ascii="Calibri" w:hAnsi="Calibri" w:cs="Helv"/>
          <w:color w:val="000000"/>
        </w:rPr>
        <w:t>it is not clear whether or when a</w:t>
      </w:r>
      <w:r w:rsidR="005460A3">
        <w:rPr>
          <w:rFonts w:ascii="Calibri" w:hAnsi="Calibri" w:cs="Helv"/>
          <w:color w:val="000000"/>
        </w:rPr>
        <w:t xml:space="preserve"> powerholder </w:t>
      </w:r>
      <w:r w:rsidR="00267859">
        <w:rPr>
          <w:rFonts w:ascii="Calibri" w:hAnsi="Calibri" w:cs="Helv"/>
          <w:color w:val="000000"/>
        </w:rPr>
        <w:t>would be</w:t>
      </w:r>
      <w:r w:rsidR="005460A3">
        <w:rPr>
          <w:rFonts w:ascii="Calibri" w:hAnsi="Calibri" w:cs="Helv"/>
          <w:color w:val="000000"/>
        </w:rPr>
        <w:t xml:space="preserve"> </w:t>
      </w:r>
      <w:r w:rsidR="005460A3">
        <w:rPr>
          <w:rFonts w:ascii="Calibri" w:hAnsi="Calibri" w:cs="Helv"/>
          <w:color w:val="000000"/>
        </w:rPr>
        <w:lastRenderedPageBreak/>
        <w:t xml:space="preserve">deemed to </w:t>
      </w:r>
      <w:r w:rsidR="00CA79A9">
        <w:rPr>
          <w:rFonts w:ascii="Calibri" w:hAnsi="Calibri" w:cs="Helv"/>
          <w:color w:val="000000"/>
        </w:rPr>
        <w:t xml:space="preserve">be the owner when </w:t>
      </w:r>
      <w:r w:rsidR="005460A3">
        <w:rPr>
          <w:rFonts w:ascii="Calibri" w:hAnsi="Calibri" w:cs="Helv"/>
          <w:color w:val="000000"/>
        </w:rPr>
        <w:t xml:space="preserve">the </w:t>
      </w:r>
      <w:r w:rsidR="00CA79A9">
        <w:rPr>
          <w:rFonts w:ascii="Calibri" w:hAnsi="Calibri" w:cs="Helv"/>
          <w:color w:val="000000"/>
        </w:rPr>
        <w:t>only “</w:t>
      </w:r>
      <w:r w:rsidR="005460A3">
        <w:rPr>
          <w:rFonts w:ascii="Calibri" w:hAnsi="Calibri" w:cs="Helv"/>
          <w:color w:val="000000"/>
        </w:rPr>
        <w:t>power</w:t>
      </w:r>
      <w:r w:rsidR="00CA79A9">
        <w:rPr>
          <w:rFonts w:ascii="Calibri" w:hAnsi="Calibri" w:cs="Helv"/>
          <w:color w:val="000000"/>
        </w:rPr>
        <w:t>”</w:t>
      </w:r>
      <w:r w:rsidR="005460A3">
        <w:rPr>
          <w:rFonts w:ascii="Calibri" w:hAnsi="Calibri" w:cs="Helv"/>
          <w:color w:val="000000"/>
        </w:rPr>
        <w:t xml:space="preserve"> </w:t>
      </w:r>
      <w:r>
        <w:rPr>
          <w:rFonts w:ascii="Calibri" w:hAnsi="Calibri" w:cs="Helv"/>
          <w:color w:val="000000"/>
        </w:rPr>
        <w:t xml:space="preserve">remaining </w:t>
      </w:r>
      <w:r w:rsidR="00CA79A9">
        <w:rPr>
          <w:rFonts w:ascii="Calibri" w:hAnsi="Calibri" w:cs="Helv"/>
          <w:color w:val="000000"/>
        </w:rPr>
        <w:t xml:space="preserve">is </w:t>
      </w:r>
      <w:r w:rsidR="005460A3">
        <w:rPr>
          <w:rFonts w:ascii="Calibri" w:hAnsi="Calibri" w:cs="Helv"/>
          <w:color w:val="000000"/>
        </w:rPr>
        <w:t xml:space="preserve">to vest </w:t>
      </w:r>
      <w:r w:rsidR="00267859">
        <w:rPr>
          <w:rFonts w:ascii="Calibri" w:hAnsi="Calibri" w:cs="Helv"/>
          <w:color w:val="000000"/>
        </w:rPr>
        <w:t>negative income</w:t>
      </w:r>
      <w:r>
        <w:rPr>
          <w:rFonts w:ascii="Calibri" w:hAnsi="Calibri" w:cs="Helv"/>
          <w:color w:val="000000"/>
        </w:rPr>
        <w:t xml:space="preserve"> (a loss)</w:t>
      </w:r>
      <w:r w:rsidR="00267859">
        <w:rPr>
          <w:rFonts w:ascii="Calibri" w:hAnsi="Calibri" w:cs="Helv"/>
          <w:color w:val="000000"/>
        </w:rPr>
        <w:t xml:space="preserve"> in themselves</w:t>
      </w:r>
      <w:r w:rsidR="00CA79A9">
        <w:rPr>
          <w:rFonts w:ascii="Calibri" w:hAnsi="Calibri" w:cs="Helv"/>
          <w:color w:val="000000"/>
        </w:rPr>
        <w:t xml:space="preserve"> </w:t>
      </w:r>
      <w:r w:rsidR="00267859">
        <w:rPr>
          <w:rFonts w:ascii="Calibri" w:hAnsi="Calibri" w:cs="Helv"/>
          <w:color w:val="000000"/>
        </w:rPr>
        <w:t>– there is no clear guidance</w:t>
      </w:r>
      <w:r w:rsidR="005848A6">
        <w:rPr>
          <w:rFonts w:ascii="Calibri" w:hAnsi="Calibri" w:cs="Helv"/>
          <w:color w:val="000000"/>
        </w:rPr>
        <w:t>:</w:t>
      </w:r>
    </w:p>
    <w:p w14:paraId="7EEEE61A" w14:textId="77777777" w:rsidR="005460A3" w:rsidRPr="005460A3" w:rsidRDefault="005460A3" w:rsidP="005460A3">
      <w:pPr>
        <w:pStyle w:val="ListParagraph"/>
        <w:autoSpaceDE w:val="0"/>
        <w:autoSpaceDN w:val="0"/>
        <w:adjustRightInd w:val="0"/>
        <w:ind w:left="1080"/>
        <w:rPr>
          <w:rFonts w:ascii="Calibri" w:hAnsi="Calibri" w:cs="Helv"/>
          <w:color w:val="000000"/>
        </w:rPr>
      </w:pPr>
      <w:r>
        <w:rPr>
          <w:rFonts w:ascii="Calibri" w:hAnsi="Calibri" w:cs="Helv"/>
          <w:color w:val="000000"/>
        </w:rPr>
        <w:t>“</w:t>
      </w:r>
      <w:r w:rsidR="00267859">
        <w:rPr>
          <w:rFonts w:ascii="Calibri" w:hAnsi="Calibri" w:cs="Helv"/>
          <w:color w:val="000000"/>
        </w:rPr>
        <w:t>§</w:t>
      </w:r>
      <w:r>
        <w:rPr>
          <w:rFonts w:ascii="Calibri" w:hAnsi="Calibri" w:cs="Helv"/>
          <w:color w:val="000000"/>
        </w:rPr>
        <w:t>678</w:t>
      </w:r>
      <w:r w:rsidRPr="005460A3">
        <w:rPr>
          <w:rFonts w:ascii="Calibri" w:hAnsi="Calibri" w:cs="Helv"/>
          <w:color w:val="000000"/>
        </w:rPr>
        <w:t>(a) General rule</w:t>
      </w:r>
      <w:r>
        <w:rPr>
          <w:rFonts w:ascii="Calibri" w:hAnsi="Calibri" w:cs="Helv"/>
          <w:color w:val="000000"/>
        </w:rPr>
        <w:t xml:space="preserve"> </w:t>
      </w:r>
      <w:r w:rsidRPr="005460A3">
        <w:rPr>
          <w:rFonts w:ascii="Calibri" w:hAnsi="Calibri" w:cs="Helv"/>
          <w:color w:val="000000"/>
        </w:rPr>
        <w:t>A person other than the grantor shall be treated as the owner of any portion of a trust with respect to which:</w:t>
      </w:r>
    </w:p>
    <w:p w14:paraId="2DFE65DD" w14:textId="77777777" w:rsidR="005460A3" w:rsidRDefault="005460A3" w:rsidP="005460A3">
      <w:pPr>
        <w:pStyle w:val="ListParagraph"/>
        <w:numPr>
          <w:ilvl w:val="0"/>
          <w:numId w:val="37"/>
        </w:numPr>
        <w:autoSpaceDE w:val="0"/>
        <w:autoSpaceDN w:val="0"/>
        <w:adjustRightInd w:val="0"/>
        <w:rPr>
          <w:rFonts w:ascii="Calibri" w:hAnsi="Calibri" w:cs="Helv"/>
          <w:color w:val="000000"/>
        </w:rPr>
      </w:pPr>
      <w:r w:rsidRPr="005460A3">
        <w:rPr>
          <w:rFonts w:ascii="Calibri" w:hAnsi="Calibri" w:cs="Helv"/>
          <w:color w:val="000000"/>
        </w:rPr>
        <w:t xml:space="preserve">such person has a power exercisable solely by himself to vest the corpus </w:t>
      </w:r>
      <w:r w:rsidRPr="00FC1411">
        <w:rPr>
          <w:rFonts w:ascii="Calibri" w:hAnsi="Calibri" w:cs="Helv"/>
          <w:i/>
          <w:color w:val="000000"/>
        </w:rPr>
        <w:t>or the income</w:t>
      </w:r>
      <w:r w:rsidRPr="005460A3">
        <w:rPr>
          <w:rFonts w:ascii="Calibri" w:hAnsi="Calibri" w:cs="Helv"/>
          <w:color w:val="000000"/>
        </w:rPr>
        <w:t xml:space="preserve"> </w:t>
      </w:r>
      <w:r w:rsidRPr="00FC1411">
        <w:rPr>
          <w:rFonts w:ascii="Calibri" w:hAnsi="Calibri" w:cs="Helv"/>
          <w:i/>
          <w:color w:val="000000"/>
        </w:rPr>
        <w:t>therefrom</w:t>
      </w:r>
      <w:r w:rsidRPr="005460A3">
        <w:rPr>
          <w:rFonts w:ascii="Calibri" w:hAnsi="Calibri" w:cs="Helv"/>
          <w:color w:val="000000"/>
        </w:rPr>
        <w:t xml:space="preserve"> in himself</w:t>
      </w:r>
      <w:r>
        <w:rPr>
          <w:rFonts w:ascii="Calibri" w:hAnsi="Calibri" w:cs="Helv"/>
          <w:color w:val="000000"/>
        </w:rPr>
        <w:t>”</w:t>
      </w:r>
    </w:p>
    <w:p w14:paraId="139690DA" w14:textId="77777777" w:rsidR="005460A3" w:rsidRDefault="005460A3" w:rsidP="005460A3">
      <w:pPr>
        <w:pStyle w:val="ListParagraph"/>
        <w:autoSpaceDE w:val="0"/>
        <w:autoSpaceDN w:val="0"/>
        <w:adjustRightInd w:val="0"/>
        <w:ind w:left="1440"/>
        <w:rPr>
          <w:rFonts w:ascii="Calibri" w:hAnsi="Calibri" w:cs="Helv"/>
          <w:color w:val="000000"/>
        </w:rPr>
      </w:pPr>
      <w:r w:rsidRPr="005460A3">
        <w:rPr>
          <w:rFonts w:ascii="Calibri" w:hAnsi="Calibri" w:cs="Helv"/>
          <w:color w:val="000000"/>
        </w:rPr>
        <w:t xml:space="preserve"> </w:t>
      </w:r>
    </w:p>
    <w:p w14:paraId="123FAC34" w14:textId="77777777" w:rsidR="005848A6" w:rsidRPr="005460A3" w:rsidRDefault="00267859" w:rsidP="005460A3">
      <w:pPr>
        <w:autoSpaceDE w:val="0"/>
        <w:autoSpaceDN w:val="0"/>
        <w:adjustRightInd w:val="0"/>
        <w:ind w:left="1080"/>
        <w:rPr>
          <w:rFonts w:ascii="Calibri" w:hAnsi="Calibri" w:cs="Helv"/>
          <w:color w:val="000000"/>
        </w:rPr>
      </w:pPr>
      <w:r>
        <w:rPr>
          <w:rFonts w:ascii="Calibri" w:hAnsi="Calibri" w:cs="Helv"/>
          <w:color w:val="000000"/>
        </w:rPr>
        <w:t>§</w:t>
      </w:r>
      <w:r w:rsidR="005460A3">
        <w:rPr>
          <w:rFonts w:ascii="Calibri" w:hAnsi="Calibri" w:cs="Helv"/>
          <w:color w:val="000000"/>
        </w:rPr>
        <w:t>1.671-3(a)(1):</w:t>
      </w:r>
      <w:r w:rsidR="005848A6" w:rsidRPr="005460A3">
        <w:rPr>
          <w:rFonts w:ascii="Calibri" w:hAnsi="Calibri" w:cs="Helv"/>
          <w:color w:val="000000"/>
        </w:rPr>
        <w:t>“If a grantor or another person is treated as the owner of an entire trust (corpus as well as ordinary income), he takes into account in computing his income tax liability all items of income, deduction, and credit (</w:t>
      </w:r>
      <w:r w:rsidR="005848A6" w:rsidRPr="00267859">
        <w:rPr>
          <w:rFonts w:ascii="Calibri" w:hAnsi="Calibri" w:cs="Helv"/>
          <w:i/>
          <w:color w:val="000000"/>
        </w:rPr>
        <w:t xml:space="preserve">including capital gains </w:t>
      </w:r>
      <w:r w:rsidR="005848A6" w:rsidRPr="00267859">
        <w:rPr>
          <w:rFonts w:ascii="Calibri" w:hAnsi="Calibri" w:cs="Helv"/>
          <w:b/>
          <w:i/>
          <w:color w:val="000000"/>
        </w:rPr>
        <w:t>and losses</w:t>
      </w:r>
      <w:r w:rsidR="005848A6" w:rsidRPr="005460A3">
        <w:rPr>
          <w:rFonts w:ascii="Calibri" w:hAnsi="Calibri" w:cs="Helv"/>
          <w:color w:val="000000"/>
        </w:rPr>
        <w:t>) to which he would have been entitled had the trust not been in existence during the period he is treated as owner.”</w:t>
      </w:r>
    </w:p>
    <w:p w14:paraId="2FBDF26D" w14:textId="77777777" w:rsidR="005848A6" w:rsidRPr="005848A6" w:rsidRDefault="005848A6" w:rsidP="005848A6">
      <w:pPr>
        <w:pStyle w:val="ListParagraph"/>
        <w:autoSpaceDE w:val="0"/>
        <w:autoSpaceDN w:val="0"/>
        <w:adjustRightInd w:val="0"/>
        <w:ind w:left="1080"/>
        <w:rPr>
          <w:rFonts w:ascii="Calibri" w:hAnsi="Calibri" w:cs="Helv"/>
          <w:color w:val="000000"/>
        </w:rPr>
      </w:pPr>
    </w:p>
    <w:p w14:paraId="250A0788" w14:textId="77777777" w:rsidR="00046EBB" w:rsidRDefault="005460A3" w:rsidP="00C14820">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This situation </w:t>
      </w:r>
      <w:r w:rsidR="00CD3934">
        <w:rPr>
          <w:rFonts w:ascii="Calibri" w:hAnsi="Calibri" w:cs="Helv"/>
          <w:color w:val="000000"/>
        </w:rPr>
        <w:t xml:space="preserve">will thankfully </w:t>
      </w:r>
      <w:r>
        <w:rPr>
          <w:rFonts w:ascii="Calibri" w:hAnsi="Calibri" w:cs="Helv"/>
          <w:color w:val="000000"/>
        </w:rPr>
        <w:t>not come up very often</w:t>
      </w:r>
      <w:r w:rsidR="00CD3934">
        <w:rPr>
          <w:rFonts w:ascii="Calibri" w:hAnsi="Calibri" w:cs="Helv"/>
          <w:color w:val="000000"/>
        </w:rPr>
        <w:t xml:space="preserve"> – only </w:t>
      </w:r>
      <w:r w:rsidR="00176567">
        <w:rPr>
          <w:rFonts w:ascii="Calibri" w:hAnsi="Calibri" w:cs="Helv"/>
          <w:color w:val="000000"/>
        </w:rPr>
        <w:t xml:space="preserve">in years </w:t>
      </w:r>
      <w:r w:rsidR="00CD3934">
        <w:rPr>
          <w:rFonts w:ascii="Calibri" w:hAnsi="Calibri" w:cs="Helv"/>
          <w:color w:val="000000"/>
        </w:rPr>
        <w:t>with extraord</w:t>
      </w:r>
      <w:r w:rsidR="00DA5903">
        <w:rPr>
          <w:rFonts w:ascii="Calibri" w:hAnsi="Calibri" w:cs="Helv"/>
          <w:color w:val="000000"/>
        </w:rPr>
        <w:t xml:space="preserve">inary losses.  While there is an </w:t>
      </w:r>
      <w:r w:rsidR="00CD3934">
        <w:rPr>
          <w:rFonts w:ascii="Calibri" w:hAnsi="Calibri" w:cs="Helv"/>
          <w:color w:val="000000"/>
        </w:rPr>
        <w:t>argument that the loss equally passes though pursuant to the regulation a</w:t>
      </w:r>
      <w:r w:rsidR="00176567">
        <w:rPr>
          <w:rFonts w:ascii="Calibri" w:hAnsi="Calibri" w:cs="Helv"/>
          <w:color w:val="000000"/>
        </w:rPr>
        <w:t>bove</w:t>
      </w:r>
      <w:r w:rsidR="00046EBB">
        <w:rPr>
          <w:rFonts w:ascii="Calibri" w:hAnsi="Calibri" w:cs="Helv"/>
          <w:color w:val="000000"/>
        </w:rPr>
        <w:t xml:space="preserve">, it is hardly a slam dunk and it is probably safest to assume that the capital loss in excess of capital gains will </w:t>
      </w:r>
      <w:r w:rsidR="00046EBB" w:rsidRPr="00046EBB">
        <w:rPr>
          <w:rFonts w:ascii="Calibri" w:hAnsi="Calibri" w:cs="Helv"/>
          <w:b/>
          <w:i/>
          <w:color w:val="000000"/>
        </w:rPr>
        <w:t>not</w:t>
      </w:r>
      <w:r w:rsidR="00046EBB">
        <w:rPr>
          <w:rFonts w:ascii="Calibri" w:hAnsi="Calibri" w:cs="Helv"/>
          <w:color w:val="000000"/>
        </w:rPr>
        <w:t xml:space="preserve"> pass through</w:t>
      </w:r>
      <w:r w:rsidR="004D43E1">
        <w:rPr>
          <w:rFonts w:ascii="Calibri" w:hAnsi="Calibri" w:cs="Helv"/>
          <w:color w:val="000000"/>
        </w:rPr>
        <w:t xml:space="preserve">.  </w:t>
      </w:r>
      <w:r w:rsidR="00DA5903">
        <w:rPr>
          <w:rFonts w:ascii="Calibri" w:hAnsi="Calibri" w:cs="Helv"/>
          <w:color w:val="000000"/>
        </w:rPr>
        <w:t xml:space="preserve">If we try to glean some guidance from the world of Subchapter J, Parts A-D (ordinary non-grantor trust taxation), we know that </w:t>
      </w:r>
      <w:r w:rsidR="00046EBB">
        <w:rPr>
          <w:rFonts w:ascii="Calibri" w:hAnsi="Calibri" w:cs="Helv"/>
          <w:color w:val="000000"/>
        </w:rPr>
        <w:t xml:space="preserve">even if we come under one of the exceptions to allow capital gains to pass out to beneficiaries (discussed extensively in the next section) </w:t>
      </w:r>
      <w:r w:rsidR="00DA5903">
        <w:rPr>
          <w:rFonts w:ascii="Calibri" w:hAnsi="Calibri" w:cs="Helv"/>
          <w:color w:val="000000"/>
        </w:rPr>
        <w:t>capital losses are only part of DNI (distributable net income)</w:t>
      </w:r>
      <w:r w:rsidR="00046EBB">
        <w:rPr>
          <w:rFonts w:ascii="Calibri" w:hAnsi="Calibri" w:cs="Helv"/>
          <w:color w:val="000000"/>
        </w:rPr>
        <w:t xml:space="preserve"> </w:t>
      </w:r>
      <w:r w:rsidR="00DA5903">
        <w:rPr>
          <w:rFonts w:ascii="Calibri" w:hAnsi="Calibri" w:cs="Helv"/>
          <w:color w:val="000000"/>
        </w:rPr>
        <w:t>to the extent they offset capital gains</w:t>
      </w:r>
      <w:r w:rsidR="00046EBB">
        <w:rPr>
          <w:rFonts w:ascii="Calibri" w:hAnsi="Calibri" w:cs="Helv"/>
          <w:color w:val="000000"/>
        </w:rPr>
        <w:t>, except in a final year of termination when they can pass out to beneficiaries</w:t>
      </w:r>
      <w:r w:rsidR="00DA5903">
        <w:rPr>
          <w:rFonts w:ascii="Calibri" w:hAnsi="Calibri" w:cs="Helv"/>
          <w:color w:val="000000"/>
        </w:rPr>
        <w:t>.</w:t>
      </w:r>
      <w:r w:rsidR="00046EBB">
        <w:rPr>
          <w:rStyle w:val="FootnoteReference"/>
          <w:rFonts w:ascii="Calibri" w:hAnsi="Calibri" w:cs="Helv"/>
          <w:color w:val="000000"/>
        </w:rPr>
        <w:footnoteReference w:id="428"/>
      </w:r>
    </w:p>
    <w:p w14:paraId="165D59F2" w14:textId="77777777" w:rsidR="004D43E1" w:rsidRDefault="004D43E1" w:rsidP="00C14820">
      <w:pPr>
        <w:autoSpaceDE w:val="0"/>
        <w:autoSpaceDN w:val="0"/>
        <w:adjustRightInd w:val="0"/>
        <w:spacing w:line="360" w:lineRule="auto"/>
        <w:ind w:firstLine="720"/>
        <w:rPr>
          <w:rFonts w:ascii="Calibri" w:hAnsi="Calibri" w:cs="Helv"/>
          <w:color w:val="000000"/>
        </w:rPr>
      </w:pPr>
      <w:r>
        <w:rPr>
          <w:rFonts w:ascii="Calibri" w:hAnsi="Calibri" w:cs="Helv"/>
          <w:color w:val="000000"/>
        </w:rPr>
        <w:t>There are two methods around this</w:t>
      </w:r>
      <w:r w:rsidR="00FC1411">
        <w:rPr>
          <w:rFonts w:ascii="Calibri" w:hAnsi="Calibri" w:cs="Helv"/>
          <w:color w:val="000000"/>
        </w:rPr>
        <w:t xml:space="preserve"> uncertainty</w:t>
      </w:r>
      <w:r>
        <w:rPr>
          <w:rFonts w:ascii="Calibri" w:hAnsi="Calibri" w:cs="Helv"/>
          <w:color w:val="000000"/>
        </w:rPr>
        <w:t xml:space="preserve">: first, avoid substantial </w:t>
      </w:r>
      <w:r w:rsidR="00FC1411">
        <w:rPr>
          <w:rFonts w:ascii="Calibri" w:hAnsi="Calibri" w:cs="Helv"/>
          <w:color w:val="000000"/>
        </w:rPr>
        <w:t xml:space="preserve">capital </w:t>
      </w:r>
      <w:r>
        <w:rPr>
          <w:rFonts w:ascii="Calibri" w:hAnsi="Calibri" w:cs="Helv"/>
          <w:color w:val="000000"/>
        </w:rPr>
        <w:t xml:space="preserve">losses </w:t>
      </w:r>
      <w:r w:rsidR="00FC1411">
        <w:rPr>
          <w:rFonts w:ascii="Calibri" w:hAnsi="Calibri" w:cs="Helv"/>
          <w:color w:val="000000"/>
        </w:rPr>
        <w:t xml:space="preserve">beyond capital gains </w:t>
      </w:r>
      <w:r>
        <w:rPr>
          <w:rFonts w:ascii="Calibri" w:hAnsi="Calibri" w:cs="Helv"/>
          <w:color w:val="000000"/>
        </w:rPr>
        <w:t xml:space="preserve">inside the trust in the first place by distributing </w:t>
      </w:r>
      <w:r w:rsidR="00FC1411">
        <w:rPr>
          <w:rFonts w:ascii="Calibri" w:hAnsi="Calibri" w:cs="Helv"/>
          <w:color w:val="000000"/>
        </w:rPr>
        <w:t>substantial</w:t>
      </w:r>
      <w:r>
        <w:rPr>
          <w:rFonts w:ascii="Calibri" w:hAnsi="Calibri" w:cs="Helv"/>
          <w:color w:val="000000"/>
        </w:rPr>
        <w:t xml:space="preserve"> loss property in kind.  </w:t>
      </w:r>
      <w:r w:rsidR="00FE463E">
        <w:rPr>
          <w:rFonts w:ascii="Calibri" w:hAnsi="Calibri" w:cs="Helv"/>
          <w:color w:val="000000"/>
        </w:rPr>
        <w:t xml:space="preserve">For example, </w:t>
      </w:r>
      <w:r w:rsidR="00FC1411">
        <w:rPr>
          <w:rFonts w:ascii="Calibri" w:hAnsi="Calibri" w:cs="Helv"/>
          <w:color w:val="000000"/>
        </w:rPr>
        <w:t xml:space="preserve">let’s </w:t>
      </w:r>
      <w:r w:rsidR="00FE463E">
        <w:rPr>
          <w:rFonts w:ascii="Calibri" w:hAnsi="Calibri" w:cs="Helv"/>
          <w:color w:val="000000"/>
        </w:rPr>
        <w:t>say the trustee invests a quarter million in a high</w:t>
      </w:r>
      <w:r w:rsidR="00DA1E28">
        <w:rPr>
          <w:rFonts w:ascii="Calibri" w:hAnsi="Calibri" w:cs="Helv"/>
          <w:color w:val="000000"/>
        </w:rPr>
        <w:t>-</w:t>
      </w:r>
      <w:r w:rsidR="00FE463E">
        <w:rPr>
          <w:rFonts w:ascii="Calibri" w:hAnsi="Calibri" w:cs="Helv"/>
          <w:color w:val="000000"/>
        </w:rPr>
        <w:t xml:space="preserve">flying stock that doesn’t pan out – the $250,000 investment tanks to $50,000.  </w:t>
      </w:r>
      <w:r w:rsidR="00FE463E" w:rsidRPr="00FE463E">
        <w:t xml:space="preserve"> </w:t>
      </w:r>
      <w:r w:rsidR="00FE463E">
        <w:rPr>
          <w:rFonts w:ascii="Calibri" w:hAnsi="Calibri" w:cs="Helv"/>
          <w:color w:val="000000"/>
        </w:rPr>
        <w:t>I</w:t>
      </w:r>
      <w:r w:rsidR="00FE463E" w:rsidRPr="00FE463E">
        <w:rPr>
          <w:rFonts w:ascii="Calibri" w:hAnsi="Calibri" w:cs="Helv"/>
          <w:color w:val="000000"/>
        </w:rPr>
        <w:t xml:space="preserve">f the trustee </w:t>
      </w:r>
      <w:r w:rsidR="002D4486">
        <w:rPr>
          <w:rFonts w:ascii="Calibri" w:hAnsi="Calibri" w:cs="Helv"/>
          <w:color w:val="000000"/>
        </w:rPr>
        <w:t>transfers</w:t>
      </w:r>
      <w:r w:rsidR="00FE463E" w:rsidRPr="00FE463E">
        <w:rPr>
          <w:rFonts w:ascii="Calibri" w:hAnsi="Calibri" w:cs="Helv"/>
          <w:color w:val="000000"/>
        </w:rPr>
        <w:t xml:space="preserve"> </w:t>
      </w:r>
      <w:r w:rsidR="00FE463E">
        <w:rPr>
          <w:rFonts w:ascii="Calibri" w:hAnsi="Calibri" w:cs="Helv"/>
          <w:color w:val="000000"/>
        </w:rPr>
        <w:t>this stock</w:t>
      </w:r>
      <w:r w:rsidR="00FE463E" w:rsidRPr="00FE463E">
        <w:rPr>
          <w:rFonts w:ascii="Calibri" w:hAnsi="Calibri" w:cs="Helv"/>
          <w:color w:val="000000"/>
        </w:rPr>
        <w:t xml:space="preserve"> in kind</w:t>
      </w:r>
      <w:r w:rsidR="002D4486">
        <w:rPr>
          <w:rFonts w:ascii="Calibri" w:hAnsi="Calibri" w:cs="Helv"/>
          <w:color w:val="000000"/>
        </w:rPr>
        <w:t xml:space="preserve"> pursuant to a distribution power</w:t>
      </w:r>
      <w:r w:rsidR="00FE463E" w:rsidRPr="00FE463E">
        <w:rPr>
          <w:rFonts w:ascii="Calibri" w:hAnsi="Calibri" w:cs="Helv"/>
          <w:color w:val="000000"/>
        </w:rPr>
        <w:t xml:space="preserve">, </w:t>
      </w:r>
      <w:r w:rsidR="002D4486">
        <w:rPr>
          <w:rFonts w:ascii="Calibri" w:hAnsi="Calibri" w:cs="Helv"/>
          <w:color w:val="000000"/>
        </w:rPr>
        <w:t xml:space="preserve">because </w:t>
      </w:r>
      <w:r w:rsidR="00FE463E">
        <w:rPr>
          <w:rFonts w:ascii="Calibri" w:hAnsi="Calibri" w:cs="Helv"/>
          <w:color w:val="000000"/>
        </w:rPr>
        <w:t xml:space="preserve">the trust </w:t>
      </w:r>
      <w:r w:rsidR="002D4486">
        <w:rPr>
          <w:rFonts w:ascii="Calibri" w:hAnsi="Calibri" w:cs="Helv"/>
          <w:color w:val="000000"/>
        </w:rPr>
        <w:t xml:space="preserve">would be a </w:t>
      </w:r>
      <w:r w:rsidR="00FE463E">
        <w:rPr>
          <w:rFonts w:ascii="Calibri" w:hAnsi="Calibri" w:cs="Helv"/>
          <w:color w:val="000000"/>
        </w:rPr>
        <w:t>non-grantor trust taxed under Subpart A-D</w:t>
      </w:r>
      <w:r w:rsidR="002D4486">
        <w:rPr>
          <w:rFonts w:ascii="Calibri" w:hAnsi="Calibri" w:cs="Helv"/>
          <w:color w:val="000000"/>
        </w:rPr>
        <w:t xml:space="preserve"> over at least a portion</w:t>
      </w:r>
      <w:r w:rsidR="00FE463E">
        <w:rPr>
          <w:rFonts w:ascii="Calibri" w:hAnsi="Calibri" w:cs="Helv"/>
          <w:color w:val="000000"/>
        </w:rPr>
        <w:t xml:space="preserve">, </w:t>
      </w:r>
      <w:r w:rsidR="00FE463E" w:rsidRPr="00FE463E">
        <w:rPr>
          <w:rFonts w:ascii="Calibri" w:hAnsi="Calibri" w:cs="Helv"/>
          <w:color w:val="000000"/>
        </w:rPr>
        <w:t>the distribution is deductible to the trust and carries out income under IRC § 661/662 to the exten</w:t>
      </w:r>
      <w:r w:rsidR="00FE463E">
        <w:rPr>
          <w:rFonts w:ascii="Calibri" w:hAnsi="Calibri" w:cs="Helv"/>
          <w:color w:val="000000"/>
        </w:rPr>
        <w:t>t of the basis</w:t>
      </w:r>
      <w:r w:rsidR="002D4486">
        <w:rPr>
          <w:rFonts w:ascii="Calibri" w:hAnsi="Calibri" w:cs="Helv"/>
          <w:color w:val="000000"/>
        </w:rPr>
        <w:t xml:space="preserve"> and any DNI</w:t>
      </w:r>
      <w:r w:rsidR="00FE463E">
        <w:rPr>
          <w:rFonts w:ascii="Calibri" w:hAnsi="Calibri" w:cs="Helv"/>
          <w:color w:val="000000"/>
        </w:rPr>
        <w:t xml:space="preserve">, not </w:t>
      </w:r>
      <w:r w:rsidR="002D4486">
        <w:rPr>
          <w:rFonts w:ascii="Calibri" w:hAnsi="Calibri" w:cs="Helv"/>
          <w:color w:val="000000"/>
        </w:rPr>
        <w:t xml:space="preserve">to the extent of </w:t>
      </w:r>
      <w:r w:rsidR="00FE463E">
        <w:rPr>
          <w:rFonts w:ascii="Calibri" w:hAnsi="Calibri" w:cs="Helv"/>
          <w:color w:val="000000"/>
        </w:rPr>
        <w:t>the FMV ($50,000, not $25</w:t>
      </w:r>
      <w:r w:rsidR="00FE463E" w:rsidRPr="00FE463E">
        <w:rPr>
          <w:rFonts w:ascii="Calibri" w:hAnsi="Calibri" w:cs="Helv"/>
          <w:color w:val="000000"/>
        </w:rPr>
        <w:t xml:space="preserve">0,000), pursuant to IRC §643(e)(2), with the beneficiary </w:t>
      </w:r>
      <w:r w:rsidR="00FE463E" w:rsidRPr="00FE463E">
        <w:rPr>
          <w:rFonts w:ascii="Calibri" w:hAnsi="Calibri" w:cs="Helv"/>
          <w:color w:val="000000"/>
        </w:rPr>
        <w:lastRenderedPageBreak/>
        <w:t xml:space="preserve">taking the property with a carry over basis. </w:t>
      </w:r>
      <w:r w:rsidR="002D4486">
        <w:rPr>
          <w:rFonts w:ascii="Calibri" w:hAnsi="Calibri" w:cs="Helv"/>
          <w:color w:val="000000"/>
        </w:rPr>
        <w:t xml:space="preserve">Alternatively, the trustee (or trust protector) might have the authority to grant the beneficiary the right to withdrawal the stock itself.  </w:t>
      </w:r>
      <w:r w:rsidR="00FE463E">
        <w:rPr>
          <w:rFonts w:ascii="Calibri" w:hAnsi="Calibri" w:cs="Helv"/>
          <w:color w:val="000000"/>
        </w:rPr>
        <w:t>Either way,</w:t>
      </w:r>
      <w:r w:rsidR="008A41F6">
        <w:rPr>
          <w:rFonts w:ascii="Calibri" w:hAnsi="Calibri" w:cs="Helv"/>
          <w:color w:val="000000"/>
        </w:rPr>
        <w:t xml:space="preserve"> the basis carries over and</w:t>
      </w:r>
      <w:r w:rsidR="00FE463E">
        <w:rPr>
          <w:rFonts w:ascii="Calibri" w:hAnsi="Calibri" w:cs="Helv"/>
          <w:color w:val="000000"/>
        </w:rPr>
        <w:t xml:space="preserve"> the beneficiary can sell the stock for a $200,000 </w:t>
      </w:r>
      <w:r w:rsidR="00FC1411">
        <w:rPr>
          <w:rFonts w:ascii="Calibri" w:hAnsi="Calibri" w:cs="Helv"/>
          <w:color w:val="000000"/>
        </w:rPr>
        <w:t xml:space="preserve">capital </w:t>
      </w:r>
      <w:r w:rsidR="00FE463E">
        <w:rPr>
          <w:rFonts w:ascii="Calibri" w:hAnsi="Calibri" w:cs="Helv"/>
          <w:color w:val="000000"/>
        </w:rPr>
        <w:t>loss</w:t>
      </w:r>
      <w:r w:rsidR="00FC1411">
        <w:rPr>
          <w:rFonts w:ascii="Calibri" w:hAnsi="Calibri" w:cs="Helv"/>
          <w:color w:val="000000"/>
        </w:rPr>
        <w:t xml:space="preserve"> (perhaps offse</w:t>
      </w:r>
      <w:r w:rsidR="002B7F94">
        <w:rPr>
          <w:rFonts w:ascii="Calibri" w:hAnsi="Calibri" w:cs="Helv"/>
          <w:color w:val="000000"/>
        </w:rPr>
        <w:t>t</w:t>
      </w:r>
      <w:r w:rsidR="00FC1411">
        <w:rPr>
          <w:rFonts w:ascii="Calibri" w:hAnsi="Calibri" w:cs="Helv"/>
          <w:color w:val="000000"/>
        </w:rPr>
        <w:t xml:space="preserve">ting their own personal capital gains in current or future years) – either of which is potentially more advantageous than had the loss been </w:t>
      </w:r>
      <w:r w:rsidR="00FE463E">
        <w:rPr>
          <w:rFonts w:ascii="Calibri" w:hAnsi="Calibri" w:cs="Helv"/>
          <w:color w:val="000000"/>
        </w:rPr>
        <w:t>trapped in trust</w:t>
      </w:r>
      <w:r w:rsidR="00FC1411">
        <w:rPr>
          <w:rFonts w:ascii="Calibri" w:hAnsi="Calibri" w:cs="Helv"/>
          <w:color w:val="000000"/>
        </w:rPr>
        <w:t xml:space="preserve"> (especially if the trust is not subject to state income tax but the beneficiary is)</w:t>
      </w:r>
      <w:r w:rsidR="00FE463E">
        <w:rPr>
          <w:rFonts w:ascii="Calibri" w:hAnsi="Calibri" w:cs="Helv"/>
          <w:color w:val="000000"/>
        </w:rPr>
        <w:t>.</w:t>
      </w:r>
      <w:r w:rsidR="00FE463E" w:rsidRPr="00FE463E">
        <w:rPr>
          <w:rFonts w:ascii="Calibri" w:hAnsi="Calibri" w:cs="Helv"/>
          <w:color w:val="000000"/>
        </w:rPr>
        <w:t xml:space="preserve"> </w:t>
      </w:r>
    </w:p>
    <w:p w14:paraId="16505A54" w14:textId="77777777" w:rsidR="005460A3" w:rsidRDefault="004D43E1" w:rsidP="00C14820">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Secondly, one can build in </w:t>
      </w:r>
      <w:r w:rsidR="00176567">
        <w:rPr>
          <w:rFonts w:ascii="Calibri" w:hAnsi="Calibri" w:cs="Helv"/>
          <w:color w:val="000000"/>
        </w:rPr>
        <w:t>a fail-</w:t>
      </w:r>
      <w:r w:rsidR="00CD3934">
        <w:rPr>
          <w:rFonts w:ascii="Calibri" w:hAnsi="Calibri" w:cs="Helv"/>
          <w:color w:val="000000"/>
        </w:rPr>
        <w:t xml:space="preserve">safe </w:t>
      </w:r>
      <w:r w:rsidR="00176567">
        <w:rPr>
          <w:rFonts w:ascii="Calibri" w:hAnsi="Calibri" w:cs="Helv"/>
          <w:color w:val="000000"/>
        </w:rPr>
        <w:t xml:space="preserve">clause </w:t>
      </w:r>
      <w:r w:rsidR="00CD3934">
        <w:rPr>
          <w:rFonts w:ascii="Calibri" w:hAnsi="Calibri" w:cs="Helv"/>
          <w:color w:val="000000"/>
        </w:rPr>
        <w:t>to reduce the future years</w:t>
      </w:r>
      <w:r w:rsidR="00CA79A9">
        <w:rPr>
          <w:rFonts w:ascii="Calibri" w:hAnsi="Calibri" w:cs="Helv"/>
          <w:color w:val="000000"/>
        </w:rPr>
        <w:t>’</w:t>
      </w:r>
      <w:r w:rsidR="00CD3934">
        <w:rPr>
          <w:rFonts w:ascii="Calibri" w:hAnsi="Calibri" w:cs="Helv"/>
          <w:color w:val="000000"/>
        </w:rPr>
        <w:t xml:space="preserve"> withdrawal right</w:t>
      </w:r>
      <w:r w:rsidR="00CA79A9">
        <w:rPr>
          <w:rFonts w:ascii="Calibri" w:hAnsi="Calibri" w:cs="Helv"/>
          <w:color w:val="000000"/>
        </w:rPr>
        <w:t>s</w:t>
      </w:r>
      <w:r w:rsidR="00CD3934">
        <w:rPr>
          <w:rFonts w:ascii="Calibri" w:hAnsi="Calibri" w:cs="Helv"/>
          <w:color w:val="000000"/>
        </w:rPr>
        <w:t xml:space="preserve"> over capital gains </w:t>
      </w:r>
      <w:r w:rsidR="00267859">
        <w:rPr>
          <w:rFonts w:ascii="Calibri" w:hAnsi="Calibri" w:cs="Helv"/>
          <w:color w:val="000000"/>
        </w:rPr>
        <w:t>by the amount of prior net losses</w:t>
      </w:r>
      <w:r w:rsidR="00D757B6">
        <w:rPr>
          <w:rFonts w:ascii="Calibri" w:hAnsi="Calibri" w:cs="Helv"/>
          <w:color w:val="000000"/>
        </w:rPr>
        <w:t xml:space="preserve"> so that the beneficiary does bear both the fruits and the burdens of capital gains and losses</w:t>
      </w:r>
      <w:r w:rsidR="00267859">
        <w:rPr>
          <w:rFonts w:ascii="Calibri" w:hAnsi="Calibri" w:cs="Helv"/>
          <w:color w:val="000000"/>
        </w:rPr>
        <w:t xml:space="preserve">.  That </w:t>
      </w:r>
      <w:r w:rsidR="00FE463E">
        <w:rPr>
          <w:rFonts w:ascii="Calibri" w:hAnsi="Calibri" w:cs="Helv"/>
          <w:color w:val="000000"/>
        </w:rPr>
        <w:t>may</w:t>
      </w:r>
      <w:r w:rsidR="00267859">
        <w:rPr>
          <w:rFonts w:ascii="Calibri" w:hAnsi="Calibri" w:cs="Helv"/>
          <w:color w:val="000000"/>
        </w:rPr>
        <w:t xml:space="preserve"> be persuasive in helping to conclude that §678</w:t>
      </w:r>
      <w:r w:rsidR="00D757B6">
        <w:rPr>
          <w:rFonts w:ascii="Calibri" w:hAnsi="Calibri" w:cs="Helv"/>
          <w:color w:val="000000"/>
        </w:rPr>
        <w:t>(a)(1)</w:t>
      </w:r>
      <w:r w:rsidR="00267859">
        <w:rPr>
          <w:rFonts w:ascii="Calibri" w:hAnsi="Calibri" w:cs="Helv"/>
          <w:color w:val="000000"/>
        </w:rPr>
        <w:t xml:space="preserve"> </w:t>
      </w:r>
      <w:r w:rsidR="00CA79A9">
        <w:rPr>
          <w:rFonts w:ascii="Calibri" w:hAnsi="Calibri" w:cs="Helv"/>
          <w:color w:val="000000"/>
        </w:rPr>
        <w:t>should still apply</w:t>
      </w:r>
      <w:r w:rsidR="00267859">
        <w:rPr>
          <w:rFonts w:ascii="Calibri" w:hAnsi="Calibri" w:cs="Helv"/>
          <w:color w:val="000000"/>
        </w:rPr>
        <w:t xml:space="preserve"> to </w:t>
      </w:r>
      <w:r w:rsidR="002B7F94">
        <w:rPr>
          <w:rFonts w:ascii="Calibri" w:hAnsi="Calibri" w:cs="Helv"/>
          <w:color w:val="000000"/>
        </w:rPr>
        <w:t xml:space="preserve">shift </w:t>
      </w:r>
      <w:r w:rsidR="00267859">
        <w:rPr>
          <w:rFonts w:ascii="Calibri" w:hAnsi="Calibri" w:cs="Helv"/>
          <w:color w:val="000000"/>
        </w:rPr>
        <w:t>the net loss</w:t>
      </w:r>
      <w:r w:rsidR="002B7F94">
        <w:rPr>
          <w:rFonts w:ascii="Calibri" w:hAnsi="Calibri" w:cs="Helv"/>
          <w:color w:val="000000"/>
        </w:rPr>
        <w:t xml:space="preserve"> to the beneficiary</w:t>
      </w:r>
      <w:r w:rsidR="00D757B6">
        <w:rPr>
          <w:rFonts w:ascii="Calibri" w:hAnsi="Calibri" w:cs="Helv"/>
          <w:color w:val="000000"/>
        </w:rPr>
        <w:t>.  However</w:t>
      </w:r>
      <w:r w:rsidR="00267859">
        <w:rPr>
          <w:rFonts w:ascii="Calibri" w:hAnsi="Calibri" w:cs="Helv"/>
          <w:color w:val="000000"/>
        </w:rPr>
        <w:t>, to the extent it does not,</w:t>
      </w:r>
      <w:r w:rsidR="00CD3934">
        <w:rPr>
          <w:rFonts w:ascii="Calibri" w:hAnsi="Calibri" w:cs="Helv"/>
          <w:color w:val="000000"/>
        </w:rPr>
        <w:t xml:space="preserve"> any </w:t>
      </w:r>
      <w:r w:rsidR="00E26438">
        <w:rPr>
          <w:rFonts w:ascii="Calibri" w:hAnsi="Calibri" w:cs="Helv"/>
          <w:color w:val="000000"/>
        </w:rPr>
        <w:t xml:space="preserve">net unwithdrawable </w:t>
      </w:r>
      <w:r w:rsidR="00CD3934">
        <w:rPr>
          <w:rFonts w:ascii="Calibri" w:hAnsi="Calibri" w:cs="Helv"/>
          <w:color w:val="000000"/>
        </w:rPr>
        <w:t xml:space="preserve">gains in that future year </w:t>
      </w:r>
      <w:r w:rsidR="00267859">
        <w:rPr>
          <w:rFonts w:ascii="Calibri" w:hAnsi="Calibri" w:cs="Helv"/>
          <w:color w:val="000000"/>
        </w:rPr>
        <w:t xml:space="preserve">in which the withdrawal right is reduced </w:t>
      </w:r>
      <w:r w:rsidR="00CD3934">
        <w:rPr>
          <w:rFonts w:ascii="Calibri" w:hAnsi="Calibri" w:cs="Helv"/>
          <w:color w:val="000000"/>
        </w:rPr>
        <w:t xml:space="preserve">would be taxed under Subchapter J, Parts A-D (ordinary non-grantor trust), and the </w:t>
      </w:r>
      <w:r w:rsidR="00176567">
        <w:rPr>
          <w:rFonts w:ascii="Calibri" w:hAnsi="Calibri" w:cs="Helv"/>
          <w:color w:val="000000"/>
        </w:rPr>
        <w:t xml:space="preserve">losses </w:t>
      </w:r>
      <w:r w:rsidR="00D757B6">
        <w:rPr>
          <w:rFonts w:ascii="Calibri" w:hAnsi="Calibri" w:cs="Helv"/>
          <w:color w:val="000000"/>
        </w:rPr>
        <w:t xml:space="preserve">previously </w:t>
      </w:r>
      <w:r w:rsidR="00176567">
        <w:rPr>
          <w:rFonts w:ascii="Calibri" w:hAnsi="Calibri" w:cs="Helv"/>
          <w:color w:val="000000"/>
        </w:rPr>
        <w:t>held in abeyance would then be able to offset the gains in that year.</w:t>
      </w:r>
      <w:r w:rsidR="00ED7CAF">
        <w:rPr>
          <w:rFonts w:ascii="Calibri" w:hAnsi="Calibri" w:cs="Helv"/>
          <w:color w:val="000000"/>
        </w:rPr>
        <w:t xml:space="preserve">  Therefore, even in a worst-</w:t>
      </w:r>
      <w:r w:rsidR="00CA79A9">
        <w:rPr>
          <w:rFonts w:ascii="Calibri" w:hAnsi="Calibri" w:cs="Helv"/>
          <w:color w:val="000000"/>
        </w:rPr>
        <w:t xml:space="preserve">case scenario, a net </w:t>
      </w:r>
      <w:r w:rsidR="00D757B6">
        <w:rPr>
          <w:rFonts w:ascii="Calibri" w:hAnsi="Calibri" w:cs="Helv"/>
          <w:color w:val="000000"/>
        </w:rPr>
        <w:t xml:space="preserve">capital </w:t>
      </w:r>
      <w:r w:rsidR="00CA79A9">
        <w:rPr>
          <w:rFonts w:ascii="Calibri" w:hAnsi="Calibri" w:cs="Helv"/>
          <w:color w:val="000000"/>
        </w:rPr>
        <w:t xml:space="preserve">loss would be treated no worse than a net </w:t>
      </w:r>
      <w:r w:rsidR="00D757B6">
        <w:rPr>
          <w:rFonts w:ascii="Calibri" w:hAnsi="Calibri" w:cs="Helv"/>
          <w:color w:val="000000"/>
        </w:rPr>
        <w:t xml:space="preserve">capital </w:t>
      </w:r>
      <w:r w:rsidR="00CA79A9">
        <w:rPr>
          <w:rFonts w:ascii="Calibri" w:hAnsi="Calibri" w:cs="Helv"/>
          <w:color w:val="000000"/>
        </w:rPr>
        <w:t xml:space="preserve">loss in an ordinary irrevocable </w:t>
      </w:r>
      <w:r w:rsidR="008A41F6">
        <w:rPr>
          <w:rFonts w:ascii="Calibri" w:hAnsi="Calibri" w:cs="Helv"/>
          <w:color w:val="000000"/>
        </w:rPr>
        <w:t xml:space="preserve">non-grantor </w:t>
      </w:r>
      <w:r w:rsidR="00CA79A9">
        <w:rPr>
          <w:rFonts w:ascii="Calibri" w:hAnsi="Calibri" w:cs="Helv"/>
          <w:color w:val="000000"/>
        </w:rPr>
        <w:t>trust taxed under Subchapter J, Parts A-D.</w:t>
      </w:r>
      <w:r w:rsidR="00D757B6">
        <w:rPr>
          <w:rFonts w:ascii="Calibri" w:hAnsi="Calibri" w:cs="Helv"/>
          <w:color w:val="000000"/>
        </w:rPr>
        <w:t xml:space="preserve">  For example, if in our </w:t>
      </w:r>
      <w:r w:rsidR="00FE463E">
        <w:rPr>
          <w:rFonts w:ascii="Calibri" w:hAnsi="Calibri" w:cs="Helv"/>
          <w:color w:val="000000"/>
        </w:rPr>
        <w:t>$20</w:t>
      </w:r>
      <w:r w:rsidR="00D757B6">
        <w:rPr>
          <w:rFonts w:ascii="Calibri" w:hAnsi="Calibri" w:cs="Helv"/>
          <w:color w:val="000000"/>
        </w:rPr>
        <w:t xml:space="preserve">0,000 capital loss example the IRS concludes it must be reported by the trust under </w:t>
      </w:r>
      <w:r w:rsidR="00D757B6" w:rsidRPr="00D757B6">
        <w:rPr>
          <w:rFonts w:ascii="Calibri" w:hAnsi="Calibri" w:cs="Helv"/>
          <w:color w:val="000000"/>
        </w:rPr>
        <w:t>Subchapter J, Parts A-D</w:t>
      </w:r>
      <w:r w:rsidR="00D757B6">
        <w:rPr>
          <w:rFonts w:ascii="Calibri" w:hAnsi="Calibri" w:cs="Helv"/>
          <w:color w:val="000000"/>
        </w:rPr>
        <w:t>, rather than the power holder under §678(a)(1), and the next year’s trust income is $</w:t>
      </w:r>
      <w:r w:rsidR="00FE463E">
        <w:rPr>
          <w:rFonts w:ascii="Calibri" w:hAnsi="Calibri" w:cs="Helv"/>
          <w:color w:val="000000"/>
        </w:rPr>
        <w:t>50,000 dividends/interest and $25</w:t>
      </w:r>
      <w:r w:rsidR="00D757B6">
        <w:rPr>
          <w:rFonts w:ascii="Calibri" w:hAnsi="Calibri" w:cs="Helv"/>
          <w:color w:val="000000"/>
        </w:rPr>
        <w:t>0,000 capital gains, the net withdrawal amount in the subsequen</w:t>
      </w:r>
      <w:r w:rsidR="00FE463E">
        <w:rPr>
          <w:rFonts w:ascii="Calibri" w:hAnsi="Calibri" w:cs="Helv"/>
          <w:color w:val="000000"/>
        </w:rPr>
        <w:t>t year would be reduced from $300,000 to $10</w:t>
      </w:r>
      <w:r w:rsidR="00D757B6">
        <w:rPr>
          <w:rFonts w:ascii="Calibri" w:hAnsi="Calibri" w:cs="Helv"/>
          <w:color w:val="000000"/>
        </w:rPr>
        <w:t>0,000, wi</w:t>
      </w:r>
      <w:r w:rsidR="00FE463E">
        <w:rPr>
          <w:rFonts w:ascii="Calibri" w:hAnsi="Calibri" w:cs="Helv"/>
          <w:color w:val="000000"/>
        </w:rPr>
        <w:t>th the trust then reporting a $20</w:t>
      </w:r>
      <w:r w:rsidR="00D757B6">
        <w:rPr>
          <w:rFonts w:ascii="Calibri" w:hAnsi="Calibri" w:cs="Helv"/>
          <w:color w:val="000000"/>
        </w:rPr>
        <w:t>0,000 ga</w:t>
      </w:r>
      <w:r w:rsidR="00FE463E">
        <w:rPr>
          <w:rFonts w:ascii="Calibri" w:hAnsi="Calibri" w:cs="Helv"/>
          <w:color w:val="000000"/>
        </w:rPr>
        <w:t>in offset by the prior year’s $20</w:t>
      </w:r>
      <w:r w:rsidR="00D757B6">
        <w:rPr>
          <w:rFonts w:ascii="Calibri" w:hAnsi="Calibri" w:cs="Helv"/>
          <w:color w:val="000000"/>
        </w:rPr>
        <w:t>0,000 capital loss carryforward</w:t>
      </w:r>
      <w:r w:rsidR="002B7F94">
        <w:rPr>
          <w:rFonts w:ascii="Calibri" w:hAnsi="Calibri" w:cs="Helv"/>
          <w:color w:val="000000"/>
        </w:rPr>
        <w:t xml:space="preserve"> – a wash</w:t>
      </w:r>
      <w:r w:rsidR="00D757B6">
        <w:rPr>
          <w:rFonts w:ascii="Calibri" w:hAnsi="Calibri" w:cs="Helv"/>
          <w:color w:val="000000"/>
        </w:rPr>
        <w:t>.</w:t>
      </w:r>
    </w:p>
    <w:p w14:paraId="23A611F3" w14:textId="77777777" w:rsidR="0049545F" w:rsidRDefault="00C14820" w:rsidP="00C14820">
      <w:pPr>
        <w:autoSpaceDE w:val="0"/>
        <w:autoSpaceDN w:val="0"/>
        <w:adjustRightInd w:val="0"/>
        <w:spacing w:line="360" w:lineRule="auto"/>
        <w:ind w:firstLine="720"/>
        <w:rPr>
          <w:rFonts w:ascii="Calibri" w:hAnsi="Calibri" w:cs="Helv"/>
          <w:color w:val="000000"/>
        </w:rPr>
      </w:pPr>
      <w:r w:rsidRPr="00C14820">
        <w:rPr>
          <w:rFonts w:ascii="Calibri" w:hAnsi="Calibri" w:cs="Helv"/>
          <w:color w:val="000000"/>
        </w:rPr>
        <w:t xml:space="preserve">While </w:t>
      </w:r>
      <w:r w:rsidR="00160D9A">
        <w:rPr>
          <w:rFonts w:ascii="Calibri" w:hAnsi="Calibri" w:cs="Helv"/>
          <w:color w:val="000000"/>
        </w:rPr>
        <w:t>§678</w:t>
      </w:r>
      <w:r w:rsidR="00D757B6">
        <w:rPr>
          <w:rFonts w:ascii="Calibri" w:hAnsi="Calibri" w:cs="Helv"/>
          <w:color w:val="000000"/>
        </w:rPr>
        <w:t>(a)(1)</w:t>
      </w:r>
      <w:r w:rsidR="00160D9A">
        <w:rPr>
          <w:rFonts w:ascii="Calibri" w:hAnsi="Calibri" w:cs="Helv"/>
          <w:color w:val="000000"/>
        </w:rPr>
        <w:t xml:space="preserve"> withdrawal provisions</w:t>
      </w:r>
      <w:r w:rsidRPr="00C14820">
        <w:rPr>
          <w:rFonts w:ascii="Calibri" w:hAnsi="Calibri" w:cs="Helv"/>
          <w:color w:val="000000"/>
        </w:rPr>
        <w:t xml:space="preserve"> shift the income taxation (and with it, the Medicare </w:t>
      </w:r>
      <w:r w:rsidR="002458DA">
        <w:rPr>
          <w:rFonts w:ascii="Calibri" w:hAnsi="Calibri" w:cs="Helv"/>
          <w:color w:val="000000"/>
        </w:rPr>
        <w:t>“</w:t>
      </w:r>
      <w:r w:rsidRPr="00C14820">
        <w:rPr>
          <w:rFonts w:ascii="Calibri" w:hAnsi="Calibri" w:cs="Helv"/>
          <w:color w:val="000000"/>
        </w:rPr>
        <w:t>surtaxation</w:t>
      </w:r>
      <w:r w:rsidR="002458DA">
        <w:rPr>
          <w:rFonts w:ascii="Calibri" w:hAnsi="Calibri" w:cs="Helv"/>
          <w:color w:val="000000"/>
        </w:rPr>
        <w:t>”</w:t>
      </w:r>
      <w:r w:rsidRPr="00C14820">
        <w:rPr>
          <w:rFonts w:ascii="Calibri" w:hAnsi="Calibri" w:cs="Helv"/>
          <w:color w:val="000000"/>
        </w:rPr>
        <w:t>),</w:t>
      </w:r>
      <w:r w:rsidRPr="00C14820">
        <w:rPr>
          <w:rFonts w:ascii="Calibri" w:hAnsi="Calibri" w:cs="Helv"/>
          <w:color w:val="000000"/>
          <w:vertAlign w:val="superscript"/>
        </w:rPr>
        <w:footnoteReference w:id="429"/>
      </w:r>
      <w:r w:rsidRPr="00C14820">
        <w:rPr>
          <w:rFonts w:ascii="Calibri" w:hAnsi="Calibri" w:cs="Helv"/>
          <w:color w:val="000000"/>
        </w:rPr>
        <w:t xml:space="preserve"> such powers bring up </w:t>
      </w:r>
      <w:r w:rsidR="00D757B6">
        <w:rPr>
          <w:rFonts w:ascii="Calibri" w:hAnsi="Calibri" w:cs="Helv"/>
          <w:color w:val="000000"/>
        </w:rPr>
        <w:t>other minor</w:t>
      </w:r>
      <w:r w:rsidRPr="00C14820">
        <w:rPr>
          <w:rFonts w:ascii="Calibri" w:hAnsi="Calibri" w:cs="Helv"/>
          <w:color w:val="000000"/>
        </w:rPr>
        <w:t xml:space="preserve"> negative ramifications</w:t>
      </w:r>
      <w:r w:rsidR="0049545F">
        <w:rPr>
          <w:rFonts w:ascii="Calibri" w:hAnsi="Calibri" w:cs="Helv"/>
          <w:color w:val="000000"/>
        </w:rPr>
        <w:t>:</w:t>
      </w:r>
    </w:p>
    <w:p w14:paraId="0D4B1F45" w14:textId="77777777" w:rsidR="0049545F" w:rsidRPr="0049545F" w:rsidRDefault="00160D9A" w:rsidP="00180FD1">
      <w:pPr>
        <w:pStyle w:val="ListParagraph"/>
        <w:numPr>
          <w:ilvl w:val="0"/>
          <w:numId w:val="8"/>
        </w:numPr>
        <w:autoSpaceDE w:val="0"/>
        <w:autoSpaceDN w:val="0"/>
        <w:adjustRightInd w:val="0"/>
        <w:spacing w:line="360" w:lineRule="auto"/>
        <w:rPr>
          <w:rFonts w:ascii="Calibri" w:hAnsi="Calibri" w:cs="Helv"/>
          <w:color w:val="000000"/>
        </w:rPr>
      </w:pPr>
      <w:r w:rsidRPr="0049545F">
        <w:rPr>
          <w:rFonts w:ascii="Calibri" w:hAnsi="Calibri" w:cs="Helv"/>
          <w:color w:val="000000"/>
        </w:rPr>
        <w:t xml:space="preserve">some </w:t>
      </w:r>
      <w:r w:rsidR="0049545F" w:rsidRPr="0049545F">
        <w:rPr>
          <w:rFonts w:ascii="Calibri" w:hAnsi="Calibri" w:cs="Helv"/>
          <w:color w:val="000000"/>
        </w:rPr>
        <w:t xml:space="preserve">slightly </w:t>
      </w:r>
      <w:r w:rsidR="00C14820" w:rsidRPr="0049545F">
        <w:rPr>
          <w:rFonts w:ascii="Calibri" w:hAnsi="Calibri" w:cs="Helv"/>
          <w:color w:val="000000"/>
        </w:rPr>
        <w:t xml:space="preserve">decreased asset protection (amounts </w:t>
      </w:r>
      <w:r w:rsidRPr="0049545F">
        <w:rPr>
          <w:rFonts w:ascii="Calibri" w:hAnsi="Calibri" w:cs="Helv"/>
          <w:color w:val="000000"/>
        </w:rPr>
        <w:t xml:space="preserve">currently </w:t>
      </w:r>
      <w:r w:rsidR="00C14820" w:rsidRPr="0049545F">
        <w:rPr>
          <w:rFonts w:ascii="Calibri" w:hAnsi="Calibri" w:cs="Helv"/>
          <w:color w:val="000000"/>
        </w:rPr>
        <w:t xml:space="preserve">subject to </w:t>
      </w:r>
      <w:r w:rsidR="003C764A">
        <w:rPr>
          <w:rFonts w:ascii="Calibri" w:hAnsi="Calibri" w:cs="Helv"/>
          <w:color w:val="000000"/>
        </w:rPr>
        <w:t>an unfettered withdrawal</w:t>
      </w:r>
      <w:r w:rsidR="00C14820" w:rsidRPr="0049545F">
        <w:rPr>
          <w:rFonts w:ascii="Calibri" w:hAnsi="Calibri" w:cs="Helv"/>
          <w:color w:val="000000"/>
        </w:rPr>
        <w:t xml:space="preserve"> power </w:t>
      </w:r>
      <w:r w:rsidR="003C764A">
        <w:rPr>
          <w:rFonts w:ascii="Calibri" w:hAnsi="Calibri" w:cs="Helv"/>
          <w:color w:val="000000"/>
        </w:rPr>
        <w:t xml:space="preserve">are typically </w:t>
      </w:r>
      <w:r w:rsidR="00C14820" w:rsidRPr="0049545F">
        <w:rPr>
          <w:rFonts w:ascii="Calibri" w:hAnsi="Calibri" w:cs="Helv"/>
          <w:color w:val="000000"/>
        </w:rPr>
        <w:t>subject to the beneficiary’s creditors</w:t>
      </w:r>
      <w:r w:rsidR="0049545F" w:rsidRPr="0049545F">
        <w:rPr>
          <w:rFonts w:ascii="Calibri" w:hAnsi="Calibri" w:cs="Helv"/>
          <w:color w:val="000000"/>
        </w:rPr>
        <w:t>)</w:t>
      </w:r>
      <w:r w:rsidR="0049545F">
        <w:rPr>
          <w:rFonts w:ascii="Calibri" w:hAnsi="Calibri" w:cs="Helv"/>
          <w:color w:val="000000"/>
        </w:rPr>
        <w:t>, but a forfeiture or shifting executor</w:t>
      </w:r>
      <w:r w:rsidR="005B6949">
        <w:rPr>
          <w:rFonts w:ascii="Calibri" w:hAnsi="Calibri" w:cs="Helv"/>
          <w:color w:val="000000"/>
        </w:rPr>
        <w:t>y</w:t>
      </w:r>
      <w:r w:rsidR="0049545F">
        <w:rPr>
          <w:rFonts w:ascii="Calibri" w:hAnsi="Calibri" w:cs="Helv"/>
          <w:color w:val="000000"/>
        </w:rPr>
        <w:t xml:space="preserve"> interest </w:t>
      </w:r>
      <w:r w:rsidR="00A07E50">
        <w:rPr>
          <w:rFonts w:ascii="Calibri" w:hAnsi="Calibri" w:cs="Helv"/>
          <w:color w:val="000000"/>
        </w:rPr>
        <w:t xml:space="preserve">(cessor) </w:t>
      </w:r>
      <w:r w:rsidR="0049545F">
        <w:rPr>
          <w:rFonts w:ascii="Calibri" w:hAnsi="Calibri" w:cs="Helv"/>
          <w:color w:val="000000"/>
        </w:rPr>
        <w:t xml:space="preserve">clause </w:t>
      </w:r>
      <w:r w:rsidR="005B6949">
        <w:rPr>
          <w:rFonts w:ascii="Calibri" w:hAnsi="Calibri" w:cs="Helv"/>
          <w:color w:val="000000"/>
        </w:rPr>
        <w:t xml:space="preserve">and/or trust protector </w:t>
      </w:r>
      <w:r w:rsidR="0049545F">
        <w:rPr>
          <w:rFonts w:ascii="Calibri" w:hAnsi="Calibri" w:cs="Helv"/>
          <w:color w:val="000000"/>
        </w:rPr>
        <w:t xml:space="preserve">might </w:t>
      </w:r>
      <w:r w:rsidR="005B6949">
        <w:rPr>
          <w:rFonts w:ascii="Calibri" w:hAnsi="Calibri" w:cs="Helv"/>
          <w:color w:val="000000"/>
        </w:rPr>
        <w:t xml:space="preserve">easily </w:t>
      </w:r>
      <w:r w:rsidR="0049545F">
        <w:rPr>
          <w:rFonts w:ascii="Calibri" w:hAnsi="Calibri" w:cs="Helv"/>
          <w:color w:val="000000"/>
        </w:rPr>
        <w:t xml:space="preserve">cut that off to prevent much </w:t>
      </w:r>
      <w:r w:rsidR="001A10A3">
        <w:rPr>
          <w:rFonts w:ascii="Calibri" w:hAnsi="Calibri" w:cs="Helv"/>
          <w:color w:val="000000"/>
        </w:rPr>
        <w:t>ongoing damage</w:t>
      </w:r>
      <w:r w:rsidR="00A07E50">
        <w:rPr>
          <w:rFonts w:ascii="Calibri" w:hAnsi="Calibri" w:cs="Helv"/>
          <w:color w:val="000000"/>
        </w:rPr>
        <w:t xml:space="preserve">, since only the year’s accumulated income would be at </w:t>
      </w:r>
      <w:r w:rsidR="00A07E50">
        <w:rPr>
          <w:rFonts w:ascii="Calibri" w:hAnsi="Calibri" w:cs="Helv"/>
          <w:color w:val="000000"/>
        </w:rPr>
        <w:lastRenderedPageBreak/>
        <w:t>risk, which frankly is not much worse than other trusts, since bankruptcy pulls in recent trust distributions regardless</w:t>
      </w:r>
      <w:r w:rsidR="005B6949">
        <w:rPr>
          <w:rFonts w:ascii="Calibri" w:hAnsi="Calibri" w:cs="Helv"/>
          <w:color w:val="000000"/>
        </w:rPr>
        <w:t xml:space="preserve">.  An automatic provision is preferred to avoid fraudulent transfer issues, but a trust protector </w:t>
      </w:r>
      <w:r w:rsidR="008060C3">
        <w:rPr>
          <w:rFonts w:ascii="Calibri" w:hAnsi="Calibri" w:cs="Helv"/>
          <w:color w:val="000000"/>
        </w:rPr>
        <w:t>enables modification</w:t>
      </w:r>
      <w:r w:rsidR="005B6949">
        <w:rPr>
          <w:rFonts w:ascii="Calibri" w:hAnsi="Calibri" w:cs="Helv"/>
          <w:color w:val="000000"/>
        </w:rPr>
        <w:t xml:space="preserve"> when no threat</w:t>
      </w:r>
      <w:r w:rsidR="003C764A">
        <w:rPr>
          <w:rFonts w:ascii="Calibri" w:hAnsi="Calibri" w:cs="Helv"/>
          <w:color w:val="000000"/>
        </w:rPr>
        <w:t xml:space="preserve"> is</w:t>
      </w:r>
      <w:r w:rsidR="005B6949">
        <w:rPr>
          <w:rFonts w:ascii="Calibri" w:hAnsi="Calibri" w:cs="Helv"/>
          <w:color w:val="000000"/>
        </w:rPr>
        <w:t xml:space="preserve"> </w:t>
      </w:r>
      <w:r w:rsidR="003C764A">
        <w:rPr>
          <w:rFonts w:ascii="Calibri" w:hAnsi="Calibri" w:cs="Helv"/>
          <w:color w:val="000000"/>
        </w:rPr>
        <w:t>imm</w:t>
      </w:r>
      <w:r w:rsidR="005B6949">
        <w:rPr>
          <w:rFonts w:ascii="Calibri" w:hAnsi="Calibri" w:cs="Helv"/>
          <w:color w:val="000000"/>
        </w:rPr>
        <w:t>inent.</w:t>
      </w:r>
      <w:r w:rsidR="008060C3">
        <w:rPr>
          <w:rStyle w:val="FootnoteReference"/>
          <w:rFonts w:ascii="Calibri" w:hAnsi="Calibri" w:cs="Helv"/>
          <w:color w:val="000000"/>
        </w:rPr>
        <w:footnoteReference w:id="430"/>
      </w:r>
    </w:p>
    <w:p w14:paraId="6810BA2E" w14:textId="77777777" w:rsidR="0049545F" w:rsidRDefault="00160D9A" w:rsidP="00180FD1">
      <w:pPr>
        <w:pStyle w:val="ListParagraph"/>
        <w:numPr>
          <w:ilvl w:val="0"/>
          <w:numId w:val="8"/>
        </w:numPr>
        <w:autoSpaceDE w:val="0"/>
        <w:autoSpaceDN w:val="0"/>
        <w:adjustRightInd w:val="0"/>
        <w:spacing w:line="360" w:lineRule="auto"/>
        <w:rPr>
          <w:rFonts w:ascii="Calibri" w:hAnsi="Calibri" w:cs="Helv"/>
          <w:color w:val="000000"/>
        </w:rPr>
      </w:pPr>
      <w:r w:rsidRPr="0049545F">
        <w:rPr>
          <w:rFonts w:ascii="Calibri" w:hAnsi="Calibri" w:cs="Helv"/>
          <w:color w:val="000000"/>
        </w:rPr>
        <w:t xml:space="preserve">slightly </w:t>
      </w:r>
      <w:r w:rsidR="00C14820" w:rsidRPr="0049545F">
        <w:rPr>
          <w:rFonts w:ascii="Calibri" w:hAnsi="Calibri" w:cs="Helv"/>
          <w:color w:val="000000"/>
        </w:rPr>
        <w:t>increased estate inclusion</w:t>
      </w:r>
      <w:r w:rsidR="003F3E97">
        <w:rPr>
          <w:rFonts w:ascii="Calibri" w:hAnsi="Calibri" w:cs="Helv"/>
          <w:color w:val="000000"/>
        </w:rPr>
        <w:t xml:space="preserve"> risk</w:t>
      </w:r>
      <w:r w:rsidR="00C14820" w:rsidRPr="0049545F">
        <w:rPr>
          <w:rFonts w:ascii="Calibri" w:hAnsi="Calibri" w:cs="Helv"/>
          <w:color w:val="000000"/>
        </w:rPr>
        <w:t xml:space="preserve"> (amounts subject to withdrawal at death are in </w:t>
      </w:r>
      <w:r w:rsidR="005B6949">
        <w:rPr>
          <w:rFonts w:ascii="Calibri" w:hAnsi="Calibri" w:cs="Helv"/>
          <w:color w:val="000000"/>
        </w:rPr>
        <w:t xml:space="preserve">a </w:t>
      </w:r>
      <w:r w:rsidR="00C14820" w:rsidRPr="0049545F">
        <w:rPr>
          <w:rFonts w:ascii="Calibri" w:hAnsi="Calibri" w:cs="Helv"/>
          <w:color w:val="000000"/>
        </w:rPr>
        <w:t>beneficiary’s estate)</w:t>
      </w:r>
      <w:r w:rsidR="0049545F">
        <w:rPr>
          <w:rFonts w:ascii="Calibri" w:hAnsi="Calibri" w:cs="Helv"/>
          <w:color w:val="000000"/>
        </w:rPr>
        <w:t xml:space="preserve">, but </w:t>
      </w:r>
      <w:r w:rsidR="000D5891">
        <w:rPr>
          <w:rFonts w:ascii="Calibri" w:hAnsi="Calibri" w:cs="Helv"/>
          <w:color w:val="000000"/>
        </w:rPr>
        <w:t xml:space="preserve">again, </w:t>
      </w:r>
      <w:r w:rsidR="0049545F">
        <w:rPr>
          <w:rFonts w:ascii="Calibri" w:hAnsi="Calibri" w:cs="Helv"/>
          <w:color w:val="000000"/>
        </w:rPr>
        <w:t xml:space="preserve">this </w:t>
      </w:r>
      <w:r w:rsidR="005B6949">
        <w:rPr>
          <w:rFonts w:ascii="Calibri" w:hAnsi="Calibri" w:cs="Helv"/>
          <w:color w:val="000000"/>
        </w:rPr>
        <w:t>can</w:t>
      </w:r>
      <w:r w:rsidR="0049545F">
        <w:rPr>
          <w:rFonts w:ascii="Calibri" w:hAnsi="Calibri" w:cs="Helv"/>
          <w:color w:val="000000"/>
        </w:rPr>
        <w:t xml:space="preserve"> be </w:t>
      </w:r>
      <w:r w:rsidR="003F3E97">
        <w:rPr>
          <w:rFonts w:ascii="Calibri" w:hAnsi="Calibri" w:cs="Helv"/>
          <w:color w:val="000000"/>
        </w:rPr>
        <w:t xml:space="preserve">largely </w:t>
      </w:r>
      <w:r w:rsidR="0049545F">
        <w:rPr>
          <w:rFonts w:ascii="Calibri" w:hAnsi="Calibri" w:cs="Helv"/>
          <w:color w:val="000000"/>
        </w:rPr>
        <w:t xml:space="preserve">mitigated so that the withdrawal right is not </w:t>
      </w:r>
      <w:r w:rsidR="00E26438">
        <w:rPr>
          <w:rFonts w:ascii="Calibri" w:hAnsi="Calibri" w:cs="Helv"/>
          <w:color w:val="000000"/>
        </w:rPr>
        <w:t xml:space="preserve">vested and active </w:t>
      </w:r>
      <w:r w:rsidR="0049545F">
        <w:rPr>
          <w:rFonts w:ascii="Calibri" w:hAnsi="Calibri" w:cs="Helv"/>
          <w:color w:val="000000"/>
        </w:rPr>
        <w:t>until the end of the year</w:t>
      </w:r>
      <w:r w:rsidR="003C764A">
        <w:rPr>
          <w:rFonts w:ascii="Calibri" w:hAnsi="Calibri" w:cs="Helv"/>
          <w:color w:val="000000"/>
        </w:rPr>
        <w:t xml:space="preserve">.  A </w:t>
      </w:r>
      <w:r w:rsidR="0049545F">
        <w:rPr>
          <w:rFonts w:ascii="Calibri" w:hAnsi="Calibri" w:cs="Helv"/>
          <w:color w:val="000000"/>
        </w:rPr>
        <w:t xml:space="preserve">beneficiary would be unlikely to die with any </w:t>
      </w:r>
      <w:r w:rsidR="003C764A">
        <w:rPr>
          <w:rFonts w:ascii="Calibri" w:hAnsi="Calibri" w:cs="Helv"/>
          <w:color w:val="000000"/>
        </w:rPr>
        <w:t>includible</w:t>
      </w:r>
      <w:r w:rsidR="0049545F">
        <w:rPr>
          <w:rFonts w:ascii="Calibri" w:hAnsi="Calibri" w:cs="Helv"/>
          <w:color w:val="000000"/>
        </w:rPr>
        <w:t xml:space="preserve"> right</w:t>
      </w:r>
      <w:r w:rsidR="00A07E50">
        <w:rPr>
          <w:rFonts w:ascii="Calibri" w:hAnsi="Calibri" w:cs="Helv"/>
          <w:color w:val="000000"/>
        </w:rPr>
        <w:t>, it would be minimal, and in many cases there would be a testamentary GPOA causing inclusion anyway (as discussed in Part III of this paper)</w:t>
      </w:r>
      <w:r w:rsidR="003C764A">
        <w:rPr>
          <w:rFonts w:ascii="Calibri" w:hAnsi="Calibri" w:cs="Helv"/>
          <w:color w:val="000000"/>
        </w:rPr>
        <w:t>.</w:t>
      </w:r>
      <w:r w:rsidR="00C14820" w:rsidRPr="0049545F">
        <w:rPr>
          <w:rFonts w:ascii="Calibri" w:hAnsi="Calibri" w:cs="Helv"/>
          <w:color w:val="000000"/>
        </w:rPr>
        <w:t xml:space="preserve"> </w:t>
      </w:r>
    </w:p>
    <w:p w14:paraId="64C35ABD" w14:textId="77777777" w:rsidR="0049545F" w:rsidRDefault="00C14820" w:rsidP="00180FD1">
      <w:pPr>
        <w:pStyle w:val="ListParagraph"/>
        <w:numPr>
          <w:ilvl w:val="0"/>
          <w:numId w:val="8"/>
        </w:numPr>
        <w:autoSpaceDE w:val="0"/>
        <w:autoSpaceDN w:val="0"/>
        <w:adjustRightInd w:val="0"/>
        <w:spacing w:line="360" w:lineRule="auto"/>
        <w:rPr>
          <w:rFonts w:ascii="Calibri" w:hAnsi="Calibri" w:cs="Helv"/>
          <w:color w:val="000000"/>
        </w:rPr>
      </w:pPr>
      <w:r w:rsidRPr="0049545F">
        <w:rPr>
          <w:rFonts w:ascii="Calibri" w:hAnsi="Calibri" w:cs="Helv"/>
          <w:color w:val="000000"/>
        </w:rPr>
        <w:t xml:space="preserve">if assets are </w:t>
      </w:r>
      <w:r w:rsidRPr="0049545F">
        <w:rPr>
          <w:rFonts w:ascii="Calibri" w:hAnsi="Calibri" w:cs="Helv"/>
          <w:i/>
          <w:color w:val="000000"/>
        </w:rPr>
        <w:t>not</w:t>
      </w:r>
      <w:r w:rsidRPr="0049545F">
        <w:rPr>
          <w:rFonts w:ascii="Calibri" w:hAnsi="Calibri" w:cs="Helv"/>
          <w:color w:val="000000"/>
        </w:rPr>
        <w:t xml:space="preserve"> withdrawn in a given year, it </w:t>
      </w:r>
      <w:r w:rsidR="0049545F">
        <w:rPr>
          <w:rFonts w:ascii="Calibri" w:hAnsi="Calibri" w:cs="Helv"/>
          <w:color w:val="000000"/>
        </w:rPr>
        <w:t xml:space="preserve">may </w:t>
      </w:r>
      <w:r w:rsidRPr="0049545F">
        <w:rPr>
          <w:rFonts w:ascii="Calibri" w:hAnsi="Calibri" w:cs="Helv"/>
          <w:color w:val="000000"/>
        </w:rPr>
        <w:t>result in a partially self-settled trust as to the beneficiary, which may have negative rami</w:t>
      </w:r>
      <w:r w:rsidR="001A10A3">
        <w:rPr>
          <w:rFonts w:ascii="Calibri" w:hAnsi="Calibri" w:cs="Helv"/>
          <w:color w:val="000000"/>
        </w:rPr>
        <w:t xml:space="preserve">fications for asset protection </w:t>
      </w:r>
      <w:r w:rsidRPr="0049545F">
        <w:rPr>
          <w:rFonts w:ascii="Calibri" w:hAnsi="Calibri" w:cs="Helv"/>
          <w:color w:val="000000"/>
        </w:rPr>
        <w:t xml:space="preserve">or estate tax inclusion.  </w:t>
      </w:r>
      <w:r w:rsidR="003C764A">
        <w:rPr>
          <w:rFonts w:ascii="Calibri" w:hAnsi="Calibri" w:cs="Helv"/>
          <w:color w:val="000000"/>
        </w:rPr>
        <w:t>However, a beneficiary might</w:t>
      </w:r>
      <w:r w:rsidR="001A10A3" w:rsidRPr="001A10A3">
        <w:rPr>
          <w:rFonts w:ascii="Calibri" w:hAnsi="Calibri" w:cs="Helv"/>
          <w:color w:val="000000"/>
        </w:rPr>
        <w:t xml:space="preserve"> simply withdraw any amounts above the 5/5 and/or state creditor lapse protection</w:t>
      </w:r>
      <w:r w:rsidR="00CD792D">
        <w:rPr>
          <w:rFonts w:ascii="Calibri" w:hAnsi="Calibri" w:cs="Helv"/>
          <w:color w:val="000000"/>
        </w:rPr>
        <w:t xml:space="preserve"> </w:t>
      </w:r>
      <w:r w:rsidR="001A10A3" w:rsidRPr="001A10A3">
        <w:rPr>
          <w:rFonts w:ascii="Calibri" w:hAnsi="Calibri" w:cs="Helv"/>
          <w:color w:val="000000"/>
        </w:rPr>
        <w:t xml:space="preserve">and if asset protection is desired, </w:t>
      </w:r>
      <w:r w:rsidR="003C764A">
        <w:rPr>
          <w:rFonts w:ascii="Calibri" w:hAnsi="Calibri" w:cs="Helv"/>
          <w:color w:val="000000"/>
        </w:rPr>
        <w:t xml:space="preserve">contribute </w:t>
      </w:r>
      <w:r w:rsidR="003F3E97">
        <w:rPr>
          <w:rFonts w:ascii="Calibri" w:hAnsi="Calibri" w:cs="Helv"/>
          <w:color w:val="000000"/>
        </w:rPr>
        <w:t>unspent amounts</w:t>
      </w:r>
      <w:r w:rsidR="003C764A">
        <w:rPr>
          <w:rFonts w:ascii="Calibri" w:hAnsi="Calibri" w:cs="Helv"/>
          <w:color w:val="000000"/>
        </w:rPr>
        <w:t xml:space="preserve"> to an IRA/Qualified Plan</w:t>
      </w:r>
      <w:r w:rsidR="001A10A3" w:rsidRPr="001A10A3">
        <w:rPr>
          <w:rFonts w:ascii="Calibri" w:hAnsi="Calibri" w:cs="Helv"/>
          <w:color w:val="000000"/>
        </w:rPr>
        <w:t xml:space="preserve">, </w:t>
      </w:r>
      <w:r w:rsidR="00A07E50">
        <w:rPr>
          <w:rFonts w:ascii="Calibri" w:hAnsi="Calibri" w:cs="Helv"/>
          <w:color w:val="000000"/>
        </w:rPr>
        <w:t>cash value life insurance, LLC,</w:t>
      </w:r>
      <w:r w:rsidR="003C764A">
        <w:rPr>
          <w:rFonts w:ascii="Calibri" w:hAnsi="Calibri" w:cs="Helv"/>
          <w:color w:val="000000"/>
        </w:rPr>
        <w:t xml:space="preserve"> </w:t>
      </w:r>
      <w:r w:rsidR="00A07E50">
        <w:rPr>
          <w:rFonts w:ascii="Calibri" w:hAnsi="Calibri" w:cs="Helv"/>
          <w:color w:val="000000"/>
        </w:rPr>
        <w:t xml:space="preserve">irrevocable </w:t>
      </w:r>
      <w:r w:rsidR="003C764A">
        <w:rPr>
          <w:rFonts w:ascii="Calibri" w:hAnsi="Calibri" w:cs="Helv"/>
          <w:color w:val="000000"/>
        </w:rPr>
        <w:t>gifting trust</w:t>
      </w:r>
      <w:r w:rsidR="00A07E50">
        <w:rPr>
          <w:rFonts w:ascii="Calibri" w:hAnsi="Calibri" w:cs="Helv"/>
          <w:color w:val="000000"/>
        </w:rPr>
        <w:t xml:space="preserve">, </w:t>
      </w:r>
      <w:r w:rsidR="003F3E97">
        <w:rPr>
          <w:rFonts w:ascii="Calibri" w:hAnsi="Calibri" w:cs="Helv"/>
          <w:color w:val="000000"/>
        </w:rPr>
        <w:t xml:space="preserve">homestead, </w:t>
      </w:r>
      <w:r w:rsidR="00A07E50">
        <w:rPr>
          <w:rFonts w:ascii="Calibri" w:hAnsi="Calibri" w:cs="Helv"/>
          <w:color w:val="000000"/>
        </w:rPr>
        <w:t>self-settled asset protection trust</w:t>
      </w:r>
      <w:r w:rsidR="003C764A">
        <w:rPr>
          <w:rFonts w:ascii="Calibri" w:hAnsi="Calibri" w:cs="Helv"/>
          <w:color w:val="000000"/>
        </w:rPr>
        <w:t xml:space="preserve"> or other protective structure</w:t>
      </w:r>
      <w:r w:rsidR="001A10A3" w:rsidRPr="001A10A3">
        <w:rPr>
          <w:rFonts w:ascii="Calibri" w:hAnsi="Calibri" w:cs="Helv"/>
          <w:color w:val="000000"/>
        </w:rPr>
        <w:t>.</w:t>
      </w:r>
      <w:r w:rsidR="005B6949">
        <w:rPr>
          <w:rFonts w:ascii="Calibri" w:hAnsi="Calibri" w:cs="Helv"/>
          <w:color w:val="000000"/>
        </w:rPr>
        <w:t xml:space="preserve">  </w:t>
      </w:r>
    </w:p>
    <w:p w14:paraId="357CF14F" w14:textId="77777777" w:rsidR="002C5653" w:rsidRDefault="002C5653" w:rsidP="00C14820">
      <w:pPr>
        <w:autoSpaceDE w:val="0"/>
        <w:autoSpaceDN w:val="0"/>
        <w:adjustRightInd w:val="0"/>
        <w:spacing w:line="360" w:lineRule="auto"/>
        <w:ind w:firstLine="720"/>
        <w:rPr>
          <w:rFonts w:ascii="Calibri" w:hAnsi="Calibri" w:cs="Helv"/>
          <w:color w:val="000000"/>
        </w:rPr>
      </w:pPr>
    </w:p>
    <w:p w14:paraId="154225B7" w14:textId="77777777" w:rsidR="00C14820" w:rsidRDefault="002C5653" w:rsidP="00C14820">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Most </w:t>
      </w:r>
      <w:r w:rsidR="00160D9A">
        <w:rPr>
          <w:rFonts w:ascii="Calibri" w:hAnsi="Calibri" w:cs="Helv"/>
          <w:color w:val="000000"/>
        </w:rPr>
        <w:t>tax preparers</w:t>
      </w:r>
      <w:r>
        <w:rPr>
          <w:rFonts w:ascii="Calibri" w:hAnsi="Calibri" w:cs="Helv"/>
          <w:color w:val="000000"/>
        </w:rPr>
        <w:t xml:space="preserve"> </w:t>
      </w:r>
      <w:r w:rsidR="00CD3143">
        <w:rPr>
          <w:rFonts w:ascii="Calibri" w:hAnsi="Calibri" w:cs="Helv"/>
          <w:color w:val="000000"/>
        </w:rPr>
        <w:t>(</w:t>
      </w:r>
      <w:r>
        <w:rPr>
          <w:rFonts w:ascii="Calibri" w:hAnsi="Calibri" w:cs="Helv"/>
          <w:color w:val="000000"/>
        </w:rPr>
        <w:t>and attorneys</w:t>
      </w:r>
      <w:r w:rsidR="00CD3143">
        <w:rPr>
          <w:rFonts w:ascii="Calibri" w:hAnsi="Calibri" w:cs="Helv"/>
          <w:color w:val="000000"/>
        </w:rPr>
        <w:t>)</w:t>
      </w:r>
      <w:r w:rsidR="00160D9A">
        <w:rPr>
          <w:rFonts w:ascii="Calibri" w:hAnsi="Calibri" w:cs="Helv"/>
          <w:color w:val="000000"/>
        </w:rPr>
        <w:t xml:space="preserve"> are </w:t>
      </w:r>
      <w:r w:rsidR="00CD3143">
        <w:rPr>
          <w:rFonts w:ascii="Calibri" w:hAnsi="Calibri" w:cs="Helv"/>
          <w:color w:val="000000"/>
        </w:rPr>
        <w:t>neither</w:t>
      </w:r>
      <w:r w:rsidR="00160D9A">
        <w:rPr>
          <w:rFonts w:ascii="Calibri" w:hAnsi="Calibri" w:cs="Helv"/>
          <w:color w:val="000000"/>
        </w:rPr>
        <w:t xml:space="preserve"> educated on these concepts </w:t>
      </w:r>
      <w:r w:rsidR="00CD3143">
        <w:rPr>
          <w:rFonts w:ascii="Calibri" w:hAnsi="Calibri" w:cs="Helv"/>
          <w:color w:val="000000"/>
        </w:rPr>
        <w:t>n</w:t>
      </w:r>
      <w:r w:rsidR="00160D9A">
        <w:rPr>
          <w:rFonts w:ascii="Calibri" w:hAnsi="Calibri" w:cs="Helv"/>
          <w:color w:val="000000"/>
        </w:rPr>
        <w:t xml:space="preserve">or prepared to evaluate such trusts, so if </w:t>
      </w:r>
      <w:r w:rsidR="00CD3143">
        <w:rPr>
          <w:rFonts w:ascii="Calibri" w:hAnsi="Calibri" w:cs="Helv"/>
          <w:color w:val="000000"/>
        </w:rPr>
        <w:t>§678(a)</w:t>
      </w:r>
      <w:r>
        <w:rPr>
          <w:rFonts w:ascii="Calibri" w:hAnsi="Calibri" w:cs="Helv"/>
          <w:color w:val="000000"/>
        </w:rPr>
        <w:t xml:space="preserve"> </w:t>
      </w:r>
      <w:r w:rsidR="00160D9A">
        <w:rPr>
          <w:rFonts w:ascii="Calibri" w:hAnsi="Calibri" w:cs="Helv"/>
          <w:color w:val="000000"/>
        </w:rPr>
        <w:t xml:space="preserve">provisions are added, add an explanatory sentence or two </w:t>
      </w:r>
      <w:r w:rsidR="00B2231D">
        <w:rPr>
          <w:rFonts w:ascii="Calibri" w:hAnsi="Calibri" w:cs="Helv"/>
          <w:color w:val="000000"/>
        </w:rPr>
        <w:t>(in bold</w:t>
      </w:r>
      <w:r w:rsidR="00E26438">
        <w:rPr>
          <w:rFonts w:ascii="Calibri" w:hAnsi="Calibri" w:cs="Helv"/>
          <w:color w:val="000000"/>
        </w:rPr>
        <w:t xml:space="preserve"> or right in the withdrawal provision</w:t>
      </w:r>
      <w:r w:rsidR="00B2231D">
        <w:rPr>
          <w:rFonts w:ascii="Calibri" w:hAnsi="Calibri" w:cs="Helv"/>
          <w:color w:val="000000"/>
        </w:rPr>
        <w:t xml:space="preserve">, not buried in the boilerplate) </w:t>
      </w:r>
      <w:r w:rsidR="00160D9A">
        <w:rPr>
          <w:rFonts w:ascii="Calibri" w:hAnsi="Calibri" w:cs="Helv"/>
          <w:color w:val="000000"/>
        </w:rPr>
        <w:t>describing the intention of the clause and its intended tax effect</w:t>
      </w:r>
      <w:r w:rsidR="00445003">
        <w:rPr>
          <w:rFonts w:ascii="Calibri" w:hAnsi="Calibri" w:cs="Helv"/>
          <w:color w:val="000000"/>
        </w:rPr>
        <w:t xml:space="preserve"> to alert trustees and their advisors</w:t>
      </w:r>
      <w:r w:rsidR="00160D9A">
        <w:rPr>
          <w:rFonts w:ascii="Calibri" w:hAnsi="Calibri" w:cs="Helv"/>
          <w:color w:val="000000"/>
        </w:rPr>
        <w:t>.</w:t>
      </w:r>
      <w:r w:rsidR="00C14820" w:rsidRPr="00C14820">
        <w:rPr>
          <w:rFonts w:ascii="Calibri" w:hAnsi="Calibri" w:cs="Helv"/>
          <w:color w:val="000000"/>
        </w:rPr>
        <w:t xml:space="preserve"> </w:t>
      </w:r>
      <w:r w:rsidR="00445003">
        <w:rPr>
          <w:rFonts w:ascii="Calibri" w:hAnsi="Calibri" w:cs="Helv"/>
          <w:color w:val="000000"/>
        </w:rPr>
        <w:t xml:space="preserve"> Statements of intentions</w:t>
      </w:r>
      <w:r w:rsidR="00CD3143">
        <w:rPr>
          <w:rFonts w:ascii="Calibri" w:hAnsi="Calibri" w:cs="Helv"/>
          <w:color w:val="000000"/>
        </w:rPr>
        <w:t xml:space="preserve"> </w:t>
      </w:r>
      <w:r w:rsidR="00445003">
        <w:rPr>
          <w:rFonts w:ascii="Calibri" w:hAnsi="Calibri" w:cs="Helv"/>
          <w:color w:val="000000"/>
        </w:rPr>
        <w:t>may</w:t>
      </w:r>
      <w:r w:rsidR="00CD3143">
        <w:rPr>
          <w:rFonts w:ascii="Calibri" w:hAnsi="Calibri" w:cs="Helv"/>
          <w:color w:val="000000"/>
        </w:rPr>
        <w:t xml:space="preserve"> also help with any future reformations.</w:t>
      </w:r>
    </w:p>
    <w:p w14:paraId="25AD91EF" w14:textId="77777777" w:rsidR="004D70B7" w:rsidRDefault="004D70B7" w:rsidP="00C14820">
      <w:pPr>
        <w:autoSpaceDE w:val="0"/>
        <w:autoSpaceDN w:val="0"/>
        <w:adjustRightInd w:val="0"/>
        <w:spacing w:line="360" w:lineRule="auto"/>
        <w:ind w:firstLine="720"/>
        <w:rPr>
          <w:rFonts w:ascii="Calibri" w:hAnsi="Calibri" w:cs="Helv"/>
          <w:color w:val="000000"/>
        </w:rPr>
      </w:pPr>
    </w:p>
    <w:p w14:paraId="0EC436FF" w14:textId="77777777" w:rsidR="00CA54DC" w:rsidRDefault="00CA54DC" w:rsidP="00180FD1">
      <w:pPr>
        <w:pStyle w:val="ListParagraph"/>
        <w:numPr>
          <w:ilvl w:val="0"/>
          <w:numId w:val="22"/>
        </w:numPr>
        <w:autoSpaceDE w:val="0"/>
        <w:autoSpaceDN w:val="0"/>
        <w:adjustRightInd w:val="0"/>
        <w:spacing w:line="360" w:lineRule="auto"/>
        <w:rPr>
          <w:rFonts w:ascii="Calibri" w:hAnsi="Calibri" w:cs="Helv"/>
          <w:b/>
          <w:i/>
          <w:color w:val="000000"/>
        </w:rPr>
      </w:pPr>
      <w:r w:rsidRPr="00CA54DC">
        <w:rPr>
          <w:rFonts w:ascii="Calibri" w:hAnsi="Calibri" w:cs="Helv"/>
          <w:b/>
          <w:i/>
          <w:color w:val="000000"/>
        </w:rPr>
        <w:t xml:space="preserve">IRC §678(a) – Seizing the $250,000 capital gains tax exclusion </w:t>
      </w:r>
      <w:r>
        <w:rPr>
          <w:rFonts w:ascii="Calibri" w:hAnsi="Calibri" w:cs="Helv"/>
          <w:b/>
          <w:i/>
          <w:color w:val="000000"/>
        </w:rPr>
        <w:t xml:space="preserve">for residence </w:t>
      </w:r>
      <w:r w:rsidRPr="00CA54DC">
        <w:rPr>
          <w:rFonts w:ascii="Calibri" w:hAnsi="Calibri" w:cs="Helv"/>
          <w:b/>
          <w:i/>
          <w:color w:val="000000"/>
        </w:rPr>
        <w:t>under §121</w:t>
      </w:r>
    </w:p>
    <w:p w14:paraId="187E9ED2" w14:textId="77777777" w:rsidR="004D70B7" w:rsidRDefault="00BE762F" w:rsidP="00573E05">
      <w:pPr>
        <w:pStyle w:val="ListParagraph"/>
        <w:autoSpaceDE w:val="0"/>
        <w:autoSpaceDN w:val="0"/>
        <w:adjustRightInd w:val="0"/>
        <w:spacing w:line="360" w:lineRule="auto"/>
        <w:ind w:left="0" w:firstLine="720"/>
        <w:rPr>
          <w:rFonts w:ascii="Calibri" w:hAnsi="Calibri" w:cs="Helv"/>
          <w:color w:val="000000"/>
        </w:rPr>
      </w:pPr>
      <w:r>
        <w:rPr>
          <w:rFonts w:ascii="Calibri" w:hAnsi="Calibri" w:cs="Helv"/>
          <w:color w:val="000000"/>
        </w:rPr>
        <w:t xml:space="preserve">The most common of the tax savings opportunities </w:t>
      </w:r>
      <w:r w:rsidR="00445003">
        <w:rPr>
          <w:rFonts w:ascii="Calibri" w:hAnsi="Calibri" w:cs="Helv"/>
          <w:color w:val="000000"/>
        </w:rPr>
        <w:t>for a grantor trust</w:t>
      </w:r>
      <w:r w:rsidRPr="00BE762F">
        <w:rPr>
          <w:rFonts w:ascii="Calibri" w:hAnsi="Calibri" w:cs="Helv"/>
          <w:color w:val="000000"/>
        </w:rPr>
        <w:t xml:space="preserve"> to encounter, </w:t>
      </w:r>
      <w:r>
        <w:rPr>
          <w:rFonts w:ascii="Calibri" w:hAnsi="Calibri" w:cs="Helv"/>
          <w:color w:val="000000"/>
        </w:rPr>
        <w:t>applicable to the sub-$5.4</w:t>
      </w:r>
      <w:r w:rsidR="00D757B6">
        <w:rPr>
          <w:rFonts w:ascii="Calibri" w:hAnsi="Calibri" w:cs="Helv"/>
          <w:color w:val="000000"/>
        </w:rPr>
        <w:t>5</w:t>
      </w:r>
      <w:r>
        <w:rPr>
          <w:rFonts w:ascii="Calibri" w:hAnsi="Calibri" w:cs="Helv"/>
          <w:color w:val="000000"/>
        </w:rPr>
        <w:t xml:space="preserve"> million dollar estates as well as the wealthiest, is </w:t>
      </w:r>
      <w:r w:rsidRPr="00BE762F">
        <w:rPr>
          <w:rFonts w:ascii="Calibri" w:hAnsi="Calibri" w:cs="Helv"/>
          <w:color w:val="000000"/>
        </w:rPr>
        <w:t>the capital gains exclusion on</w:t>
      </w:r>
      <w:r>
        <w:rPr>
          <w:rFonts w:ascii="Calibri" w:hAnsi="Calibri" w:cs="Helv"/>
          <w:color w:val="000000"/>
        </w:rPr>
        <w:t xml:space="preserve"> the sale of a principal residence.  A provision to withdraw capital gains from the sale of a residence, as discussed above, creates</w:t>
      </w:r>
      <w:r w:rsidRPr="00BE762F">
        <w:rPr>
          <w:rFonts w:ascii="Calibri" w:hAnsi="Calibri" w:cs="Helv"/>
          <w:color w:val="000000"/>
        </w:rPr>
        <w:t xml:space="preserve"> a §678(a)</w:t>
      </w:r>
      <w:r w:rsidR="00D757B6">
        <w:rPr>
          <w:rFonts w:ascii="Calibri" w:hAnsi="Calibri" w:cs="Helv"/>
          <w:color w:val="000000"/>
        </w:rPr>
        <w:t>(1)</w:t>
      </w:r>
      <w:r w:rsidRPr="00BE762F">
        <w:rPr>
          <w:rFonts w:ascii="Calibri" w:hAnsi="Calibri" w:cs="Helv"/>
          <w:color w:val="000000"/>
        </w:rPr>
        <w:t xml:space="preserve"> trust </w:t>
      </w:r>
      <w:r>
        <w:rPr>
          <w:rFonts w:ascii="Calibri" w:hAnsi="Calibri" w:cs="Helv"/>
          <w:color w:val="000000"/>
        </w:rPr>
        <w:t xml:space="preserve">as to that asset upon sale.  </w:t>
      </w:r>
      <w:r>
        <w:rPr>
          <w:rFonts w:ascii="Calibri" w:hAnsi="Calibri" w:cs="Helv"/>
          <w:color w:val="000000"/>
        </w:rPr>
        <w:lastRenderedPageBreak/>
        <w:t>S</w:t>
      </w:r>
      <w:r w:rsidRPr="00BE762F">
        <w:rPr>
          <w:rFonts w:ascii="Calibri" w:hAnsi="Calibri" w:cs="Helv"/>
          <w:color w:val="000000"/>
        </w:rPr>
        <w:t xml:space="preserve">uch a provision as to </w:t>
      </w:r>
      <w:r>
        <w:rPr>
          <w:rFonts w:ascii="Calibri" w:hAnsi="Calibri" w:cs="Helv"/>
          <w:color w:val="000000"/>
        </w:rPr>
        <w:t>residential property</w:t>
      </w:r>
      <w:r w:rsidR="00DE7C7A">
        <w:rPr>
          <w:rFonts w:ascii="Calibri" w:hAnsi="Calibri" w:cs="Helv"/>
          <w:color w:val="000000"/>
        </w:rPr>
        <w:t>, but not other assets,</w:t>
      </w:r>
      <w:r>
        <w:rPr>
          <w:rFonts w:ascii="Calibri" w:hAnsi="Calibri" w:cs="Helv"/>
          <w:color w:val="000000"/>
        </w:rPr>
        <w:t xml:space="preserve"> </w:t>
      </w:r>
      <w:r w:rsidRPr="00BE762F">
        <w:rPr>
          <w:rFonts w:ascii="Calibri" w:hAnsi="Calibri" w:cs="Helv"/>
          <w:color w:val="000000"/>
        </w:rPr>
        <w:t>avoid</w:t>
      </w:r>
      <w:r>
        <w:rPr>
          <w:rFonts w:ascii="Calibri" w:hAnsi="Calibri" w:cs="Helv"/>
          <w:color w:val="000000"/>
        </w:rPr>
        <w:t>s</w:t>
      </w:r>
      <w:r w:rsidRPr="00BE762F">
        <w:rPr>
          <w:rFonts w:ascii="Calibri" w:hAnsi="Calibri" w:cs="Helv"/>
          <w:color w:val="000000"/>
        </w:rPr>
        <w:t xml:space="preserve"> many </w:t>
      </w:r>
      <w:r>
        <w:rPr>
          <w:rFonts w:ascii="Calibri" w:hAnsi="Calibri" w:cs="Helv"/>
          <w:color w:val="000000"/>
        </w:rPr>
        <w:t xml:space="preserve">of the </w:t>
      </w:r>
      <w:r w:rsidRPr="00BE762F">
        <w:rPr>
          <w:rFonts w:ascii="Calibri" w:hAnsi="Calibri" w:cs="Helv"/>
          <w:color w:val="000000"/>
        </w:rPr>
        <w:t>negatives</w:t>
      </w:r>
      <w:r>
        <w:rPr>
          <w:rFonts w:ascii="Calibri" w:hAnsi="Calibri" w:cs="Helv"/>
          <w:color w:val="000000"/>
        </w:rPr>
        <w:t xml:space="preserve"> of §678(a)</w:t>
      </w:r>
      <w:r w:rsidR="00D757B6">
        <w:rPr>
          <w:rFonts w:ascii="Calibri" w:hAnsi="Calibri" w:cs="Helv"/>
          <w:color w:val="000000"/>
        </w:rPr>
        <w:t>(1)</w:t>
      </w:r>
      <w:r>
        <w:rPr>
          <w:rFonts w:ascii="Calibri" w:hAnsi="Calibri" w:cs="Helv"/>
          <w:color w:val="000000"/>
        </w:rPr>
        <w:t xml:space="preserve"> trusts</w:t>
      </w:r>
      <w:r w:rsidRPr="00BE762F">
        <w:rPr>
          <w:rFonts w:ascii="Calibri" w:hAnsi="Calibri" w:cs="Helv"/>
          <w:color w:val="000000"/>
        </w:rPr>
        <w:t xml:space="preserve">.   For example, there is very little asset protection risk granting a beneficiary the right to withdraw capital gains income from sale of a personal residence if an independent trustee doesn’t sell the property!  A trust might allow the beneficiary to withdraw net capital gains from the sale of a residence, but have ordinary distribution provisions for all other assets.  </w:t>
      </w:r>
    </w:p>
    <w:p w14:paraId="4C9F8B05" w14:textId="77777777" w:rsidR="00CD3143" w:rsidRDefault="004D70B7" w:rsidP="00573E05">
      <w:pPr>
        <w:pStyle w:val="ListParagraph"/>
        <w:autoSpaceDE w:val="0"/>
        <w:autoSpaceDN w:val="0"/>
        <w:adjustRightInd w:val="0"/>
        <w:spacing w:line="360" w:lineRule="auto"/>
        <w:ind w:left="0" w:firstLine="720"/>
        <w:rPr>
          <w:rFonts w:ascii="Calibri" w:hAnsi="Calibri" w:cs="Helv"/>
          <w:color w:val="000000"/>
        </w:rPr>
      </w:pPr>
      <w:r>
        <w:rPr>
          <w:rFonts w:ascii="Calibri" w:hAnsi="Calibri" w:cs="Helv"/>
          <w:color w:val="000000"/>
        </w:rPr>
        <w:t>Grantor trusts are permitted this exclusion provided the other occupancy requirements are met.</w:t>
      </w:r>
      <w:r>
        <w:rPr>
          <w:rStyle w:val="FootnoteReference"/>
          <w:rFonts w:ascii="Calibri" w:hAnsi="Calibri" w:cs="Helv"/>
          <w:color w:val="000000"/>
        </w:rPr>
        <w:footnoteReference w:id="431"/>
      </w:r>
      <w:r>
        <w:rPr>
          <w:rFonts w:ascii="Calibri" w:hAnsi="Calibri" w:cs="Helv"/>
          <w:color w:val="000000"/>
        </w:rPr>
        <w:t xml:space="preserve">  </w:t>
      </w:r>
      <w:r w:rsidR="00CA54DC">
        <w:rPr>
          <w:rFonts w:ascii="Calibri" w:hAnsi="Calibri" w:cs="Helv"/>
          <w:color w:val="000000"/>
        </w:rPr>
        <w:t>A non-grantor</w:t>
      </w:r>
      <w:r w:rsidR="00CA54DC" w:rsidRPr="00CA54DC">
        <w:rPr>
          <w:rFonts w:ascii="Calibri" w:hAnsi="Calibri" w:cs="Helv"/>
          <w:color w:val="000000"/>
        </w:rPr>
        <w:t xml:space="preserve"> trust is </w:t>
      </w:r>
      <w:r w:rsidR="00CA54DC" w:rsidRPr="00583261">
        <w:rPr>
          <w:rFonts w:ascii="Calibri" w:hAnsi="Calibri" w:cs="Helv"/>
          <w:b/>
          <w:i/>
          <w:color w:val="000000"/>
        </w:rPr>
        <w:t>not</w:t>
      </w:r>
      <w:r w:rsidR="00CA54DC" w:rsidRPr="00CA54DC">
        <w:rPr>
          <w:rFonts w:ascii="Calibri" w:hAnsi="Calibri" w:cs="Helv"/>
          <w:color w:val="000000"/>
        </w:rPr>
        <w:t xml:space="preserve"> eligible for the</w:t>
      </w:r>
      <w:r w:rsidR="00CA54DC">
        <w:rPr>
          <w:rFonts w:ascii="Calibri" w:hAnsi="Calibri" w:cs="Helv"/>
          <w:color w:val="000000"/>
        </w:rPr>
        <w:t xml:space="preserve"> $250,000/$500,000</w:t>
      </w:r>
      <w:r w:rsidR="00CA54DC" w:rsidRPr="00CA54DC">
        <w:rPr>
          <w:rFonts w:ascii="Calibri" w:hAnsi="Calibri" w:cs="Helv"/>
          <w:color w:val="000000"/>
        </w:rPr>
        <w:t xml:space="preserve"> capital gain exclusion on the sale of a personal</w:t>
      </w:r>
      <w:r w:rsidR="00CA54DC">
        <w:rPr>
          <w:rFonts w:ascii="Calibri" w:hAnsi="Calibri" w:cs="Helv"/>
          <w:color w:val="000000"/>
        </w:rPr>
        <w:t xml:space="preserve"> </w:t>
      </w:r>
      <w:r w:rsidR="00CA54DC" w:rsidRPr="00CA54DC">
        <w:rPr>
          <w:rFonts w:ascii="Calibri" w:hAnsi="Calibri" w:cs="Helv"/>
          <w:color w:val="000000"/>
        </w:rPr>
        <w:t>residence provided by §121</w:t>
      </w:r>
      <w:r w:rsidR="00583261">
        <w:rPr>
          <w:rFonts w:ascii="Calibri" w:hAnsi="Calibri" w:cs="Helv"/>
          <w:color w:val="000000"/>
        </w:rPr>
        <w:t>, but §678 trusts are specifically included in the regulations</w:t>
      </w:r>
      <w:r w:rsidR="00CA54DC" w:rsidRPr="00CA54DC">
        <w:rPr>
          <w:rFonts w:ascii="Calibri" w:hAnsi="Calibri" w:cs="Helv"/>
          <w:color w:val="000000"/>
        </w:rPr>
        <w:t>.</w:t>
      </w:r>
      <w:r w:rsidR="00573E05">
        <w:rPr>
          <w:rStyle w:val="FootnoteReference"/>
          <w:rFonts w:ascii="Calibri" w:hAnsi="Calibri" w:cs="Helv"/>
          <w:color w:val="000000"/>
        </w:rPr>
        <w:footnoteReference w:id="432"/>
      </w:r>
      <w:r w:rsidR="00CA54DC" w:rsidRPr="00CA54DC">
        <w:rPr>
          <w:rFonts w:ascii="Calibri" w:hAnsi="Calibri" w:cs="Helv"/>
          <w:color w:val="000000"/>
        </w:rPr>
        <w:t xml:space="preserve"> </w:t>
      </w:r>
      <w:r w:rsidR="000611CE" w:rsidRPr="007920B9">
        <w:rPr>
          <w:rFonts w:ascii="Calibri" w:hAnsi="Calibri" w:cs="Helv"/>
          <w:i/>
          <w:color w:val="000000"/>
        </w:rPr>
        <w:t>A mere right to occupy and use the property is insufficient</w:t>
      </w:r>
      <w:r w:rsidR="000611CE">
        <w:rPr>
          <w:rFonts w:ascii="Calibri" w:hAnsi="Calibri" w:cs="Helv"/>
          <w:color w:val="000000"/>
        </w:rPr>
        <w:t xml:space="preserve"> to cause grantor trust status necessary for the §121 exclusion.</w:t>
      </w:r>
      <w:r w:rsidR="00BA7BC2">
        <w:rPr>
          <w:rFonts w:ascii="Calibri" w:hAnsi="Calibri" w:cs="Helv"/>
          <w:color w:val="000000"/>
        </w:rPr>
        <w:t xml:space="preserve"> </w:t>
      </w:r>
      <w:r w:rsidR="00CD3143" w:rsidRPr="00CD3143">
        <w:t xml:space="preserve"> </w:t>
      </w:r>
      <w:r w:rsidR="00CD3143" w:rsidRPr="00CD3143">
        <w:rPr>
          <w:rFonts w:ascii="Calibri" w:hAnsi="Calibri" w:cs="Helv"/>
          <w:color w:val="000000"/>
        </w:rPr>
        <w:t>If the trust is partially a grantor trust, such as a trust with a five and five power, then the grantor may exclude that portion of the gain.</w:t>
      </w:r>
      <w:r w:rsidR="000611CE">
        <w:rPr>
          <w:rStyle w:val="FootnoteReference"/>
          <w:rFonts w:ascii="Calibri" w:hAnsi="Calibri" w:cs="Helv"/>
          <w:color w:val="000000"/>
        </w:rPr>
        <w:footnoteReference w:id="433"/>
      </w:r>
      <w:r w:rsidR="000611CE">
        <w:rPr>
          <w:rFonts w:ascii="Calibri" w:hAnsi="Calibri" w:cs="Helv"/>
          <w:color w:val="000000"/>
        </w:rPr>
        <w:t xml:space="preserve">  </w:t>
      </w:r>
      <w:r w:rsidR="007920B9">
        <w:rPr>
          <w:rFonts w:ascii="Calibri" w:hAnsi="Calibri" w:cs="Helv"/>
          <w:color w:val="000000"/>
        </w:rPr>
        <w:t>Of course, the goal with this type of provision would be to grant the withdrawal right over the capital gain from the sale, not the income – and not tied to 5% of corpus.</w:t>
      </w:r>
      <w:r w:rsidR="004B5F9D">
        <w:rPr>
          <w:rFonts w:ascii="Calibri" w:hAnsi="Calibri" w:cs="Helv"/>
          <w:color w:val="000000"/>
        </w:rPr>
        <w:t xml:space="preserve">  The portion rules, remember, can be tied to specific assets.</w:t>
      </w:r>
    </w:p>
    <w:p w14:paraId="08347482" w14:textId="6F08705E" w:rsidR="00CA54DC" w:rsidRDefault="00CA54DC" w:rsidP="00573E05">
      <w:pPr>
        <w:pStyle w:val="ListParagraph"/>
        <w:autoSpaceDE w:val="0"/>
        <w:autoSpaceDN w:val="0"/>
        <w:adjustRightInd w:val="0"/>
        <w:spacing w:line="360" w:lineRule="auto"/>
        <w:ind w:left="0" w:firstLine="720"/>
        <w:rPr>
          <w:rFonts w:ascii="Calibri" w:hAnsi="Calibri" w:cs="Helv"/>
          <w:color w:val="000000"/>
        </w:rPr>
      </w:pPr>
      <w:r>
        <w:rPr>
          <w:rFonts w:ascii="Calibri" w:hAnsi="Calibri" w:cs="Helv"/>
          <w:color w:val="000000"/>
        </w:rPr>
        <w:t xml:space="preserve">This is no small benefit – with federal long-term capital gains rates at 23.8%, the effect of Pease limitations at approximately 1.2% for itemizers, </w:t>
      </w:r>
      <w:r w:rsidR="003813F4">
        <w:rPr>
          <w:rFonts w:ascii="Calibri" w:hAnsi="Calibri" w:cs="Helv"/>
          <w:color w:val="000000"/>
        </w:rPr>
        <w:t>the phase out of personal exemptions, effect on social security taxation</w:t>
      </w:r>
      <w:r w:rsidR="0038442D">
        <w:rPr>
          <w:rFonts w:ascii="Calibri" w:hAnsi="Calibri" w:cs="Helv"/>
          <w:color w:val="000000"/>
        </w:rPr>
        <w:t xml:space="preserve"> and other deductions/credits</w:t>
      </w:r>
      <w:r w:rsidR="003813F4">
        <w:rPr>
          <w:rFonts w:ascii="Calibri" w:hAnsi="Calibri" w:cs="Helv"/>
          <w:color w:val="000000"/>
        </w:rPr>
        <w:t xml:space="preserve">, indirect effect on alternative minimum tax, </w:t>
      </w:r>
      <w:r>
        <w:rPr>
          <w:rFonts w:ascii="Calibri" w:hAnsi="Calibri" w:cs="Helv"/>
          <w:color w:val="000000"/>
        </w:rPr>
        <w:t xml:space="preserve">and state and local income taxes at up to 13.3%, there could easily </w:t>
      </w:r>
      <w:r>
        <w:rPr>
          <w:rFonts w:ascii="Calibri" w:hAnsi="Calibri" w:cs="Helv"/>
          <w:color w:val="000000"/>
        </w:rPr>
        <w:lastRenderedPageBreak/>
        <w:t>be a tax cost of $100,000</w:t>
      </w:r>
      <w:r w:rsidR="00583261">
        <w:rPr>
          <w:rFonts w:ascii="Calibri" w:hAnsi="Calibri" w:cs="Helv"/>
          <w:color w:val="000000"/>
        </w:rPr>
        <w:t xml:space="preserve"> if this </w:t>
      </w:r>
      <w:r w:rsidR="00435090">
        <w:rPr>
          <w:rFonts w:ascii="Calibri" w:hAnsi="Calibri" w:cs="Helv"/>
          <w:color w:val="000000"/>
        </w:rPr>
        <w:t xml:space="preserve">$250,000 </w:t>
      </w:r>
      <w:r w:rsidR="00583261">
        <w:rPr>
          <w:rFonts w:ascii="Calibri" w:hAnsi="Calibri" w:cs="Helv"/>
          <w:color w:val="000000"/>
        </w:rPr>
        <w:t xml:space="preserve">tax </w:t>
      </w:r>
      <w:r w:rsidR="00435090">
        <w:rPr>
          <w:rFonts w:ascii="Calibri" w:hAnsi="Calibri" w:cs="Helv"/>
          <w:color w:val="000000"/>
        </w:rPr>
        <w:t>exclusion</w:t>
      </w:r>
      <w:r w:rsidR="00583261">
        <w:rPr>
          <w:rFonts w:ascii="Calibri" w:hAnsi="Calibri" w:cs="Helv"/>
          <w:color w:val="000000"/>
        </w:rPr>
        <w:t xml:space="preserve"> is lost</w:t>
      </w:r>
      <w:r w:rsidR="00573E05">
        <w:rPr>
          <w:rFonts w:ascii="Calibri" w:hAnsi="Calibri" w:cs="Helv"/>
          <w:color w:val="000000"/>
        </w:rPr>
        <w:t>.</w:t>
      </w:r>
      <w:r w:rsidR="0050469E">
        <w:rPr>
          <w:rStyle w:val="FootnoteReference"/>
          <w:rFonts w:ascii="Calibri" w:hAnsi="Calibri" w:cs="Helv"/>
          <w:color w:val="000000"/>
        </w:rPr>
        <w:footnoteReference w:id="434"/>
      </w:r>
      <w:r w:rsidR="00573E05">
        <w:rPr>
          <w:rFonts w:ascii="Calibri" w:hAnsi="Calibri" w:cs="Helv"/>
          <w:color w:val="000000"/>
        </w:rPr>
        <w:t xml:space="preserve">  </w:t>
      </w:r>
      <w:r w:rsidR="00435090">
        <w:rPr>
          <w:rFonts w:ascii="Calibri" w:hAnsi="Calibri" w:cs="Helv"/>
          <w:color w:val="000000"/>
        </w:rPr>
        <w:t xml:space="preserve">The exclusion is double </w:t>
      </w:r>
      <w:r w:rsidR="00D757B6">
        <w:rPr>
          <w:rFonts w:ascii="Calibri" w:hAnsi="Calibri" w:cs="Helv"/>
          <w:color w:val="000000"/>
        </w:rPr>
        <w:t xml:space="preserve">for up to </w:t>
      </w:r>
      <w:r w:rsidR="00435090">
        <w:rPr>
          <w:rFonts w:ascii="Calibri" w:hAnsi="Calibri" w:cs="Helv"/>
          <w:color w:val="000000"/>
        </w:rPr>
        <w:t>two years after death, but more important for the long term</w:t>
      </w:r>
      <w:r w:rsidR="00583261">
        <w:rPr>
          <w:rFonts w:ascii="Calibri" w:hAnsi="Calibri" w:cs="Helv"/>
          <w:color w:val="000000"/>
        </w:rPr>
        <w:t xml:space="preserve">, </w:t>
      </w:r>
      <w:r w:rsidR="00583261" w:rsidRPr="008718BB">
        <w:rPr>
          <w:rFonts w:ascii="Calibri" w:hAnsi="Calibri" w:cs="Helv"/>
          <w:i/>
          <w:color w:val="000000"/>
        </w:rPr>
        <w:t>s</w:t>
      </w:r>
      <w:r w:rsidR="005D6399" w:rsidRPr="008718BB">
        <w:rPr>
          <w:rFonts w:ascii="Calibri" w:hAnsi="Calibri" w:cs="Helv"/>
          <w:i/>
          <w:color w:val="000000"/>
        </w:rPr>
        <w:t xml:space="preserve">urviving spouses </w:t>
      </w:r>
      <w:r w:rsidR="00583261" w:rsidRPr="008718BB">
        <w:rPr>
          <w:rFonts w:ascii="Calibri" w:hAnsi="Calibri" w:cs="Helv"/>
          <w:i/>
          <w:color w:val="000000"/>
        </w:rPr>
        <w:t>often</w:t>
      </w:r>
      <w:r w:rsidR="005D6399" w:rsidRPr="008718BB">
        <w:rPr>
          <w:rFonts w:ascii="Calibri" w:hAnsi="Calibri" w:cs="Helv"/>
          <w:i/>
          <w:color w:val="000000"/>
        </w:rPr>
        <w:t xml:space="preserve"> remarry</w:t>
      </w:r>
      <w:r w:rsidR="00583261">
        <w:rPr>
          <w:rFonts w:ascii="Calibri" w:hAnsi="Calibri" w:cs="Helv"/>
          <w:color w:val="000000"/>
        </w:rPr>
        <w:t>!</w:t>
      </w:r>
      <w:r w:rsidR="003813F4">
        <w:rPr>
          <w:rStyle w:val="FootnoteReference"/>
          <w:rFonts w:ascii="Calibri" w:hAnsi="Calibri" w:cs="Helv"/>
          <w:color w:val="000000"/>
        </w:rPr>
        <w:footnoteReference w:id="435"/>
      </w:r>
      <w:r w:rsidR="00583261">
        <w:rPr>
          <w:rFonts w:ascii="Calibri" w:hAnsi="Calibri" w:cs="Helv"/>
          <w:color w:val="000000"/>
        </w:rPr>
        <w:t xml:space="preserve">  If their new spouse </w:t>
      </w:r>
      <w:r w:rsidR="008718BB">
        <w:rPr>
          <w:rFonts w:ascii="Calibri" w:hAnsi="Calibri" w:cs="Helv"/>
          <w:color w:val="000000"/>
        </w:rPr>
        <w:t>meets the two year occupancy requirement</w:t>
      </w:r>
      <w:r w:rsidR="003813F4">
        <w:rPr>
          <w:rFonts w:ascii="Calibri" w:hAnsi="Calibri" w:cs="Helv"/>
          <w:color w:val="000000"/>
        </w:rPr>
        <w:t>, hasn’t used the provision themselves in the last two years</w:t>
      </w:r>
      <w:r w:rsidR="008718BB">
        <w:rPr>
          <w:rFonts w:ascii="Calibri" w:hAnsi="Calibri" w:cs="Helv"/>
          <w:color w:val="000000"/>
        </w:rPr>
        <w:t xml:space="preserve"> and they file jointly, the exclusion is doubled, </w:t>
      </w:r>
      <w:r w:rsidR="003813F4">
        <w:rPr>
          <w:rFonts w:ascii="Calibri" w:hAnsi="Calibri" w:cs="Helv"/>
          <w:color w:val="000000"/>
        </w:rPr>
        <w:t>even if only one spouse</w:t>
      </w:r>
      <w:r w:rsidR="008718BB">
        <w:rPr>
          <w:rFonts w:ascii="Calibri" w:hAnsi="Calibri" w:cs="Helv"/>
          <w:color w:val="000000"/>
        </w:rPr>
        <w:t xml:space="preserve"> is deemed the owner</w:t>
      </w:r>
      <w:r w:rsidR="00D757B6">
        <w:rPr>
          <w:rFonts w:ascii="Calibri" w:hAnsi="Calibri" w:cs="Helv"/>
          <w:color w:val="000000"/>
        </w:rPr>
        <w:t>,</w:t>
      </w:r>
      <w:r w:rsidR="008718BB">
        <w:rPr>
          <w:rFonts w:ascii="Calibri" w:hAnsi="Calibri" w:cs="Helv"/>
          <w:color w:val="000000"/>
        </w:rPr>
        <w:t xml:space="preserve"> through §678</w:t>
      </w:r>
      <w:r w:rsidR="00D757B6">
        <w:rPr>
          <w:rFonts w:ascii="Calibri" w:hAnsi="Calibri" w:cs="Helv"/>
          <w:color w:val="000000"/>
        </w:rPr>
        <w:t>,</w:t>
      </w:r>
      <w:r w:rsidR="008718BB">
        <w:rPr>
          <w:rFonts w:ascii="Calibri" w:hAnsi="Calibri" w:cs="Helv"/>
          <w:color w:val="000000"/>
        </w:rPr>
        <w:t xml:space="preserve"> of 100% of the trust</w:t>
      </w:r>
      <w:r w:rsidR="00DD11D7">
        <w:rPr>
          <w:rFonts w:ascii="Calibri" w:hAnsi="Calibri" w:cs="Helv"/>
          <w:color w:val="000000"/>
        </w:rPr>
        <w:t xml:space="preserve"> income</w:t>
      </w:r>
      <w:r w:rsidR="008718BB">
        <w:rPr>
          <w:rFonts w:ascii="Calibri" w:hAnsi="Calibri" w:cs="Helv"/>
          <w:color w:val="000000"/>
        </w:rPr>
        <w:t>.</w:t>
      </w:r>
      <w:r w:rsidR="008718BB">
        <w:rPr>
          <w:rStyle w:val="FootnoteReference"/>
          <w:rFonts w:ascii="Calibri" w:hAnsi="Calibri" w:cs="Helv"/>
          <w:color w:val="000000"/>
        </w:rPr>
        <w:footnoteReference w:id="436"/>
      </w:r>
      <w:r w:rsidR="008718BB">
        <w:rPr>
          <w:rFonts w:ascii="Calibri" w:hAnsi="Calibri" w:cs="Helv"/>
          <w:color w:val="000000"/>
        </w:rPr>
        <w:t xml:space="preserve">  Thus</w:t>
      </w:r>
      <w:r w:rsidR="005D6399">
        <w:rPr>
          <w:rFonts w:ascii="Calibri" w:hAnsi="Calibri" w:cs="Helv"/>
          <w:color w:val="000000"/>
        </w:rPr>
        <w:t xml:space="preserve">, </w:t>
      </w:r>
      <w:r w:rsidR="008718BB">
        <w:rPr>
          <w:rFonts w:ascii="Calibri" w:hAnsi="Calibri" w:cs="Helv"/>
          <w:color w:val="000000"/>
        </w:rPr>
        <w:t>losing this tax break could easily mean</w:t>
      </w:r>
      <w:r w:rsidR="005D6399">
        <w:rPr>
          <w:rFonts w:ascii="Calibri" w:hAnsi="Calibri" w:cs="Helv"/>
          <w:color w:val="000000"/>
        </w:rPr>
        <w:t xml:space="preserve"> </w:t>
      </w:r>
      <w:r w:rsidR="005D6399" w:rsidRPr="003813F4">
        <w:rPr>
          <w:rFonts w:ascii="Calibri" w:hAnsi="Calibri" w:cs="Helv"/>
          <w:b/>
          <w:color w:val="000000"/>
        </w:rPr>
        <w:t>$500,000</w:t>
      </w:r>
      <w:r w:rsidR="008718BB">
        <w:rPr>
          <w:rFonts w:ascii="Calibri" w:hAnsi="Calibri" w:cs="Helv"/>
          <w:color w:val="000000"/>
        </w:rPr>
        <w:t xml:space="preserve"> of </w:t>
      </w:r>
      <w:r w:rsidR="003813F4">
        <w:rPr>
          <w:rFonts w:ascii="Calibri" w:hAnsi="Calibri" w:cs="Helv"/>
          <w:color w:val="000000"/>
        </w:rPr>
        <w:t>avoidable</w:t>
      </w:r>
      <w:r w:rsidR="008718BB">
        <w:rPr>
          <w:rFonts w:ascii="Calibri" w:hAnsi="Calibri" w:cs="Helv"/>
          <w:color w:val="000000"/>
        </w:rPr>
        <w:t xml:space="preserve"> long-term capital gains income</w:t>
      </w:r>
      <w:r w:rsidR="005D6399">
        <w:rPr>
          <w:rFonts w:ascii="Calibri" w:hAnsi="Calibri" w:cs="Helv"/>
          <w:color w:val="000000"/>
        </w:rPr>
        <w:t>.</w:t>
      </w:r>
      <w:r w:rsidR="008718BB">
        <w:rPr>
          <w:rFonts w:ascii="Calibri" w:hAnsi="Calibri" w:cs="Helv"/>
          <w:color w:val="000000"/>
        </w:rPr>
        <w:t xml:space="preserve">  </w:t>
      </w:r>
      <w:r w:rsidR="007920B9">
        <w:rPr>
          <w:rFonts w:ascii="Calibri" w:hAnsi="Calibri" w:cs="Helv"/>
          <w:color w:val="000000"/>
        </w:rPr>
        <w:t>When we consider the remarriage scenario</w:t>
      </w:r>
      <w:r w:rsidR="001D0C15">
        <w:rPr>
          <w:rFonts w:ascii="Calibri" w:hAnsi="Calibri" w:cs="Helv"/>
          <w:color w:val="000000"/>
        </w:rPr>
        <w:t xml:space="preserve"> for those living in states with a separate income tax</w:t>
      </w:r>
      <w:r w:rsidR="008718BB">
        <w:rPr>
          <w:rFonts w:ascii="Calibri" w:hAnsi="Calibri" w:cs="Helv"/>
          <w:color w:val="000000"/>
        </w:rPr>
        <w:t xml:space="preserve">, we’re getting </w:t>
      </w:r>
      <w:r w:rsidR="008718BB" w:rsidRPr="008718BB">
        <w:rPr>
          <w:rFonts w:ascii="Calibri" w:hAnsi="Calibri" w:cs="Helv"/>
          <w:b/>
          <w:color w:val="000000"/>
        </w:rPr>
        <w:t xml:space="preserve">close to a </w:t>
      </w:r>
      <w:r w:rsidR="00D757B6">
        <w:rPr>
          <w:rFonts w:ascii="Calibri" w:hAnsi="Calibri" w:cs="Helv"/>
          <w:b/>
          <w:color w:val="000000"/>
        </w:rPr>
        <w:t xml:space="preserve">potential </w:t>
      </w:r>
      <w:r w:rsidR="008718BB" w:rsidRPr="008718BB">
        <w:rPr>
          <w:rFonts w:ascii="Calibri" w:hAnsi="Calibri" w:cs="Helv"/>
          <w:b/>
          <w:color w:val="000000"/>
        </w:rPr>
        <w:t xml:space="preserve">$200,000 </w:t>
      </w:r>
      <w:r w:rsidR="008718BB">
        <w:rPr>
          <w:rFonts w:ascii="Calibri" w:hAnsi="Calibri" w:cs="Helv"/>
          <w:b/>
          <w:color w:val="000000"/>
        </w:rPr>
        <w:t xml:space="preserve">income </w:t>
      </w:r>
      <w:r w:rsidR="008718BB" w:rsidRPr="008718BB">
        <w:rPr>
          <w:rFonts w:ascii="Calibri" w:hAnsi="Calibri" w:cs="Helv"/>
          <w:b/>
          <w:color w:val="000000"/>
        </w:rPr>
        <w:t>tax effect</w:t>
      </w:r>
      <w:r w:rsidR="008718BB">
        <w:rPr>
          <w:rFonts w:ascii="Calibri" w:hAnsi="Calibri" w:cs="Helv"/>
          <w:color w:val="000000"/>
        </w:rPr>
        <w:t>.  Have fun explaining that to the surviving spouse</w:t>
      </w:r>
      <w:r w:rsidR="003813F4">
        <w:rPr>
          <w:rFonts w:ascii="Calibri" w:hAnsi="Calibri" w:cs="Helv"/>
          <w:color w:val="000000"/>
        </w:rPr>
        <w:t xml:space="preserve"> if it’s lost</w:t>
      </w:r>
      <w:r w:rsidR="008718BB">
        <w:rPr>
          <w:rFonts w:ascii="Calibri" w:hAnsi="Calibri" w:cs="Helv"/>
          <w:color w:val="000000"/>
        </w:rPr>
        <w:t>.</w:t>
      </w:r>
    </w:p>
    <w:p w14:paraId="437FD368" w14:textId="77777777" w:rsidR="005D6399" w:rsidRDefault="00D627E2" w:rsidP="005D6399">
      <w:pPr>
        <w:pStyle w:val="ListParagraph"/>
        <w:autoSpaceDE w:val="0"/>
        <w:autoSpaceDN w:val="0"/>
        <w:adjustRightInd w:val="0"/>
        <w:spacing w:line="360" w:lineRule="auto"/>
        <w:ind w:left="0" w:firstLine="720"/>
        <w:rPr>
          <w:rFonts w:ascii="Calibri" w:hAnsi="Calibri" w:cs="Helv"/>
          <w:color w:val="000000"/>
        </w:rPr>
      </w:pPr>
      <w:r>
        <w:rPr>
          <w:rFonts w:ascii="Calibri" w:hAnsi="Calibri" w:cs="Helv"/>
          <w:color w:val="000000"/>
        </w:rPr>
        <w:t xml:space="preserve">Trustees must normally make property productive of income, but trusts routinely permit the trustee to invest in </w:t>
      </w:r>
      <w:r w:rsidR="00500ACC">
        <w:rPr>
          <w:rFonts w:ascii="Calibri" w:hAnsi="Calibri" w:cs="Helv"/>
          <w:color w:val="000000"/>
        </w:rPr>
        <w:t>or retain a contributed</w:t>
      </w:r>
      <w:r>
        <w:rPr>
          <w:rFonts w:ascii="Calibri" w:hAnsi="Calibri" w:cs="Helv"/>
          <w:color w:val="000000"/>
        </w:rPr>
        <w:t xml:space="preserve"> residence for a beneficiary and specific language should be considered on this point.</w:t>
      </w:r>
      <w:r>
        <w:rPr>
          <w:rStyle w:val="FootnoteReference"/>
          <w:rFonts w:ascii="Calibri" w:hAnsi="Calibri" w:cs="Helv"/>
          <w:color w:val="000000"/>
        </w:rPr>
        <w:footnoteReference w:id="437"/>
      </w:r>
      <w:r w:rsidR="0038442D">
        <w:rPr>
          <w:rFonts w:ascii="Calibri" w:hAnsi="Calibri" w:cs="Helv"/>
          <w:color w:val="000000"/>
        </w:rPr>
        <w:t xml:space="preserve">  The QTIP marital deduction, of course, permits a surviving spouse’s use of a residence to qualify for the marital deduction, provided the spouse is entitled to </w:t>
      </w:r>
      <w:r w:rsidR="004A3F58">
        <w:rPr>
          <w:rFonts w:ascii="Calibri" w:hAnsi="Calibri" w:cs="Helv"/>
          <w:color w:val="000000"/>
        </w:rPr>
        <w:t xml:space="preserve">any </w:t>
      </w:r>
      <w:r w:rsidR="0038442D">
        <w:rPr>
          <w:rFonts w:ascii="Calibri" w:hAnsi="Calibri" w:cs="Helv"/>
          <w:color w:val="000000"/>
        </w:rPr>
        <w:t>rent</w:t>
      </w:r>
      <w:r w:rsidR="00213C35">
        <w:rPr>
          <w:rFonts w:ascii="Calibri" w:hAnsi="Calibri" w:cs="Helv"/>
          <w:color w:val="000000"/>
        </w:rPr>
        <w:t>al</w:t>
      </w:r>
      <w:r w:rsidR="0038442D">
        <w:rPr>
          <w:rFonts w:ascii="Calibri" w:hAnsi="Calibri" w:cs="Helv"/>
          <w:color w:val="000000"/>
        </w:rPr>
        <w:t xml:space="preserve"> income if the property is later vacated as a residence.</w:t>
      </w:r>
      <w:r w:rsidR="0038442D">
        <w:rPr>
          <w:rStyle w:val="FootnoteReference"/>
          <w:rFonts w:ascii="Calibri" w:hAnsi="Calibri" w:cs="Helv"/>
          <w:color w:val="000000"/>
        </w:rPr>
        <w:footnoteReference w:id="438"/>
      </w:r>
      <w:r w:rsidR="0038442D">
        <w:rPr>
          <w:rFonts w:ascii="Calibri" w:hAnsi="Calibri" w:cs="Helv"/>
          <w:color w:val="000000"/>
        </w:rPr>
        <w:t xml:space="preserve"> </w:t>
      </w:r>
    </w:p>
    <w:p w14:paraId="7E52A974" w14:textId="77777777" w:rsidR="007920B9" w:rsidRDefault="00DE7C7A" w:rsidP="005D6399">
      <w:pPr>
        <w:pStyle w:val="ListParagraph"/>
        <w:autoSpaceDE w:val="0"/>
        <w:autoSpaceDN w:val="0"/>
        <w:adjustRightInd w:val="0"/>
        <w:spacing w:line="360" w:lineRule="auto"/>
        <w:ind w:left="0" w:firstLine="720"/>
        <w:rPr>
          <w:rFonts w:ascii="Calibri" w:hAnsi="Calibri" w:cs="Helv"/>
          <w:color w:val="000000"/>
        </w:rPr>
      </w:pPr>
      <w:r>
        <w:rPr>
          <w:rFonts w:ascii="Calibri" w:hAnsi="Calibri" w:cs="Helv"/>
          <w:color w:val="000000"/>
        </w:rPr>
        <w:lastRenderedPageBreak/>
        <w:t xml:space="preserve">There are other income tax traps when a residence used by a beneficiary is owned </w:t>
      </w:r>
      <w:r w:rsidR="00D322D7">
        <w:rPr>
          <w:rFonts w:ascii="Calibri" w:hAnsi="Calibri" w:cs="Helv"/>
          <w:color w:val="000000"/>
        </w:rPr>
        <w:t xml:space="preserve">and maintained </w:t>
      </w:r>
      <w:r>
        <w:rPr>
          <w:rFonts w:ascii="Calibri" w:hAnsi="Calibri" w:cs="Helv"/>
          <w:color w:val="000000"/>
        </w:rPr>
        <w:t>by the trust.</w:t>
      </w:r>
      <w:r w:rsidRPr="00DE7C7A">
        <w:t xml:space="preserve"> </w:t>
      </w:r>
      <w:r w:rsidR="00D322D7">
        <w:rPr>
          <w:rFonts w:ascii="Calibri" w:hAnsi="Calibri" w:cs="Helv"/>
          <w:color w:val="000000"/>
        </w:rPr>
        <w:t>The</w:t>
      </w:r>
      <w:r w:rsidRPr="00DE7C7A">
        <w:rPr>
          <w:rFonts w:ascii="Calibri" w:hAnsi="Calibri" w:cs="Helv"/>
          <w:color w:val="000000"/>
        </w:rPr>
        <w:t xml:space="preserve"> amounts spent by the trust</w:t>
      </w:r>
      <w:r w:rsidR="00E50B1D">
        <w:rPr>
          <w:rFonts w:ascii="Calibri" w:hAnsi="Calibri" w:cs="Helv"/>
          <w:color w:val="000000"/>
        </w:rPr>
        <w:t>ee</w:t>
      </w:r>
      <w:r w:rsidRPr="00DE7C7A">
        <w:rPr>
          <w:rFonts w:ascii="Calibri" w:hAnsi="Calibri" w:cs="Helv"/>
          <w:color w:val="000000"/>
        </w:rPr>
        <w:t xml:space="preserve"> to maintain the residence </w:t>
      </w:r>
      <w:r w:rsidRPr="00500ACC">
        <w:rPr>
          <w:rFonts w:ascii="Calibri" w:hAnsi="Calibri" w:cs="Helv"/>
          <w:i/>
          <w:color w:val="000000"/>
        </w:rPr>
        <w:t xml:space="preserve">are </w:t>
      </w:r>
      <w:r w:rsidR="00500ACC">
        <w:rPr>
          <w:rFonts w:ascii="Calibri" w:hAnsi="Calibri" w:cs="Helv"/>
          <w:i/>
          <w:color w:val="000000"/>
        </w:rPr>
        <w:t xml:space="preserve">generally not deductible and </w:t>
      </w:r>
      <w:r w:rsidRPr="00500ACC">
        <w:rPr>
          <w:rFonts w:ascii="Calibri" w:hAnsi="Calibri" w:cs="Helv"/>
          <w:i/>
          <w:color w:val="000000"/>
        </w:rPr>
        <w:t>not considered to have been distributed to the beneficiary</w:t>
      </w:r>
      <w:r w:rsidRPr="00DE7C7A">
        <w:rPr>
          <w:rFonts w:ascii="Calibri" w:hAnsi="Calibri" w:cs="Helv"/>
          <w:color w:val="000000"/>
        </w:rPr>
        <w:t>.</w:t>
      </w:r>
      <w:r w:rsidR="00EE2102">
        <w:rPr>
          <w:rStyle w:val="FootnoteReference"/>
          <w:rFonts w:ascii="Calibri" w:hAnsi="Calibri" w:cs="Helv"/>
          <w:color w:val="000000"/>
        </w:rPr>
        <w:footnoteReference w:id="439"/>
      </w:r>
      <w:r w:rsidR="00500ACC">
        <w:rPr>
          <w:rFonts w:ascii="Calibri" w:hAnsi="Calibri" w:cs="Helv"/>
          <w:color w:val="000000"/>
        </w:rPr>
        <w:t xml:space="preserve">  Trustees can easily botch this accounting. Even if this is reported correctly, it may lead to more trapped and taxed in trust than necessary, as opposed to the greater simplicity of simply making distributions and letting the beneficiary pay.</w:t>
      </w:r>
      <w:r w:rsidRPr="00DE7C7A">
        <w:rPr>
          <w:rFonts w:ascii="Calibri" w:hAnsi="Calibri" w:cs="Helv"/>
          <w:color w:val="000000"/>
        </w:rPr>
        <w:t xml:space="preserve">  </w:t>
      </w:r>
      <w:r w:rsidR="004B5F9D" w:rsidRPr="004B5F9D">
        <w:rPr>
          <w:rFonts w:ascii="Calibri" w:hAnsi="Calibri" w:cs="Helv"/>
          <w:color w:val="000000"/>
        </w:rPr>
        <w:t>The mortgage interest deduction should be allowed to the extent paid by the beneficiary.</w:t>
      </w:r>
      <w:r w:rsidR="004B5F9D" w:rsidRPr="004B5F9D">
        <w:rPr>
          <w:rFonts w:ascii="Calibri" w:hAnsi="Calibri" w:cs="Helv"/>
          <w:color w:val="000000"/>
          <w:vertAlign w:val="superscript"/>
        </w:rPr>
        <w:footnoteReference w:id="440"/>
      </w:r>
      <w:r w:rsidRPr="00DE7C7A">
        <w:rPr>
          <w:rFonts w:ascii="Calibri" w:hAnsi="Calibri" w:cs="Helv"/>
          <w:color w:val="000000"/>
        </w:rPr>
        <w:t> </w:t>
      </w:r>
    </w:p>
    <w:p w14:paraId="42D8976D" w14:textId="77777777" w:rsidR="000D31E1" w:rsidRPr="005D6399" w:rsidRDefault="007920B9" w:rsidP="005D6399">
      <w:pPr>
        <w:pStyle w:val="ListParagraph"/>
        <w:autoSpaceDE w:val="0"/>
        <w:autoSpaceDN w:val="0"/>
        <w:adjustRightInd w:val="0"/>
        <w:spacing w:line="360" w:lineRule="auto"/>
        <w:ind w:left="0" w:firstLine="720"/>
        <w:rPr>
          <w:rFonts w:ascii="Calibri" w:hAnsi="Calibri" w:cs="Helv"/>
          <w:color w:val="000000"/>
        </w:rPr>
      </w:pPr>
      <w:r>
        <w:rPr>
          <w:rFonts w:ascii="Calibri" w:hAnsi="Calibri" w:cs="Helv"/>
          <w:color w:val="000000"/>
        </w:rPr>
        <w:t xml:space="preserve">The beauty of this more limited provision of permitting withdrawal </w:t>
      </w:r>
      <w:r w:rsidR="0042715A">
        <w:rPr>
          <w:rFonts w:ascii="Calibri" w:hAnsi="Calibri" w:cs="Helv"/>
          <w:color w:val="000000"/>
        </w:rPr>
        <w:t>of</w:t>
      </w:r>
      <w:r>
        <w:rPr>
          <w:rFonts w:ascii="Calibri" w:hAnsi="Calibri" w:cs="Helv"/>
          <w:color w:val="000000"/>
        </w:rPr>
        <w:t xml:space="preserve"> the capital gains from the sale of the residence is that it has NO effect on the grantor/non-grantor trust status of the trust until such time as the withdrawal right is triggered</w:t>
      </w:r>
      <w:r w:rsidR="0042715A">
        <w:rPr>
          <w:rFonts w:ascii="Calibri" w:hAnsi="Calibri" w:cs="Helv"/>
          <w:color w:val="000000"/>
        </w:rPr>
        <w:t xml:space="preserve"> (upon sale)</w:t>
      </w:r>
      <w:r w:rsidR="004B5F9D">
        <w:rPr>
          <w:rFonts w:ascii="Calibri" w:hAnsi="Calibri" w:cs="Helv"/>
          <w:color w:val="000000"/>
        </w:rPr>
        <w:t>, simplifying reporting</w:t>
      </w:r>
      <w:r>
        <w:rPr>
          <w:rFonts w:ascii="Calibri" w:hAnsi="Calibri" w:cs="Helv"/>
          <w:color w:val="000000"/>
        </w:rPr>
        <w:t>.</w:t>
      </w:r>
      <w:r w:rsidR="004B5F9D">
        <w:rPr>
          <w:rFonts w:ascii="Calibri" w:hAnsi="Calibri" w:cs="Helv"/>
          <w:color w:val="000000"/>
        </w:rPr>
        <w:t xml:space="preserve">  When the trust reverts back to a fully non-grantor trust, the distribution</w:t>
      </w:r>
      <w:r w:rsidR="0042715A">
        <w:rPr>
          <w:rFonts w:ascii="Calibri" w:hAnsi="Calibri" w:cs="Helv"/>
          <w:color w:val="000000"/>
        </w:rPr>
        <w:t xml:space="preserve"> provisions can simply take into account </w:t>
      </w:r>
      <w:r w:rsidR="00D757B6">
        <w:rPr>
          <w:rFonts w:ascii="Calibri" w:hAnsi="Calibri" w:cs="Helv"/>
          <w:color w:val="000000"/>
        </w:rPr>
        <w:t>any</w:t>
      </w:r>
      <w:r w:rsidR="0042715A">
        <w:rPr>
          <w:rFonts w:ascii="Calibri" w:hAnsi="Calibri" w:cs="Helv"/>
          <w:color w:val="000000"/>
        </w:rPr>
        <w:t xml:space="preserve"> earlier distribution of capital gains </w:t>
      </w:r>
      <w:r w:rsidR="00D757B6">
        <w:rPr>
          <w:rFonts w:ascii="Calibri" w:hAnsi="Calibri" w:cs="Helv"/>
          <w:color w:val="000000"/>
        </w:rPr>
        <w:t xml:space="preserve">from the sale of the residence </w:t>
      </w:r>
      <w:r w:rsidR="0042715A">
        <w:rPr>
          <w:rFonts w:ascii="Calibri" w:hAnsi="Calibri" w:cs="Helv"/>
          <w:color w:val="000000"/>
        </w:rPr>
        <w:t>as part of the surviving spouse’s available resources</w:t>
      </w:r>
      <w:r w:rsidR="00D757B6">
        <w:rPr>
          <w:rFonts w:ascii="Calibri" w:hAnsi="Calibri" w:cs="Helv"/>
          <w:color w:val="000000"/>
        </w:rPr>
        <w:t xml:space="preserve"> or as a factor that might reduce future distributions accordingly</w:t>
      </w:r>
      <w:r w:rsidR="008A41F6">
        <w:rPr>
          <w:rFonts w:ascii="Calibri" w:hAnsi="Calibri" w:cs="Helv"/>
          <w:color w:val="000000"/>
        </w:rPr>
        <w:t xml:space="preserve"> (</w:t>
      </w:r>
      <w:r w:rsidR="00DD11D7">
        <w:rPr>
          <w:rFonts w:ascii="Calibri" w:hAnsi="Calibri" w:cs="Helv"/>
          <w:color w:val="000000"/>
        </w:rPr>
        <w:t>keeping the</w:t>
      </w:r>
      <w:r w:rsidR="008A41F6">
        <w:rPr>
          <w:rFonts w:ascii="Calibri" w:hAnsi="Calibri" w:cs="Helv"/>
          <w:color w:val="000000"/>
        </w:rPr>
        <w:t xml:space="preserve"> </w:t>
      </w:r>
      <w:r w:rsidR="00DD11D7">
        <w:rPr>
          <w:rFonts w:ascii="Calibri" w:hAnsi="Calibri" w:cs="Helv"/>
          <w:color w:val="000000"/>
        </w:rPr>
        <w:t xml:space="preserve">mandatory income floor </w:t>
      </w:r>
      <w:r w:rsidR="008A41F6">
        <w:rPr>
          <w:rFonts w:ascii="Calibri" w:hAnsi="Calibri" w:cs="Helv"/>
          <w:color w:val="000000"/>
        </w:rPr>
        <w:t xml:space="preserve">if </w:t>
      </w:r>
      <w:r w:rsidR="00DD11D7">
        <w:rPr>
          <w:rFonts w:ascii="Calibri" w:hAnsi="Calibri" w:cs="Helv"/>
          <w:color w:val="000000"/>
        </w:rPr>
        <w:t xml:space="preserve">it </w:t>
      </w:r>
      <w:r w:rsidR="008A41F6">
        <w:rPr>
          <w:rFonts w:ascii="Calibri" w:hAnsi="Calibri" w:cs="Helv"/>
          <w:color w:val="000000"/>
        </w:rPr>
        <w:t>is a marital trust</w:t>
      </w:r>
      <w:r w:rsidR="00DD11D7">
        <w:rPr>
          <w:rFonts w:ascii="Calibri" w:hAnsi="Calibri" w:cs="Helv"/>
          <w:color w:val="000000"/>
        </w:rPr>
        <w:t>)</w:t>
      </w:r>
      <w:r w:rsidR="0042715A">
        <w:rPr>
          <w:rFonts w:ascii="Calibri" w:hAnsi="Calibri" w:cs="Helv"/>
          <w:color w:val="000000"/>
        </w:rPr>
        <w:t>.</w:t>
      </w:r>
      <w:r>
        <w:rPr>
          <w:rFonts w:ascii="Calibri" w:hAnsi="Calibri" w:cs="Helv"/>
          <w:color w:val="000000"/>
        </w:rPr>
        <w:t xml:space="preserve"> </w:t>
      </w:r>
      <w:r w:rsidR="00DE7C7A" w:rsidRPr="00DE7C7A">
        <w:rPr>
          <w:rFonts w:ascii="Calibri" w:hAnsi="Calibri" w:cs="Helv"/>
          <w:color w:val="000000"/>
        </w:rPr>
        <w:t xml:space="preserve">  </w:t>
      </w:r>
      <w:r w:rsidR="00DE7C7A" w:rsidRPr="00DE7C7A">
        <w:rPr>
          <w:rFonts w:ascii="Calibri" w:hAnsi="Calibri" w:cs="Helv"/>
          <w:color w:val="000000"/>
        </w:rPr>
        <w:br/>
      </w:r>
    </w:p>
    <w:p w14:paraId="0A3607BE" w14:textId="77777777" w:rsidR="007269C8" w:rsidRPr="008907BC" w:rsidRDefault="008907BC" w:rsidP="00180FD1">
      <w:pPr>
        <w:pStyle w:val="ListParagraph"/>
        <w:numPr>
          <w:ilvl w:val="0"/>
          <w:numId w:val="22"/>
        </w:numPr>
        <w:autoSpaceDE w:val="0"/>
        <w:autoSpaceDN w:val="0"/>
        <w:adjustRightInd w:val="0"/>
        <w:spacing w:line="360" w:lineRule="auto"/>
        <w:rPr>
          <w:rFonts w:ascii="Calibri" w:hAnsi="Calibri" w:cs="Helv"/>
          <w:b/>
          <w:i/>
          <w:color w:val="000000"/>
        </w:rPr>
      </w:pPr>
      <w:r w:rsidRPr="008907BC">
        <w:rPr>
          <w:rFonts w:ascii="Calibri" w:hAnsi="Calibri" w:cs="Helv"/>
          <w:b/>
          <w:i/>
          <w:color w:val="000000"/>
        </w:rPr>
        <w:t xml:space="preserve">Application to </w:t>
      </w:r>
      <w:r w:rsidR="007269C8" w:rsidRPr="008907BC">
        <w:rPr>
          <w:rFonts w:ascii="Calibri" w:hAnsi="Calibri" w:cs="Helv"/>
          <w:b/>
          <w:i/>
          <w:color w:val="000000"/>
        </w:rPr>
        <w:t>Special Needs Trusts</w:t>
      </w:r>
      <w:r w:rsidR="004A3F58">
        <w:rPr>
          <w:rFonts w:ascii="Calibri" w:hAnsi="Calibri" w:cs="Helv"/>
          <w:b/>
          <w:i/>
          <w:color w:val="000000"/>
        </w:rPr>
        <w:t>, Medicaid qualification</w:t>
      </w:r>
    </w:p>
    <w:p w14:paraId="55D3C104" w14:textId="77777777" w:rsidR="005D6399" w:rsidRDefault="007269C8" w:rsidP="005D6399">
      <w:pPr>
        <w:autoSpaceDE w:val="0"/>
        <w:autoSpaceDN w:val="0"/>
        <w:adjustRightInd w:val="0"/>
        <w:spacing w:line="360" w:lineRule="auto"/>
        <w:ind w:firstLine="720"/>
        <w:rPr>
          <w:rFonts w:ascii="Calibri" w:hAnsi="Calibri" w:cs="Helv"/>
          <w:color w:val="000000"/>
        </w:rPr>
      </w:pPr>
      <w:r w:rsidRPr="007269C8">
        <w:rPr>
          <w:rFonts w:ascii="Calibri" w:hAnsi="Calibri" w:cs="Helv"/>
          <w:color w:val="000000"/>
        </w:rPr>
        <w:t>It</w:t>
      </w:r>
      <w:r>
        <w:rPr>
          <w:rFonts w:ascii="Calibri" w:hAnsi="Calibri" w:cs="Helv"/>
          <w:color w:val="000000"/>
        </w:rPr>
        <w:t xml:space="preserve"> is probably stating the obvious, but a §678(a) power would not work in a special needs trust scenario</w:t>
      </w:r>
      <w:r w:rsidR="00C0223E">
        <w:rPr>
          <w:rFonts w:ascii="Calibri" w:hAnsi="Calibri" w:cs="Helv"/>
          <w:color w:val="000000"/>
        </w:rPr>
        <w:t xml:space="preserve"> – the trust would be considered a countable resource to the beneficiary</w:t>
      </w:r>
      <w:r>
        <w:rPr>
          <w:rFonts w:ascii="Calibri" w:hAnsi="Calibri" w:cs="Helv"/>
          <w:color w:val="000000"/>
        </w:rPr>
        <w:t xml:space="preserve">.  Although in theory one could give such a §678(a) power to a sibling or someone other than the special needs beneficiary, this is probably contrary to the settlor’s intent, impairs protection for the special needs beneficiary, and may cause </w:t>
      </w:r>
      <w:r w:rsidRPr="007269C8">
        <w:rPr>
          <w:rFonts w:ascii="Calibri" w:hAnsi="Calibri" w:cs="Helv"/>
          <w:i/>
          <w:color w:val="000000"/>
        </w:rPr>
        <w:t>higher</w:t>
      </w:r>
      <w:r>
        <w:rPr>
          <w:rFonts w:ascii="Calibri" w:hAnsi="Calibri" w:cs="Helv"/>
          <w:color w:val="000000"/>
        </w:rPr>
        <w:t xml:space="preserve"> income taxation among the family unit – not only would a special needs beneficiary getting a K-1 be in a lower bracket typically, but qualifying non-grantor trusts for special needs beneficiaries </w:t>
      </w:r>
      <w:r w:rsidR="00942FAC">
        <w:rPr>
          <w:rFonts w:ascii="Calibri" w:hAnsi="Calibri" w:cs="Helv"/>
          <w:color w:val="000000"/>
        </w:rPr>
        <w:t xml:space="preserve">(a “qualified disability trust”) </w:t>
      </w:r>
      <w:r>
        <w:rPr>
          <w:rFonts w:ascii="Calibri" w:hAnsi="Calibri" w:cs="Helv"/>
          <w:color w:val="000000"/>
        </w:rPr>
        <w:t xml:space="preserve">even </w:t>
      </w:r>
      <w:r w:rsidR="003C764A">
        <w:rPr>
          <w:rFonts w:ascii="Calibri" w:hAnsi="Calibri" w:cs="Helv"/>
          <w:color w:val="000000"/>
        </w:rPr>
        <w:t>receive</w:t>
      </w:r>
      <w:r>
        <w:rPr>
          <w:rFonts w:ascii="Calibri" w:hAnsi="Calibri" w:cs="Helv"/>
          <w:color w:val="000000"/>
        </w:rPr>
        <w:t xml:space="preserve"> an additional </w:t>
      </w:r>
      <w:r w:rsidR="00942FAC">
        <w:rPr>
          <w:rFonts w:ascii="Calibri" w:hAnsi="Calibri" w:cs="Helv"/>
          <w:color w:val="000000"/>
        </w:rPr>
        <w:t xml:space="preserve">personal </w:t>
      </w:r>
      <w:r>
        <w:rPr>
          <w:rFonts w:ascii="Calibri" w:hAnsi="Calibri" w:cs="Helv"/>
          <w:color w:val="000000"/>
        </w:rPr>
        <w:t>tax exemption.</w:t>
      </w:r>
      <w:r w:rsidR="00942FAC">
        <w:rPr>
          <w:rStyle w:val="FootnoteReference"/>
          <w:rFonts w:ascii="Calibri" w:hAnsi="Calibri" w:cs="Helv"/>
          <w:color w:val="000000"/>
        </w:rPr>
        <w:footnoteReference w:id="441"/>
      </w:r>
      <w:r w:rsidR="004A3F58">
        <w:rPr>
          <w:rFonts w:ascii="Calibri" w:hAnsi="Calibri" w:cs="Helv"/>
          <w:color w:val="000000"/>
        </w:rPr>
        <w:t xml:space="preserve">  If the original grantor </w:t>
      </w:r>
      <w:r w:rsidR="004A3F58">
        <w:rPr>
          <w:rFonts w:ascii="Calibri" w:hAnsi="Calibri" w:cs="Helv"/>
          <w:color w:val="000000"/>
        </w:rPr>
        <w:lastRenderedPageBreak/>
        <w:t>is still living, grantor trust status for these work well, but it’s probably best to stick to ordinary non-grantor status upon the death of the original grantor for such trusts.</w:t>
      </w:r>
    </w:p>
    <w:p w14:paraId="24F7A87D" w14:textId="77777777" w:rsidR="000D31E1" w:rsidRPr="007269C8" w:rsidRDefault="000D31E1" w:rsidP="005D6399">
      <w:pPr>
        <w:autoSpaceDE w:val="0"/>
        <w:autoSpaceDN w:val="0"/>
        <w:adjustRightInd w:val="0"/>
        <w:spacing w:line="360" w:lineRule="auto"/>
        <w:ind w:firstLine="720"/>
        <w:rPr>
          <w:rFonts w:ascii="Calibri" w:hAnsi="Calibri" w:cs="Helv"/>
          <w:color w:val="000000"/>
        </w:rPr>
      </w:pPr>
    </w:p>
    <w:p w14:paraId="4C079ADA" w14:textId="77777777" w:rsidR="007269C8" w:rsidRPr="008907BC" w:rsidRDefault="008907BC" w:rsidP="00180FD1">
      <w:pPr>
        <w:pStyle w:val="ListParagraph"/>
        <w:numPr>
          <w:ilvl w:val="0"/>
          <w:numId w:val="22"/>
        </w:numPr>
        <w:autoSpaceDE w:val="0"/>
        <w:autoSpaceDN w:val="0"/>
        <w:adjustRightInd w:val="0"/>
        <w:spacing w:line="360" w:lineRule="auto"/>
        <w:ind w:left="720" w:hanging="720"/>
        <w:rPr>
          <w:rFonts w:ascii="Calibri" w:hAnsi="Calibri" w:cs="Helv"/>
          <w:color w:val="000000"/>
        </w:rPr>
      </w:pPr>
      <w:r>
        <w:rPr>
          <w:rFonts w:ascii="Calibri" w:hAnsi="Calibri" w:cs="Helv"/>
          <w:b/>
          <w:i/>
          <w:color w:val="000000"/>
        </w:rPr>
        <w:t>Application to</w:t>
      </w:r>
      <w:r w:rsidR="005B6949" w:rsidRPr="008907BC">
        <w:rPr>
          <w:rFonts w:ascii="Calibri" w:hAnsi="Calibri" w:cs="Helv"/>
          <w:b/>
          <w:i/>
          <w:color w:val="000000"/>
        </w:rPr>
        <w:t xml:space="preserve"> QTIP trusts?</w:t>
      </w:r>
      <w:r w:rsidR="005B6949" w:rsidRPr="008907BC">
        <w:rPr>
          <w:rFonts w:ascii="Calibri" w:hAnsi="Calibri" w:cs="Helv"/>
          <w:color w:val="000000"/>
        </w:rPr>
        <w:t xml:space="preserve">  </w:t>
      </w:r>
    </w:p>
    <w:p w14:paraId="5ACC760F" w14:textId="77777777" w:rsidR="002E16D2" w:rsidRDefault="005B6949" w:rsidP="00C14820">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The common wisdom is that QTIP require all income be paid annually to the surviving spouse, </w:t>
      </w:r>
      <w:r w:rsidR="00FB39A0">
        <w:rPr>
          <w:rFonts w:ascii="Calibri" w:hAnsi="Calibri" w:cs="Helv"/>
          <w:color w:val="000000"/>
        </w:rPr>
        <w:t>therefore</w:t>
      </w:r>
      <w:r>
        <w:rPr>
          <w:rFonts w:ascii="Calibri" w:hAnsi="Calibri" w:cs="Helv"/>
          <w:color w:val="000000"/>
        </w:rPr>
        <w:t xml:space="preserve"> a QTIP cannot be a</w:t>
      </w:r>
      <w:r w:rsidR="00B20F92">
        <w:rPr>
          <w:rFonts w:ascii="Calibri" w:hAnsi="Calibri" w:cs="Helv"/>
          <w:color w:val="000000"/>
        </w:rPr>
        <w:t xml:space="preserve"> fully</w:t>
      </w:r>
      <w:r>
        <w:rPr>
          <w:rFonts w:ascii="Calibri" w:hAnsi="Calibri" w:cs="Helv"/>
          <w:color w:val="000000"/>
        </w:rPr>
        <w:t xml:space="preserve"> </w:t>
      </w:r>
      <w:r w:rsidR="00FB39A0">
        <w:rPr>
          <w:rFonts w:ascii="Calibri" w:hAnsi="Calibri" w:cs="Helv"/>
          <w:color w:val="000000"/>
        </w:rPr>
        <w:t>§</w:t>
      </w:r>
      <w:r>
        <w:rPr>
          <w:rFonts w:ascii="Calibri" w:hAnsi="Calibri" w:cs="Helv"/>
          <w:color w:val="000000"/>
        </w:rPr>
        <w:t xml:space="preserve">678(a) trust.  Once again, </w:t>
      </w:r>
      <w:r w:rsidRPr="00C0223E">
        <w:rPr>
          <w:rFonts w:ascii="Calibri" w:hAnsi="Calibri" w:cs="Helv"/>
          <w:i/>
          <w:color w:val="000000"/>
        </w:rPr>
        <w:t>the common wisdom is wrong</w:t>
      </w:r>
      <w:r>
        <w:rPr>
          <w:rFonts w:ascii="Calibri" w:hAnsi="Calibri" w:cs="Helv"/>
          <w:color w:val="000000"/>
        </w:rPr>
        <w:t xml:space="preserve">.  </w:t>
      </w:r>
      <w:r w:rsidR="00B47939">
        <w:rPr>
          <w:rFonts w:ascii="Calibri" w:hAnsi="Calibri" w:cs="Helv"/>
          <w:color w:val="000000"/>
        </w:rPr>
        <w:t>Rather than mandate all income be paid annually, marital trusts can merely require that the spouse be able to withdraw all income annually.</w:t>
      </w:r>
      <w:r w:rsidR="00B47939">
        <w:rPr>
          <w:rStyle w:val="FootnoteReference"/>
          <w:rFonts w:ascii="Calibri" w:hAnsi="Calibri" w:cs="Helv"/>
          <w:color w:val="000000"/>
        </w:rPr>
        <w:footnoteReference w:id="442"/>
      </w:r>
      <w:r w:rsidR="00B47939">
        <w:rPr>
          <w:rFonts w:ascii="Calibri" w:hAnsi="Calibri" w:cs="Helv"/>
          <w:color w:val="000000"/>
        </w:rPr>
        <w:t xml:space="preserve">  As discussed above, this can make a huge difference under Subchapter J.</w:t>
      </w:r>
      <w:r w:rsidR="00FB39A0">
        <w:rPr>
          <w:rFonts w:ascii="Calibri" w:hAnsi="Calibri" w:cs="Helv"/>
          <w:color w:val="000000"/>
        </w:rPr>
        <w:t xml:space="preserve">  </w:t>
      </w:r>
      <w:r w:rsidR="00B20F92">
        <w:rPr>
          <w:rFonts w:ascii="Calibri" w:hAnsi="Calibri" w:cs="Helv"/>
          <w:color w:val="000000"/>
        </w:rPr>
        <w:t>T</w:t>
      </w:r>
      <w:r w:rsidR="00FB39A0">
        <w:rPr>
          <w:rFonts w:ascii="Calibri" w:hAnsi="Calibri" w:cs="Helv"/>
          <w:color w:val="000000"/>
        </w:rPr>
        <w:t xml:space="preserve">his floor of </w:t>
      </w:r>
      <w:r w:rsidR="002E16D2">
        <w:rPr>
          <w:rFonts w:ascii="Calibri" w:hAnsi="Calibri" w:cs="Helv"/>
          <w:color w:val="000000"/>
        </w:rPr>
        <w:t xml:space="preserve">the right to withdraw </w:t>
      </w:r>
      <w:r w:rsidR="00FB39A0">
        <w:rPr>
          <w:rFonts w:ascii="Calibri" w:hAnsi="Calibri" w:cs="Helv"/>
          <w:color w:val="000000"/>
        </w:rPr>
        <w:t xml:space="preserve">net accounting income </w:t>
      </w:r>
      <w:r w:rsidR="002E16D2">
        <w:rPr>
          <w:rFonts w:ascii="Calibri" w:hAnsi="Calibri" w:cs="Helv"/>
          <w:color w:val="000000"/>
        </w:rPr>
        <w:t xml:space="preserve">required by IRC §2056 </w:t>
      </w:r>
      <w:r w:rsidR="00FB39A0">
        <w:rPr>
          <w:rFonts w:ascii="Calibri" w:hAnsi="Calibri" w:cs="Helv"/>
          <w:color w:val="000000"/>
        </w:rPr>
        <w:t>can certainly be increased to include</w:t>
      </w:r>
      <w:r w:rsidR="002E16D2">
        <w:rPr>
          <w:rFonts w:ascii="Calibri" w:hAnsi="Calibri" w:cs="Helv"/>
          <w:color w:val="000000"/>
        </w:rPr>
        <w:t xml:space="preserve"> the greater of the net accounting income or the taxable income (which would usually be higher), including</w:t>
      </w:r>
      <w:r w:rsidR="00FB39A0">
        <w:rPr>
          <w:rFonts w:ascii="Calibri" w:hAnsi="Calibri" w:cs="Helv"/>
          <w:color w:val="000000"/>
        </w:rPr>
        <w:t xml:space="preserve"> capital gains, or other taxable income that would not be accounting income (e.g., a $50,000 IRA payment might be $5,000 accounting income, but $50,000 taxable income). </w:t>
      </w:r>
    </w:p>
    <w:p w14:paraId="7763475C" w14:textId="77777777" w:rsidR="002E16D2" w:rsidRDefault="002E16D2" w:rsidP="00C14820">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How viable is this? </w:t>
      </w:r>
      <w:r w:rsidR="00FB39A0">
        <w:rPr>
          <w:rFonts w:ascii="Calibri" w:hAnsi="Calibri" w:cs="Helv"/>
          <w:color w:val="000000"/>
        </w:rPr>
        <w:t xml:space="preserve"> </w:t>
      </w:r>
      <w:r>
        <w:rPr>
          <w:rFonts w:ascii="Calibri" w:hAnsi="Calibri" w:cs="Helv"/>
          <w:color w:val="000000"/>
        </w:rPr>
        <w:t xml:space="preserve">It largely depends on what the settlor would want.  Many, even in </w:t>
      </w:r>
      <w:r w:rsidR="002458DA">
        <w:rPr>
          <w:rFonts w:ascii="Calibri" w:hAnsi="Calibri" w:cs="Helv"/>
          <w:color w:val="000000"/>
        </w:rPr>
        <w:t>some</w:t>
      </w:r>
      <w:r>
        <w:rPr>
          <w:rFonts w:ascii="Calibri" w:hAnsi="Calibri" w:cs="Helv"/>
          <w:color w:val="000000"/>
        </w:rPr>
        <w:t xml:space="preserve"> blended families, would be fine with this, and it could arguably allow</w:t>
      </w:r>
      <w:r w:rsidR="00FB39A0">
        <w:rPr>
          <w:rFonts w:ascii="Calibri" w:hAnsi="Calibri" w:cs="Helv"/>
          <w:color w:val="000000"/>
        </w:rPr>
        <w:t xml:space="preserve"> for a much </w:t>
      </w:r>
      <w:r w:rsidR="00B20F92">
        <w:rPr>
          <w:rFonts w:ascii="Calibri" w:hAnsi="Calibri" w:cs="Helv"/>
          <w:color w:val="000000"/>
        </w:rPr>
        <w:t>easier to understand</w:t>
      </w:r>
      <w:r w:rsidR="00FB39A0">
        <w:rPr>
          <w:rFonts w:ascii="Calibri" w:hAnsi="Calibri" w:cs="Helv"/>
          <w:color w:val="000000"/>
        </w:rPr>
        <w:t xml:space="preserve"> and simplif</w:t>
      </w:r>
      <w:r>
        <w:rPr>
          <w:rFonts w:ascii="Calibri" w:hAnsi="Calibri" w:cs="Helv"/>
          <w:color w:val="000000"/>
        </w:rPr>
        <w:t xml:space="preserve">ied reporting structure.  </w:t>
      </w:r>
      <w:r w:rsidR="00352D20">
        <w:rPr>
          <w:rFonts w:ascii="Calibri" w:hAnsi="Calibri" w:cs="Helv"/>
          <w:color w:val="000000"/>
        </w:rPr>
        <w:t xml:space="preserve">Normal people think in terms of </w:t>
      </w:r>
      <w:r w:rsidR="00352D20" w:rsidRPr="009C415B">
        <w:rPr>
          <w:rFonts w:ascii="Calibri" w:hAnsi="Calibri" w:cs="Helv"/>
          <w:i/>
          <w:color w:val="000000"/>
        </w:rPr>
        <w:t>taxable</w:t>
      </w:r>
      <w:r w:rsidR="00352D20">
        <w:rPr>
          <w:rFonts w:ascii="Calibri" w:hAnsi="Calibri" w:cs="Helv"/>
          <w:color w:val="000000"/>
        </w:rPr>
        <w:t xml:space="preserve"> income</w:t>
      </w:r>
      <w:r w:rsidR="005C32D7">
        <w:rPr>
          <w:rFonts w:ascii="Calibri" w:hAnsi="Calibri" w:cs="Helv"/>
          <w:color w:val="000000"/>
        </w:rPr>
        <w:t xml:space="preserve"> (W-2, 1099)</w:t>
      </w:r>
      <w:r w:rsidR="00352D20">
        <w:rPr>
          <w:rFonts w:ascii="Calibri" w:hAnsi="Calibri" w:cs="Helv"/>
          <w:color w:val="000000"/>
        </w:rPr>
        <w:t xml:space="preserve">, </w:t>
      </w:r>
      <w:r w:rsidR="005C32D7">
        <w:rPr>
          <w:rFonts w:ascii="Calibri" w:hAnsi="Calibri" w:cs="Helv"/>
          <w:color w:val="000000"/>
        </w:rPr>
        <w:t xml:space="preserve">not </w:t>
      </w:r>
      <w:r w:rsidR="00352D20">
        <w:rPr>
          <w:rFonts w:ascii="Calibri" w:hAnsi="Calibri" w:cs="Helv"/>
          <w:color w:val="000000"/>
        </w:rPr>
        <w:t xml:space="preserve">“DNI” and “FAI”.  </w:t>
      </w:r>
      <w:r w:rsidR="00925870">
        <w:rPr>
          <w:rFonts w:ascii="Calibri" w:hAnsi="Calibri" w:cs="Helv"/>
          <w:color w:val="000000"/>
        </w:rPr>
        <w:t xml:space="preserve">No surviving spouse thinks that the $50,000 IRA distribution </w:t>
      </w:r>
      <w:r w:rsidR="002458DA">
        <w:rPr>
          <w:rFonts w:ascii="Calibri" w:hAnsi="Calibri" w:cs="Helv"/>
          <w:color w:val="000000"/>
        </w:rPr>
        <w:t>from the $1 million IRA should entitle</w:t>
      </w:r>
      <w:r w:rsidR="00925870">
        <w:rPr>
          <w:rFonts w:ascii="Calibri" w:hAnsi="Calibri" w:cs="Helv"/>
          <w:color w:val="000000"/>
        </w:rPr>
        <w:t xml:space="preserve"> him or her to only $5,000 of </w:t>
      </w:r>
      <w:r w:rsidR="002458DA">
        <w:rPr>
          <w:rFonts w:ascii="Calibri" w:hAnsi="Calibri" w:cs="Helv"/>
          <w:color w:val="000000"/>
        </w:rPr>
        <w:t>“</w:t>
      </w:r>
      <w:r w:rsidR="00925870">
        <w:rPr>
          <w:rFonts w:ascii="Calibri" w:hAnsi="Calibri" w:cs="Helv"/>
          <w:color w:val="000000"/>
        </w:rPr>
        <w:t>income</w:t>
      </w:r>
      <w:r w:rsidR="002458DA">
        <w:rPr>
          <w:rFonts w:ascii="Calibri" w:hAnsi="Calibri" w:cs="Helv"/>
          <w:color w:val="000000"/>
        </w:rPr>
        <w:t>”</w:t>
      </w:r>
      <w:r w:rsidR="00925870">
        <w:rPr>
          <w:rFonts w:ascii="Calibri" w:hAnsi="Calibri" w:cs="Helv"/>
          <w:color w:val="000000"/>
        </w:rPr>
        <w:t xml:space="preserve">.  </w:t>
      </w:r>
      <w:r>
        <w:rPr>
          <w:rFonts w:ascii="Calibri" w:hAnsi="Calibri" w:cs="Helv"/>
          <w:color w:val="000000"/>
        </w:rPr>
        <w:t>The pressures on the trustee might be slightly different – instead of a surviving spouse insisting on high-yield, income producing property, the focus might shift to realizing long-term capital gains!</w:t>
      </w:r>
      <w:r w:rsidR="00B20F92">
        <w:rPr>
          <w:rFonts w:ascii="Calibri" w:hAnsi="Calibri" w:cs="Helv"/>
          <w:color w:val="000000"/>
        </w:rPr>
        <w:t xml:space="preserve">  Like anything new, it would require thinking</w:t>
      </w:r>
      <w:r w:rsidR="002458DA">
        <w:rPr>
          <w:rFonts w:ascii="Calibri" w:hAnsi="Calibri" w:cs="Helv"/>
          <w:color w:val="000000"/>
        </w:rPr>
        <w:t xml:space="preserve"> through the prior </w:t>
      </w:r>
      <w:r w:rsidR="002458DA" w:rsidRPr="005C32D7">
        <w:rPr>
          <w:rFonts w:ascii="Calibri" w:hAnsi="Calibri" w:cs="Helv"/>
          <w:i/>
          <w:color w:val="000000"/>
        </w:rPr>
        <w:t>modus operandi</w:t>
      </w:r>
      <w:r w:rsidR="00B20F92">
        <w:rPr>
          <w:rFonts w:ascii="Calibri" w:hAnsi="Calibri" w:cs="Helv"/>
          <w:color w:val="000000"/>
        </w:rPr>
        <w:t xml:space="preserve">.  But </w:t>
      </w:r>
      <w:r w:rsidR="00B20F92">
        <w:rPr>
          <w:rFonts w:ascii="Calibri" w:hAnsi="Calibri" w:cs="Helv"/>
          <w:color w:val="000000"/>
        </w:rPr>
        <w:lastRenderedPageBreak/>
        <w:t xml:space="preserve">explaining the </w:t>
      </w:r>
      <w:r w:rsidR="00925870">
        <w:rPr>
          <w:rFonts w:ascii="Calibri" w:hAnsi="Calibri" w:cs="Helv"/>
          <w:color w:val="000000"/>
        </w:rPr>
        <w:t xml:space="preserve">income </w:t>
      </w:r>
      <w:r w:rsidR="00B20F92">
        <w:rPr>
          <w:rFonts w:ascii="Calibri" w:hAnsi="Calibri" w:cs="Helv"/>
          <w:color w:val="000000"/>
        </w:rPr>
        <w:t xml:space="preserve">taxation to clients would be </w:t>
      </w:r>
      <w:r w:rsidR="00B20F92" w:rsidRPr="00B20F92">
        <w:rPr>
          <w:rFonts w:ascii="Calibri" w:hAnsi="Calibri" w:cs="Helv"/>
          <w:i/>
          <w:color w:val="000000"/>
        </w:rPr>
        <w:t>infinitely</w:t>
      </w:r>
      <w:r w:rsidR="00B20F92">
        <w:rPr>
          <w:rFonts w:ascii="Calibri" w:hAnsi="Calibri" w:cs="Helv"/>
          <w:color w:val="000000"/>
        </w:rPr>
        <w:t xml:space="preserve"> easier.  If you don’t agree, you’ve never taken a fiduciary income tax course</w:t>
      </w:r>
      <w:r w:rsidR="00925870">
        <w:rPr>
          <w:rFonts w:ascii="Calibri" w:hAnsi="Calibri" w:cs="Helv"/>
          <w:color w:val="000000"/>
        </w:rPr>
        <w:t xml:space="preserve"> or tried to explain trust taxation to a client</w:t>
      </w:r>
      <w:r w:rsidR="00B20F92">
        <w:rPr>
          <w:rFonts w:ascii="Calibri" w:hAnsi="Calibri" w:cs="Helv"/>
          <w:color w:val="000000"/>
        </w:rPr>
        <w:t>.</w:t>
      </w:r>
    </w:p>
    <w:p w14:paraId="36B58424" w14:textId="77777777" w:rsidR="00175D86" w:rsidRDefault="00175D86" w:rsidP="00C14820">
      <w:pPr>
        <w:autoSpaceDE w:val="0"/>
        <w:autoSpaceDN w:val="0"/>
        <w:adjustRightInd w:val="0"/>
        <w:spacing w:line="360" w:lineRule="auto"/>
        <w:ind w:firstLine="720"/>
        <w:rPr>
          <w:rFonts w:ascii="Calibri" w:hAnsi="Calibri" w:cs="Helv"/>
          <w:color w:val="000000"/>
        </w:rPr>
      </w:pPr>
    </w:p>
    <w:p w14:paraId="6C9B2C52" w14:textId="77777777" w:rsidR="007269C8" w:rsidRPr="008907BC" w:rsidRDefault="007269C8" w:rsidP="00180FD1">
      <w:pPr>
        <w:pStyle w:val="ListParagraph"/>
        <w:numPr>
          <w:ilvl w:val="0"/>
          <w:numId w:val="22"/>
        </w:numPr>
        <w:autoSpaceDE w:val="0"/>
        <w:autoSpaceDN w:val="0"/>
        <w:adjustRightInd w:val="0"/>
        <w:spacing w:line="360" w:lineRule="auto"/>
        <w:ind w:left="720" w:hanging="720"/>
        <w:rPr>
          <w:rFonts w:ascii="Calibri" w:hAnsi="Calibri" w:cs="Helv"/>
          <w:b/>
          <w:i/>
          <w:color w:val="000000"/>
        </w:rPr>
      </w:pPr>
      <w:r w:rsidRPr="008907BC">
        <w:rPr>
          <w:rFonts w:ascii="Calibri" w:hAnsi="Calibri" w:cs="Helv"/>
          <w:b/>
          <w:i/>
          <w:color w:val="000000"/>
        </w:rPr>
        <w:t xml:space="preserve">Transactions between beneficiaries and fully §678(a) trusts as to beneficiaries </w:t>
      </w:r>
    </w:p>
    <w:p w14:paraId="18003E6D" w14:textId="77777777" w:rsidR="00D757B6" w:rsidRDefault="00A12495" w:rsidP="00DD11D7">
      <w:pPr>
        <w:autoSpaceDE w:val="0"/>
        <w:autoSpaceDN w:val="0"/>
        <w:adjustRightInd w:val="0"/>
        <w:spacing w:line="360" w:lineRule="auto"/>
        <w:ind w:firstLine="720"/>
        <w:rPr>
          <w:rFonts w:ascii="Calibri" w:hAnsi="Calibri" w:cs="Helv"/>
          <w:b/>
          <w:color w:val="000000"/>
        </w:rPr>
      </w:pPr>
      <w:r>
        <w:rPr>
          <w:rFonts w:ascii="Calibri" w:hAnsi="Calibri" w:cs="Helv"/>
          <w:color w:val="000000"/>
        </w:rPr>
        <w:t>Many readers are undoubtedly wondering –</w:t>
      </w:r>
      <w:r w:rsidR="001C7D68">
        <w:rPr>
          <w:rFonts w:ascii="Calibri" w:hAnsi="Calibri" w:cs="Helv"/>
          <w:color w:val="000000"/>
        </w:rPr>
        <w:t xml:space="preserve"> since</w:t>
      </w:r>
      <w:r>
        <w:rPr>
          <w:rFonts w:ascii="Calibri" w:hAnsi="Calibri" w:cs="Helv"/>
          <w:color w:val="000000"/>
        </w:rPr>
        <w:t xml:space="preserve"> these techniques can create what is considered a grantor trust to the beneficiary as to ALL trust income, what is to stop beneficiaries from engaging in installment sales</w:t>
      </w:r>
      <w:r w:rsidR="0006062C">
        <w:rPr>
          <w:rFonts w:ascii="Calibri" w:hAnsi="Calibri" w:cs="Helv"/>
          <w:color w:val="000000"/>
        </w:rPr>
        <w:t>, swaps or other transactions with</w:t>
      </w:r>
      <w:r>
        <w:rPr>
          <w:rFonts w:ascii="Calibri" w:hAnsi="Calibri" w:cs="Helv"/>
          <w:color w:val="000000"/>
        </w:rPr>
        <w:t xml:space="preserve"> their </w:t>
      </w:r>
      <w:r w:rsidR="003C764A">
        <w:rPr>
          <w:rFonts w:ascii="Calibri" w:hAnsi="Calibri" w:cs="Helv"/>
          <w:color w:val="000000"/>
        </w:rPr>
        <w:t>fully</w:t>
      </w:r>
      <w:r>
        <w:rPr>
          <w:rFonts w:ascii="Calibri" w:hAnsi="Calibri" w:cs="Helv"/>
          <w:color w:val="000000"/>
        </w:rPr>
        <w:t xml:space="preserve"> </w:t>
      </w:r>
      <w:r w:rsidR="003C764A">
        <w:rPr>
          <w:rFonts w:ascii="Calibri" w:hAnsi="Calibri" w:cs="Helv"/>
          <w:color w:val="000000"/>
        </w:rPr>
        <w:t>§678(a)</w:t>
      </w:r>
      <w:r w:rsidR="00D757B6">
        <w:rPr>
          <w:rFonts w:ascii="Calibri" w:hAnsi="Calibri" w:cs="Helv"/>
          <w:color w:val="000000"/>
        </w:rPr>
        <w:t>(1)</w:t>
      </w:r>
      <w:r w:rsidR="003C764A">
        <w:rPr>
          <w:rFonts w:ascii="Calibri" w:hAnsi="Calibri" w:cs="Helv"/>
          <w:color w:val="000000"/>
        </w:rPr>
        <w:t xml:space="preserve"> </w:t>
      </w:r>
      <w:r>
        <w:rPr>
          <w:rFonts w:ascii="Calibri" w:hAnsi="Calibri" w:cs="Helv"/>
          <w:color w:val="000000"/>
        </w:rPr>
        <w:t>trusts under Rev. Rul. 85-13 and its progeny?</w:t>
      </w:r>
      <w:r w:rsidR="00F27D83">
        <w:rPr>
          <w:rStyle w:val="FootnoteReference"/>
          <w:rFonts w:ascii="Calibri" w:hAnsi="Calibri" w:cs="Helv"/>
          <w:color w:val="000000"/>
        </w:rPr>
        <w:footnoteReference w:id="443"/>
      </w:r>
      <w:r>
        <w:rPr>
          <w:rFonts w:ascii="Calibri" w:hAnsi="Calibri" w:cs="Helv"/>
          <w:color w:val="000000"/>
        </w:rPr>
        <w:t xml:space="preserve">  Isn’t this </w:t>
      </w:r>
      <w:r w:rsidR="00D757B6">
        <w:rPr>
          <w:rFonts w:ascii="Calibri" w:hAnsi="Calibri" w:cs="Helv"/>
          <w:color w:val="000000"/>
        </w:rPr>
        <w:t>similar to an installment sale or swap with a</w:t>
      </w:r>
      <w:r>
        <w:rPr>
          <w:rFonts w:ascii="Calibri" w:hAnsi="Calibri" w:cs="Helv"/>
          <w:color w:val="000000"/>
        </w:rPr>
        <w:t xml:space="preserve"> </w:t>
      </w:r>
      <w:r w:rsidRPr="00A12495">
        <w:rPr>
          <w:rFonts w:ascii="Calibri" w:hAnsi="Calibri" w:cs="Helv"/>
          <w:i/>
          <w:color w:val="000000"/>
        </w:rPr>
        <w:t>BDIT</w:t>
      </w:r>
      <w:r w:rsidR="002458DA">
        <w:rPr>
          <w:rFonts w:ascii="Calibri" w:hAnsi="Calibri" w:cs="Helv"/>
          <w:i/>
          <w:color w:val="000000"/>
        </w:rPr>
        <w:t xml:space="preserve"> </w:t>
      </w:r>
      <w:r w:rsidR="002458DA" w:rsidRPr="002458DA">
        <w:rPr>
          <w:rFonts w:ascii="Calibri" w:hAnsi="Calibri" w:cs="Helv"/>
          <w:color w:val="000000"/>
        </w:rPr>
        <w:t xml:space="preserve">(which relies on </w:t>
      </w:r>
      <w:r w:rsidR="002458DA" w:rsidRPr="00C0223E">
        <w:rPr>
          <w:rFonts w:ascii="Calibri" w:hAnsi="Calibri" w:cs="Helv"/>
          <w:i/>
          <w:color w:val="000000"/>
        </w:rPr>
        <w:t>lapses of powers o</w:t>
      </w:r>
      <w:r w:rsidR="00C0223E">
        <w:rPr>
          <w:rFonts w:ascii="Calibri" w:hAnsi="Calibri" w:cs="Helv"/>
          <w:i/>
          <w:color w:val="000000"/>
        </w:rPr>
        <w:t>ver</w:t>
      </w:r>
      <w:r w:rsidR="002458DA" w:rsidRPr="00C0223E">
        <w:rPr>
          <w:rFonts w:ascii="Calibri" w:hAnsi="Calibri" w:cs="Helv"/>
          <w:i/>
          <w:color w:val="000000"/>
        </w:rPr>
        <w:t xml:space="preserve"> the entire</w:t>
      </w:r>
      <w:r w:rsidR="002458DA" w:rsidRPr="002458DA">
        <w:rPr>
          <w:rFonts w:ascii="Calibri" w:hAnsi="Calibri" w:cs="Helv"/>
          <w:color w:val="000000"/>
        </w:rPr>
        <w:t xml:space="preserve"> </w:t>
      </w:r>
      <w:r w:rsidR="002458DA" w:rsidRPr="00C0223E">
        <w:rPr>
          <w:rFonts w:ascii="Calibri" w:hAnsi="Calibri" w:cs="Helv"/>
          <w:b/>
          <w:i/>
          <w:color w:val="000000"/>
        </w:rPr>
        <w:t>corpus</w:t>
      </w:r>
      <w:r w:rsidR="002458DA" w:rsidRPr="002458DA">
        <w:rPr>
          <w:rFonts w:ascii="Calibri" w:hAnsi="Calibri" w:cs="Helv"/>
          <w:color w:val="000000"/>
        </w:rPr>
        <w:t xml:space="preserve"> per §678(a)(2))</w:t>
      </w:r>
      <w:r w:rsidRPr="002458DA">
        <w:rPr>
          <w:rFonts w:ascii="Calibri" w:hAnsi="Calibri" w:cs="Helv"/>
          <w:color w:val="000000"/>
        </w:rPr>
        <w:t>,</w:t>
      </w:r>
      <w:r>
        <w:rPr>
          <w:rFonts w:ascii="Calibri" w:hAnsi="Calibri" w:cs="Helv"/>
          <w:color w:val="000000"/>
        </w:rPr>
        <w:t xml:space="preserve"> but with an unlimited seed gift, rather than </w:t>
      </w:r>
      <w:r w:rsidR="001C7D68">
        <w:rPr>
          <w:rFonts w:ascii="Calibri" w:hAnsi="Calibri" w:cs="Helv"/>
          <w:color w:val="000000"/>
        </w:rPr>
        <w:t xml:space="preserve">a mere </w:t>
      </w:r>
      <w:r>
        <w:rPr>
          <w:rFonts w:ascii="Calibri" w:hAnsi="Calibri" w:cs="Helv"/>
          <w:color w:val="000000"/>
        </w:rPr>
        <w:t>$5,000</w:t>
      </w:r>
      <w:r w:rsidR="002458DA">
        <w:rPr>
          <w:rFonts w:ascii="Calibri" w:hAnsi="Calibri" w:cs="Helv"/>
          <w:color w:val="000000"/>
        </w:rPr>
        <w:t xml:space="preserve">, and with less </w:t>
      </w:r>
      <w:r w:rsidR="00D757B6">
        <w:rPr>
          <w:rFonts w:ascii="Calibri" w:hAnsi="Calibri" w:cs="Helv"/>
          <w:color w:val="000000"/>
        </w:rPr>
        <w:t xml:space="preserve">attendant substance over form </w:t>
      </w:r>
      <w:r w:rsidR="002C5A64">
        <w:rPr>
          <w:rFonts w:ascii="Calibri" w:hAnsi="Calibri" w:cs="Helv"/>
          <w:color w:val="000000"/>
        </w:rPr>
        <w:t>risk</w:t>
      </w:r>
      <w:r w:rsidR="00D757B6">
        <w:rPr>
          <w:rFonts w:ascii="Calibri" w:hAnsi="Calibri" w:cs="Helv"/>
          <w:color w:val="000000"/>
        </w:rPr>
        <w:t xml:space="preserve"> accordingly</w:t>
      </w:r>
      <w:r>
        <w:rPr>
          <w:rFonts w:ascii="Calibri" w:hAnsi="Calibri" w:cs="Helv"/>
          <w:color w:val="000000"/>
        </w:rPr>
        <w:t xml:space="preserve">?  </w:t>
      </w:r>
      <w:r w:rsidR="001C7D68">
        <w:rPr>
          <w:rFonts w:ascii="Calibri" w:hAnsi="Calibri" w:cs="Helv"/>
          <w:color w:val="000000"/>
        </w:rPr>
        <w:t>Isn’t this much more certain than an installment sale to a completed gift asset protection trust with the settlor as beneficiary</w:t>
      </w:r>
      <w:r w:rsidR="00B20F92">
        <w:rPr>
          <w:rFonts w:ascii="Calibri" w:hAnsi="Calibri" w:cs="Helv"/>
          <w:color w:val="000000"/>
        </w:rPr>
        <w:t>, with its attendant §2036 risk</w:t>
      </w:r>
      <w:r w:rsidR="001C7D68">
        <w:rPr>
          <w:rFonts w:ascii="Calibri" w:hAnsi="Calibri" w:cs="Helv"/>
          <w:color w:val="000000"/>
        </w:rPr>
        <w:t xml:space="preserve">? </w:t>
      </w:r>
      <w:r w:rsidR="00F27D83">
        <w:rPr>
          <w:rFonts w:ascii="Calibri" w:hAnsi="Calibri" w:cs="Helv"/>
          <w:color w:val="000000"/>
        </w:rPr>
        <w:t xml:space="preserve"> Isn’t this safer than a beneficiary sale to a qualified subchapter S trust (QSST), which is only a grantor trust as to the income rather than the entire corpus if the S corporation stock is sold?  </w:t>
      </w:r>
      <w:r>
        <w:rPr>
          <w:rFonts w:ascii="Calibri" w:hAnsi="Calibri" w:cs="Helv"/>
          <w:color w:val="000000"/>
        </w:rPr>
        <w:t xml:space="preserve">Comparing </w:t>
      </w:r>
      <w:r w:rsidR="00D757B6">
        <w:rPr>
          <w:rFonts w:ascii="Calibri" w:hAnsi="Calibri" w:cs="Helv"/>
          <w:color w:val="000000"/>
        </w:rPr>
        <w:t xml:space="preserve">§678(a)(1) </w:t>
      </w:r>
      <w:r w:rsidR="001C7D68">
        <w:rPr>
          <w:rFonts w:ascii="Calibri" w:hAnsi="Calibri" w:cs="Helv"/>
          <w:color w:val="000000"/>
        </w:rPr>
        <w:t xml:space="preserve">“beneficiary income controlled trusts” </w:t>
      </w:r>
      <w:r>
        <w:rPr>
          <w:rFonts w:ascii="Calibri" w:hAnsi="Calibri" w:cs="Helv"/>
          <w:color w:val="000000"/>
        </w:rPr>
        <w:t>transactions with</w:t>
      </w:r>
      <w:r w:rsidR="001C7D68">
        <w:rPr>
          <w:rFonts w:ascii="Calibri" w:hAnsi="Calibri" w:cs="Helv"/>
          <w:color w:val="000000"/>
        </w:rPr>
        <w:t xml:space="preserve"> installment s</w:t>
      </w:r>
      <w:r w:rsidR="0006062C">
        <w:rPr>
          <w:rFonts w:ascii="Calibri" w:hAnsi="Calibri" w:cs="Helv"/>
          <w:color w:val="000000"/>
        </w:rPr>
        <w:t xml:space="preserve">ales to BDITs, </w:t>
      </w:r>
      <w:r>
        <w:rPr>
          <w:rFonts w:ascii="Calibri" w:hAnsi="Calibri" w:cs="Helv"/>
          <w:color w:val="000000"/>
        </w:rPr>
        <w:t xml:space="preserve">QSSTs </w:t>
      </w:r>
      <w:r w:rsidR="0006062C">
        <w:rPr>
          <w:rFonts w:ascii="Calibri" w:hAnsi="Calibri" w:cs="Helv"/>
          <w:color w:val="000000"/>
        </w:rPr>
        <w:t>and</w:t>
      </w:r>
      <w:r w:rsidR="001C7D68">
        <w:rPr>
          <w:rFonts w:ascii="Calibri" w:hAnsi="Calibri" w:cs="Helv"/>
          <w:color w:val="000000"/>
        </w:rPr>
        <w:t xml:space="preserve"> other grantor trusts </w:t>
      </w:r>
      <w:r>
        <w:rPr>
          <w:rFonts w:ascii="Calibri" w:hAnsi="Calibri" w:cs="Helv"/>
          <w:color w:val="000000"/>
        </w:rPr>
        <w:t>will be considered in a separate article.</w:t>
      </w:r>
      <w:r w:rsidR="00E26438">
        <w:rPr>
          <w:rFonts w:ascii="Calibri" w:hAnsi="Calibri" w:cs="Helv"/>
          <w:color w:val="000000"/>
        </w:rPr>
        <w:t xml:space="preserve">  To summarize, however, the only difference between a beneficiary deemed owner trust with a §678(a)</w:t>
      </w:r>
      <w:r w:rsidR="00D757B6">
        <w:rPr>
          <w:rFonts w:ascii="Calibri" w:hAnsi="Calibri" w:cs="Helv"/>
          <w:color w:val="000000"/>
        </w:rPr>
        <w:t>(1)</w:t>
      </w:r>
      <w:r w:rsidR="00E26438">
        <w:rPr>
          <w:rFonts w:ascii="Calibri" w:hAnsi="Calibri" w:cs="Helv"/>
          <w:color w:val="000000"/>
        </w:rPr>
        <w:t xml:space="preserve"> withdrawal right over </w:t>
      </w:r>
      <w:r w:rsidR="00D757B6">
        <w:rPr>
          <w:rFonts w:ascii="Calibri" w:hAnsi="Calibri" w:cs="Helv"/>
          <w:color w:val="000000"/>
        </w:rPr>
        <w:t xml:space="preserve">only </w:t>
      </w:r>
      <w:r w:rsidR="00DA5903">
        <w:rPr>
          <w:rFonts w:ascii="Calibri" w:hAnsi="Calibri" w:cs="Helv"/>
          <w:color w:val="000000"/>
        </w:rPr>
        <w:t xml:space="preserve">taxable </w:t>
      </w:r>
      <w:r w:rsidR="00E26438">
        <w:rPr>
          <w:rFonts w:ascii="Calibri" w:hAnsi="Calibri" w:cs="Helv"/>
          <w:color w:val="000000"/>
        </w:rPr>
        <w:t xml:space="preserve">income and one the uses a §678(a) withdrawal right over </w:t>
      </w:r>
      <w:r w:rsidR="008A41F6">
        <w:rPr>
          <w:rFonts w:ascii="Calibri" w:hAnsi="Calibri" w:cs="Helv"/>
          <w:color w:val="000000"/>
        </w:rPr>
        <w:t xml:space="preserve">the entire </w:t>
      </w:r>
      <w:r w:rsidR="00E26438">
        <w:rPr>
          <w:rFonts w:ascii="Calibri" w:hAnsi="Calibri" w:cs="Helv"/>
          <w:color w:val="000000"/>
        </w:rPr>
        <w:t xml:space="preserve">corpus or some other grantor trust trigger is the </w:t>
      </w:r>
      <w:r w:rsidR="003B6DE1">
        <w:rPr>
          <w:rFonts w:ascii="Calibri" w:hAnsi="Calibri" w:cs="Helv"/>
          <w:color w:val="000000"/>
        </w:rPr>
        <w:t xml:space="preserve">possible uncertainty in a year in which </w:t>
      </w:r>
      <w:r w:rsidR="00DA5903">
        <w:rPr>
          <w:rFonts w:ascii="Calibri" w:hAnsi="Calibri" w:cs="Helv"/>
          <w:color w:val="000000"/>
        </w:rPr>
        <w:t>there are capital losses that are not offset by capital gains</w:t>
      </w:r>
      <w:r w:rsidR="003B6DE1">
        <w:rPr>
          <w:rFonts w:ascii="Calibri" w:hAnsi="Calibri" w:cs="Helv"/>
          <w:color w:val="000000"/>
        </w:rPr>
        <w:t>, as discussed in paragraph c above.</w:t>
      </w:r>
      <w:r w:rsidR="00E26438">
        <w:rPr>
          <w:rFonts w:ascii="Calibri" w:hAnsi="Calibri" w:cs="Helv"/>
          <w:color w:val="000000"/>
        </w:rPr>
        <w:t xml:space="preserve"> </w:t>
      </w:r>
      <w:r w:rsidR="00D757B6">
        <w:rPr>
          <w:rFonts w:ascii="Calibri" w:hAnsi="Calibri" w:cs="Helv"/>
          <w:b/>
          <w:color w:val="000000"/>
        </w:rPr>
        <w:br w:type="page"/>
      </w:r>
    </w:p>
    <w:p w14:paraId="0E780017" w14:textId="77777777" w:rsidR="0006302D" w:rsidRPr="0006302D" w:rsidRDefault="00160D9A" w:rsidP="00180FD1">
      <w:pPr>
        <w:pStyle w:val="ListParagraph"/>
        <w:numPr>
          <w:ilvl w:val="0"/>
          <w:numId w:val="22"/>
        </w:numPr>
        <w:autoSpaceDE w:val="0"/>
        <w:autoSpaceDN w:val="0"/>
        <w:adjustRightInd w:val="0"/>
        <w:spacing w:line="360" w:lineRule="auto"/>
        <w:ind w:left="720" w:hanging="720"/>
        <w:rPr>
          <w:rFonts w:ascii="Calibri" w:hAnsi="Calibri" w:cs="Helv"/>
          <w:color w:val="000000"/>
        </w:rPr>
      </w:pPr>
      <w:r w:rsidRPr="0006302D">
        <w:rPr>
          <w:rFonts w:ascii="Calibri" w:hAnsi="Calibri" w:cs="Helv"/>
          <w:b/>
          <w:color w:val="000000"/>
        </w:rPr>
        <w:lastRenderedPageBreak/>
        <w:t xml:space="preserve">Using </w:t>
      </w:r>
      <w:r w:rsidR="008A7998" w:rsidRPr="0006302D">
        <w:rPr>
          <w:rFonts w:ascii="Calibri" w:hAnsi="Calibri" w:cs="Helv"/>
          <w:b/>
          <w:color w:val="000000"/>
        </w:rPr>
        <w:t>Treas. Reg. §1.643(a)-3(b)</w:t>
      </w:r>
      <w:r w:rsidR="00D757B6">
        <w:rPr>
          <w:rFonts w:ascii="Calibri" w:hAnsi="Calibri" w:cs="Helv"/>
          <w:b/>
          <w:color w:val="000000"/>
        </w:rPr>
        <w:t xml:space="preserve"> to Permit Capital Gains to Pass to Beneficiary</w:t>
      </w:r>
      <w:r w:rsidR="008A7998" w:rsidRPr="0006302D">
        <w:rPr>
          <w:rFonts w:ascii="Calibri" w:hAnsi="Calibri" w:cs="Helv"/>
          <w:color w:val="000000"/>
        </w:rPr>
        <w:t xml:space="preserve"> </w:t>
      </w:r>
    </w:p>
    <w:p w14:paraId="2CA838DD" w14:textId="77777777" w:rsidR="00ED1CA7" w:rsidRPr="00DF653A" w:rsidRDefault="00ED1CA7" w:rsidP="00ED1CA7">
      <w:pPr>
        <w:autoSpaceDE w:val="0"/>
        <w:autoSpaceDN w:val="0"/>
        <w:adjustRightInd w:val="0"/>
        <w:spacing w:line="360" w:lineRule="auto"/>
        <w:ind w:firstLine="720"/>
        <w:rPr>
          <w:rFonts w:ascii="Calibri" w:hAnsi="Calibri" w:cs="Helv"/>
          <w:color w:val="000000"/>
        </w:rPr>
      </w:pPr>
      <w:r w:rsidRPr="00DF653A">
        <w:rPr>
          <w:rFonts w:ascii="Calibri" w:hAnsi="Calibri" w:cs="Helv"/>
          <w:color w:val="000000"/>
        </w:rPr>
        <w:t>The best solution</w:t>
      </w:r>
      <w:r w:rsidR="00352D20">
        <w:rPr>
          <w:rFonts w:ascii="Calibri" w:hAnsi="Calibri" w:cs="Helv"/>
          <w:color w:val="000000"/>
        </w:rPr>
        <w:t xml:space="preserve"> to solving the capital gains tax trap</w:t>
      </w:r>
      <w:r w:rsidRPr="00DF653A">
        <w:rPr>
          <w:rFonts w:ascii="Calibri" w:hAnsi="Calibri" w:cs="Helv"/>
          <w:color w:val="000000"/>
        </w:rPr>
        <w:t xml:space="preserve"> in most cases is to utilize one of the three methods noted in the Treasury Regulations to allow capital gains to be treated as part of the DNI deduction.  This will allow any discretionary distributions to the beneficiary to carry out capital gains as part of DNI so that the K-1 can take care of the surtax and higher tax rate issue by putting the capital gains on the </w:t>
      </w:r>
      <w:r w:rsidRPr="00DF653A">
        <w:rPr>
          <w:rFonts w:ascii="Calibri" w:hAnsi="Calibri" w:cs="Helv"/>
          <w:i/>
          <w:color w:val="000000"/>
        </w:rPr>
        <w:t>beneficiary’s</w:t>
      </w:r>
      <w:r w:rsidRPr="00DF653A">
        <w:rPr>
          <w:rFonts w:ascii="Calibri" w:hAnsi="Calibri" w:cs="Helv"/>
          <w:color w:val="000000"/>
        </w:rPr>
        <w:t xml:space="preserve"> Form 1040.   </w:t>
      </w:r>
    </w:p>
    <w:p w14:paraId="4C9A4D34" w14:textId="77777777" w:rsidR="00ED1CA7" w:rsidRPr="00DF653A" w:rsidRDefault="00ED1CA7" w:rsidP="00ED1CA7">
      <w:pPr>
        <w:autoSpaceDE w:val="0"/>
        <w:autoSpaceDN w:val="0"/>
        <w:adjustRightInd w:val="0"/>
        <w:spacing w:line="360" w:lineRule="auto"/>
        <w:ind w:firstLine="720"/>
        <w:rPr>
          <w:rFonts w:ascii="Calibri" w:hAnsi="Calibri"/>
        </w:rPr>
      </w:pPr>
      <w:r w:rsidRPr="00DF653A">
        <w:rPr>
          <w:rFonts w:ascii="Calibri" w:hAnsi="Calibri"/>
        </w:rPr>
        <w:t>Once capital gains are part of the DNI deduction, they can be carried out on the K-1 and taxed to the beneficiary</w:t>
      </w:r>
      <w:r w:rsidR="009C415B">
        <w:rPr>
          <w:rFonts w:ascii="Calibri" w:hAnsi="Calibri"/>
        </w:rPr>
        <w:t xml:space="preserve"> to the extent of distributions</w:t>
      </w:r>
      <w:r w:rsidRPr="00DF653A">
        <w:rPr>
          <w:rFonts w:ascii="Calibri" w:hAnsi="Calibri"/>
        </w:rPr>
        <w:t>.  So, how do we get out of the default rule that capital gains are not ordinarily part of DNI?</w:t>
      </w:r>
      <w:r w:rsidRPr="00DF653A">
        <w:rPr>
          <w:rStyle w:val="FootnoteReference"/>
          <w:rFonts w:ascii="Calibri" w:hAnsi="Calibri"/>
        </w:rPr>
        <w:footnoteReference w:id="444"/>
      </w:r>
      <w:r w:rsidRPr="00DF653A">
        <w:rPr>
          <w:rFonts w:ascii="Calibri" w:hAnsi="Calibri"/>
        </w:rPr>
        <w:t xml:space="preserve">  Generally, they will be included if they are 1) allocated to fiduciary accounting income or 2) allocated to principal and “paid, credited or required to be distributed to any beneficiary during the year”.</w:t>
      </w:r>
      <w:r w:rsidRPr="00DF653A">
        <w:rPr>
          <w:rStyle w:val="FootnoteReference"/>
          <w:rFonts w:ascii="Calibri" w:hAnsi="Calibri"/>
        </w:rPr>
        <w:footnoteReference w:id="445"/>
      </w:r>
      <w:r w:rsidRPr="00DF653A">
        <w:rPr>
          <w:rFonts w:ascii="Calibri" w:hAnsi="Calibri"/>
        </w:rPr>
        <w:t xml:space="preserve">  The regulations regarding these exceptions are </w:t>
      </w:r>
      <w:r w:rsidR="00D757B6">
        <w:rPr>
          <w:rFonts w:ascii="Calibri" w:hAnsi="Calibri"/>
        </w:rPr>
        <w:t xml:space="preserve">relatively short and </w:t>
      </w:r>
      <w:r w:rsidR="005808F8">
        <w:rPr>
          <w:rFonts w:ascii="Calibri" w:hAnsi="Calibri"/>
        </w:rPr>
        <w:t>merit full inclusion here</w:t>
      </w:r>
      <w:r w:rsidRPr="00DF653A">
        <w:rPr>
          <w:rFonts w:ascii="Calibri" w:hAnsi="Calibri"/>
        </w:rPr>
        <w:t>:</w:t>
      </w:r>
      <w:r w:rsidRPr="00DF653A">
        <w:rPr>
          <w:rStyle w:val="FootnoteReference"/>
          <w:rFonts w:ascii="Calibri" w:hAnsi="Calibri"/>
        </w:rPr>
        <w:footnoteReference w:id="446"/>
      </w:r>
      <w:r w:rsidRPr="00DF653A">
        <w:rPr>
          <w:rFonts w:ascii="Calibri" w:hAnsi="Calibri"/>
        </w:rPr>
        <w:t xml:space="preserve"> </w:t>
      </w:r>
    </w:p>
    <w:p w14:paraId="520BC96F" w14:textId="77777777" w:rsidR="00ED1CA7" w:rsidRPr="00ED1CA7" w:rsidRDefault="00ED1CA7" w:rsidP="00ED1CA7">
      <w:pPr>
        <w:pStyle w:val="NormalWeb"/>
        <w:ind w:left="720"/>
        <w:rPr>
          <w:rFonts w:ascii="Calibri" w:hAnsi="Calibri" w:cs="Arial"/>
          <w:sz w:val="22"/>
          <w:szCs w:val="22"/>
        </w:rPr>
      </w:pPr>
      <w:r w:rsidRPr="00ED1CA7">
        <w:rPr>
          <w:rFonts w:ascii="Calibri" w:hAnsi="Calibri" w:cs="Arial"/>
          <w:sz w:val="22"/>
          <w:szCs w:val="22"/>
        </w:rPr>
        <w:t xml:space="preserve">“(b) </w:t>
      </w:r>
      <w:r w:rsidRPr="00ED1CA7">
        <w:rPr>
          <w:rFonts w:ascii="Calibri" w:hAnsi="Calibri" w:cs="Arial"/>
          <w:i/>
          <w:iCs/>
          <w:sz w:val="22"/>
          <w:szCs w:val="22"/>
        </w:rPr>
        <w:t xml:space="preserve">Capital gains included in distributable net income. </w:t>
      </w:r>
      <w:r w:rsidRPr="00ED1CA7">
        <w:rPr>
          <w:rFonts w:ascii="Calibri" w:hAnsi="Calibri" w:cs="Arial"/>
          <w:sz w:val="22"/>
          <w:szCs w:val="22"/>
        </w:rPr>
        <w:t>Gains from the sale or exchange of capital assets are included in distributable net income to the extent they are, pursuant to the terms of the governing instrument and applicable local law, or pursuant to a reasonable and impartial exercise of discretion by the fiduciary (in accordance with a power granted to the fiduciary by applicable local law or by the governing instrument if not prohibited by applicable local law)—</w:t>
      </w:r>
    </w:p>
    <w:p w14:paraId="293B885C" w14:textId="77777777" w:rsidR="00ED1CA7" w:rsidRPr="00ED1CA7" w:rsidRDefault="00ED1CA7" w:rsidP="00ED1CA7">
      <w:pPr>
        <w:pStyle w:val="NormalWeb"/>
        <w:ind w:left="720"/>
        <w:rPr>
          <w:rFonts w:ascii="Calibri" w:hAnsi="Calibri" w:cs="Arial"/>
          <w:sz w:val="22"/>
          <w:szCs w:val="22"/>
        </w:rPr>
      </w:pPr>
      <w:r w:rsidRPr="00ED1CA7">
        <w:rPr>
          <w:rFonts w:ascii="Calibri" w:hAnsi="Calibri" w:cs="Arial"/>
          <w:sz w:val="22"/>
          <w:szCs w:val="22"/>
        </w:rPr>
        <w:t>(1) Allocated to income (but if income under the state statute is defined as, or consists of, a unitrust amount, a discretionary power to allocate gains to income must also be exercised consistently and the amount so allocated may not be greater than the excess of the unitrust amount over the amount of distributable net income determined without regard to this subparagraph §1.643(a)–3(b));</w:t>
      </w:r>
    </w:p>
    <w:p w14:paraId="6BEAED83" w14:textId="77777777" w:rsidR="00ED1CA7" w:rsidRPr="00ED1CA7" w:rsidRDefault="00ED1CA7" w:rsidP="00ED1CA7">
      <w:pPr>
        <w:pStyle w:val="NormalWeb"/>
        <w:ind w:left="720"/>
        <w:rPr>
          <w:rFonts w:ascii="Calibri" w:hAnsi="Calibri" w:cs="Arial"/>
          <w:sz w:val="22"/>
          <w:szCs w:val="22"/>
        </w:rPr>
      </w:pPr>
      <w:r w:rsidRPr="00ED1CA7">
        <w:rPr>
          <w:rFonts w:ascii="Calibri" w:hAnsi="Calibri" w:cs="Arial"/>
          <w:sz w:val="22"/>
          <w:szCs w:val="22"/>
        </w:rPr>
        <w:t>(2) Allocated to corpus but treated consistently by the fiduciary on the trust's books, records, and tax returns as part of a distribution to a beneficiary; or</w:t>
      </w:r>
    </w:p>
    <w:p w14:paraId="2EA6AE5B" w14:textId="77777777" w:rsidR="00ED1CA7" w:rsidRPr="00ED1CA7" w:rsidRDefault="00ED1CA7" w:rsidP="00ED1CA7">
      <w:pPr>
        <w:pStyle w:val="NormalWeb"/>
        <w:ind w:left="720"/>
        <w:rPr>
          <w:rFonts w:ascii="Calibri" w:hAnsi="Calibri" w:cs="Arial"/>
          <w:sz w:val="22"/>
          <w:szCs w:val="22"/>
        </w:rPr>
      </w:pPr>
      <w:r w:rsidRPr="00ED1CA7">
        <w:rPr>
          <w:rFonts w:ascii="Calibri" w:hAnsi="Calibri" w:cs="Arial"/>
          <w:sz w:val="22"/>
          <w:szCs w:val="22"/>
        </w:rPr>
        <w:t xml:space="preserve">(3) Allocated to corpus but actually distributed to the beneficiary or utilized by the fiduciary in determining the amount that is distributed or required to be distributed to a beneficiary.” </w:t>
      </w:r>
    </w:p>
    <w:p w14:paraId="4B7BA4F6" w14:textId="77777777" w:rsidR="0097288E" w:rsidRPr="0097288E" w:rsidRDefault="0097288E" w:rsidP="0097288E">
      <w:pPr>
        <w:autoSpaceDE w:val="0"/>
        <w:autoSpaceDN w:val="0"/>
        <w:adjustRightInd w:val="0"/>
        <w:spacing w:line="360" w:lineRule="auto"/>
        <w:ind w:firstLine="720"/>
        <w:rPr>
          <w:rFonts w:ascii="Calibri" w:hAnsi="Calibri"/>
        </w:rPr>
      </w:pPr>
      <w:r w:rsidRPr="0097288E">
        <w:rPr>
          <w:rFonts w:ascii="Calibri" w:hAnsi="Calibri"/>
        </w:rPr>
        <w:lastRenderedPageBreak/>
        <w:t>Let’s discuss these out of order, taking the easiest and “cleanest” first.  The second method</w:t>
      </w:r>
      <w:r>
        <w:rPr>
          <w:rFonts w:ascii="Calibri" w:hAnsi="Calibri"/>
        </w:rPr>
        <w:t>,</w:t>
      </w:r>
      <w:r w:rsidRPr="0097288E">
        <w:rPr>
          <w:rFonts w:ascii="Calibri" w:hAnsi="Calibri"/>
        </w:rPr>
        <w:t xml:space="preserve"> </w:t>
      </w:r>
      <w:r>
        <w:rPr>
          <w:rFonts w:ascii="Calibri" w:hAnsi="Calibri"/>
        </w:rPr>
        <w:t xml:space="preserve">(b)(2), </w:t>
      </w:r>
      <w:r w:rsidRPr="0097288E">
        <w:rPr>
          <w:rFonts w:ascii="Calibri" w:hAnsi="Calibri"/>
        </w:rPr>
        <w:t>is very straightforward.  The trustee simply treats capital gains consistently as part of the beneficiary’s distribution.  Ideally, language in the trust will address this</w:t>
      </w:r>
      <w:r>
        <w:rPr>
          <w:rFonts w:ascii="Calibri" w:hAnsi="Calibri"/>
        </w:rPr>
        <w:t>, which might even give some cover in case the trustee failed to be consistent</w:t>
      </w:r>
      <w:r w:rsidRPr="0097288E">
        <w:rPr>
          <w:rFonts w:ascii="Calibri" w:hAnsi="Calibri"/>
        </w:rPr>
        <w:t>.</w:t>
      </w:r>
      <w:r w:rsidRPr="0097288E">
        <w:rPr>
          <w:rStyle w:val="FootnoteReference"/>
          <w:rFonts w:ascii="Calibri" w:hAnsi="Calibri"/>
        </w:rPr>
        <w:footnoteReference w:id="447"/>
      </w:r>
      <w:r w:rsidRPr="0097288E">
        <w:rPr>
          <w:rFonts w:ascii="Calibri" w:hAnsi="Calibri"/>
        </w:rPr>
        <w:t xml:space="preserve">  For new estates and trusts, this is quite easy.  For an existing trust, </w:t>
      </w:r>
      <w:r w:rsidR="0010046B">
        <w:rPr>
          <w:rFonts w:ascii="Calibri" w:hAnsi="Calibri"/>
        </w:rPr>
        <w:t>it probably cannot</w:t>
      </w:r>
      <w:r w:rsidRPr="0097288E">
        <w:rPr>
          <w:rFonts w:ascii="Calibri" w:hAnsi="Calibri"/>
        </w:rPr>
        <w:t xml:space="preserve"> change this practice when in prior years it has been consistently NOT treating capital gains as part of a beneficiary’s distribution.</w:t>
      </w:r>
      <w:r w:rsidR="001C3B1D">
        <w:rPr>
          <w:rStyle w:val="FootnoteReference"/>
          <w:rFonts w:ascii="Calibri" w:hAnsi="Calibri"/>
        </w:rPr>
        <w:footnoteReference w:id="448"/>
      </w:r>
      <w:r w:rsidRPr="0097288E">
        <w:rPr>
          <w:rFonts w:ascii="Calibri" w:hAnsi="Calibri"/>
        </w:rPr>
        <w:t xml:space="preserve"> </w:t>
      </w:r>
      <w:r w:rsidR="0010046B">
        <w:rPr>
          <w:rFonts w:ascii="Calibri" w:hAnsi="Calibri"/>
        </w:rPr>
        <w:t xml:space="preserve">The IRS is rather stringent </w:t>
      </w:r>
      <w:r w:rsidR="00121C11">
        <w:rPr>
          <w:rFonts w:ascii="Calibri" w:hAnsi="Calibri"/>
        </w:rPr>
        <w:t>interpreting this paragraph</w:t>
      </w:r>
      <w:r w:rsidR="0010046B">
        <w:rPr>
          <w:rFonts w:ascii="Calibri" w:hAnsi="Calibri"/>
        </w:rPr>
        <w:t>.</w:t>
      </w:r>
      <w:r w:rsidR="0010046B">
        <w:rPr>
          <w:rStyle w:val="FootnoteReference"/>
          <w:rFonts w:ascii="Calibri" w:hAnsi="Calibri"/>
        </w:rPr>
        <w:footnoteReference w:id="449"/>
      </w:r>
      <w:r w:rsidRPr="0097288E">
        <w:rPr>
          <w:rFonts w:ascii="Calibri" w:hAnsi="Calibri"/>
        </w:rPr>
        <w:t xml:space="preserve"> Potential remedies of amendments and decanting will be further discussed below.  </w:t>
      </w:r>
    </w:p>
    <w:p w14:paraId="142F6BD7" w14:textId="77777777" w:rsidR="0097288E" w:rsidRPr="0097288E" w:rsidRDefault="0097288E" w:rsidP="0097288E">
      <w:pPr>
        <w:autoSpaceDE w:val="0"/>
        <w:autoSpaceDN w:val="0"/>
        <w:adjustRightInd w:val="0"/>
        <w:spacing w:line="360" w:lineRule="auto"/>
        <w:ind w:firstLine="720"/>
        <w:rPr>
          <w:rFonts w:ascii="Calibri" w:hAnsi="Calibri"/>
        </w:rPr>
      </w:pPr>
      <w:r w:rsidRPr="0097288E">
        <w:rPr>
          <w:rFonts w:ascii="Calibri" w:hAnsi="Calibri"/>
        </w:rPr>
        <w:t>The third method</w:t>
      </w:r>
      <w:r>
        <w:rPr>
          <w:rFonts w:ascii="Calibri" w:hAnsi="Calibri"/>
        </w:rPr>
        <w:t>, (b)(3),</w:t>
      </w:r>
      <w:r w:rsidRPr="0097288E">
        <w:rPr>
          <w:rFonts w:ascii="Calibri" w:hAnsi="Calibri"/>
        </w:rPr>
        <w:t xml:space="preserve"> is </w:t>
      </w:r>
      <w:r w:rsidR="00E041A7">
        <w:rPr>
          <w:rFonts w:ascii="Calibri" w:hAnsi="Calibri"/>
        </w:rPr>
        <w:t xml:space="preserve">slightly </w:t>
      </w:r>
      <w:r w:rsidRPr="0097288E">
        <w:rPr>
          <w:rFonts w:ascii="Calibri" w:hAnsi="Calibri"/>
        </w:rPr>
        <w:t xml:space="preserve">more problematic.  It can be divided into two methods – the first is to “actually distribute” capital gains. This </w:t>
      </w:r>
      <w:r>
        <w:rPr>
          <w:rFonts w:ascii="Calibri" w:hAnsi="Calibri"/>
        </w:rPr>
        <w:t xml:space="preserve">presumably </w:t>
      </w:r>
      <w:r w:rsidRPr="0097288E">
        <w:rPr>
          <w:rFonts w:ascii="Calibri" w:hAnsi="Calibri"/>
        </w:rPr>
        <w:t xml:space="preserve">means tracing the proceeds.  So, the trustee takes the proceeds from the sale and gives the net capital gain therefrom to the beneficiary.  This sounds easier than it is.  For instance, what if principal distributions are needed early in the year and cannot wait until later when the net gains can be determined?  What </w:t>
      </w:r>
      <w:r w:rsidR="009C415B">
        <w:rPr>
          <w:rFonts w:ascii="Calibri" w:hAnsi="Calibri"/>
        </w:rPr>
        <w:t>if a loan</w:t>
      </w:r>
      <w:r w:rsidR="006B31BC">
        <w:rPr>
          <w:rFonts w:ascii="Calibri" w:hAnsi="Calibri"/>
        </w:rPr>
        <w:t>/mortgage</w:t>
      </w:r>
      <w:r w:rsidR="009C415B">
        <w:rPr>
          <w:rFonts w:ascii="Calibri" w:hAnsi="Calibri"/>
        </w:rPr>
        <w:t xml:space="preserve"> had to be paid off</w:t>
      </w:r>
      <w:r w:rsidRPr="0097288E">
        <w:rPr>
          <w:rFonts w:ascii="Calibri" w:hAnsi="Calibri"/>
        </w:rPr>
        <w:t xml:space="preserve">?  </w:t>
      </w:r>
    </w:p>
    <w:p w14:paraId="7A48DF55" w14:textId="77777777" w:rsidR="0097288E" w:rsidRPr="0097288E" w:rsidRDefault="0097288E" w:rsidP="0097288E">
      <w:pPr>
        <w:autoSpaceDE w:val="0"/>
        <w:autoSpaceDN w:val="0"/>
        <w:adjustRightInd w:val="0"/>
        <w:spacing w:line="360" w:lineRule="auto"/>
        <w:ind w:firstLine="720"/>
        <w:rPr>
          <w:rFonts w:ascii="Calibri" w:hAnsi="Calibri"/>
        </w:rPr>
      </w:pPr>
      <w:r w:rsidRPr="0097288E">
        <w:rPr>
          <w:rFonts w:ascii="Calibri" w:hAnsi="Calibri"/>
        </w:rPr>
        <w:lastRenderedPageBreak/>
        <w:t xml:space="preserve">In lieu of tracing, the third method also allows capital gains to be part of DNI if </w:t>
      </w:r>
      <w:r w:rsidRPr="0097288E">
        <w:rPr>
          <w:rFonts w:ascii="Calibri" w:hAnsi="Calibri" w:cs="Arial"/>
        </w:rPr>
        <w:t>the trustee</w:t>
      </w:r>
      <w:r w:rsidR="00FC6964">
        <w:rPr>
          <w:rFonts w:ascii="Calibri" w:hAnsi="Calibri" w:cs="Arial"/>
        </w:rPr>
        <w:t>,</w:t>
      </w:r>
      <w:r w:rsidRPr="0097288E">
        <w:rPr>
          <w:rFonts w:ascii="Calibri" w:hAnsi="Calibri" w:cs="Arial"/>
        </w:rPr>
        <w:t xml:space="preserve"> </w:t>
      </w:r>
      <w:r w:rsidR="00FC6964">
        <w:rPr>
          <w:rFonts w:ascii="Calibri" w:hAnsi="Calibri" w:cs="Arial"/>
        </w:rPr>
        <w:t>“</w:t>
      </w:r>
      <w:r w:rsidR="00FC6964" w:rsidRPr="00FC6964">
        <w:rPr>
          <w:rFonts w:ascii="Calibri" w:hAnsi="Calibri" w:cs="Arial"/>
        </w:rPr>
        <w:t>pursuant to a reasonable and impartial exercise of discretion</w:t>
      </w:r>
      <w:r w:rsidR="00FC6964">
        <w:rPr>
          <w:rFonts w:ascii="Calibri" w:hAnsi="Calibri" w:cs="Arial"/>
        </w:rPr>
        <w:t>”</w:t>
      </w:r>
      <w:r w:rsidR="00FC6964" w:rsidRPr="00FC6964">
        <w:rPr>
          <w:rFonts w:ascii="Calibri" w:hAnsi="Calibri" w:cs="Arial"/>
        </w:rPr>
        <w:t xml:space="preserve"> </w:t>
      </w:r>
      <w:r w:rsidRPr="0097288E">
        <w:rPr>
          <w:rFonts w:ascii="Calibri" w:hAnsi="Calibri" w:cs="Arial"/>
        </w:rPr>
        <w:t>uses capital gains “in determining the amount that is distributed</w:t>
      </w:r>
      <w:r w:rsidR="00FC6964" w:rsidRPr="00FC6964">
        <w:rPr>
          <w:rFonts w:ascii="Calibri" w:hAnsi="Calibri" w:cs="Arial"/>
          <w:sz w:val="22"/>
          <w:szCs w:val="22"/>
        </w:rPr>
        <w:t xml:space="preserve"> </w:t>
      </w:r>
      <w:r w:rsidR="00FC6964" w:rsidRPr="00FC6964">
        <w:rPr>
          <w:rFonts w:ascii="Calibri" w:hAnsi="Calibri" w:cs="Arial"/>
        </w:rPr>
        <w:t>or required to be distributed</w:t>
      </w:r>
      <w:r w:rsidRPr="0097288E">
        <w:rPr>
          <w:rFonts w:ascii="Calibri" w:hAnsi="Calibri" w:cs="Arial"/>
        </w:rPr>
        <w:t xml:space="preserve">”.  Very few trusts would use capital gains as part of a distribution provision </w:t>
      </w:r>
      <w:r w:rsidR="00FC6964">
        <w:rPr>
          <w:rFonts w:ascii="Calibri" w:hAnsi="Calibri" w:cs="Arial"/>
        </w:rPr>
        <w:t>where gains determine the amount “required to be distributed”</w:t>
      </w:r>
      <w:r w:rsidRPr="0097288E">
        <w:rPr>
          <w:rFonts w:ascii="Calibri" w:hAnsi="Calibri" w:cs="Arial"/>
        </w:rPr>
        <w:t>.  For instance, a trust might say that “gains from the sale of a particular business property shall go to beneficiary X.”  In theory, the trust could mandate that “the trustee pay all (or X%) of net income and net capital gains to the beneficiary” to invoke this section, but</w:t>
      </w:r>
      <w:r>
        <w:rPr>
          <w:rFonts w:ascii="Calibri" w:hAnsi="Calibri" w:cs="Arial"/>
        </w:rPr>
        <w:t xml:space="preserve"> if these were the goals, it would make more sense to use §678(a), not §1.643(a)-3(b)(3)</w:t>
      </w:r>
      <w:r w:rsidRPr="0097288E">
        <w:rPr>
          <w:rFonts w:ascii="Calibri" w:hAnsi="Calibri" w:cs="Arial"/>
        </w:rPr>
        <w:t>.</w:t>
      </w:r>
    </w:p>
    <w:p w14:paraId="58ACC3FA" w14:textId="77777777" w:rsidR="005F59F5" w:rsidRDefault="005F59F5" w:rsidP="0097288E">
      <w:pPr>
        <w:autoSpaceDE w:val="0"/>
        <w:autoSpaceDN w:val="0"/>
        <w:adjustRightInd w:val="0"/>
        <w:spacing w:line="360" w:lineRule="auto"/>
        <w:ind w:firstLine="720"/>
        <w:rPr>
          <w:rFonts w:ascii="Calibri" w:hAnsi="Calibri"/>
        </w:rPr>
      </w:pPr>
      <w:r>
        <w:rPr>
          <w:rFonts w:ascii="Calibri" w:hAnsi="Calibri"/>
        </w:rPr>
        <w:t xml:space="preserve">What if the trustee doesn’t mandate that capital gains be used in determining the distribution, but the trustee simply states “I hereby swear I considered capital gains to determine how much to distribute </w:t>
      </w:r>
      <w:r w:rsidR="00FC6964">
        <w:rPr>
          <w:rFonts w:ascii="Calibri" w:hAnsi="Calibri"/>
        </w:rPr>
        <w:t xml:space="preserve">in my discretion </w:t>
      </w:r>
      <w:r>
        <w:rPr>
          <w:rFonts w:ascii="Calibri" w:hAnsi="Calibri"/>
        </w:rPr>
        <w:t>from this trust</w:t>
      </w:r>
      <w:r w:rsidR="00824404">
        <w:rPr>
          <w:rFonts w:ascii="Calibri" w:hAnsi="Calibri"/>
        </w:rPr>
        <w:t xml:space="preserve"> this year</w:t>
      </w:r>
      <w:r>
        <w:rPr>
          <w:rFonts w:ascii="Calibri" w:hAnsi="Calibri"/>
        </w:rPr>
        <w:t>”?  Some attorneys are more optimistic than I that mere trustee policy can be reli</w:t>
      </w:r>
      <w:r w:rsidR="00F53034">
        <w:rPr>
          <w:rFonts w:ascii="Calibri" w:hAnsi="Calibri"/>
        </w:rPr>
        <w:t xml:space="preserve">ed on to come under </w:t>
      </w:r>
      <w:r w:rsidR="00824404">
        <w:rPr>
          <w:rFonts w:ascii="Calibri" w:hAnsi="Calibri"/>
        </w:rPr>
        <w:t>(b)(3)</w:t>
      </w:r>
      <w:r w:rsidR="00F53034">
        <w:rPr>
          <w:rFonts w:ascii="Calibri" w:hAnsi="Calibri"/>
        </w:rPr>
        <w:t xml:space="preserve">, but arguably </w:t>
      </w:r>
      <w:r w:rsidR="006B31BC">
        <w:rPr>
          <w:rFonts w:ascii="Calibri" w:hAnsi="Calibri"/>
        </w:rPr>
        <w:t>the regulation</w:t>
      </w:r>
      <w:r w:rsidR="00F53034">
        <w:rPr>
          <w:rFonts w:ascii="Calibri" w:hAnsi="Calibri"/>
        </w:rPr>
        <w:t xml:space="preserve"> only requires “utiliz</w:t>
      </w:r>
      <w:r w:rsidR="00824404">
        <w:rPr>
          <w:rFonts w:ascii="Calibri" w:hAnsi="Calibri"/>
        </w:rPr>
        <w:t>ation</w:t>
      </w:r>
      <w:r w:rsidR="00F53034">
        <w:rPr>
          <w:rFonts w:ascii="Calibri" w:hAnsi="Calibri"/>
        </w:rPr>
        <w:t xml:space="preserve"> by the fiduciary”, not any required mandate in the document</w:t>
      </w:r>
      <w:r>
        <w:rPr>
          <w:rFonts w:ascii="Calibri" w:hAnsi="Calibri"/>
        </w:rPr>
        <w:t>.</w:t>
      </w:r>
      <w:r>
        <w:rPr>
          <w:rStyle w:val="FootnoteReference"/>
          <w:rFonts w:ascii="Calibri" w:hAnsi="Calibri"/>
        </w:rPr>
        <w:footnoteReference w:id="450"/>
      </w:r>
      <w:r>
        <w:rPr>
          <w:rFonts w:ascii="Calibri" w:hAnsi="Calibri"/>
        </w:rPr>
        <w:t xml:space="preserve"> </w:t>
      </w:r>
      <w:r w:rsidR="001F6687">
        <w:rPr>
          <w:rFonts w:ascii="Calibri" w:hAnsi="Calibri"/>
        </w:rPr>
        <w:t xml:space="preserve">One could argue that common law fiduciary duties of prudence would permit the trustee to consider gains as a factor.  However, </w:t>
      </w:r>
      <w:r w:rsidR="00824404">
        <w:rPr>
          <w:rFonts w:ascii="Calibri" w:hAnsi="Calibri"/>
        </w:rPr>
        <w:t xml:space="preserve">it would be more certain if the trust document </w:t>
      </w:r>
      <w:r w:rsidR="00966306">
        <w:rPr>
          <w:rFonts w:ascii="Calibri" w:hAnsi="Calibri"/>
        </w:rPr>
        <w:t xml:space="preserve">specifically </w:t>
      </w:r>
      <w:r w:rsidR="00824404">
        <w:rPr>
          <w:rFonts w:ascii="Calibri" w:hAnsi="Calibri"/>
        </w:rPr>
        <w:t xml:space="preserve">required </w:t>
      </w:r>
      <w:r w:rsidR="00966306">
        <w:rPr>
          <w:rFonts w:ascii="Calibri" w:hAnsi="Calibri"/>
        </w:rPr>
        <w:t xml:space="preserve">or at least </w:t>
      </w:r>
      <w:r w:rsidR="001F6687">
        <w:rPr>
          <w:rFonts w:ascii="Calibri" w:hAnsi="Calibri"/>
        </w:rPr>
        <w:t xml:space="preserve">expressly </w:t>
      </w:r>
      <w:r w:rsidR="00966306">
        <w:rPr>
          <w:rFonts w:ascii="Calibri" w:hAnsi="Calibri"/>
        </w:rPr>
        <w:t xml:space="preserve">permitted </w:t>
      </w:r>
      <w:r w:rsidR="00824404">
        <w:rPr>
          <w:rFonts w:ascii="Calibri" w:hAnsi="Calibri"/>
        </w:rPr>
        <w:t>the trustee to consider capital gains</w:t>
      </w:r>
      <w:r w:rsidR="00E041A7">
        <w:rPr>
          <w:rFonts w:ascii="Calibri" w:hAnsi="Calibri"/>
        </w:rPr>
        <w:t>.</w:t>
      </w:r>
      <w:r w:rsidR="00E041A7">
        <w:rPr>
          <w:rStyle w:val="FootnoteReference"/>
          <w:rFonts w:ascii="Calibri" w:hAnsi="Calibri"/>
        </w:rPr>
        <w:footnoteReference w:id="451"/>
      </w:r>
      <w:r w:rsidR="00E041A7">
        <w:rPr>
          <w:rFonts w:ascii="Calibri" w:hAnsi="Calibri"/>
        </w:rPr>
        <w:t xml:space="preserve">  </w:t>
      </w:r>
      <w:r w:rsidR="0025671D">
        <w:rPr>
          <w:rFonts w:ascii="Calibri" w:hAnsi="Calibri"/>
        </w:rPr>
        <w:t>A</w:t>
      </w:r>
      <w:r w:rsidR="00B12EB6">
        <w:rPr>
          <w:rFonts w:ascii="Calibri" w:hAnsi="Calibri"/>
        </w:rPr>
        <w:t xml:space="preserve"> non-judicial (private) settlement agreem</w:t>
      </w:r>
      <w:r w:rsidR="00966306">
        <w:rPr>
          <w:rFonts w:ascii="Calibri" w:hAnsi="Calibri"/>
        </w:rPr>
        <w:t xml:space="preserve">ent </w:t>
      </w:r>
      <w:r w:rsidR="001F6687">
        <w:rPr>
          <w:rFonts w:ascii="Calibri" w:hAnsi="Calibri"/>
        </w:rPr>
        <w:t xml:space="preserve">is </w:t>
      </w:r>
      <w:r w:rsidR="00966306">
        <w:rPr>
          <w:rFonts w:ascii="Calibri" w:hAnsi="Calibri"/>
        </w:rPr>
        <w:t>a good solution here to add such a sentence</w:t>
      </w:r>
      <w:r w:rsidR="001F6687">
        <w:rPr>
          <w:rFonts w:ascii="Calibri" w:hAnsi="Calibri"/>
        </w:rPr>
        <w:t xml:space="preserve">, since this is not the kind of drastic change that </w:t>
      </w:r>
      <w:r w:rsidR="006B31BC">
        <w:rPr>
          <w:rFonts w:ascii="Calibri" w:hAnsi="Calibri"/>
        </w:rPr>
        <w:t>would</w:t>
      </w:r>
      <w:r w:rsidR="001F6687">
        <w:rPr>
          <w:rFonts w:ascii="Calibri" w:hAnsi="Calibri"/>
        </w:rPr>
        <w:t xml:space="preserve"> require a court reformation</w:t>
      </w:r>
      <w:r w:rsidR="00966306">
        <w:rPr>
          <w:rFonts w:ascii="Calibri" w:hAnsi="Calibri"/>
        </w:rPr>
        <w:t>.</w:t>
      </w:r>
    </w:p>
    <w:p w14:paraId="6EB31898" w14:textId="77777777" w:rsidR="0097288E" w:rsidRPr="0097288E" w:rsidRDefault="0097288E" w:rsidP="0097288E">
      <w:pPr>
        <w:autoSpaceDE w:val="0"/>
        <w:autoSpaceDN w:val="0"/>
        <w:adjustRightInd w:val="0"/>
        <w:spacing w:line="360" w:lineRule="auto"/>
        <w:ind w:firstLine="720"/>
        <w:rPr>
          <w:rFonts w:ascii="Calibri" w:hAnsi="Calibri"/>
        </w:rPr>
      </w:pPr>
      <w:r w:rsidRPr="0097288E">
        <w:rPr>
          <w:rFonts w:ascii="Calibri" w:hAnsi="Calibri"/>
        </w:rPr>
        <w:t>The first method</w:t>
      </w:r>
      <w:r>
        <w:rPr>
          <w:rFonts w:ascii="Calibri" w:hAnsi="Calibri"/>
        </w:rPr>
        <w:t>, (b)(1),</w:t>
      </w:r>
      <w:r w:rsidRPr="0097288E">
        <w:rPr>
          <w:rFonts w:ascii="Calibri" w:hAnsi="Calibri"/>
        </w:rPr>
        <w:t xml:space="preserve"> offers more flexibility than the latter two, but potentially offers more complexity</w:t>
      </w:r>
      <w:r w:rsidR="005808F8">
        <w:rPr>
          <w:rFonts w:ascii="Calibri" w:hAnsi="Calibri"/>
        </w:rPr>
        <w:t xml:space="preserve"> and liability for the trustee</w:t>
      </w:r>
      <w:r w:rsidRPr="0097288E">
        <w:rPr>
          <w:rFonts w:ascii="Calibri" w:hAnsi="Calibri"/>
        </w:rPr>
        <w:t>, because it involves changing the scheme of principal and income allocation</w:t>
      </w:r>
      <w:r w:rsidR="005808F8">
        <w:rPr>
          <w:rFonts w:ascii="Calibri" w:hAnsi="Calibri"/>
        </w:rPr>
        <w:t xml:space="preserve"> and requires additional trustee discretion</w:t>
      </w:r>
      <w:r w:rsidRPr="0097288E">
        <w:rPr>
          <w:rFonts w:ascii="Calibri" w:hAnsi="Calibri"/>
        </w:rPr>
        <w:t xml:space="preserve">. </w:t>
      </w:r>
    </w:p>
    <w:p w14:paraId="67C361F9" w14:textId="77777777" w:rsidR="0097288E" w:rsidRPr="0097288E" w:rsidRDefault="0097288E" w:rsidP="0097288E">
      <w:pPr>
        <w:autoSpaceDE w:val="0"/>
        <w:autoSpaceDN w:val="0"/>
        <w:adjustRightInd w:val="0"/>
        <w:spacing w:line="360" w:lineRule="auto"/>
        <w:ind w:firstLine="720"/>
        <w:rPr>
          <w:rFonts w:ascii="Calibri" w:hAnsi="Calibri"/>
        </w:rPr>
      </w:pPr>
      <w:r w:rsidRPr="0097288E">
        <w:rPr>
          <w:rFonts w:ascii="Calibri" w:hAnsi="Calibri"/>
        </w:rPr>
        <w:lastRenderedPageBreak/>
        <w:t xml:space="preserve">For many modern </w:t>
      </w:r>
      <w:r w:rsidR="00D757B6">
        <w:rPr>
          <w:rFonts w:ascii="Calibri" w:hAnsi="Calibri"/>
        </w:rPr>
        <w:t xml:space="preserve">discretionary </w:t>
      </w:r>
      <w:r w:rsidRPr="0097288E">
        <w:rPr>
          <w:rFonts w:ascii="Calibri" w:hAnsi="Calibri"/>
        </w:rPr>
        <w:t>trusts, the distinction between principal and income is anachronistic.  These distinctions are often meaningless in determining what beneficiaries receive from the trust.  However, they are still important for tax purposes.</w:t>
      </w:r>
    </w:p>
    <w:p w14:paraId="4D9276E1" w14:textId="77777777" w:rsidR="0097288E" w:rsidRPr="0097288E" w:rsidRDefault="0097288E" w:rsidP="0097288E">
      <w:pPr>
        <w:autoSpaceDE w:val="0"/>
        <w:autoSpaceDN w:val="0"/>
        <w:adjustRightInd w:val="0"/>
        <w:ind w:firstLine="720"/>
        <w:rPr>
          <w:rFonts w:ascii="Calibri" w:hAnsi="Calibri"/>
          <w:color w:val="000000"/>
        </w:rPr>
      </w:pPr>
      <w:r w:rsidRPr="0097288E">
        <w:rPr>
          <w:rFonts w:ascii="Calibri" w:hAnsi="Calibri" w:cs="Helv"/>
          <w:color w:val="000000"/>
        </w:rPr>
        <w:t>Corollary to the above regulation, Treas</w:t>
      </w:r>
      <w:r w:rsidR="009537BD">
        <w:rPr>
          <w:rFonts w:ascii="Calibri" w:hAnsi="Calibri" w:cs="Helv"/>
          <w:color w:val="000000"/>
        </w:rPr>
        <w:t>.</w:t>
      </w:r>
      <w:r w:rsidRPr="0097288E">
        <w:rPr>
          <w:rFonts w:ascii="Calibri" w:hAnsi="Calibri" w:cs="Helv"/>
          <w:color w:val="000000"/>
        </w:rPr>
        <w:t xml:space="preserve"> Reg. </w:t>
      </w:r>
      <w:r w:rsidR="00DF653A">
        <w:rPr>
          <w:rFonts w:ascii="Calibri" w:hAnsi="Calibri" w:cs="Helv"/>
          <w:color w:val="000000"/>
        </w:rPr>
        <w:t>§</w:t>
      </w:r>
      <w:r w:rsidRPr="0097288E">
        <w:rPr>
          <w:rFonts w:ascii="Calibri" w:hAnsi="Calibri" w:cs="Helv"/>
          <w:color w:val="000000"/>
        </w:rPr>
        <w:t>1.643(b)-1 states that:</w:t>
      </w:r>
      <w:r w:rsidRPr="0097288E">
        <w:rPr>
          <w:rFonts w:ascii="Calibri" w:hAnsi="Calibri"/>
          <w:color w:val="000000"/>
        </w:rPr>
        <w:t xml:space="preserve"> </w:t>
      </w:r>
    </w:p>
    <w:p w14:paraId="06E78563" w14:textId="77777777" w:rsidR="0097288E" w:rsidRPr="0097288E" w:rsidRDefault="0097288E" w:rsidP="0097288E">
      <w:pPr>
        <w:autoSpaceDE w:val="0"/>
        <w:autoSpaceDN w:val="0"/>
        <w:adjustRightInd w:val="0"/>
        <w:ind w:left="720"/>
        <w:rPr>
          <w:rFonts w:ascii="Calibri" w:hAnsi="Calibri"/>
          <w:color w:val="000000"/>
        </w:rPr>
      </w:pPr>
    </w:p>
    <w:p w14:paraId="7AF4CCCD" w14:textId="77777777" w:rsidR="0097288E" w:rsidRPr="0097288E" w:rsidRDefault="0097288E" w:rsidP="0097288E">
      <w:pPr>
        <w:autoSpaceDE w:val="0"/>
        <w:autoSpaceDN w:val="0"/>
        <w:adjustRightInd w:val="0"/>
        <w:ind w:left="720"/>
        <w:rPr>
          <w:rFonts w:ascii="Calibri" w:hAnsi="Calibri"/>
          <w:color w:val="000000"/>
        </w:rPr>
      </w:pPr>
      <w:r w:rsidRPr="0097288E">
        <w:rPr>
          <w:rFonts w:ascii="Calibri" w:hAnsi="Calibri"/>
          <w:color w:val="000000"/>
        </w:rPr>
        <w:t xml:space="preserve">“In addition, an allocation to income of all or a part of the gains from the sale or exchange of trust assets will generally be respected </w:t>
      </w:r>
      <w:r w:rsidRPr="0097288E">
        <w:rPr>
          <w:rFonts w:ascii="Calibri" w:hAnsi="Calibri"/>
          <w:b/>
          <w:color w:val="000000"/>
        </w:rPr>
        <w:t>if</w:t>
      </w:r>
      <w:r w:rsidRPr="0097288E">
        <w:rPr>
          <w:rFonts w:ascii="Calibri" w:hAnsi="Calibri"/>
          <w:color w:val="000000"/>
        </w:rPr>
        <w:t xml:space="preserve"> the allocation is made either pursuant to the terms of the governing instrument and applicable local law, or pursuant to a reasonable and impartial exercise of a discretionary power granted to the fiduciary by applicable local law or by the governing instrument, if not prohibited by applicable local law.”</w:t>
      </w:r>
      <w:r w:rsidRPr="0097288E">
        <w:rPr>
          <w:rStyle w:val="FootnoteReference"/>
          <w:rFonts w:ascii="Calibri" w:hAnsi="Calibri"/>
          <w:color w:val="000000"/>
        </w:rPr>
        <w:footnoteReference w:id="452"/>
      </w:r>
    </w:p>
    <w:p w14:paraId="6E99347E" w14:textId="77777777" w:rsidR="0097288E" w:rsidRPr="0097288E" w:rsidRDefault="0097288E" w:rsidP="0097288E">
      <w:pPr>
        <w:autoSpaceDE w:val="0"/>
        <w:autoSpaceDN w:val="0"/>
        <w:adjustRightInd w:val="0"/>
        <w:spacing w:line="360" w:lineRule="auto"/>
        <w:ind w:firstLine="720"/>
        <w:rPr>
          <w:rFonts w:ascii="Calibri" w:hAnsi="Calibri"/>
          <w:color w:val="000000"/>
        </w:rPr>
      </w:pPr>
    </w:p>
    <w:p w14:paraId="067FC2E8" w14:textId="77777777" w:rsidR="0097288E" w:rsidRPr="0097288E" w:rsidRDefault="0097288E" w:rsidP="0097288E">
      <w:pPr>
        <w:autoSpaceDE w:val="0"/>
        <w:autoSpaceDN w:val="0"/>
        <w:adjustRightInd w:val="0"/>
        <w:spacing w:line="360" w:lineRule="auto"/>
        <w:ind w:firstLine="720"/>
        <w:rPr>
          <w:rFonts w:ascii="Calibri" w:hAnsi="Calibri"/>
        </w:rPr>
      </w:pPr>
      <w:r w:rsidRPr="0097288E">
        <w:rPr>
          <w:rFonts w:ascii="Calibri" w:hAnsi="Calibri"/>
        </w:rPr>
        <w:t xml:space="preserve">Thus, in theory, not only could capital gains be allocated to income, but it can be done at the trustee’s discretion.  </w:t>
      </w:r>
      <w:r w:rsidR="006B31BC">
        <w:rPr>
          <w:rFonts w:ascii="Calibri" w:hAnsi="Calibri"/>
        </w:rPr>
        <w:t>Most states have</w:t>
      </w:r>
      <w:r w:rsidRPr="0097288E">
        <w:rPr>
          <w:rFonts w:ascii="Calibri" w:hAnsi="Calibri"/>
        </w:rPr>
        <w:t xml:space="preserve"> default principal/income rules </w:t>
      </w:r>
      <w:r w:rsidR="006B31BC">
        <w:rPr>
          <w:rFonts w:ascii="Calibri" w:hAnsi="Calibri"/>
        </w:rPr>
        <w:t>that</w:t>
      </w:r>
      <w:r w:rsidRPr="0097288E">
        <w:rPr>
          <w:rFonts w:ascii="Calibri" w:hAnsi="Calibri"/>
        </w:rPr>
        <w:t xml:space="preserve"> allow a trustee to make adjustments to income and principal, </w:t>
      </w:r>
      <w:r w:rsidRPr="0097288E">
        <w:rPr>
          <w:rFonts w:ascii="Calibri" w:hAnsi="Calibri"/>
          <w:i/>
        </w:rPr>
        <w:t>in theory</w:t>
      </w:r>
      <w:r w:rsidRPr="0097288E">
        <w:rPr>
          <w:rFonts w:ascii="Calibri" w:hAnsi="Calibri"/>
        </w:rPr>
        <w:t>.</w:t>
      </w:r>
      <w:r w:rsidR="006B31BC">
        <w:rPr>
          <w:rStyle w:val="FootnoteReference"/>
          <w:rFonts w:ascii="Calibri" w:hAnsi="Calibri"/>
        </w:rPr>
        <w:footnoteReference w:id="453"/>
      </w:r>
      <w:r w:rsidRPr="0097288E">
        <w:rPr>
          <w:rFonts w:ascii="Calibri" w:hAnsi="Calibri"/>
        </w:rPr>
        <w:t xml:space="preserve">  However, the default prerequisites and rationale for invoking these provisions do not fit our proactive tax planning example above, where the goal is simply to shift taxation of the capital gains that is arguably already being distributed to the beneficiary.  </w:t>
      </w:r>
    </w:p>
    <w:p w14:paraId="33955A63" w14:textId="77777777" w:rsidR="0097288E" w:rsidRPr="0097288E" w:rsidRDefault="0097288E" w:rsidP="0097288E">
      <w:pPr>
        <w:autoSpaceDE w:val="0"/>
        <w:autoSpaceDN w:val="0"/>
        <w:adjustRightInd w:val="0"/>
        <w:spacing w:line="360" w:lineRule="auto"/>
        <w:ind w:firstLine="720"/>
        <w:rPr>
          <w:rFonts w:ascii="Calibri" w:hAnsi="Calibri"/>
        </w:rPr>
      </w:pPr>
      <w:r w:rsidRPr="0097288E">
        <w:rPr>
          <w:rFonts w:ascii="Calibri" w:hAnsi="Calibri"/>
        </w:rPr>
        <w:t xml:space="preserve">But this does not mean that a trust cannot be drafted to override </w:t>
      </w:r>
      <w:r w:rsidR="006B31BC">
        <w:rPr>
          <w:rFonts w:ascii="Calibri" w:hAnsi="Calibri"/>
        </w:rPr>
        <w:t>UPIA §§</w:t>
      </w:r>
      <w:r w:rsidRPr="0097288E">
        <w:rPr>
          <w:rFonts w:ascii="Calibri" w:hAnsi="Calibri"/>
        </w:rPr>
        <w:t xml:space="preserve"> 103-104’s limitations.  Section 103(a)(1) first requires a fiduciary to “administer a trust or estate in accordance with the trust or the will, even if there is a different provision in this Act”.  Section 103(a)(2) further permits a trustee to “administer a trust or estate by the exercise of a discretionary power of administration </w:t>
      </w:r>
      <w:r w:rsidRPr="005808F8">
        <w:rPr>
          <w:rFonts w:ascii="Calibri" w:hAnsi="Calibri"/>
          <w:i/>
        </w:rPr>
        <w:t>given to the fiduciary by the terms of the trust or the will, even if the exercise of the power produces a result different from a result required or permitted by this Act</w:t>
      </w:r>
      <w:r w:rsidRPr="0097288E">
        <w:rPr>
          <w:rFonts w:ascii="Calibri" w:hAnsi="Calibri"/>
        </w:rPr>
        <w:t xml:space="preserve">.”  Thus, the attorney merely has to override the UPIA default to grant wider discretion to allocate between principal and income (perhaps, to the extent of </w:t>
      </w:r>
      <w:r w:rsidRPr="0097288E">
        <w:rPr>
          <w:rFonts w:ascii="Calibri" w:hAnsi="Calibri"/>
        </w:rPr>
        <w:lastRenderedPageBreak/>
        <w:t>discretionary distributions), while keeping in line with both state law and Treas</w:t>
      </w:r>
      <w:r w:rsidR="009537BD">
        <w:rPr>
          <w:rFonts w:ascii="Calibri" w:hAnsi="Calibri"/>
        </w:rPr>
        <w:t>.</w:t>
      </w:r>
      <w:r w:rsidRPr="0097288E">
        <w:rPr>
          <w:rFonts w:ascii="Calibri" w:hAnsi="Calibri"/>
        </w:rPr>
        <w:t xml:space="preserve"> Reg</w:t>
      </w:r>
      <w:r w:rsidR="009537BD">
        <w:rPr>
          <w:rFonts w:ascii="Calibri" w:hAnsi="Calibri"/>
        </w:rPr>
        <w:t>s.</w:t>
      </w:r>
      <w:r w:rsidRPr="0097288E">
        <w:rPr>
          <w:rFonts w:ascii="Calibri" w:hAnsi="Calibri"/>
        </w:rPr>
        <w:t xml:space="preserve"> §1.643(b)-1 and §1.643(a)</w:t>
      </w:r>
      <w:r w:rsidR="00960CBC">
        <w:rPr>
          <w:rFonts w:ascii="Calibri" w:hAnsi="Calibri"/>
        </w:rPr>
        <w:t>-3</w:t>
      </w:r>
      <w:r w:rsidRPr="0097288E">
        <w:rPr>
          <w:rFonts w:ascii="Calibri" w:hAnsi="Calibri"/>
        </w:rPr>
        <w:t>(b).</w:t>
      </w:r>
      <w:r w:rsidRPr="0097288E">
        <w:rPr>
          <w:rStyle w:val="FootnoteReference"/>
          <w:rFonts w:ascii="Calibri" w:hAnsi="Calibri"/>
        </w:rPr>
        <w:footnoteReference w:id="454"/>
      </w:r>
    </w:p>
    <w:p w14:paraId="7A6867D0" w14:textId="77777777" w:rsidR="0097288E" w:rsidRDefault="0097288E" w:rsidP="0097288E">
      <w:pPr>
        <w:autoSpaceDE w:val="0"/>
        <w:autoSpaceDN w:val="0"/>
        <w:adjustRightInd w:val="0"/>
        <w:spacing w:line="360" w:lineRule="auto"/>
        <w:ind w:firstLine="720"/>
        <w:rPr>
          <w:rFonts w:ascii="Calibri" w:hAnsi="Calibri" w:cs="Helv"/>
          <w:color w:val="000000"/>
        </w:rPr>
      </w:pPr>
      <w:r w:rsidRPr="0097288E">
        <w:rPr>
          <w:rFonts w:ascii="Calibri" w:hAnsi="Calibri" w:cs="Helv"/>
          <w:color w:val="000000"/>
        </w:rPr>
        <w:t>Discretion to exploit such adjustments is best done by an independent corporate trustee, rather than a beneficiary/trustee, especially if there is “all net income” language.  So, how would our power to adjust solution work under our bypass trust example above?  The independent trustee would adjust all (or most) of capital gains t</w:t>
      </w:r>
      <w:r w:rsidR="002B0D97">
        <w:rPr>
          <w:rFonts w:ascii="Calibri" w:hAnsi="Calibri" w:cs="Helv"/>
          <w:color w:val="000000"/>
        </w:rPr>
        <w:t xml:space="preserve">o accounting income, then the </w:t>
      </w:r>
      <w:r w:rsidR="00ED7CAF">
        <w:rPr>
          <w:rFonts w:ascii="Calibri" w:hAnsi="Calibri" w:cs="Helv"/>
          <w:color w:val="000000"/>
        </w:rPr>
        <w:t xml:space="preserve">capital gains </w:t>
      </w:r>
      <w:r w:rsidRPr="0097288E">
        <w:rPr>
          <w:rFonts w:ascii="Calibri" w:hAnsi="Calibri" w:cs="Helv"/>
          <w:color w:val="000000"/>
        </w:rPr>
        <w:t xml:space="preserve">becomes part of DNI and </w:t>
      </w:r>
      <w:r w:rsidR="00ED7CAF">
        <w:rPr>
          <w:rFonts w:ascii="Calibri" w:hAnsi="Calibri" w:cs="Helv"/>
          <w:color w:val="000000"/>
        </w:rPr>
        <w:t>any</w:t>
      </w:r>
      <w:r w:rsidRPr="0097288E">
        <w:rPr>
          <w:rFonts w:ascii="Calibri" w:hAnsi="Calibri" w:cs="Helv"/>
          <w:color w:val="000000"/>
        </w:rPr>
        <w:t xml:space="preserve"> distribution </w:t>
      </w:r>
      <w:r w:rsidR="00ED7CAF">
        <w:rPr>
          <w:rFonts w:ascii="Calibri" w:hAnsi="Calibri" w:cs="Helv"/>
          <w:color w:val="000000"/>
        </w:rPr>
        <w:t>can then carry out capital gains just like other income on the</w:t>
      </w:r>
      <w:r w:rsidRPr="0097288E">
        <w:rPr>
          <w:rFonts w:ascii="Calibri" w:hAnsi="Calibri" w:cs="Helv"/>
          <w:color w:val="000000"/>
        </w:rPr>
        <w:t xml:space="preserve"> K-1</w:t>
      </w:r>
      <w:r w:rsidR="00ED7CAF">
        <w:rPr>
          <w:rFonts w:ascii="Calibri" w:hAnsi="Calibri" w:cs="Helv"/>
          <w:color w:val="000000"/>
        </w:rPr>
        <w:t xml:space="preserve"> </w:t>
      </w:r>
      <w:r w:rsidRPr="0097288E">
        <w:rPr>
          <w:rFonts w:ascii="Calibri" w:hAnsi="Calibri" w:cs="Helv"/>
          <w:color w:val="000000"/>
        </w:rPr>
        <w:t>to the beneficiary</w:t>
      </w:r>
      <w:r w:rsidR="005808F8">
        <w:rPr>
          <w:rFonts w:ascii="Calibri" w:hAnsi="Calibri" w:cs="Helv"/>
          <w:color w:val="000000"/>
        </w:rPr>
        <w:t>, taxed at her much lower rates</w:t>
      </w:r>
      <w:r w:rsidRPr="0097288E">
        <w:rPr>
          <w:rFonts w:ascii="Calibri" w:hAnsi="Calibri" w:cs="Helv"/>
          <w:color w:val="000000"/>
        </w:rPr>
        <w:t>.</w:t>
      </w:r>
      <w:r w:rsidR="00ED7CAF">
        <w:rPr>
          <w:rStyle w:val="FootnoteReference"/>
          <w:rFonts w:ascii="Calibri" w:hAnsi="Calibri" w:cs="Helv"/>
          <w:color w:val="000000"/>
        </w:rPr>
        <w:footnoteReference w:id="455"/>
      </w:r>
      <w:r w:rsidRPr="0097288E">
        <w:rPr>
          <w:rFonts w:ascii="Calibri" w:hAnsi="Calibri" w:cs="Helv"/>
          <w:color w:val="000000"/>
        </w:rPr>
        <w:t xml:space="preserve"> </w:t>
      </w:r>
    </w:p>
    <w:p w14:paraId="131CDDA0" w14:textId="77777777" w:rsidR="0006302D" w:rsidRPr="0097288E" w:rsidRDefault="0006302D" w:rsidP="0097288E">
      <w:pPr>
        <w:autoSpaceDE w:val="0"/>
        <w:autoSpaceDN w:val="0"/>
        <w:adjustRightInd w:val="0"/>
        <w:spacing w:line="360" w:lineRule="auto"/>
        <w:ind w:firstLine="720"/>
        <w:rPr>
          <w:rFonts w:ascii="Calibri" w:hAnsi="Calibri" w:cs="Helv"/>
          <w:color w:val="000000"/>
        </w:rPr>
      </w:pPr>
    </w:p>
    <w:p w14:paraId="556EEDFC" w14:textId="77777777" w:rsidR="0006302D" w:rsidRPr="0006302D" w:rsidRDefault="0097288E" w:rsidP="00180FD1">
      <w:pPr>
        <w:pStyle w:val="ListParagraph"/>
        <w:numPr>
          <w:ilvl w:val="0"/>
          <w:numId w:val="22"/>
        </w:numPr>
        <w:autoSpaceDE w:val="0"/>
        <w:autoSpaceDN w:val="0"/>
        <w:adjustRightInd w:val="0"/>
        <w:spacing w:line="360" w:lineRule="auto"/>
        <w:ind w:left="720" w:hanging="660"/>
        <w:rPr>
          <w:rFonts w:ascii="Calibri" w:hAnsi="Calibri" w:cs="Helv"/>
          <w:color w:val="000000"/>
        </w:rPr>
      </w:pPr>
      <w:r w:rsidRPr="0006302D">
        <w:rPr>
          <w:rFonts w:ascii="Calibri" w:hAnsi="Calibri" w:cs="Helv"/>
          <w:b/>
          <w:i/>
          <w:color w:val="000000"/>
        </w:rPr>
        <w:t xml:space="preserve">Comparing </w:t>
      </w:r>
      <w:r w:rsidR="00BD40FD" w:rsidRPr="0006302D">
        <w:rPr>
          <w:rFonts w:ascii="Calibri" w:hAnsi="Calibri" w:cs="Helv"/>
          <w:b/>
          <w:i/>
          <w:color w:val="000000"/>
        </w:rPr>
        <w:t>the three methods under §1.643(a)-3(b)</w:t>
      </w:r>
      <w:r w:rsidR="00BD40FD" w:rsidRPr="0006302D">
        <w:rPr>
          <w:rFonts w:ascii="Calibri" w:hAnsi="Calibri" w:cs="Helv"/>
          <w:color w:val="000000"/>
        </w:rPr>
        <w:t xml:space="preserve"> </w:t>
      </w:r>
    </w:p>
    <w:p w14:paraId="1BACB27E" w14:textId="7397A8E5" w:rsidR="001F6687" w:rsidRDefault="0006302D" w:rsidP="0006302D">
      <w:pPr>
        <w:autoSpaceDE w:val="0"/>
        <w:autoSpaceDN w:val="0"/>
        <w:adjustRightInd w:val="0"/>
        <w:spacing w:line="360" w:lineRule="auto"/>
        <w:ind w:firstLine="720"/>
        <w:rPr>
          <w:rFonts w:ascii="Calibri" w:hAnsi="Calibri" w:cs="Helv"/>
          <w:color w:val="000000"/>
        </w:rPr>
      </w:pPr>
      <w:r>
        <w:rPr>
          <w:rFonts w:ascii="Calibri" w:hAnsi="Calibri" w:cs="Helv"/>
          <w:color w:val="000000"/>
        </w:rPr>
        <w:lastRenderedPageBreak/>
        <w:t>T</w:t>
      </w:r>
      <w:r w:rsidR="0097288E" w:rsidRPr="0097288E">
        <w:rPr>
          <w:rFonts w:ascii="Calibri" w:hAnsi="Calibri" w:cs="Helv"/>
          <w:color w:val="000000"/>
        </w:rPr>
        <w:t xml:space="preserve">he second method </w:t>
      </w:r>
      <w:r w:rsidR="00352D20">
        <w:rPr>
          <w:rFonts w:ascii="Calibri" w:hAnsi="Calibri" w:cs="Helv"/>
          <w:color w:val="000000"/>
        </w:rPr>
        <w:t>(b)(2)</w:t>
      </w:r>
      <w:r w:rsidR="0097288E" w:rsidRPr="0097288E">
        <w:rPr>
          <w:rFonts w:ascii="Calibri" w:hAnsi="Calibri" w:cs="Helv"/>
          <w:color w:val="000000"/>
        </w:rPr>
        <w:t xml:space="preserve"> is the simplest and probably preferred for most new trusts</w:t>
      </w:r>
      <w:r w:rsidR="00300B4B">
        <w:rPr>
          <w:rFonts w:ascii="Calibri" w:hAnsi="Calibri" w:cs="Helv"/>
          <w:color w:val="000000"/>
        </w:rPr>
        <w:t xml:space="preserve"> without any inconsistent past reporting</w:t>
      </w:r>
      <w:r w:rsidR="001F6687">
        <w:rPr>
          <w:rFonts w:ascii="Calibri" w:hAnsi="Calibri" w:cs="Helv"/>
          <w:color w:val="000000"/>
        </w:rPr>
        <w:t>, where it’s unlikely that the parties would want to change the scheme (e.g.</w:t>
      </w:r>
      <w:r w:rsidR="00FF1811">
        <w:rPr>
          <w:rFonts w:ascii="Calibri" w:hAnsi="Calibri" w:cs="Helv"/>
          <w:color w:val="000000"/>
        </w:rPr>
        <w:t>,</w:t>
      </w:r>
      <w:r w:rsidR="001F6687">
        <w:rPr>
          <w:rFonts w:ascii="Calibri" w:hAnsi="Calibri" w:cs="Helv"/>
          <w:color w:val="000000"/>
        </w:rPr>
        <w:t xml:space="preserve"> if the beneficiary is </w:t>
      </w:r>
      <w:r w:rsidR="000E71DE">
        <w:rPr>
          <w:rFonts w:ascii="Calibri" w:hAnsi="Calibri" w:cs="Helv"/>
          <w:color w:val="000000"/>
        </w:rPr>
        <w:t>anticipated to be in</w:t>
      </w:r>
      <w:r w:rsidR="001F6687">
        <w:rPr>
          <w:rFonts w:ascii="Calibri" w:hAnsi="Calibri" w:cs="Helv"/>
          <w:color w:val="000000"/>
        </w:rPr>
        <w:t xml:space="preserve"> a high tax bracket and high state income tax state but the trust is not</w:t>
      </w:r>
      <w:r w:rsidR="000E71DE">
        <w:rPr>
          <w:rFonts w:ascii="Calibri" w:hAnsi="Calibri" w:cs="Helv"/>
          <w:color w:val="000000"/>
        </w:rPr>
        <w:t xml:space="preserve"> a resident trust of a high tax state</w:t>
      </w:r>
      <w:r w:rsidR="001F6687">
        <w:rPr>
          <w:rFonts w:ascii="Calibri" w:hAnsi="Calibri" w:cs="Helv"/>
          <w:color w:val="000000"/>
        </w:rPr>
        <w:t xml:space="preserve">, then perhaps it’s more </w:t>
      </w:r>
      <w:r w:rsidR="000E71DE">
        <w:rPr>
          <w:rFonts w:ascii="Calibri" w:hAnsi="Calibri" w:cs="Helv"/>
          <w:color w:val="000000"/>
        </w:rPr>
        <w:t xml:space="preserve">tax </w:t>
      </w:r>
      <w:r w:rsidR="001F6687">
        <w:rPr>
          <w:rFonts w:ascii="Calibri" w:hAnsi="Calibri" w:cs="Helv"/>
          <w:color w:val="000000"/>
        </w:rPr>
        <w:t>efficient to trap capital gains in trust).  It’s doubtful that decantings or other amendments can successfully change the method once set in place – if such be the case one of the other methods would be preferred</w:t>
      </w:r>
      <w:r w:rsidR="006B31BC">
        <w:rPr>
          <w:rFonts w:ascii="Calibri" w:hAnsi="Calibri" w:cs="Helv"/>
          <w:color w:val="000000"/>
        </w:rPr>
        <w:t>.</w:t>
      </w:r>
    </w:p>
    <w:p w14:paraId="4B484C5C" w14:textId="77777777" w:rsidR="001F6687" w:rsidRDefault="0097288E" w:rsidP="0006302D">
      <w:pPr>
        <w:autoSpaceDE w:val="0"/>
        <w:autoSpaceDN w:val="0"/>
        <w:adjustRightInd w:val="0"/>
        <w:spacing w:line="360" w:lineRule="auto"/>
        <w:ind w:firstLine="720"/>
        <w:rPr>
          <w:rFonts w:ascii="Calibri" w:hAnsi="Calibri" w:cs="Helv"/>
          <w:color w:val="000000"/>
        </w:rPr>
      </w:pPr>
      <w:r w:rsidRPr="0097288E">
        <w:rPr>
          <w:rFonts w:ascii="Calibri" w:hAnsi="Calibri" w:cs="Helv"/>
          <w:color w:val="000000"/>
        </w:rPr>
        <w:t>The first method</w:t>
      </w:r>
      <w:r w:rsidR="000E71DE">
        <w:rPr>
          <w:rFonts w:ascii="Calibri" w:hAnsi="Calibri" w:cs="Helv"/>
          <w:color w:val="000000"/>
        </w:rPr>
        <w:t>,</w:t>
      </w:r>
      <w:r w:rsidRPr="0097288E">
        <w:rPr>
          <w:rFonts w:ascii="Calibri" w:hAnsi="Calibri" w:cs="Helv"/>
          <w:color w:val="000000"/>
        </w:rPr>
        <w:t xml:space="preserve"> </w:t>
      </w:r>
      <w:r w:rsidR="00300B4B">
        <w:rPr>
          <w:rFonts w:ascii="Calibri" w:hAnsi="Calibri" w:cs="Helv"/>
          <w:color w:val="000000"/>
        </w:rPr>
        <w:t xml:space="preserve">(b)(1), </w:t>
      </w:r>
      <w:r w:rsidRPr="0097288E">
        <w:rPr>
          <w:rFonts w:ascii="Calibri" w:hAnsi="Calibri" w:cs="Helv"/>
          <w:color w:val="000000"/>
        </w:rPr>
        <w:t xml:space="preserve">may offer more flexibility, but there would be the additional complexity of changing internal trust principal/income accounting.  </w:t>
      </w:r>
      <w:r w:rsidR="00BD40FD">
        <w:rPr>
          <w:rFonts w:ascii="Calibri" w:hAnsi="Calibri" w:cs="Helv"/>
          <w:color w:val="000000"/>
        </w:rPr>
        <w:t>Plus, how much guidance do we have on what is “reasonable and impartial” (more an issue for “all net income” trusts)?</w:t>
      </w:r>
    </w:p>
    <w:p w14:paraId="2FA6554B" w14:textId="77777777" w:rsidR="008A206E" w:rsidRDefault="00300B4B" w:rsidP="0006302D">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The third method, (b)(3), seems </w:t>
      </w:r>
      <w:r w:rsidR="008A206E">
        <w:rPr>
          <w:rFonts w:ascii="Calibri" w:hAnsi="Calibri" w:cs="Helv"/>
          <w:color w:val="000000"/>
        </w:rPr>
        <w:t xml:space="preserve">much </w:t>
      </w:r>
      <w:r>
        <w:rPr>
          <w:rFonts w:ascii="Calibri" w:hAnsi="Calibri" w:cs="Helv"/>
          <w:color w:val="000000"/>
        </w:rPr>
        <w:t xml:space="preserve">easier, and </w:t>
      </w:r>
      <w:r w:rsidR="008A206E">
        <w:rPr>
          <w:rFonts w:ascii="Calibri" w:hAnsi="Calibri" w:cs="Helv"/>
          <w:color w:val="000000"/>
        </w:rPr>
        <w:t xml:space="preserve">is </w:t>
      </w:r>
      <w:r>
        <w:rPr>
          <w:rFonts w:ascii="Calibri" w:hAnsi="Calibri" w:cs="Helv"/>
          <w:color w:val="000000"/>
        </w:rPr>
        <w:t>promising if the trust has language requiring consideration of capital gains in the distribution decision</w:t>
      </w:r>
      <w:r w:rsidR="008A206E">
        <w:rPr>
          <w:rFonts w:ascii="Calibri" w:hAnsi="Calibri" w:cs="Helv"/>
          <w:color w:val="000000"/>
        </w:rPr>
        <w:t>.  In contrast to (b)(2), it does not require the trustee to be “consistent” in its treatment of capital gains as part of DNI.</w:t>
      </w:r>
    </w:p>
    <w:p w14:paraId="1B22D8FE" w14:textId="77777777" w:rsidR="0097288E" w:rsidRDefault="008A206E" w:rsidP="0006302D">
      <w:pPr>
        <w:autoSpaceDE w:val="0"/>
        <w:autoSpaceDN w:val="0"/>
        <w:adjustRightInd w:val="0"/>
        <w:spacing w:line="360" w:lineRule="auto"/>
        <w:ind w:firstLine="720"/>
        <w:rPr>
          <w:rFonts w:ascii="Calibri" w:hAnsi="Calibri" w:cs="Helv"/>
          <w:color w:val="000000"/>
        </w:rPr>
      </w:pPr>
      <w:r>
        <w:rPr>
          <w:rFonts w:ascii="Calibri" w:hAnsi="Calibri" w:cs="Helv"/>
          <w:color w:val="000000"/>
        </w:rPr>
        <w:t>There are certainly unanswered questions about how far trustees can push the envelope – would the IRS ever argue that the trustee is not being “reasonable and impartial”, as required under all three methods?  Would the IRS ever scrutinize and police how the trustee is “utilizing” capital gains as a factor in discretionary distribution decisions?  Since fiduciary</w:t>
      </w:r>
      <w:r w:rsidR="00175D86">
        <w:rPr>
          <w:rFonts w:ascii="Calibri" w:hAnsi="Calibri" w:cs="Helv"/>
          <w:color w:val="000000"/>
        </w:rPr>
        <w:t xml:space="preserve"> income</w:t>
      </w:r>
      <w:r>
        <w:rPr>
          <w:rFonts w:ascii="Calibri" w:hAnsi="Calibri" w:cs="Helv"/>
          <w:color w:val="000000"/>
        </w:rPr>
        <w:t xml:space="preserve"> tax returns have the lowest audit rate of any income tax return, it’s unlikely we’ll get clear answers soon, if ever, but also extremely unlikely the IRS would ever take up that banner with so many more</w:t>
      </w:r>
      <w:r w:rsidR="00175D86">
        <w:rPr>
          <w:rFonts w:ascii="Calibri" w:hAnsi="Calibri" w:cs="Helv"/>
          <w:color w:val="000000"/>
        </w:rPr>
        <w:t xml:space="preserve"> cases</w:t>
      </w:r>
      <w:r>
        <w:rPr>
          <w:rFonts w:ascii="Calibri" w:hAnsi="Calibri" w:cs="Helv"/>
          <w:color w:val="000000"/>
        </w:rPr>
        <w:t xml:space="preserve"> easier to win and more abusive tax schemes to battle</w:t>
      </w:r>
      <w:r w:rsidR="00300B4B">
        <w:rPr>
          <w:rFonts w:ascii="Calibri" w:hAnsi="Calibri" w:cs="Helv"/>
          <w:color w:val="000000"/>
        </w:rPr>
        <w:t>.</w:t>
      </w:r>
      <w:r>
        <w:rPr>
          <w:rFonts w:ascii="Calibri" w:hAnsi="Calibri" w:cs="Helv"/>
          <w:color w:val="000000"/>
        </w:rPr>
        <w:t xml:space="preserve">  After all, Treasury gave extremely wide latitude</w:t>
      </w:r>
      <w:r w:rsidR="007C7B9A">
        <w:rPr>
          <w:rFonts w:ascii="Calibri" w:hAnsi="Calibri" w:cs="Helv"/>
          <w:color w:val="000000"/>
        </w:rPr>
        <w:t xml:space="preserve"> to trustees with these regulations.</w:t>
      </w:r>
      <w:r w:rsidR="00300B4B">
        <w:rPr>
          <w:rFonts w:ascii="Calibri" w:hAnsi="Calibri" w:cs="Helv"/>
          <w:color w:val="000000"/>
        </w:rPr>
        <w:t xml:space="preserve">  </w:t>
      </w:r>
    </w:p>
    <w:p w14:paraId="22EB4B56" w14:textId="77777777" w:rsidR="000D31E1" w:rsidRPr="0097288E" w:rsidRDefault="000D31E1" w:rsidP="0006302D">
      <w:pPr>
        <w:autoSpaceDE w:val="0"/>
        <w:autoSpaceDN w:val="0"/>
        <w:adjustRightInd w:val="0"/>
        <w:spacing w:line="360" w:lineRule="auto"/>
        <w:ind w:firstLine="720"/>
        <w:rPr>
          <w:rFonts w:ascii="Calibri" w:hAnsi="Calibri" w:cs="Helv"/>
          <w:color w:val="000000"/>
        </w:rPr>
      </w:pPr>
    </w:p>
    <w:p w14:paraId="37B5EB86" w14:textId="77777777" w:rsidR="0097288E" w:rsidRPr="000D31E1" w:rsidRDefault="005D7860" w:rsidP="000D31E1">
      <w:pPr>
        <w:pStyle w:val="ListParagraph"/>
        <w:numPr>
          <w:ilvl w:val="0"/>
          <w:numId w:val="22"/>
        </w:numPr>
        <w:autoSpaceDE w:val="0"/>
        <w:autoSpaceDN w:val="0"/>
        <w:adjustRightInd w:val="0"/>
        <w:spacing w:line="360" w:lineRule="auto"/>
        <w:rPr>
          <w:rFonts w:ascii="Calibri" w:hAnsi="Calibri" w:cs="Helv"/>
          <w:b/>
          <w:color w:val="000000"/>
        </w:rPr>
      </w:pPr>
      <w:r>
        <w:rPr>
          <w:rFonts w:ascii="Calibri" w:hAnsi="Calibri" w:cs="Helv"/>
          <w:b/>
          <w:i/>
          <w:color w:val="000000"/>
        </w:rPr>
        <w:t>Issues</w:t>
      </w:r>
      <w:r w:rsidR="0097288E" w:rsidRPr="000D31E1">
        <w:rPr>
          <w:rFonts w:ascii="Calibri" w:hAnsi="Calibri" w:cs="Helv"/>
          <w:b/>
          <w:i/>
          <w:color w:val="000000"/>
        </w:rPr>
        <w:t xml:space="preserve"> with Adapting Irrevocable Trusts</w:t>
      </w:r>
      <w:r w:rsidR="00CB1EC4" w:rsidRPr="000D31E1">
        <w:rPr>
          <w:rFonts w:ascii="Calibri" w:hAnsi="Calibri" w:cs="Helv"/>
          <w:b/>
          <w:i/>
          <w:color w:val="000000"/>
        </w:rPr>
        <w:t xml:space="preserve"> with Prior Tax Reporting History</w:t>
      </w:r>
    </w:p>
    <w:p w14:paraId="59193FE1" w14:textId="77777777" w:rsidR="0097288E" w:rsidRDefault="0097288E" w:rsidP="0097288E">
      <w:pPr>
        <w:autoSpaceDE w:val="0"/>
        <w:autoSpaceDN w:val="0"/>
        <w:adjustRightInd w:val="0"/>
        <w:spacing w:line="360" w:lineRule="auto"/>
        <w:ind w:firstLine="720"/>
        <w:rPr>
          <w:rFonts w:ascii="Calibri" w:hAnsi="Calibri" w:cs="Arial"/>
        </w:rPr>
      </w:pPr>
      <w:r w:rsidRPr="0097288E">
        <w:rPr>
          <w:rFonts w:ascii="Calibri" w:hAnsi="Calibri" w:cs="Helv"/>
          <w:color w:val="000000"/>
        </w:rPr>
        <w:t xml:space="preserve">In the case where a trustee has been historically </w:t>
      </w:r>
      <w:r w:rsidRPr="0097288E">
        <w:rPr>
          <w:rFonts w:ascii="Calibri" w:hAnsi="Calibri" w:cs="Helv"/>
          <w:b/>
          <w:color w:val="000000"/>
        </w:rPr>
        <w:t>not</w:t>
      </w:r>
      <w:r w:rsidRPr="0097288E">
        <w:rPr>
          <w:rFonts w:ascii="Calibri" w:hAnsi="Calibri" w:cs="Helv"/>
          <w:color w:val="000000"/>
        </w:rPr>
        <w:t xml:space="preserve"> been treating capital gains as part of distributions in its</w:t>
      </w:r>
      <w:r w:rsidRPr="0097288E">
        <w:rPr>
          <w:rFonts w:ascii="Calibri" w:hAnsi="Calibri" w:cs="Arial"/>
        </w:rPr>
        <w:t xml:space="preserve"> “books, records, and tax returns”, query whether a private settlement agreement, decanting or other reformation to prospectively change this would have any impact</w:t>
      </w:r>
      <w:r w:rsidR="002B0D97">
        <w:rPr>
          <w:rFonts w:ascii="Calibri" w:hAnsi="Calibri" w:cs="Arial"/>
        </w:rPr>
        <w:t>, for instance incorporating something akin to the sample language above</w:t>
      </w:r>
      <w:r w:rsidRPr="0097288E">
        <w:rPr>
          <w:rFonts w:ascii="Calibri" w:hAnsi="Calibri" w:cs="Arial"/>
        </w:rPr>
        <w:t xml:space="preserve">?  Arguably, the trustee would </w:t>
      </w:r>
      <w:r w:rsidRPr="0097288E">
        <w:rPr>
          <w:rFonts w:ascii="Calibri" w:hAnsi="Calibri" w:cs="Arial"/>
          <w:i/>
        </w:rPr>
        <w:t>thereafter</w:t>
      </w:r>
      <w:r w:rsidRPr="0097288E">
        <w:rPr>
          <w:rFonts w:ascii="Calibri" w:hAnsi="Calibri" w:cs="Arial"/>
        </w:rPr>
        <w:t xml:space="preserve"> be consistent in its treatment of capital gains </w:t>
      </w:r>
      <w:r w:rsidRPr="0097288E">
        <w:rPr>
          <w:rFonts w:ascii="Calibri" w:hAnsi="Calibri" w:cs="Arial"/>
          <w:i/>
        </w:rPr>
        <w:t>pursuant to the new governing instrument</w:t>
      </w:r>
      <w:r w:rsidRPr="0097288E">
        <w:rPr>
          <w:rFonts w:ascii="Calibri" w:hAnsi="Calibri" w:cs="Arial"/>
        </w:rPr>
        <w:t xml:space="preserve">.  Would the IRS permit a one-time change?  The IRS may not </w:t>
      </w:r>
      <w:r w:rsidRPr="0097288E">
        <w:rPr>
          <w:rFonts w:ascii="Calibri" w:hAnsi="Calibri" w:cs="Arial"/>
        </w:rPr>
        <w:lastRenderedPageBreak/>
        <w:t xml:space="preserve">consider it to be a new trust for </w:t>
      </w:r>
      <w:r w:rsidRPr="0097288E">
        <w:rPr>
          <w:rFonts w:ascii="Calibri" w:hAnsi="Calibri"/>
        </w:rPr>
        <w:t xml:space="preserve">Treas. Reg. </w:t>
      </w:r>
      <w:r w:rsidR="00960CBC">
        <w:rPr>
          <w:rFonts w:ascii="Calibri" w:hAnsi="Calibri"/>
        </w:rPr>
        <w:t>§</w:t>
      </w:r>
      <w:r w:rsidRPr="0097288E">
        <w:rPr>
          <w:rFonts w:ascii="Calibri" w:hAnsi="Calibri"/>
        </w:rPr>
        <w:t>1.643(a)</w:t>
      </w:r>
      <w:r w:rsidR="00960CBC">
        <w:rPr>
          <w:rFonts w:ascii="Calibri" w:hAnsi="Calibri"/>
        </w:rPr>
        <w:t>-3</w:t>
      </w:r>
      <w:r w:rsidRPr="0097288E">
        <w:rPr>
          <w:rFonts w:ascii="Calibri" w:hAnsi="Calibri"/>
        </w:rPr>
        <w:t xml:space="preserve">(b) purposes </w:t>
      </w:r>
      <w:r w:rsidRPr="0097288E">
        <w:rPr>
          <w:rFonts w:ascii="Calibri" w:hAnsi="Calibri" w:cs="Arial"/>
        </w:rPr>
        <w:t xml:space="preserve">simply because of a minor administrative amendment, and might therefore regard </w:t>
      </w:r>
      <w:r w:rsidR="005D7860">
        <w:rPr>
          <w:rFonts w:ascii="Calibri" w:hAnsi="Calibri" w:cs="Arial"/>
        </w:rPr>
        <w:t xml:space="preserve">the </w:t>
      </w:r>
      <w:r w:rsidRPr="0097288E">
        <w:rPr>
          <w:rFonts w:ascii="Calibri" w:hAnsi="Calibri" w:cs="Arial"/>
        </w:rPr>
        <w:t xml:space="preserve">new treatment of capital gains as </w:t>
      </w:r>
      <w:r w:rsidRPr="0097288E">
        <w:rPr>
          <w:rFonts w:ascii="Calibri" w:hAnsi="Calibri" w:cs="Arial"/>
          <w:i/>
        </w:rPr>
        <w:t xml:space="preserve">inconsistent </w:t>
      </w:r>
      <w:r w:rsidRPr="0097288E">
        <w:rPr>
          <w:rFonts w:ascii="Calibri" w:hAnsi="Calibri" w:cs="Arial"/>
        </w:rPr>
        <w:t xml:space="preserve">with prior practice.  After all, trustees don’t typically get a completely new </w:t>
      </w:r>
      <w:r w:rsidR="005D7860">
        <w:rPr>
          <w:rFonts w:ascii="Calibri" w:hAnsi="Calibri" w:cs="Arial"/>
        </w:rPr>
        <w:t xml:space="preserve">EIN for such changes, </w:t>
      </w:r>
      <w:r w:rsidR="001C111B">
        <w:rPr>
          <w:rFonts w:ascii="Calibri" w:hAnsi="Calibri" w:cs="Arial"/>
        </w:rPr>
        <w:t>and</w:t>
      </w:r>
      <w:r w:rsidR="005D7860">
        <w:rPr>
          <w:rFonts w:ascii="Calibri" w:hAnsi="Calibri" w:cs="Arial"/>
        </w:rPr>
        <w:t xml:space="preserve"> it’s unclear whether it would matter if they did.  Because of this substantial uncertainty</w:t>
      </w:r>
      <w:r w:rsidRPr="0097288E">
        <w:rPr>
          <w:rFonts w:ascii="Calibri" w:hAnsi="Calibri" w:cs="Arial"/>
        </w:rPr>
        <w:t xml:space="preserve">, practitioners </w:t>
      </w:r>
      <w:r w:rsidR="001C111B">
        <w:rPr>
          <w:rFonts w:ascii="Calibri" w:hAnsi="Calibri" w:cs="Arial"/>
        </w:rPr>
        <w:t xml:space="preserve">dealing with a preexisting trust with a history of </w:t>
      </w:r>
      <w:r w:rsidR="00EC44AB">
        <w:rPr>
          <w:rFonts w:ascii="Calibri" w:hAnsi="Calibri" w:cs="Arial"/>
        </w:rPr>
        <w:t xml:space="preserve">not treating capital gains in such a manner should probably </w:t>
      </w:r>
      <w:r w:rsidRPr="0097288E">
        <w:rPr>
          <w:rFonts w:ascii="Calibri" w:hAnsi="Calibri" w:cs="Arial"/>
        </w:rPr>
        <w:t>use one of the other</w:t>
      </w:r>
      <w:r w:rsidR="007C7B9A">
        <w:rPr>
          <w:rFonts w:ascii="Calibri" w:hAnsi="Calibri" w:cs="Arial"/>
        </w:rPr>
        <w:t xml:space="preserve"> two</w:t>
      </w:r>
      <w:r w:rsidRPr="0097288E">
        <w:rPr>
          <w:rFonts w:ascii="Calibri" w:hAnsi="Calibri" w:cs="Arial"/>
        </w:rPr>
        <w:t xml:space="preserve"> methods me</w:t>
      </w:r>
      <w:r w:rsidR="007C7B9A">
        <w:rPr>
          <w:rFonts w:ascii="Calibri" w:hAnsi="Calibri" w:cs="Arial"/>
        </w:rPr>
        <w:t>ntioned above</w:t>
      </w:r>
      <w:r w:rsidRPr="0097288E">
        <w:rPr>
          <w:rFonts w:ascii="Calibri" w:hAnsi="Calibri" w:cs="Arial"/>
        </w:rPr>
        <w:t>.</w:t>
      </w:r>
    </w:p>
    <w:p w14:paraId="38B49087" w14:textId="77777777" w:rsidR="000D31E1" w:rsidRPr="0097288E" w:rsidRDefault="000D31E1" w:rsidP="0097288E">
      <w:pPr>
        <w:autoSpaceDE w:val="0"/>
        <w:autoSpaceDN w:val="0"/>
        <w:adjustRightInd w:val="0"/>
        <w:spacing w:line="360" w:lineRule="auto"/>
        <w:ind w:firstLine="720"/>
        <w:rPr>
          <w:rFonts w:ascii="Calibri" w:hAnsi="Calibri" w:cs="Helv"/>
          <w:color w:val="000000"/>
        </w:rPr>
      </w:pPr>
    </w:p>
    <w:p w14:paraId="02195334" w14:textId="77777777" w:rsidR="0097288E" w:rsidRPr="000D31E1" w:rsidRDefault="0097288E" w:rsidP="000D31E1">
      <w:pPr>
        <w:pStyle w:val="ListParagraph"/>
        <w:numPr>
          <w:ilvl w:val="0"/>
          <w:numId w:val="22"/>
        </w:numPr>
        <w:autoSpaceDE w:val="0"/>
        <w:autoSpaceDN w:val="0"/>
        <w:adjustRightInd w:val="0"/>
        <w:spacing w:line="360" w:lineRule="auto"/>
        <w:rPr>
          <w:rFonts w:ascii="Calibri" w:hAnsi="Calibri" w:cs="Helv"/>
          <w:b/>
          <w:i/>
          <w:color w:val="000000"/>
        </w:rPr>
      </w:pPr>
      <w:r w:rsidRPr="000D31E1">
        <w:rPr>
          <w:rFonts w:ascii="Calibri" w:hAnsi="Calibri" w:cs="Helv"/>
          <w:b/>
          <w:i/>
          <w:color w:val="000000"/>
        </w:rPr>
        <w:t>Impact of changing tax burden on beneficiary distributions</w:t>
      </w:r>
    </w:p>
    <w:p w14:paraId="2099A24C" w14:textId="77777777" w:rsidR="002B0D97" w:rsidRPr="002B0D97" w:rsidRDefault="005D7860" w:rsidP="002B0D97">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Going back to our </w:t>
      </w:r>
      <w:r w:rsidR="00EC44AB">
        <w:rPr>
          <w:rFonts w:ascii="Calibri" w:hAnsi="Calibri" w:cs="Helv"/>
          <w:color w:val="000000"/>
        </w:rPr>
        <w:t xml:space="preserve">earlier </w:t>
      </w:r>
      <w:r>
        <w:rPr>
          <w:rFonts w:ascii="Calibri" w:hAnsi="Calibri" w:cs="Helv"/>
          <w:color w:val="000000"/>
        </w:rPr>
        <w:t>example, i</w:t>
      </w:r>
      <w:r w:rsidR="00491FB5">
        <w:rPr>
          <w:rFonts w:ascii="Calibri" w:hAnsi="Calibri" w:cs="Helv"/>
          <w:color w:val="000000"/>
        </w:rPr>
        <w:t xml:space="preserve">f capital gains are considered part of </w:t>
      </w:r>
      <w:r w:rsidR="00ED1CA7">
        <w:rPr>
          <w:rFonts w:ascii="Calibri" w:hAnsi="Calibri" w:cs="Helv"/>
          <w:color w:val="000000"/>
        </w:rPr>
        <w:t>Barbara’s</w:t>
      </w:r>
      <w:r w:rsidR="00491FB5">
        <w:rPr>
          <w:rFonts w:ascii="Calibri" w:hAnsi="Calibri" w:cs="Helv"/>
          <w:color w:val="000000"/>
        </w:rPr>
        <w:t xml:space="preserve"> distribution and ordinary non-grantor trust rules are applied, </w:t>
      </w:r>
      <w:r>
        <w:rPr>
          <w:rFonts w:ascii="Calibri" w:hAnsi="Calibri" w:cs="Helv"/>
          <w:color w:val="000000"/>
        </w:rPr>
        <w:t xml:space="preserve">not only </w:t>
      </w:r>
      <w:r w:rsidR="00491FB5">
        <w:rPr>
          <w:rFonts w:ascii="Calibri" w:hAnsi="Calibri" w:cs="Helv"/>
          <w:color w:val="000000"/>
        </w:rPr>
        <w:t xml:space="preserve">the $40,000 of accounting income </w:t>
      </w:r>
      <w:r>
        <w:rPr>
          <w:rFonts w:ascii="Calibri" w:hAnsi="Calibri" w:cs="Helv"/>
          <w:color w:val="000000"/>
        </w:rPr>
        <w:t>but</w:t>
      </w:r>
      <w:r w:rsidR="00491FB5">
        <w:rPr>
          <w:rFonts w:ascii="Calibri" w:hAnsi="Calibri" w:cs="Helv"/>
          <w:color w:val="000000"/>
        </w:rPr>
        <w:t xml:space="preserve"> the $75,000 of principal distribution is also taxed to her</w:t>
      </w:r>
      <w:r>
        <w:rPr>
          <w:rFonts w:ascii="Calibri" w:hAnsi="Calibri" w:cs="Helv"/>
          <w:color w:val="000000"/>
        </w:rPr>
        <w:t>.  O</w:t>
      </w:r>
      <w:r w:rsidR="00491FB5">
        <w:rPr>
          <w:rFonts w:ascii="Calibri" w:hAnsi="Calibri" w:cs="Helv"/>
          <w:color w:val="000000"/>
        </w:rPr>
        <w:t xml:space="preserve">nly $25,000 </w:t>
      </w:r>
      <w:r w:rsidR="00ED1CA7">
        <w:rPr>
          <w:rFonts w:ascii="Calibri" w:hAnsi="Calibri" w:cs="Helv"/>
          <w:color w:val="000000"/>
        </w:rPr>
        <w:t xml:space="preserve">of capital gains </w:t>
      </w:r>
      <w:r w:rsidR="00491FB5">
        <w:rPr>
          <w:rFonts w:ascii="Calibri" w:hAnsi="Calibri" w:cs="Helv"/>
          <w:color w:val="000000"/>
        </w:rPr>
        <w:t xml:space="preserve">is left trapped in trust.  However, because of her extra </w:t>
      </w:r>
      <w:r w:rsidR="0097288E">
        <w:rPr>
          <w:rFonts w:ascii="Calibri" w:hAnsi="Calibri" w:cs="Helv"/>
          <w:color w:val="000000"/>
        </w:rPr>
        <w:t xml:space="preserve">personal </w:t>
      </w:r>
      <w:r w:rsidR="00491FB5">
        <w:rPr>
          <w:rFonts w:ascii="Calibri" w:hAnsi="Calibri" w:cs="Helv"/>
          <w:color w:val="000000"/>
        </w:rPr>
        <w:t xml:space="preserve">tax burden, she </w:t>
      </w:r>
      <w:r w:rsidR="008A7998">
        <w:rPr>
          <w:rFonts w:ascii="Calibri" w:hAnsi="Calibri" w:cs="Helv"/>
          <w:color w:val="000000"/>
        </w:rPr>
        <w:t>would probably</w:t>
      </w:r>
      <w:r w:rsidR="00491FB5">
        <w:rPr>
          <w:rFonts w:ascii="Calibri" w:hAnsi="Calibri" w:cs="Helv"/>
          <w:color w:val="000000"/>
        </w:rPr>
        <w:t xml:space="preserve"> ask for </w:t>
      </w:r>
      <w:r w:rsidR="002B0D97">
        <w:rPr>
          <w:rFonts w:ascii="Calibri" w:hAnsi="Calibri" w:cs="Helv"/>
          <w:color w:val="000000"/>
        </w:rPr>
        <w:t xml:space="preserve">approximately $20,000 in additional </w:t>
      </w:r>
      <w:r w:rsidR="00491FB5">
        <w:rPr>
          <w:rFonts w:ascii="Calibri" w:hAnsi="Calibri" w:cs="Helv"/>
          <w:color w:val="000000"/>
        </w:rPr>
        <w:t>distributions to compensate, which would lower the income trapped in</w:t>
      </w:r>
      <w:r>
        <w:rPr>
          <w:rFonts w:ascii="Calibri" w:hAnsi="Calibri" w:cs="Helv"/>
          <w:color w:val="000000"/>
        </w:rPr>
        <w:t xml:space="preserve"> the trust to well under $12,400</w:t>
      </w:r>
      <w:r w:rsidR="00491FB5">
        <w:rPr>
          <w:rFonts w:ascii="Calibri" w:hAnsi="Calibri" w:cs="Helv"/>
          <w:color w:val="000000"/>
        </w:rPr>
        <w:t>.  Thus, the 43.4%/23.8% highest marginal trust tax rate</w:t>
      </w:r>
      <w:r>
        <w:rPr>
          <w:rFonts w:ascii="Calibri" w:hAnsi="Calibri" w:cs="Helv"/>
          <w:color w:val="000000"/>
        </w:rPr>
        <w:t>s are</w:t>
      </w:r>
      <w:r w:rsidR="00491FB5">
        <w:rPr>
          <w:rFonts w:ascii="Calibri" w:hAnsi="Calibri" w:cs="Helv"/>
          <w:color w:val="000000"/>
        </w:rPr>
        <w:t xml:space="preserve"> </w:t>
      </w:r>
      <w:r w:rsidR="00ED1CA7">
        <w:rPr>
          <w:rFonts w:ascii="Calibri" w:hAnsi="Calibri" w:cs="Helv"/>
          <w:color w:val="000000"/>
        </w:rPr>
        <w:t xml:space="preserve">completely </w:t>
      </w:r>
      <w:r w:rsidR="00491FB5">
        <w:rPr>
          <w:rFonts w:ascii="Calibri" w:hAnsi="Calibri" w:cs="Helv"/>
          <w:color w:val="000000"/>
        </w:rPr>
        <w:t>avoided and her personal rates of 28%/15% would be applicable.  This can lead to tremendous ongoing tax savings.</w:t>
      </w:r>
      <w:r w:rsidR="002B0D97">
        <w:rPr>
          <w:rFonts w:ascii="Calibri" w:hAnsi="Calibri" w:cs="Helv"/>
          <w:color w:val="000000"/>
        </w:rPr>
        <w:t xml:space="preserve">  </w:t>
      </w:r>
      <w:r w:rsidR="002B0D97" w:rsidRPr="002B0D97">
        <w:rPr>
          <w:rFonts w:ascii="Calibri" w:hAnsi="Calibri" w:cs="Helv"/>
          <w:color w:val="000000"/>
        </w:rPr>
        <w:t>Even the remainder beneficiaries are happy because, although Barbara got $20,000 more in gross distributions under this planning, the trust saved more than that in taxes</w:t>
      </w:r>
      <w:r>
        <w:rPr>
          <w:rFonts w:ascii="Calibri" w:hAnsi="Calibri" w:cs="Helv"/>
          <w:color w:val="000000"/>
        </w:rPr>
        <w:t xml:space="preserve"> ($95,000 x 23.8%</w:t>
      </w:r>
      <w:r w:rsidR="00EB5A49">
        <w:rPr>
          <w:rFonts w:ascii="Calibri" w:hAnsi="Calibri" w:cs="Helv"/>
          <w:color w:val="000000"/>
        </w:rPr>
        <w:t xml:space="preserve"> </w:t>
      </w:r>
      <w:r>
        <w:rPr>
          <w:rFonts w:ascii="Calibri" w:hAnsi="Calibri" w:cs="Helv"/>
          <w:color w:val="000000"/>
        </w:rPr>
        <w:t>=</w:t>
      </w:r>
      <w:r w:rsidR="00EB5A49">
        <w:rPr>
          <w:rFonts w:ascii="Calibri" w:hAnsi="Calibri" w:cs="Helv"/>
          <w:color w:val="000000"/>
        </w:rPr>
        <w:t xml:space="preserve"> </w:t>
      </w:r>
      <w:r>
        <w:rPr>
          <w:rFonts w:ascii="Calibri" w:hAnsi="Calibri" w:cs="Helv"/>
          <w:color w:val="000000"/>
        </w:rPr>
        <w:t>$22,610, approx.)</w:t>
      </w:r>
      <w:r w:rsidR="002B0D97" w:rsidRPr="002B0D97">
        <w:rPr>
          <w:rFonts w:ascii="Calibri" w:hAnsi="Calibri" w:cs="Helv"/>
          <w:color w:val="000000"/>
        </w:rPr>
        <w:t>, so they are better off as well.</w:t>
      </w:r>
    </w:p>
    <w:p w14:paraId="40F3FE20" w14:textId="77777777" w:rsidR="002B0D97" w:rsidRPr="002B0D97" w:rsidRDefault="002B0D97" w:rsidP="002B0D97">
      <w:pPr>
        <w:autoSpaceDE w:val="0"/>
        <w:autoSpaceDN w:val="0"/>
        <w:adjustRightInd w:val="0"/>
        <w:spacing w:line="360" w:lineRule="auto"/>
        <w:ind w:firstLine="720"/>
        <w:rPr>
          <w:rFonts w:ascii="Calibri" w:hAnsi="Calibri" w:cs="Helv"/>
          <w:color w:val="000000"/>
        </w:rPr>
      </w:pPr>
      <w:r w:rsidRPr="002B0D97">
        <w:rPr>
          <w:rFonts w:ascii="Calibri" w:hAnsi="Calibri" w:cs="Helv"/>
          <w:color w:val="000000"/>
        </w:rPr>
        <w:t>Whether these techniques will save taxes depends on many factors, primarily the trust distribution provisions, state principal and income law, state taxation</w:t>
      </w:r>
      <w:r w:rsidR="00DF653A">
        <w:rPr>
          <w:rFonts w:ascii="Calibri" w:hAnsi="Calibri" w:cs="Helv"/>
          <w:color w:val="000000"/>
        </w:rPr>
        <w:t>, preexisting tax attributes such as capital loss carry</w:t>
      </w:r>
      <w:r w:rsidR="005F1F7A">
        <w:rPr>
          <w:rFonts w:ascii="Calibri" w:hAnsi="Calibri" w:cs="Helv"/>
          <w:color w:val="000000"/>
        </w:rPr>
        <w:t>-</w:t>
      </w:r>
      <w:r w:rsidR="00DF653A">
        <w:rPr>
          <w:rFonts w:ascii="Calibri" w:hAnsi="Calibri" w:cs="Helv"/>
          <w:color w:val="000000"/>
        </w:rPr>
        <w:t>forwards</w:t>
      </w:r>
      <w:r w:rsidRPr="002B0D97">
        <w:rPr>
          <w:rFonts w:ascii="Calibri" w:hAnsi="Calibri" w:cs="Helv"/>
          <w:color w:val="000000"/>
        </w:rPr>
        <w:t xml:space="preserve"> of the trust and beneficiary, and of course, the </w:t>
      </w:r>
      <w:r w:rsidR="00DF653A">
        <w:rPr>
          <w:rFonts w:ascii="Calibri" w:hAnsi="Calibri" w:cs="Helv"/>
          <w:color w:val="000000"/>
        </w:rPr>
        <w:t>beneficiary’s income and</w:t>
      </w:r>
      <w:r w:rsidRPr="002B0D97">
        <w:rPr>
          <w:rFonts w:ascii="Calibri" w:hAnsi="Calibri" w:cs="Helv"/>
          <w:color w:val="000000"/>
        </w:rPr>
        <w:t xml:space="preserve"> </w:t>
      </w:r>
      <w:r w:rsidR="00DF653A">
        <w:rPr>
          <w:rFonts w:ascii="Calibri" w:hAnsi="Calibri" w:cs="Helv"/>
          <w:color w:val="000000"/>
        </w:rPr>
        <w:t>deductions</w:t>
      </w:r>
      <w:r w:rsidRPr="002B0D97">
        <w:rPr>
          <w:rFonts w:ascii="Calibri" w:hAnsi="Calibri" w:cs="Helv"/>
          <w:color w:val="000000"/>
        </w:rPr>
        <w:t xml:space="preserve">.  However, in many cases of trust planning and administration for the </w:t>
      </w:r>
      <w:r w:rsidR="00DF653A">
        <w:rPr>
          <w:rFonts w:ascii="Calibri" w:hAnsi="Calibri" w:cs="Helv"/>
          <w:color w:val="000000"/>
        </w:rPr>
        <w:t>vast</w:t>
      </w:r>
      <w:r w:rsidRPr="002B0D97">
        <w:rPr>
          <w:rFonts w:ascii="Calibri" w:hAnsi="Calibri" w:cs="Helv"/>
          <w:color w:val="000000"/>
        </w:rPr>
        <w:t xml:space="preserve"> </w:t>
      </w:r>
      <w:r w:rsidR="005F1F7A">
        <w:rPr>
          <w:rFonts w:ascii="Calibri" w:hAnsi="Calibri" w:cs="Helv"/>
          <w:color w:val="000000"/>
        </w:rPr>
        <w:t>majority of taxpayers</w:t>
      </w:r>
      <w:r w:rsidRPr="002B0D97">
        <w:rPr>
          <w:rFonts w:ascii="Calibri" w:hAnsi="Calibri" w:cs="Helv"/>
          <w:color w:val="000000"/>
        </w:rPr>
        <w:t xml:space="preserve">, it will pay to rethink the trust boilerplate, administration and tax preparation as regards to capital gains.  </w:t>
      </w:r>
    </w:p>
    <w:p w14:paraId="6B68EB29" w14:textId="77777777" w:rsidR="002B0D97" w:rsidRPr="002B0D97" w:rsidRDefault="00DF653A" w:rsidP="002B0D97">
      <w:pPr>
        <w:autoSpaceDE w:val="0"/>
        <w:autoSpaceDN w:val="0"/>
        <w:adjustRightInd w:val="0"/>
        <w:spacing w:line="360" w:lineRule="auto"/>
        <w:ind w:firstLine="720"/>
        <w:rPr>
          <w:rFonts w:ascii="Calibri" w:hAnsi="Calibri" w:cs="Helv"/>
          <w:color w:val="000000"/>
        </w:rPr>
      </w:pPr>
      <w:r>
        <w:rPr>
          <w:rFonts w:ascii="Calibri" w:hAnsi="Calibri" w:cs="Helv"/>
          <w:color w:val="000000"/>
        </w:rPr>
        <w:t>Practitioners</w:t>
      </w:r>
      <w:r w:rsidR="002B0D97" w:rsidRPr="002B0D97">
        <w:rPr>
          <w:rFonts w:ascii="Calibri" w:hAnsi="Calibri" w:cs="Helv"/>
          <w:color w:val="000000"/>
        </w:rPr>
        <w:t xml:space="preserve"> should review the terms of their trusts for discussion of how capital gains are accounted for in making trust distributions and/or allocated to fiduciary accounting income.  For existing irrevocable trusts, </w:t>
      </w:r>
      <w:r w:rsidR="002B0D97" w:rsidRPr="002B0D97">
        <w:rPr>
          <w:rFonts w:ascii="Calibri" w:hAnsi="Calibri" w:cs="Helv"/>
        </w:rPr>
        <w:t xml:space="preserve">attorneys should not only review the terms of the trusts as to how capital gains are accounted for, but they should also review how the trustee </w:t>
      </w:r>
      <w:r w:rsidR="002B0D97" w:rsidRPr="002B0D97">
        <w:rPr>
          <w:rFonts w:ascii="Calibri" w:hAnsi="Calibri" w:cs="Helv"/>
        </w:rPr>
        <w:lastRenderedPageBreak/>
        <w:t>has historically handled the treatment of capital gains regarding the beneficiary’s distributions</w:t>
      </w:r>
      <w:r w:rsidR="005F1F7A">
        <w:rPr>
          <w:rFonts w:ascii="Calibri" w:hAnsi="Calibri" w:cs="Helv"/>
        </w:rPr>
        <w:t xml:space="preserve"> (Forms 1041 and K-1)</w:t>
      </w:r>
      <w:r w:rsidR="002B0D97" w:rsidRPr="002B0D97">
        <w:rPr>
          <w:rFonts w:ascii="Calibri" w:hAnsi="Calibri" w:cs="Helv"/>
        </w:rPr>
        <w:t xml:space="preserve">. </w:t>
      </w:r>
      <w:r w:rsidR="005F1F7A">
        <w:rPr>
          <w:rFonts w:ascii="Calibri" w:hAnsi="Calibri" w:cs="Helv"/>
        </w:rPr>
        <w:t xml:space="preserve"> </w:t>
      </w:r>
      <w:r w:rsidR="002B0D97" w:rsidRPr="002B0D97">
        <w:rPr>
          <w:rFonts w:ascii="Calibri" w:hAnsi="Calibri" w:cs="Helv"/>
          <w:color w:val="000000"/>
        </w:rPr>
        <w:t xml:space="preserve">An experienced corporate trust department would best ensure consistent documentation of the “books, records and tax returns” </w:t>
      </w:r>
      <w:r w:rsidR="00715360">
        <w:rPr>
          <w:rFonts w:ascii="Calibri" w:hAnsi="Calibri" w:cs="Helv"/>
          <w:color w:val="000000"/>
        </w:rPr>
        <w:t xml:space="preserve">and ensure the IRS finds “reasonable and impartial” use of discretion </w:t>
      </w:r>
      <w:r w:rsidR="002B0D97" w:rsidRPr="002B0D97">
        <w:rPr>
          <w:rFonts w:ascii="Calibri" w:hAnsi="Calibri" w:cs="Helv"/>
          <w:color w:val="000000"/>
        </w:rPr>
        <w:t>to comply with the regulations necessary to exploit these potential savings.</w:t>
      </w:r>
    </w:p>
    <w:p w14:paraId="3312866C" w14:textId="77777777" w:rsidR="002B0D97" w:rsidRPr="002B0D97" w:rsidRDefault="002B0D97" w:rsidP="002B0D97">
      <w:pPr>
        <w:autoSpaceDE w:val="0"/>
        <w:autoSpaceDN w:val="0"/>
        <w:adjustRightInd w:val="0"/>
        <w:spacing w:line="360" w:lineRule="auto"/>
        <w:ind w:firstLine="720"/>
        <w:rPr>
          <w:rFonts w:ascii="Calibri" w:hAnsi="Calibri" w:cs="Helv"/>
          <w:color w:val="000000"/>
        </w:rPr>
      </w:pPr>
      <w:r w:rsidRPr="002B0D97">
        <w:rPr>
          <w:rFonts w:ascii="Calibri" w:hAnsi="Calibri" w:cs="Helv"/>
        </w:rPr>
        <w:t xml:space="preserve">If the trustee has not been treating capital gains as a part of the beneficiary’s distributions (which is likely), consideration should be given to a private settlement agreement or reformation to either correct prospective treatment of capital gains on the “books, records and tax returns” of the trust, or, </w:t>
      </w:r>
      <w:r w:rsidR="00715360">
        <w:rPr>
          <w:rFonts w:ascii="Calibri" w:hAnsi="Calibri" w:cs="Helv"/>
        </w:rPr>
        <w:t xml:space="preserve">much </w:t>
      </w:r>
      <w:r w:rsidRPr="002B0D97">
        <w:rPr>
          <w:rFonts w:ascii="Calibri" w:hAnsi="Calibri" w:cs="Helv"/>
        </w:rPr>
        <w:t>better, amend the trust provisions regarding allocating capital gains to fiduciary accounting income</w:t>
      </w:r>
      <w:r w:rsidR="00300B4B">
        <w:rPr>
          <w:rFonts w:ascii="Calibri" w:hAnsi="Calibri" w:cs="Helv"/>
        </w:rPr>
        <w:t xml:space="preserve"> and/or require consideration of capital gains in the trustee’s disc</w:t>
      </w:r>
      <w:r w:rsidR="00715360">
        <w:rPr>
          <w:rFonts w:ascii="Calibri" w:hAnsi="Calibri" w:cs="Helv"/>
        </w:rPr>
        <w:t>retionary distribution decision process</w:t>
      </w:r>
      <w:r w:rsidRPr="002B0D97">
        <w:rPr>
          <w:rFonts w:ascii="Calibri" w:hAnsi="Calibri" w:cs="Helv"/>
        </w:rPr>
        <w:t>.</w:t>
      </w:r>
      <w:r w:rsidRPr="002B0D97">
        <w:rPr>
          <w:rFonts w:ascii="Calibri" w:hAnsi="Calibri" w:cs="Helv"/>
          <w:color w:val="000000"/>
        </w:rPr>
        <w:t xml:space="preserve">  In the latter case</w:t>
      </w:r>
      <w:r w:rsidR="00300B4B">
        <w:rPr>
          <w:rFonts w:ascii="Calibri" w:hAnsi="Calibri" w:cs="Helv"/>
          <w:color w:val="000000"/>
        </w:rPr>
        <w:t>s</w:t>
      </w:r>
      <w:r w:rsidRPr="002B0D97">
        <w:rPr>
          <w:rFonts w:ascii="Calibri" w:hAnsi="Calibri" w:cs="Helv"/>
          <w:color w:val="000000"/>
        </w:rPr>
        <w:t>, a professional and independent trustee or co-trustee should be considered to properly exploit this flexibility.</w:t>
      </w:r>
      <w:r w:rsidR="00300B4B">
        <w:rPr>
          <w:rFonts w:ascii="Calibri" w:hAnsi="Calibri" w:cs="Helv"/>
          <w:color w:val="000000"/>
        </w:rPr>
        <w:t xml:space="preserve">  </w:t>
      </w:r>
      <w:r w:rsidR="00715360">
        <w:rPr>
          <w:rFonts w:ascii="Calibri" w:hAnsi="Calibri" w:cs="Helv"/>
          <w:color w:val="000000"/>
        </w:rPr>
        <w:t>Regulated</w:t>
      </w:r>
      <w:r w:rsidR="00300B4B">
        <w:rPr>
          <w:rFonts w:ascii="Calibri" w:hAnsi="Calibri" w:cs="Helv"/>
          <w:color w:val="000000"/>
        </w:rPr>
        <w:t xml:space="preserve"> trustees HAVE to paper the file, for the </w:t>
      </w:r>
      <w:r w:rsidR="00715360">
        <w:rPr>
          <w:rFonts w:ascii="Calibri" w:hAnsi="Calibri" w:cs="Helv"/>
          <w:color w:val="000000"/>
        </w:rPr>
        <w:t>Office of Controller and Currency (OCC)</w:t>
      </w:r>
      <w:r w:rsidR="00300B4B">
        <w:rPr>
          <w:rFonts w:ascii="Calibri" w:hAnsi="Calibri" w:cs="Helv"/>
          <w:color w:val="000000"/>
        </w:rPr>
        <w:t xml:space="preserve"> or state auditors and internal accounting committees, with their considerations for discretionary decisions.</w:t>
      </w:r>
    </w:p>
    <w:p w14:paraId="68BBA0E4" w14:textId="77777777" w:rsidR="00300B4B" w:rsidRDefault="00300B4B">
      <w:pPr>
        <w:rPr>
          <w:rFonts w:ascii="Calibri" w:hAnsi="Calibri" w:cs="Helv"/>
          <w:b/>
          <w:color w:val="000000"/>
        </w:rPr>
      </w:pPr>
    </w:p>
    <w:p w14:paraId="01184BDC" w14:textId="77777777" w:rsidR="0006302D" w:rsidRPr="0006302D" w:rsidRDefault="008A7998" w:rsidP="007174A1">
      <w:pPr>
        <w:pStyle w:val="ListParagraph"/>
        <w:numPr>
          <w:ilvl w:val="0"/>
          <w:numId w:val="34"/>
        </w:numPr>
        <w:autoSpaceDE w:val="0"/>
        <w:autoSpaceDN w:val="0"/>
        <w:adjustRightInd w:val="0"/>
        <w:spacing w:line="360" w:lineRule="auto"/>
        <w:ind w:hanging="720"/>
        <w:rPr>
          <w:rFonts w:ascii="Calibri" w:hAnsi="Calibri" w:cs="Helv"/>
          <w:color w:val="000000"/>
        </w:rPr>
      </w:pPr>
      <w:r w:rsidRPr="0006302D">
        <w:rPr>
          <w:rFonts w:ascii="Calibri" w:hAnsi="Calibri" w:cs="Helv"/>
          <w:b/>
          <w:color w:val="000000"/>
        </w:rPr>
        <w:t>Exploiting Spray Powers and Lifetime Limited Powers of Appointment</w:t>
      </w:r>
      <w:r w:rsidRPr="0006302D">
        <w:rPr>
          <w:rFonts w:ascii="Calibri" w:hAnsi="Calibri" w:cs="Helv"/>
          <w:color w:val="000000"/>
        </w:rPr>
        <w:t xml:space="preserve"> </w:t>
      </w:r>
    </w:p>
    <w:p w14:paraId="1C22E228" w14:textId="77777777" w:rsidR="00491FB5" w:rsidRDefault="00667D72" w:rsidP="008A7998">
      <w:pPr>
        <w:autoSpaceDE w:val="0"/>
        <w:autoSpaceDN w:val="0"/>
        <w:adjustRightInd w:val="0"/>
        <w:spacing w:line="360" w:lineRule="auto"/>
        <w:ind w:firstLine="720"/>
        <w:rPr>
          <w:rFonts w:ascii="Calibri" w:hAnsi="Calibri" w:cs="Helv"/>
          <w:color w:val="000000"/>
        </w:rPr>
      </w:pPr>
      <w:r>
        <w:rPr>
          <w:rFonts w:ascii="Calibri" w:hAnsi="Calibri" w:cs="Helv"/>
          <w:color w:val="000000"/>
        </w:rPr>
        <w:t>Even better than having capital gains taxed to the beneficiary</w:t>
      </w:r>
      <w:r w:rsidR="00491FB5">
        <w:rPr>
          <w:rFonts w:ascii="Calibri" w:hAnsi="Calibri" w:cs="Helv"/>
          <w:color w:val="000000"/>
        </w:rPr>
        <w:t xml:space="preserve">, the settlor may give additional spray powers to the trustee, to spray income to other beneficiaries, including the family’s favorite charity, donor advised fund or </w:t>
      </w:r>
      <w:r w:rsidR="00622352">
        <w:rPr>
          <w:rFonts w:ascii="Calibri" w:hAnsi="Calibri" w:cs="Helv"/>
          <w:color w:val="000000"/>
        </w:rPr>
        <w:t xml:space="preserve">private </w:t>
      </w:r>
      <w:r w:rsidR="00491FB5">
        <w:rPr>
          <w:rFonts w:ascii="Calibri" w:hAnsi="Calibri" w:cs="Helv"/>
          <w:color w:val="000000"/>
        </w:rPr>
        <w:t>foundation.</w:t>
      </w:r>
      <w:r>
        <w:rPr>
          <w:rStyle w:val="FootnoteReference"/>
          <w:rFonts w:ascii="Calibri" w:hAnsi="Calibri" w:cs="Helv"/>
          <w:color w:val="000000"/>
        </w:rPr>
        <w:footnoteReference w:id="456"/>
      </w:r>
      <w:r w:rsidR="00491FB5">
        <w:rPr>
          <w:rFonts w:ascii="Calibri" w:hAnsi="Calibri" w:cs="Helv"/>
          <w:color w:val="000000"/>
        </w:rPr>
        <w:t xml:space="preserve">  </w:t>
      </w:r>
      <w:r>
        <w:rPr>
          <w:rFonts w:ascii="Calibri" w:hAnsi="Calibri" w:cs="Helv"/>
          <w:color w:val="000000"/>
        </w:rPr>
        <w:t>Or,</w:t>
      </w:r>
      <w:r w:rsidR="00491FB5">
        <w:rPr>
          <w:rFonts w:ascii="Calibri" w:hAnsi="Calibri" w:cs="Helv"/>
          <w:color w:val="000000"/>
        </w:rPr>
        <w:t xml:space="preserve"> </w:t>
      </w:r>
      <w:r w:rsidR="005F1F7A">
        <w:rPr>
          <w:rFonts w:ascii="Calibri" w:hAnsi="Calibri" w:cs="Helv"/>
          <w:color w:val="000000"/>
        </w:rPr>
        <w:t>probably</w:t>
      </w:r>
      <w:r>
        <w:rPr>
          <w:rFonts w:ascii="Calibri" w:hAnsi="Calibri" w:cs="Helv"/>
          <w:color w:val="000000"/>
        </w:rPr>
        <w:t xml:space="preserve"> better</w:t>
      </w:r>
      <w:r w:rsidR="00DF653A">
        <w:rPr>
          <w:rFonts w:ascii="Calibri" w:hAnsi="Calibri" w:cs="Helv"/>
          <w:color w:val="000000"/>
        </w:rPr>
        <w:t xml:space="preserve"> in many ways</w:t>
      </w:r>
      <w:r>
        <w:rPr>
          <w:rFonts w:ascii="Calibri" w:hAnsi="Calibri" w:cs="Helv"/>
          <w:color w:val="000000"/>
        </w:rPr>
        <w:t xml:space="preserve">, </w:t>
      </w:r>
      <w:r w:rsidR="00491FB5">
        <w:rPr>
          <w:rFonts w:ascii="Calibri" w:hAnsi="Calibri" w:cs="Helv"/>
          <w:color w:val="000000"/>
        </w:rPr>
        <w:t xml:space="preserve">the settlor may give the surviving spouse </w:t>
      </w:r>
      <w:r w:rsidR="00715360">
        <w:rPr>
          <w:rFonts w:ascii="Calibri" w:hAnsi="Calibri" w:cs="Helv"/>
          <w:color w:val="000000"/>
        </w:rPr>
        <w:t>and/</w:t>
      </w:r>
      <w:r w:rsidR="00DF653A">
        <w:rPr>
          <w:rFonts w:ascii="Calibri" w:hAnsi="Calibri" w:cs="Helv"/>
          <w:color w:val="000000"/>
        </w:rPr>
        <w:t xml:space="preserve">or another party </w:t>
      </w:r>
      <w:r w:rsidR="00491FB5">
        <w:rPr>
          <w:rFonts w:ascii="Calibri" w:hAnsi="Calibri" w:cs="Helv"/>
          <w:color w:val="000000"/>
        </w:rPr>
        <w:t>a limited lifetime power of appointment.</w:t>
      </w:r>
      <w:r w:rsidR="00491FB5">
        <w:rPr>
          <w:rStyle w:val="FootnoteReference"/>
          <w:rFonts w:ascii="Calibri" w:hAnsi="Calibri" w:cs="Helv"/>
          <w:color w:val="000000"/>
        </w:rPr>
        <w:footnoteReference w:id="457"/>
      </w:r>
      <w:r w:rsidR="00491FB5">
        <w:rPr>
          <w:rFonts w:ascii="Calibri" w:hAnsi="Calibri" w:cs="Helv"/>
          <w:color w:val="000000"/>
        </w:rPr>
        <w:t xml:space="preserve">  For instance, let’s say Barbara receives more income outside the </w:t>
      </w:r>
      <w:r w:rsidR="00491FB5">
        <w:rPr>
          <w:rFonts w:ascii="Calibri" w:hAnsi="Calibri" w:cs="Helv"/>
          <w:color w:val="000000"/>
        </w:rPr>
        <w:lastRenderedPageBreak/>
        <w:t xml:space="preserve">trust, putting her in a higher bracket, and decides that she only needs $30,000 from the trust, but her children could use funds to pay for grandchildren in college.  She </w:t>
      </w:r>
      <w:r>
        <w:rPr>
          <w:rFonts w:ascii="Calibri" w:hAnsi="Calibri" w:cs="Helv"/>
          <w:color w:val="000000"/>
        </w:rPr>
        <w:t xml:space="preserve">uses her limited power of appointment, or </w:t>
      </w:r>
      <w:r w:rsidR="00491FB5">
        <w:rPr>
          <w:rFonts w:ascii="Calibri" w:hAnsi="Calibri" w:cs="Helv"/>
          <w:color w:val="000000"/>
        </w:rPr>
        <w:t>asks the trustee</w:t>
      </w:r>
      <w:r w:rsidR="00715360">
        <w:rPr>
          <w:rFonts w:ascii="Calibri" w:hAnsi="Calibri" w:cs="Helv"/>
          <w:color w:val="000000"/>
        </w:rPr>
        <w:t xml:space="preserve"> if there is a spray power</w:t>
      </w:r>
      <w:r w:rsidR="00B51590">
        <w:rPr>
          <w:rFonts w:ascii="Calibri" w:hAnsi="Calibri" w:cs="Helv"/>
          <w:color w:val="000000"/>
        </w:rPr>
        <w:t xml:space="preserve"> or </w:t>
      </w:r>
      <w:r w:rsidR="00715360">
        <w:rPr>
          <w:rFonts w:ascii="Calibri" w:hAnsi="Calibri" w:cs="Helv"/>
          <w:color w:val="000000"/>
        </w:rPr>
        <w:t xml:space="preserve">asks a </w:t>
      </w:r>
      <w:r w:rsidR="00B51590">
        <w:rPr>
          <w:rFonts w:ascii="Calibri" w:hAnsi="Calibri" w:cs="Helv"/>
          <w:color w:val="000000"/>
        </w:rPr>
        <w:t>collateral power</w:t>
      </w:r>
      <w:r w:rsidR="00715360">
        <w:rPr>
          <w:rFonts w:ascii="Calibri" w:hAnsi="Calibri" w:cs="Helv"/>
          <w:color w:val="000000"/>
        </w:rPr>
        <w:t xml:space="preserve"> </w:t>
      </w:r>
      <w:r w:rsidR="00B51590">
        <w:rPr>
          <w:rFonts w:ascii="Calibri" w:hAnsi="Calibri" w:cs="Helv"/>
          <w:color w:val="000000"/>
        </w:rPr>
        <w:t>holder</w:t>
      </w:r>
      <w:r w:rsidR="00715360">
        <w:rPr>
          <w:rFonts w:ascii="Calibri" w:hAnsi="Calibri" w:cs="Helv"/>
          <w:color w:val="000000"/>
        </w:rPr>
        <w:t xml:space="preserve"> if someone else has a lifetime power,</w:t>
      </w:r>
      <w:r w:rsidR="00491FB5">
        <w:rPr>
          <w:rFonts w:ascii="Calibri" w:hAnsi="Calibri" w:cs="Helv"/>
          <w:color w:val="000000"/>
        </w:rPr>
        <w:t xml:space="preserve"> to </w:t>
      </w:r>
      <w:r w:rsidR="00715360">
        <w:rPr>
          <w:rFonts w:ascii="Calibri" w:hAnsi="Calibri" w:cs="Helv"/>
          <w:color w:val="000000"/>
        </w:rPr>
        <w:t>distribute</w:t>
      </w:r>
      <w:r w:rsidR="00491FB5">
        <w:rPr>
          <w:rFonts w:ascii="Calibri" w:hAnsi="Calibri" w:cs="Helv"/>
          <w:color w:val="000000"/>
        </w:rPr>
        <w:t xml:space="preserve"> $80,000 to her children (or grandchildren) and $20,000 to the family’s donor advised fund at the local community foundation that John had also named in the trust as a permissible </w:t>
      </w:r>
      <w:r w:rsidR="00FE09E4">
        <w:rPr>
          <w:rFonts w:ascii="Calibri" w:hAnsi="Calibri" w:cs="Helv"/>
          <w:color w:val="000000"/>
        </w:rPr>
        <w:t>appointee/</w:t>
      </w:r>
      <w:r w:rsidR="00491FB5">
        <w:rPr>
          <w:rFonts w:ascii="Calibri" w:hAnsi="Calibri" w:cs="Helv"/>
          <w:color w:val="000000"/>
        </w:rPr>
        <w:t>beneficiary.</w:t>
      </w:r>
      <w:r w:rsidR="00491FB5">
        <w:rPr>
          <w:rStyle w:val="FootnoteReference"/>
          <w:rFonts w:ascii="Calibri" w:hAnsi="Calibri" w:cs="Helv"/>
          <w:color w:val="000000"/>
        </w:rPr>
        <w:footnoteReference w:id="458"/>
      </w:r>
      <w:r w:rsidR="00491FB5">
        <w:rPr>
          <w:rFonts w:ascii="Calibri" w:hAnsi="Calibri" w:cs="Helv"/>
          <w:color w:val="000000"/>
        </w:rPr>
        <w:t xml:space="preserve">  Whether this makes sense depends on the family situation, trust and brackets of the parties involved (and potentially the assets, such as whether an S Corp or IRA is involved, which </w:t>
      </w:r>
      <w:r w:rsidR="00622352">
        <w:rPr>
          <w:rFonts w:ascii="Calibri" w:hAnsi="Calibri" w:cs="Helv"/>
          <w:color w:val="000000"/>
        </w:rPr>
        <w:lastRenderedPageBreak/>
        <w:t>would</w:t>
      </w:r>
      <w:r w:rsidR="00491FB5">
        <w:rPr>
          <w:rFonts w:ascii="Calibri" w:hAnsi="Calibri" w:cs="Helv"/>
          <w:color w:val="000000"/>
        </w:rPr>
        <w:t xml:space="preserve"> suggest </w:t>
      </w:r>
      <w:r w:rsidR="00622352">
        <w:rPr>
          <w:rFonts w:ascii="Calibri" w:hAnsi="Calibri" w:cs="Helv"/>
          <w:color w:val="000000"/>
        </w:rPr>
        <w:t xml:space="preserve">using </w:t>
      </w:r>
      <w:r w:rsidR="00491FB5">
        <w:rPr>
          <w:rFonts w:ascii="Calibri" w:hAnsi="Calibri" w:cs="Helv"/>
          <w:color w:val="000000"/>
        </w:rPr>
        <w:t>separate trusts</w:t>
      </w:r>
      <w:r w:rsidR="005B2B0C">
        <w:rPr>
          <w:rFonts w:ascii="Calibri" w:hAnsi="Calibri" w:cs="Helv"/>
          <w:color w:val="000000"/>
        </w:rPr>
        <w:t xml:space="preserve"> or subtrusts</w:t>
      </w:r>
      <w:r w:rsidR="00491FB5">
        <w:rPr>
          <w:rFonts w:ascii="Calibri" w:hAnsi="Calibri" w:cs="Helv"/>
          <w:color w:val="000000"/>
        </w:rPr>
        <w:t>).</w:t>
      </w:r>
      <w:r w:rsidR="00622352">
        <w:rPr>
          <w:rStyle w:val="FootnoteReference"/>
          <w:rFonts w:ascii="Calibri" w:hAnsi="Calibri" w:cs="Helv"/>
          <w:color w:val="000000"/>
        </w:rPr>
        <w:footnoteReference w:id="459"/>
      </w:r>
      <w:r w:rsidR="00491FB5">
        <w:rPr>
          <w:rFonts w:ascii="Calibri" w:hAnsi="Calibri" w:cs="Helv"/>
          <w:color w:val="000000"/>
        </w:rPr>
        <w:t xml:space="preserve">  There are many scenarios where the family would be far better off with this spray capability, potentially lowering tax rates by 20% or more.  Remember, the 0% rate for taxpayers in the bottom two tax brackets for LTCG/qualified dividends was </w:t>
      </w:r>
      <w:r w:rsidR="00B8776E">
        <w:rPr>
          <w:rFonts w:ascii="Calibri" w:hAnsi="Calibri" w:cs="Helv"/>
          <w:color w:val="000000"/>
        </w:rPr>
        <w:t>“</w:t>
      </w:r>
      <w:r w:rsidR="00491FB5">
        <w:rPr>
          <w:rFonts w:ascii="Calibri" w:hAnsi="Calibri" w:cs="Helv"/>
          <w:color w:val="000000"/>
        </w:rPr>
        <w:t>permanently</w:t>
      </w:r>
      <w:r w:rsidR="00B8776E">
        <w:rPr>
          <w:rFonts w:ascii="Calibri" w:hAnsi="Calibri" w:cs="Helv"/>
          <w:color w:val="000000"/>
        </w:rPr>
        <w:t>”</w:t>
      </w:r>
      <w:r w:rsidR="00491FB5">
        <w:rPr>
          <w:rFonts w:ascii="Calibri" w:hAnsi="Calibri" w:cs="Helv"/>
          <w:color w:val="000000"/>
        </w:rPr>
        <w:t xml:space="preserve"> extended with ATRA as well.  </w:t>
      </w:r>
    </w:p>
    <w:p w14:paraId="653070FF" w14:textId="77777777" w:rsidR="000D31E1" w:rsidRDefault="000D31E1" w:rsidP="008A7998">
      <w:pPr>
        <w:autoSpaceDE w:val="0"/>
        <w:autoSpaceDN w:val="0"/>
        <w:adjustRightInd w:val="0"/>
        <w:spacing w:line="360" w:lineRule="auto"/>
        <w:ind w:firstLine="720"/>
        <w:rPr>
          <w:rFonts w:ascii="Calibri" w:hAnsi="Calibri" w:cs="Helv"/>
          <w:color w:val="000000"/>
        </w:rPr>
      </w:pPr>
    </w:p>
    <w:p w14:paraId="0E6BDCA7" w14:textId="77777777" w:rsidR="00175D86" w:rsidRDefault="00175D86">
      <w:pPr>
        <w:rPr>
          <w:rFonts w:ascii="Calibri" w:hAnsi="Calibri" w:cs="Helv"/>
          <w:b/>
          <w:color w:val="000000"/>
        </w:rPr>
      </w:pPr>
      <w:r>
        <w:rPr>
          <w:rFonts w:ascii="Calibri" w:hAnsi="Calibri" w:cs="Helv"/>
          <w:b/>
          <w:color w:val="000000"/>
        </w:rPr>
        <w:br w:type="page"/>
      </w:r>
    </w:p>
    <w:p w14:paraId="5AFCA95D" w14:textId="77777777" w:rsidR="00B51590" w:rsidRPr="0006302D" w:rsidRDefault="00B51590" w:rsidP="007174A1">
      <w:pPr>
        <w:pStyle w:val="ListParagraph"/>
        <w:numPr>
          <w:ilvl w:val="0"/>
          <w:numId w:val="34"/>
        </w:numPr>
        <w:autoSpaceDE w:val="0"/>
        <w:autoSpaceDN w:val="0"/>
        <w:adjustRightInd w:val="0"/>
        <w:spacing w:line="360" w:lineRule="auto"/>
        <w:ind w:hanging="720"/>
        <w:rPr>
          <w:rFonts w:ascii="Calibri" w:hAnsi="Calibri" w:cs="Helv"/>
          <w:b/>
          <w:color w:val="000000"/>
        </w:rPr>
      </w:pPr>
      <w:bookmarkStart w:id="24" w:name="_Hlk19470352"/>
      <w:bookmarkStart w:id="25" w:name="_Hlk19435389"/>
      <w:r w:rsidRPr="0006302D">
        <w:rPr>
          <w:rFonts w:ascii="Calibri" w:hAnsi="Calibri" w:cs="Helv"/>
          <w:b/>
          <w:color w:val="000000"/>
        </w:rPr>
        <w:lastRenderedPageBreak/>
        <w:t xml:space="preserve">Why </w:t>
      </w:r>
      <w:r w:rsidR="005433CF">
        <w:rPr>
          <w:rFonts w:ascii="Calibri" w:hAnsi="Calibri" w:cs="Helv"/>
          <w:b/>
          <w:color w:val="000000"/>
        </w:rPr>
        <w:t>marital trusts</w:t>
      </w:r>
      <w:r w:rsidRPr="0006302D">
        <w:rPr>
          <w:rFonts w:ascii="Calibri" w:hAnsi="Calibri" w:cs="Helv"/>
          <w:b/>
          <w:color w:val="000000"/>
        </w:rPr>
        <w:t xml:space="preserve"> are </w:t>
      </w:r>
      <w:r w:rsidR="007F6168">
        <w:rPr>
          <w:rFonts w:ascii="Calibri" w:hAnsi="Calibri" w:cs="Helv"/>
          <w:b/>
          <w:color w:val="000000"/>
        </w:rPr>
        <w:t>usually</w:t>
      </w:r>
      <w:r w:rsidR="00EE006A" w:rsidRPr="0006302D">
        <w:rPr>
          <w:rFonts w:ascii="Calibri" w:hAnsi="Calibri" w:cs="Helv"/>
          <w:b/>
          <w:color w:val="000000"/>
        </w:rPr>
        <w:t xml:space="preserve"> </w:t>
      </w:r>
      <w:r w:rsidRPr="0006302D">
        <w:rPr>
          <w:rFonts w:ascii="Calibri" w:hAnsi="Calibri" w:cs="Helv"/>
          <w:b/>
          <w:color w:val="000000"/>
        </w:rPr>
        <w:t>terrible</w:t>
      </w:r>
      <w:r w:rsidR="00850113" w:rsidRPr="0006302D">
        <w:rPr>
          <w:rFonts w:ascii="Calibri" w:hAnsi="Calibri" w:cs="Helv"/>
          <w:b/>
          <w:color w:val="000000"/>
        </w:rPr>
        <w:t xml:space="preserve"> </w:t>
      </w:r>
      <w:r w:rsidRPr="0006302D">
        <w:rPr>
          <w:rFonts w:ascii="Calibri" w:hAnsi="Calibri" w:cs="Helv"/>
          <w:b/>
          <w:color w:val="000000"/>
        </w:rPr>
        <w:t>for tax shifting</w:t>
      </w:r>
      <w:r w:rsidR="00EE006A" w:rsidRPr="0006302D">
        <w:rPr>
          <w:rFonts w:ascii="Calibri" w:hAnsi="Calibri" w:cs="Helv"/>
          <w:b/>
          <w:color w:val="000000"/>
        </w:rPr>
        <w:t xml:space="preserve"> and what can be do</w:t>
      </w:r>
      <w:r w:rsidR="005433CF">
        <w:rPr>
          <w:rFonts w:ascii="Calibri" w:hAnsi="Calibri" w:cs="Helv"/>
          <w:b/>
          <w:color w:val="000000"/>
        </w:rPr>
        <w:t>ne</w:t>
      </w:r>
    </w:p>
    <w:bookmarkEnd w:id="24"/>
    <w:p w14:paraId="29FA458E" w14:textId="77777777" w:rsidR="00FD09E8" w:rsidRDefault="00244E30" w:rsidP="008A7998">
      <w:pPr>
        <w:autoSpaceDE w:val="0"/>
        <w:autoSpaceDN w:val="0"/>
        <w:adjustRightInd w:val="0"/>
        <w:spacing w:line="360" w:lineRule="auto"/>
        <w:ind w:firstLine="720"/>
        <w:rPr>
          <w:rFonts w:ascii="Calibri" w:hAnsi="Calibri" w:cs="Helv"/>
          <w:color w:val="000000"/>
          <w:lang w:val="en"/>
        </w:rPr>
      </w:pPr>
      <w:r>
        <w:rPr>
          <w:rFonts w:ascii="Calibri" w:hAnsi="Calibri" w:cs="Helv"/>
          <w:color w:val="000000"/>
          <w:lang w:val="en"/>
        </w:rPr>
        <w:t>Marital and QTIP trusts generally must require that the surviving spouse be the ONLY beneficiary entitled or eligible for income, so they are generally terrible vehicles for tax shifting.</w:t>
      </w:r>
      <w:r w:rsidR="00FD09E8">
        <w:rPr>
          <w:rFonts w:ascii="Calibri" w:hAnsi="Calibri" w:cs="Helv"/>
          <w:color w:val="000000"/>
          <w:lang w:val="en"/>
        </w:rPr>
        <w:t xml:space="preserve">  But there is a </w:t>
      </w:r>
      <w:r w:rsidR="005433CF">
        <w:rPr>
          <w:rFonts w:ascii="Calibri" w:hAnsi="Calibri" w:cs="Helv"/>
          <w:color w:val="000000"/>
          <w:lang w:val="en"/>
        </w:rPr>
        <w:t>distinct difference between QTIP and GPOA marital trusts.</w:t>
      </w:r>
      <w:r>
        <w:rPr>
          <w:rFonts w:ascii="Calibri" w:hAnsi="Calibri" w:cs="Helv"/>
          <w:color w:val="000000"/>
          <w:lang w:val="en"/>
        </w:rPr>
        <w:t xml:space="preserve">  </w:t>
      </w:r>
    </w:p>
    <w:p w14:paraId="014B1A3A" w14:textId="77777777" w:rsidR="005433CF" w:rsidRPr="005433CF" w:rsidRDefault="005433CF" w:rsidP="005433CF">
      <w:pPr>
        <w:autoSpaceDE w:val="0"/>
        <w:autoSpaceDN w:val="0"/>
        <w:adjustRightInd w:val="0"/>
        <w:spacing w:line="360" w:lineRule="auto"/>
        <w:ind w:firstLine="720"/>
        <w:rPr>
          <w:rFonts w:ascii="Calibri" w:hAnsi="Calibri" w:cs="Helv"/>
          <w:color w:val="000000"/>
        </w:rPr>
      </w:pPr>
      <w:r w:rsidRPr="005433CF">
        <w:rPr>
          <w:rFonts w:ascii="Calibri" w:hAnsi="Calibri" w:cs="Helv"/>
          <w:color w:val="000000"/>
        </w:rPr>
        <w:t xml:space="preserve">Without looking at other regulatory guidance, the tax code seems to allow such a power for GPOA marital trusts but disallow it for QTIPs: </w:t>
      </w:r>
      <w:bookmarkStart w:id="26" w:name="_Hlk19459075"/>
    </w:p>
    <w:p w14:paraId="3939DB0B" w14:textId="77777777" w:rsidR="005433CF" w:rsidRPr="005433CF" w:rsidRDefault="005433CF" w:rsidP="005433CF">
      <w:pPr>
        <w:autoSpaceDE w:val="0"/>
        <w:autoSpaceDN w:val="0"/>
        <w:adjustRightInd w:val="0"/>
        <w:spacing w:line="360" w:lineRule="auto"/>
        <w:ind w:firstLine="720"/>
        <w:rPr>
          <w:rFonts w:ascii="Calibri" w:hAnsi="Calibri" w:cs="Helv"/>
          <w:color w:val="000000"/>
        </w:rPr>
      </w:pPr>
      <w:r w:rsidRPr="005433CF">
        <w:rPr>
          <w:rFonts w:ascii="Calibri" w:hAnsi="Calibri" w:cs="Helv"/>
          <w:color w:val="000000"/>
        </w:rPr>
        <w:t xml:space="preserve">IRC §2056(b)(5): </w:t>
      </w:r>
    </w:p>
    <w:p w14:paraId="7B9502C5" w14:textId="77777777" w:rsidR="005433CF" w:rsidRPr="005433CF" w:rsidRDefault="005433CF" w:rsidP="005433CF">
      <w:pPr>
        <w:autoSpaceDE w:val="0"/>
        <w:autoSpaceDN w:val="0"/>
        <w:adjustRightInd w:val="0"/>
        <w:ind w:left="720"/>
        <w:rPr>
          <w:rFonts w:ascii="Calibri" w:hAnsi="Calibri" w:cs="Helv"/>
          <w:color w:val="000000"/>
        </w:rPr>
      </w:pPr>
      <w:r w:rsidRPr="005433CF">
        <w:rPr>
          <w:rFonts w:ascii="Calibri" w:hAnsi="Calibri" w:cs="Helv"/>
          <w:color w:val="000000"/>
        </w:rPr>
        <w:t xml:space="preserve">“Life estate with power of appointment in surviving spouse.  In the case of an interest in property passing from the decedent, if his surviving spouse is entitled for life to all the income from the entire interest, or all the income from a specific portion thereof, payable annually or at more frequent intervals, with power in the surviving spouse to appoint the entire interest, or such specific portion (exercisable in favor of such surviving spouse, or of the estate of such surviving spouse, or in favor of either, whether or not in each case the power is exercisable in favor of others), </w:t>
      </w:r>
      <w:r w:rsidRPr="005433CF">
        <w:rPr>
          <w:rFonts w:ascii="Calibri" w:hAnsi="Calibri" w:cs="Helv"/>
          <w:i/>
          <w:color w:val="000000"/>
        </w:rPr>
        <w:t>and with no power</w:t>
      </w:r>
      <w:r w:rsidRPr="005433CF">
        <w:rPr>
          <w:rFonts w:ascii="Calibri" w:hAnsi="Calibri" w:cs="Helv"/>
          <w:color w:val="000000"/>
        </w:rPr>
        <w:t xml:space="preserve"> </w:t>
      </w:r>
      <w:r w:rsidRPr="005433CF">
        <w:rPr>
          <w:rFonts w:ascii="Calibri" w:hAnsi="Calibri" w:cs="Helv"/>
          <w:b/>
          <w:color w:val="000000"/>
        </w:rPr>
        <w:t xml:space="preserve">in </w:t>
      </w:r>
      <w:r w:rsidRPr="005433CF">
        <w:rPr>
          <w:rFonts w:ascii="Calibri" w:hAnsi="Calibri" w:cs="Helv"/>
          <w:b/>
          <w:i/>
          <w:color w:val="000000"/>
        </w:rPr>
        <w:t>any other</w:t>
      </w:r>
      <w:r w:rsidRPr="005433CF">
        <w:rPr>
          <w:rFonts w:ascii="Calibri" w:hAnsi="Calibri" w:cs="Helv"/>
          <w:b/>
          <w:color w:val="000000"/>
        </w:rPr>
        <w:t xml:space="preserve"> person</w:t>
      </w:r>
      <w:r w:rsidRPr="005433CF">
        <w:rPr>
          <w:rFonts w:ascii="Calibri" w:hAnsi="Calibri" w:cs="Helv"/>
          <w:color w:val="000000"/>
        </w:rPr>
        <w:t xml:space="preserve"> to appoint any part of the interest, or such specific portion, </w:t>
      </w:r>
      <w:r w:rsidRPr="005433CF">
        <w:rPr>
          <w:rFonts w:ascii="Calibri" w:hAnsi="Calibri" w:cs="Helv"/>
          <w:i/>
          <w:color w:val="000000"/>
        </w:rPr>
        <w:t>to any person other than the surviving spouse</w:t>
      </w:r>
      <w:r w:rsidRPr="005433CF">
        <w:rPr>
          <w:rFonts w:ascii="Calibri" w:hAnsi="Calibri" w:cs="Helv"/>
          <w:color w:val="000000"/>
        </w:rPr>
        <w:t>;”</w:t>
      </w:r>
    </w:p>
    <w:p w14:paraId="1E9839B4" w14:textId="77777777" w:rsidR="005433CF" w:rsidRPr="005433CF" w:rsidRDefault="005433CF" w:rsidP="005433CF">
      <w:pPr>
        <w:autoSpaceDE w:val="0"/>
        <w:autoSpaceDN w:val="0"/>
        <w:adjustRightInd w:val="0"/>
        <w:spacing w:line="360" w:lineRule="auto"/>
        <w:ind w:firstLine="720"/>
        <w:rPr>
          <w:rFonts w:ascii="Calibri" w:hAnsi="Calibri" w:cs="Helv"/>
          <w:color w:val="000000"/>
        </w:rPr>
      </w:pPr>
    </w:p>
    <w:p w14:paraId="50EA64DD" w14:textId="77777777" w:rsidR="005433CF" w:rsidRPr="005433CF" w:rsidRDefault="005433CF" w:rsidP="005433CF">
      <w:pPr>
        <w:autoSpaceDE w:val="0"/>
        <w:autoSpaceDN w:val="0"/>
        <w:adjustRightInd w:val="0"/>
        <w:spacing w:line="360" w:lineRule="auto"/>
        <w:ind w:firstLine="720"/>
        <w:rPr>
          <w:rFonts w:ascii="Calibri" w:hAnsi="Calibri" w:cs="Helv"/>
          <w:color w:val="000000"/>
        </w:rPr>
      </w:pPr>
      <w:r w:rsidRPr="005433CF">
        <w:rPr>
          <w:rFonts w:ascii="Calibri" w:hAnsi="Calibri" w:cs="Helv"/>
          <w:color w:val="000000"/>
        </w:rPr>
        <w:t>IRC §2056(b)(7)</w:t>
      </w:r>
      <w:bookmarkEnd w:id="26"/>
      <w:r w:rsidRPr="005433CF">
        <w:rPr>
          <w:rFonts w:ascii="Calibri" w:hAnsi="Calibri" w:cs="Helv"/>
          <w:color w:val="000000"/>
        </w:rPr>
        <w:t xml:space="preserve">(B)(ii): </w:t>
      </w:r>
    </w:p>
    <w:p w14:paraId="4B2C4E26" w14:textId="77777777" w:rsidR="005433CF" w:rsidRPr="005433CF" w:rsidRDefault="005433CF" w:rsidP="005433CF">
      <w:pPr>
        <w:autoSpaceDE w:val="0"/>
        <w:autoSpaceDN w:val="0"/>
        <w:adjustRightInd w:val="0"/>
        <w:ind w:left="720"/>
        <w:rPr>
          <w:rFonts w:ascii="Calibri" w:hAnsi="Calibri" w:cs="Helv"/>
          <w:color w:val="000000"/>
        </w:rPr>
      </w:pPr>
      <w:r w:rsidRPr="005433CF">
        <w:rPr>
          <w:rFonts w:ascii="Calibri" w:hAnsi="Calibri" w:cs="Helv"/>
          <w:color w:val="000000"/>
        </w:rPr>
        <w:t>“(ii) Qualifying income interest for life.  The surviving spouse has a qualifying income interest for life if—</w:t>
      </w:r>
    </w:p>
    <w:p w14:paraId="7DBED5CD" w14:textId="77777777" w:rsidR="009F1CA7" w:rsidRPr="005433CF" w:rsidRDefault="0023611B" w:rsidP="005433CF">
      <w:pPr>
        <w:numPr>
          <w:ilvl w:val="0"/>
          <w:numId w:val="42"/>
        </w:numPr>
        <w:autoSpaceDE w:val="0"/>
        <w:autoSpaceDN w:val="0"/>
        <w:adjustRightInd w:val="0"/>
        <w:rPr>
          <w:rFonts w:ascii="Calibri" w:hAnsi="Calibri" w:cs="Helv"/>
          <w:bCs/>
          <w:color w:val="000000"/>
          <w:lang w:val="en"/>
        </w:rPr>
      </w:pPr>
      <w:r w:rsidRPr="005433CF">
        <w:rPr>
          <w:rFonts w:ascii="Calibri" w:hAnsi="Calibri" w:cs="Helv"/>
          <w:color w:val="000000"/>
        </w:rPr>
        <w:t>the surviving spouse is entitled to all the income from the property, payable annually or at more frequent intervals, or has a usufruct interest for life in the property, and</w:t>
      </w:r>
      <w:r w:rsidRPr="005433CF">
        <w:rPr>
          <w:rFonts w:ascii="Calibri" w:hAnsi="Calibri" w:cs="Helv"/>
          <w:bCs/>
          <w:color w:val="000000"/>
          <w:lang w:val="en"/>
        </w:rPr>
        <w:t xml:space="preserve"> </w:t>
      </w:r>
    </w:p>
    <w:p w14:paraId="1D1D1D0D" w14:textId="77777777" w:rsidR="009F1CA7" w:rsidRPr="005433CF" w:rsidRDefault="0023611B" w:rsidP="005433CF">
      <w:pPr>
        <w:numPr>
          <w:ilvl w:val="0"/>
          <w:numId w:val="42"/>
        </w:numPr>
        <w:autoSpaceDE w:val="0"/>
        <w:autoSpaceDN w:val="0"/>
        <w:adjustRightInd w:val="0"/>
        <w:rPr>
          <w:rFonts w:ascii="Calibri" w:hAnsi="Calibri" w:cs="Helv"/>
          <w:color w:val="000000"/>
          <w:lang w:val="en"/>
        </w:rPr>
      </w:pPr>
      <w:r w:rsidRPr="005433CF">
        <w:rPr>
          <w:rFonts w:ascii="Calibri" w:hAnsi="Calibri" w:cs="Helv"/>
          <w:b/>
          <w:i/>
          <w:color w:val="000000"/>
          <w:lang w:val="en"/>
        </w:rPr>
        <w:t>no person</w:t>
      </w:r>
      <w:r w:rsidRPr="005433CF">
        <w:rPr>
          <w:rFonts w:ascii="Calibri" w:hAnsi="Calibri" w:cs="Helv"/>
          <w:i/>
          <w:color w:val="000000"/>
          <w:lang w:val="en"/>
        </w:rPr>
        <w:t xml:space="preserve"> has a power to appoint any part of the property to any person other than the surviving spouse</w:t>
      </w:r>
      <w:r w:rsidRPr="005433CF">
        <w:rPr>
          <w:rFonts w:ascii="Calibri" w:hAnsi="Calibri" w:cs="Helv"/>
          <w:color w:val="000000"/>
          <w:lang w:val="en"/>
        </w:rPr>
        <w:t>.”</w:t>
      </w:r>
    </w:p>
    <w:p w14:paraId="00F02DB4" w14:textId="77777777" w:rsidR="005433CF" w:rsidRPr="005433CF" w:rsidRDefault="005433CF" w:rsidP="005433CF">
      <w:pPr>
        <w:autoSpaceDE w:val="0"/>
        <w:autoSpaceDN w:val="0"/>
        <w:adjustRightInd w:val="0"/>
        <w:spacing w:line="360" w:lineRule="auto"/>
        <w:ind w:firstLine="720"/>
        <w:rPr>
          <w:rFonts w:ascii="Calibri" w:hAnsi="Calibri" w:cs="Helv"/>
          <w:color w:val="000000"/>
          <w:lang w:val="en"/>
        </w:rPr>
      </w:pPr>
    </w:p>
    <w:p w14:paraId="19160BCA" w14:textId="77777777" w:rsidR="001C62BA" w:rsidRDefault="005433CF" w:rsidP="005433CF">
      <w:pPr>
        <w:autoSpaceDE w:val="0"/>
        <w:autoSpaceDN w:val="0"/>
        <w:adjustRightInd w:val="0"/>
        <w:spacing w:line="360" w:lineRule="auto"/>
        <w:ind w:firstLine="720"/>
        <w:rPr>
          <w:rFonts w:ascii="Calibri" w:hAnsi="Calibri" w:cs="Helv"/>
          <w:color w:val="000000"/>
          <w:lang w:val="en"/>
        </w:rPr>
      </w:pPr>
      <w:r w:rsidRPr="005433CF">
        <w:rPr>
          <w:rFonts w:ascii="Calibri" w:hAnsi="Calibri" w:cs="Helv"/>
          <w:color w:val="000000"/>
          <w:lang w:val="en"/>
        </w:rPr>
        <w:t xml:space="preserve">So it appears from the code that a marital GPOA trust permits a spouse to appoint to themselves or others with a presently exercisable general power of appointment but a QTIP cannot. Revenue Rulings and TAMs have </w:t>
      </w:r>
      <w:r>
        <w:rPr>
          <w:rFonts w:ascii="Calibri" w:hAnsi="Calibri" w:cs="Helv"/>
          <w:color w:val="000000"/>
          <w:lang w:val="en"/>
        </w:rPr>
        <w:t xml:space="preserve">also </w:t>
      </w:r>
      <w:r w:rsidRPr="005433CF">
        <w:rPr>
          <w:rFonts w:ascii="Calibri" w:hAnsi="Calibri" w:cs="Helv"/>
          <w:color w:val="000000"/>
          <w:lang w:val="en"/>
        </w:rPr>
        <w:t>approved of a marital GPOA trust permitting a spouse to appoint to others.</w:t>
      </w:r>
      <w:r w:rsidRPr="005433CF">
        <w:rPr>
          <w:rFonts w:ascii="Calibri" w:hAnsi="Calibri" w:cs="Helv"/>
          <w:color w:val="000000"/>
          <w:vertAlign w:val="superscript"/>
          <w:lang w:val="en"/>
        </w:rPr>
        <w:footnoteReference w:id="460"/>
      </w:r>
      <w:r w:rsidRPr="005433CF">
        <w:rPr>
          <w:rFonts w:ascii="Calibri" w:hAnsi="Calibri" w:cs="Helv"/>
          <w:color w:val="000000"/>
          <w:lang w:val="en"/>
        </w:rPr>
        <w:t xml:space="preserve">  </w:t>
      </w:r>
    </w:p>
    <w:p w14:paraId="08D0C70C" w14:textId="77777777" w:rsidR="005433CF" w:rsidRPr="005433CF" w:rsidRDefault="001C62BA" w:rsidP="005433CF">
      <w:pPr>
        <w:autoSpaceDE w:val="0"/>
        <w:autoSpaceDN w:val="0"/>
        <w:adjustRightInd w:val="0"/>
        <w:spacing w:line="360" w:lineRule="auto"/>
        <w:ind w:firstLine="720"/>
        <w:rPr>
          <w:rFonts w:ascii="Calibri" w:hAnsi="Calibri" w:cs="Helv"/>
          <w:color w:val="000000"/>
          <w:lang w:val="en"/>
        </w:rPr>
      </w:pPr>
      <w:r>
        <w:rPr>
          <w:rFonts w:ascii="Calibri" w:hAnsi="Calibri" w:cs="Helv"/>
          <w:color w:val="000000"/>
          <w:lang w:val="en"/>
        </w:rPr>
        <w:lastRenderedPageBreak/>
        <w:t>By contrast, a</w:t>
      </w:r>
      <w:r w:rsidR="005433CF" w:rsidRPr="005433CF">
        <w:rPr>
          <w:rFonts w:ascii="Calibri" w:hAnsi="Calibri" w:cs="Helv"/>
          <w:color w:val="000000"/>
          <w:lang w:val="en"/>
        </w:rPr>
        <w:t xml:space="preserve"> 1989 PLR had permitted a QTIP trust to qualify despite a </w:t>
      </w:r>
      <w:r w:rsidR="00404272">
        <w:rPr>
          <w:rFonts w:ascii="Calibri" w:hAnsi="Calibri" w:cs="Helv"/>
          <w:color w:val="000000"/>
          <w:lang w:val="en"/>
        </w:rPr>
        <w:t xml:space="preserve">“five and five” </w:t>
      </w:r>
      <w:r w:rsidR="005433CF" w:rsidRPr="005433CF">
        <w:rPr>
          <w:rFonts w:ascii="Calibri" w:hAnsi="Calibri" w:cs="Helv"/>
          <w:color w:val="000000"/>
          <w:lang w:val="en"/>
        </w:rPr>
        <w:t xml:space="preserve">lifetime </w:t>
      </w:r>
      <w:r>
        <w:rPr>
          <w:rFonts w:ascii="Calibri" w:hAnsi="Calibri" w:cs="Helv"/>
          <w:color w:val="000000"/>
          <w:lang w:val="en"/>
        </w:rPr>
        <w:t xml:space="preserve">general </w:t>
      </w:r>
      <w:r w:rsidR="005433CF" w:rsidRPr="005433CF">
        <w:rPr>
          <w:rFonts w:ascii="Calibri" w:hAnsi="Calibri" w:cs="Helv"/>
          <w:color w:val="000000"/>
          <w:lang w:val="en"/>
        </w:rPr>
        <w:t xml:space="preserve">power to appoint to the powerholder or others, but </w:t>
      </w:r>
      <w:r>
        <w:rPr>
          <w:rFonts w:ascii="Calibri" w:hAnsi="Calibri" w:cs="Helv"/>
          <w:color w:val="000000"/>
          <w:lang w:val="en"/>
        </w:rPr>
        <w:t>it is unclear whether such a PLR would</w:t>
      </w:r>
      <w:r w:rsidR="005433CF" w:rsidRPr="005433CF">
        <w:rPr>
          <w:rFonts w:ascii="Calibri" w:hAnsi="Calibri" w:cs="Helv"/>
          <w:color w:val="000000"/>
          <w:lang w:val="en"/>
        </w:rPr>
        <w:t xml:space="preserve"> be granted today</w:t>
      </w:r>
      <w:r>
        <w:rPr>
          <w:rFonts w:ascii="Calibri" w:hAnsi="Calibri" w:cs="Helv"/>
          <w:color w:val="000000"/>
          <w:lang w:val="en"/>
        </w:rPr>
        <w:t xml:space="preserve"> in light of more recent treasury regulations failing to clarify the point</w:t>
      </w:r>
      <w:r w:rsidR="005433CF" w:rsidRPr="005433CF">
        <w:rPr>
          <w:rFonts w:ascii="Calibri" w:hAnsi="Calibri" w:cs="Helv"/>
          <w:color w:val="000000"/>
          <w:lang w:val="en"/>
        </w:rPr>
        <w:t>.</w:t>
      </w:r>
      <w:r w:rsidR="00355D62">
        <w:rPr>
          <w:rStyle w:val="FootnoteReference"/>
          <w:rFonts w:ascii="Calibri" w:hAnsi="Calibri" w:cs="Helv"/>
          <w:color w:val="000000"/>
          <w:lang w:val="en"/>
        </w:rPr>
        <w:footnoteReference w:id="461"/>
      </w:r>
    </w:p>
    <w:p w14:paraId="1D47CF3F" w14:textId="77777777" w:rsidR="00FB6577" w:rsidRDefault="00404272" w:rsidP="00404272">
      <w:pPr>
        <w:autoSpaceDE w:val="0"/>
        <w:autoSpaceDN w:val="0"/>
        <w:adjustRightInd w:val="0"/>
        <w:spacing w:line="360" w:lineRule="auto"/>
        <w:ind w:firstLine="720"/>
        <w:rPr>
          <w:rFonts w:ascii="Calibri" w:hAnsi="Calibri" w:cs="Helv"/>
          <w:color w:val="000000"/>
          <w:lang w:val="en"/>
        </w:rPr>
      </w:pPr>
      <w:r>
        <w:rPr>
          <w:rFonts w:ascii="Calibri" w:hAnsi="Calibri" w:cs="Helv"/>
          <w:color w:val="000000"/>
          <w:lang w:val="en"/>
        </w:rPr>
        <w:t>An</w:t>
      </w:r>
      <w:r w:rsidR="005E55E2">
        <w:rPr>
          <w:rFonts w:ascii="Calibri" w:hAnsi="Calibri" w:cs="Helv"/>
          <w:color w:val="000000"/>
          <w:lang w:val="en"/>
        </w:rPr>
        <w:t xml:space="preserve"> unexercised 5/5 power ordinarily is an unholy nightmare to administer and track, because </w:t>
      </w:r>
      <w:r w:rsidR="00344DB8">
        <w:rPr>
          <w:rFonts w:ascii="Calibri" w:hAnsi="Calibri" w:cs="Helv"/>
          <w:color w:val="000000"/>
          <w:lang w:val="en"/>
        </w:rPr>
        <w:t>every</w:t>
      </w:r>
      <w:r w:rsidR="005E55E2">
        <w:rPr>
          <w:rFonts w:ascii="Calibri" w:hAnsi="Calibri" w:cs="Helv"/>
          <w:color w:val="000000"/>
          <w:lang w:val="en"/>
        </w:rPr>
        <w:t xml:space="preserve"> lapse creates a </w:t>
      </w:r>
      <w:r w:rsidR="00344DB8">
        <w:rPr>
          <w:rFonts w:ascii="Calibri" w:hAnsi="Calibri" w:cs="Helv"/>
          <w:color w:val="000000"/>
          <w:lang w:val="en"/>
        </w:rPr>
        <w:t xml:space="preserve">changing </w:t>
      </w:r>
      <w:r w:rsidR="005E55E2">
        <w:rPr>
          <w:rFonts w:ascii="Calibri" w:hAnsi="Calibri" w:cs="Helv"/>
          <w:color w:val="000000"/>
          <w:lang w:val="en"/>
        </w:rPr>
        <w:t>fractional grantor trust.</w:t>
      </w:r>
      <w:r w:rsidR="005E55E2">
        <w:rPr>
          <w:rStyle w:val="FootnoteReference"/>
          <w:rFonts w:ascii="Calibri" w:hAnsi="Calibri" w:cs="Helv"/>
          <w:color w:val="000000"/>
          <w:lang w:val="en"/>
        </w:rPr>
        <w:footnoteReference w:id="462"/>
      </w:r>
      <w:r w:rsidR="00FB6577">
        <w:rPr>
          <w:rFonts w:ascii="Calibri" w:hAnsi="Calibri" w:cs="Helv"/>
          <w:color w:val="000000"/>
          <w:lang w:val="en"/>
        </w:rPr>
        <w:t xml:space="preserve">  </w:t>
      </w:r>
    </w:p>
    <w:p w14:paraId="2E92925F" w14:textId="77777777" w:rsidR="00404272" w:rsidRDefault="00AE5638" w:rsidP="00FB6577">
      <w:pPr>
        <w:autoSpaceDE w:val="0"/>
        <w:autoSpaceDN w:val="0"/>
        <w:adjustRightInd w:val="0"/>
        <w:spacing w:line="360" w:lineRule="auto"/>
        <w:ind w:firstLine="720"/>
        <w:rPr>
          <w:rFonts w:ascii="Calibri" w:hAnsi="Calibri" w:cs="Helv"/>
          <w:color w:val="000000"/>
        </w:rPr>
      </w:pPr>
      <w:r>
        <w:rPr>
          <w:rFonts w:ascii="Calibri" w:hAnsi="Calibri" w:cs="Helv"/>
          <w:color w:val="000000"/>
          <w:lang w:val="en"/>
        </w:rPr>
        <w:t>Let’s return</w:t>
      </w:r>
      <w:r w:rsidR="00FB6577">
        <w:rPr>
          <w:rFonts w:ascii="Calibri" w:hAnsi="Calibri" w:cs="Helv"/>
          <w:color w:val="000000"/>
          <w:lang w:val="en"/>
        </w:rPr>
        <w:t xml:space="preserve"> to </w:t>
      </w:r>
      <w:r>
        <w:rPr>
          <w:rFonts w:ascii="Calibri" w:hAnsi="Calibri" w:cs="Helv"/>
          <w:color w:val="000000"/>
          <w:lang w:val="en"/>
        </w:rPr>
        <w:t xml:space="preserve">a modified version of </w:t>
      </w:r>
      <w:r w:rsidR="00FB6577">
        <w:rPr>
          <w:rFonts w:ascii="Calibri" w:hAnsi="Calibri" w:cs="Helv"/>
          <w:color w:val="000000"/>
          <w:lang w:val="en"/>
        </w:rPr>
        <w:t>our previous example</w:t>
      </w:r>
      <w:r w:rsidR="00404272">
        <w:rPr>
          <w:rFonts w:ascii="Calibri" w:hAnsi="Calibri" w:cs="Helv"/>
          <w:color w:val="000000"/>
          <w:lang w:val="en"/>
        </w:rPr>
        <w:t>, but with a marital GPOA trust</w:t>
      </w:r>
      <w:r w:rsidR="00FB6577">
        <w:rPr>
          <w:rFonts w:ascii="Calibri" w:hAnsi="Calibri" w:cs="Helv"/>
          <w:color w:val="000000"/>
          <w:lang w:val="en"/>
        </w:rPr>
        <w:t xml:space="preserve">: Barbara’s </w:t>
      </w:r>
      <w:r w:rsidR="00404272">
        <w:rPr>
          <w:rFonts w:ascii="Calibri" w:hAnsi="Calibri" w:cs="Helv"/>
          <w:b/>
          <w:color w:val="000000"/>
          <w:lang w:val="en"/>
        </w:rPr>
        <w:t>marital GPOA</w:t>
      </w:r>
      <w:r w:rsidR="00FB6577" w:rsidRPr="00FB6577">
        <w:rPr>
          <w:rFonts w:ascii="Calibri" w:hAnsi="Calibri" w:cs="Helv"/>
          <w:b/>
          <w:color w:val="000000"/>
          <w:lang w:val="en"/>
        </w:rPr>
        <w:t xml:space="preserve"> trust</w:t>
      </w:r>
      <w:r w:rsidR="00FB6577">
        <w:rPr>
          <w:rFonts w:ascii="Calibri" w:hAnsi="Calibri" w:cs="Helv"/>
          <w:color w:val="000000"/>
          <w:lang w:val="en"/>
        </w:rPr>
        <w:t xml:space="preserve"> </w:t>
      </w:r>
      <w:r w:rsidR="00404272">
        <w:rPr>
          <w:rFonts w:ascii="Calibri" w:hAnsi="Calibri" w:cs="Helv"/>
          <w:color w:val="000000"/>
          <w:lang w:val="en"/>
        </w:rPr>
        <w:t xml:space="preserve">grants her the power to withdraw all net income, plus she </w:t>
      </w:r>
      <w:r w:rsidR="00FB6577">
        <w:rPr>
          <w:rFonts w:ascii="Calibri" w:hAnsi="Calibri" w:cs="Helv"/>
          <w:color w:val="000000"/>
          <w:lang w:val="en"/>
        </w:rPr>
        <w:t>has a 5/5 power</w:t>
      </w:r>
      <w:r w:rsidR="009A76CB">
        <w:rPr>
          <w:rFonts w:ascii="Calibri" w:hAnsi="Calibri" w:cs="Helv"/>
          <w:color w:val="000000"/>
          <w:lang w:val="en"/>
        </w:rPr>
        <w:t xml:space="preserve"> and testamentary general power of appointement</w:t>
      </w:r>
      <w:r w:rsidR="00FB6577">
        <w:rPr>
          <w:rFonts w:ascii="Calibri" w:hAnsi="Calibri" w:cs="Helv"/>
          <w:color w:val="000000"/>
          <w:lang w:val="en"/>
        </w:rPr>
        <w:t xml:space="preserve">.  The trust corpus is $2 million and has </w:t>
      </w:r>
      <w:r w:rsidR="00FB6577" w:rsidRPr="00FB6577">
        <w:rPr>
          <w:rFonts w:ascii="Calibri" w:hAnsi="Calibri" w:cs="Helv"/>
          <w:color w:val="000000"/>
        </w:rPr>
        <w:t xml:space="preserve">ordinary income of $40,000 (the trust’s accounting income), short-term capital </w:t>
      </w:r>
      <w:r w:rsidR="00FB6577" w:rsidRPr="00FB6577">
        <w:rPr>
          <w:rFonts w:ascii="Calibri" w:hAnsi="Calibri" w:cs="Helv"/>
          <w:color w:val="000000"/>
        </w:rPr>
        <w:lastRenderedPageBreak/>
        <w:t xml:space="preserve">gains of $30,000, and long-term capital gains of $70,000. </w:t>
      </w:r>
      <w:r w:rsidR="00FB6577">
        <w:rPr>
          <w:rFonts w:ascii="Calibri" w:hAnsi="Calibri" w:cs="Helv"/>
          <w:color w:val="000000"/>
        </w:rPr>
        <w:t xml:space="preserve"> </w:t>
      </w:r>
      <w:r w:rsidR="00FB6577" w:rsidRPr="00FB6577">
        <w:rPr>
          <w:rFonts w:ascii="Calibri" w:hAnsi="Calibri" w:cs="Helv"/>
          <w:color w:val="000000"/>
        </w:rPr>
        <w:t xml:space="preserve">The trustee </w:t>
      </w:r>
      <w:r w:rsidR="00FB6577">
        <w:rPr>
          <w:rFonts w:ascii="Calibri" w:hAnsi="Calibri" w:cs="Helv"/>
          <w:color w:val="000000"/>
        </w:rPr>
        <w:t>does not allocate</w:t>
      </w:r>
      <w:r w:rsidR="00FB6577" w:rsidRPr="00FB6577">
        <w:rPr>
          <w:rFonts w:ascii="Calibri" w:hAnsi="Calibri" w:cs="Helv"/>
          <w:color w:val="000000"/>
        </w:rPr>
        <w:t xml:space="preserve"> capital gains to trust </w:t>
      </w:r>
      <w:r w:rsidR="009B51CE">
        <w:rPr>
          <w:rFonts w:ascii="Calibri" w:hAnsi="Calibri" w:cs="Helv"/>
          <w:color w:val="000000"/>
        </w:rPr>
        <w:t>income</w:t>
      </w:r>
      <w:r w:rsidR="00FB6577" w:rsidRPr="00FB6577">
        <w:rPr>
          <w:rFonts w:ascii="Calibri" w:hAnsi="Calibri" w:cs="Helv"/>
          <w:color w:val="000000"/>
        </w:rPr>
        <w:t xml:space="preserve">.  </w:t>
      </w:r>
    </w:p>
    <w:p w14:paraId="4806115D" w14:textId="77777777" w:rsidR="00FB6577" w:rsidRDefault="00404272" w:rsidP="00FB6577">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Barbara is taxed on $40,000 </w:t>
      </w:r>
      <w:r w:rsidR="009A76CB">
        <w:rPr>
          <w:rFonts w:ascii="Calibri" w:hAnsi="Calibri" w:cs="Helv"/>
          <w:color w:val="000000"/>
        </w:rPr>
        <w:t xml:space="preserve">ordinary income </w:t>
      </w:r>
      <w:r>
        <w:rPr>
          <w:rFonts w:ascii="Calibri" w:hAnsi="Calibri" w:cs="Helv"/>
          <w:color w:val="000000"/>
        </w:rPr>
        <w:t>directly under §678 by virtue of her power to withdraw the accounting income, which is necessary to qualify as a marital trust.  She is also responsible under §678</w:t>
      </w:r>
      <w:r w:rsidR="009A76CB">
        <w:rPr>
          <w:rFonts w:ascii="Calibri" w:hAnsi="Calibri" w:cs="Helv"/>
          <w:color w:val="000000"/>
        </w:rPr>
        <w:t>(a)</w:t>
      </w:r>
      <w:r>
        <w:rPr>
          <w:rFonts w:ascii="Calibri" w:hAnsi="Calibri" w:cs="Helv"/>
          <w:color w:val="000000"/>
        </w:rPr>
        <w:t xml:space="preserve"> for 5% of the capital gains income attributable to corpus ($100,000 times 5% = $5,000).  The remaining income ($95,000) is taxable to the trust, except to the extent that Barbara decides to </w:t>
      </w:r>
      <w:r w:rsidR="009A76CB">
        <w:rPr>
          <w:rFonts w:ascii="Calibri" w:hAnsi="Calibri" w:cs="Helv"/>
          <w:color w:val="000000"/>
        </w:rPr>
        <w:t xml:space="preserve">actually </w:t>
      </w:r>
      <w:r>
        <w:rPr>
          <w:rFonts w:ascii="Calibri" w:hAnsi="Calibri" w:cs="Helv"/>
          <w:color w:val="000000"/>
        </w:rPr>
        <w:t xml:space="preserve">appoint up to 5% ($100,000) to others.  </w:t>
      </w:r>
      <w:r w:rsidR="00344DB8">
        <w:rPr>
          <w:rFonts w:ascii="Calibri" w:hAnsi="Calibri" w:cs="Helv"/>
          <w:color w:val="000000"/>
        </w:rPr>
        <w:t xml:space="preserve">Barbara </w:t>
      </w:r>
      <w:r w:rsidR="00EE006A">
        <w:rPr>
          <w:rFonts w:ascii="Calibri" w:hAnsi="Calibri" w:cs="Helv"/>
          <w:color w:val="000000"/>
        </w:rPr>
        <w:t>appoints (</w:t>
      </w:r>
      <w:r w:rsidR="00344DB8">
        <w:rPr>
          <w:rFonts w:ascii="Calibri" w:hAnsi="Calibri" w:cs="Helv"/>
          <w:color w:val="000000"/>
        </w:rPr>
        <w:t>orders the trustee to distribute</w:t>
      </w:r>
      <w:r w:rsidR="00EE006A">
        <w:rPr>
          <w:rFonts w:ascii="Calibri" w:hAnsi="Calibri" w:cs="Helv"/>
          <w:color w:val="000000"/>
        </w:rPr>
        <w:t>)</w:t>
      </w:r>
      <w:r w:rsidR="00344DB8">
        <w:rPr>
          <w:rFonts w:ascii="Calibri" w:hAnsi="Calibri" w:cs="Helv"/>
          <w:color w:val="000000"/>
        </w:rPr>
        <w:t xml:space="preserve"> $100,000</w:t>
      </w:r>
      <w:r w:rsidR="00EE006A">
        <w:rPr>
          <w:rFonts w:ascii="Calibri" w:hAnsi="Calibri" w:cs="Helv"/>
          <w:color w:val="000000"/>
        </w:rPr>
        <w:t>, which is 5% of the corpus,</w:t>
      </w:r>
      <w:r w:rsidR="00344DB8">
        <w:rPr>
          <w:rFonts w:ascii="Calibri" w:hAnsi="Calibri" w:cs="Helv"/>
          <w:color w:val="000000"/>
        </w:rPr>
        <w:t xml:space="preserve"> to her children, who are in lower tax brackets.  </w:t>
      </w:r>
      <w:r>
        <w:rPr>
          <w:rFonts w:ascii="Calibri" w:hAnsi="Calibri" w:cs="Helv"/>
          <w:color w:val="000000"/>
        </w:rPr>
        <w:t>O</w:t>
      </w:r>
      <w:r w:rsidR="00344DB8">
        <w:rPr>
          <w:rFonts w:ascii="Calibri" w:hAnsi="Calibri" w:cs="Helv"/>
          <w:color w:val="000000"/>
        </w:rPr>
        <w:t>rdinary Subchapter J</w:t>
      </w:r>
      <w:r w:rsidR="00793FC6">
        <w:rPr>
          <w:rFonts w:ascii="Calibri" w:hAnsi="Calibri" w:cs="Helv"/>
          <w:color w:val="000000"/>
        </w:rPr>
        <w:t xml:space="preserve"> (Parts A-D)</w:t>
      </w:r>
      <w:r w:rsidR="00344DB8">
        <w:rPr>
          <w:rFonts w:ascii="Calibri" w:hAnsi="Calibri" w:cs="Helv"/>
          <w:color w:val="000000"/>
        </w:rPr>
        <w:t xml:space="preserve"> principals apply</w:t>
      </w:r>
      <w:r w:rsidR="009A76CB">
        <w:rPr>
          <w:rFonts w:ascii="Calibri" w:hAnsi="Calibri" w:cs="Helv"/>
          <w:color w:val="000000"/>
        </w:rPr>
        <w:t xml:space="preserve"> to the non-grantor portion of the trust</w:t>
      </w:r>
      <w:r w:rsidR="00344DB8">
        <w:rPr>
          <w:rFonts w:ascii="Calibri" w:hAnsi="Calibri" w:cs="Helv"/>
          <w:color w:val="000000"/>
        </w:rPr>
        <w:t xml:space="preserve">.  Provided </w:t>
      </w:r>
      <w:r w:rsidR="00CE77DC">
        <w:rPr>
          <w:rFonts w:ascii="Calibri" w:hAnsi="Calibri" w:cs="Helv"/>
          <w:color w:val="000000"/>
        </w:rPr>
        <w:t>that the trustee uses one of the</w:t>
      </w:r>
      <w:r w:rsidR="009A76CB">
        <w:rPr>
          <w:rFonts w:ascii="Calibri" w:hAnsi="Calibri" w:cs="Helv"/>
          <w:color w:val="000000"/>
        </w:rPr>
        <w:t xml:space="preserve"> two</w:t>
      </w:r>
      <w:r w:rsidR="00CE77DC">
        <w:rPr>
          <w:rFonts w:ascii="Calibri" w:hAnsi="Calibri" w:cs="Helv"/>
          <w:color w:val="000000"/>
        </w:rPr>
        <w:t xml:space="preserve"> §1.643(a)-3 exceptions noted in Part VIII.g.</w:t>
      </w:r>
      <w:r w:rsidR="009B51CE">
        <w:rPr>
          <w:rFonts w:ascii="Calibri" w:hAnsi="Calibri" w:cs="Helv"/>
          <w:color w:val="000000"/>
        </w:rPr>
        <w:t xml:space="preserve"> </w:t>
      </w:r>
      <w:r w:rsidR="009A76CB">
        <w:rPr>
          <w:rFonts w:ascii="Calibri" w:hAnsi="Calibri" w:cs="Helv"/>
          <w:color w:val="000000"/>
        </w:rPr>
        <w:t>that permit such distributions to be included in DNI</w:t>
      </w:r>
      <w:r w:rsidR="00344DB8">
        <w:rPr>
          <w:rFonts w:ascii="Calibri" w:hAnsi="Calibri" w:cs="Helv"/>
          <w:color w:val="000000"/>
        </w:rPr>
        <w:t>,</w:t>
      </w:r>
      <w:r w:rsidR="005A5E6F" w:rsidRPr="005A5E6F">
        <w:rPr>
          <w:rStyle w:val="FootnoteReference"/>
          <w:rFonts w:ascii="Calibri" w:hAnsi="Calibri" w:cs="Helv"/>
          <w:color w:val="000000"/>
        </w:rPr>
        <w:t xml:space="preserve"> </w:t>
      </w:r>
      <w:r w:rsidR="005A5E6F">
        <w:rPr>
          <w:rStyle w:val="FootnoteReference"/>
          <w:rFonts w:ascii="Calibri" w:hAnsi="Calibri" w:cs="Helv"/>
          <w:color w:val="000000"/>
        </w:rPr>
        <w:footnoteReference w:id="463"/>
      </w:r>
      <w:r w:rsidR="005A5E6F">
        <w:rPr>
          <w:rFonts w:ascii="Calibri" w:hAnsi="Calibri" w:cs="Helv"/>
          <w:color w:val="000000"/>
        </w:rPr>
        <w:t xml:space="preserve"> </w:t>
      </w:r>
      <w:r w:rsidR="00344DB8">
        <w:rPr>
          <w:rFonts w:ascii="Calibri" w:hAnsi="Calibri" w:cs="Helv"/>
          <w:color w:val="000000"/>
        </w:rPr>
        <w:t xml:space="preserve"> the </w:t>
      </w:r>
      <w:r w:rsidR="00FB6577" w:rsidRPr="00FB6577">
        <w:rPr>
          <w:rFonts w:ascii="Calibri" w:hAnsi="Calibri" w:cs="Helv"/>
          <w:color w:val="000000"/>
        </w:rPr>
        <w:t>trust</w:t>
      </w:r>
      <w:r w:rsidR="00344DB8">
        <w:rPr>
          <w:rFonts w:ascii="Calibri" w:hAnsi="Calibri" w:cs="Helv"/>
          <w:color w:val="000000"/>
        </w:rPr>
        <w:t>ee</w:t>
      </w:r>
      <w:r w:rsidR="00FB6577" w:rsidRPr="00FB6577">
        <w:rPr>
          <w:rFonts w:ascii="Calibri" w:hAnsi="Calibri" w:cs="Helv"/>
          <w:color w:val="000000"/>
        </w:rPr>
        <w:t xml:space="preserve"> </w:t>
      </w:r>
      <w:r w:rsidR="00344DB8">
        <w:rPr>
          <w:rFonts w:ascii="Calibri" w:hAnsi="Calibri" w:cs="Helv"/>
          <w:color w:val="000000"/>
        </w:rPr>
        <w:t>must send a</w:t>
      </w:r>
      <w:r w:rsidR="00FB6577" w:rsidRPr="00FB6577">
        <w:rPr>
          <w:rFonts w:ascii="Calibri" w:hAnsi="Calibri" w:cs="Helv"/>
          <w:color w:val="000000"/>
        </w:rPr>
        <w:t xml:space="preserve"> </w:t>
      </w:r>
      <w:r>
        <w:rPr>
          <w:rFonts w:ascii="Calibri" w:hAnsi="Calibri" w:cs="Helv"/>
          <w:color w:val="000000"/>
        </w:rPr>
        <w:t xml:space="preserve">statement with the Form 1041 apprising Barbara of her </w:t>
      </w:r>
      <w:r w:rsidR="007333A6">
        <w:rPr>
          <w:rFonts w:ascii="Calibri" w:hAnsi="Calibri" w:cs="Helv"/>
          <w:color w:val="000000"/>
        </w:rPr>
        <w:t>income under IRC §678 of the grantor trust rules</w:t>
      </w:r>
      <w:r w:rsidR="00EE006A">
        <w:rPr>
          <w:rFonts w:ascii="Calibri" w:hAnsi="Calibri" w:cs="Helv"/>
          <w:color w:val="000000"/>
        </w:rPr>
        <w:t xml:space="preserve"> </w:t>
      </w:r>
      <w:r w:rsidR="00FB6577" w:rsidRPr="00FB6577">
        <w:rPr>
          <w:rFonts w:ascii="Calibri" w:hAnsi="Calibri" w:cs="Helv"/>
          <w:color w:val="000000"/>
        </w:rPr>
        <w:t xml:space="preserve">and </w:t>
      </w:r>
      <w:r w:rsidR="009A76CB">
        <w:rPr>
          <w:rFonts w:ascii="Calibri" w:hAnsi="Calibri" w:cs="Helv"/>
          <w:color w:val="000000"/>
        </w:rPr>
        <w:t xml:space="preserve">must file </w:t>
      </w:r>
      <w:r w:rsidR="00344DB8">
        <w:rPr>
          <w:rFonts w:ascii="Calibri" w:hAnsi="Calibri" w:cs="Helv"/>
          <w:color w:val="000000"/>
        </w:rPr>
        <w:t>K-1s for the</w:t>
      </w:r>
      <w:r w:rsidR="00FB0718">
        <w:rPr>
          <w:rFonts w:ascii="Calibri" w:hAnsi="Calibri" w:cs="Helv"/>
          <w:color w:val="000000"/>
        </w:rPr>
        <w:t xml:space="preserve"> $</w:t>
      </w:r>
      <w:r w:rsidR="007333A6">
        <w:rPr>
          <w:rFonts w:ascii="Calibri" w:hAnsi="Calibri" w:cs="Helv"/>
          <w:color w:val="000000"/>
        </w:rPr>
        <w:t>95</w:t>
      </w:r>
      <w:r w:rsidR="00FB0718">
        <w:rPr>
          <w:rFonts w:ascii="Calibri" w:hAnsi="Calibri" w:cs="Helv"/>
          <w:color w:val="000000"/>
        </w:rPr>
        <w:t>,000</w:t>
      </w:r>
      <w:r w:rsidR="00344DB8">
        <w:rPr>
          <w:rFonts w:ascii="Calibri" w:hAnsi="Calibri" w:cs="Helv"/>
          <w:color w:val="000000"/>
        </w:rPr>
        <w:t xml:space="preserve"> in capital gains </w:t>
      </w:r>
      <w:r w:rsidR="005C06C6">
        <w:rPr>
          <w:rFonts w:ascii="Calibri" w:hAnsi="Calibri" w:cs="Helv"/>
          <w:color w:val="000000"/>
        </w:rPr>
        <w:t xml:space="preserve">distributed </w:t>
      </w:r>
      <w:r w:rsidR="00344DB8">
        <w:rPr>
          <w:rFonts w:ascii="Calibri" w:hAnsi="Calibri" w:cs="Helv"/>
          <w:color w:val="000000"/>
        </w:rPr>
        <w:t>to her children, who may be in a 0% LTCG or 15% STCG tax bracket</w:t>
      </w:r>
      <w:r w:rsidR="00FB6577" w:rsidRPr="00FB6577">
        <w:rPr>
          <w:rFonts w:ascii="Calibri" w:hAnsi="Calibri" w:cs="Helv"/>
          <w:color w:val="000000"/>
        </w:rPr>
        <w:t>.</w:t>
      </w:r>
      <w:r w:rsidR="00EE006A">
        <w:rPr>
          <w:rFonts w:ascii="Calibri" w:hAnsi="Calibri" w:cs="Helv"/>
          <w:color w:val="000000"/>
        </w:rPr>
        <w:t xml:space="preserve"> Even if the kiddie tax applied to use Barbara’s highest income tax bracket, the 3.8% surtax is probably avoided, </w:t>
      </w:r>
      <w:r w:rsidR="00EE006A" w:rsidRPr="003626EB">
        <w:rPr>
          <w:rFonts w:ascii="Calibri" w:hAnsi="Calibri" w:cs="Helv"/>
          <w:i/>
          <w:color w:val="000000"/>
        </w:rPr>
        <w:t>since the kiddie tax only applies to income tax, not the Medicare surtax</w:t>
      </w:r>
      <w:r w:rsidR="00EE006A">
        <w:rPr>
          <w:rFonts w:ascii="Calibri" w:hAnsi="Calibri" w:cs="Helv"/>
          <w:color w:val="000000"/>
        </w:rPr>
        <w:t>.</w:t>
      </w:r>
    </w:p>
    <w:p w14:paraId="26A9AB68" w14:textId="77777777" w:rsidR="001407FF" w:rsidRDefault="00AE5638" w:rsidP="00FB6577">
      <w:pPr>
        <w:autoSpaceDE w:val="0"/>
        <w:autoSpaceDN w:val="0"/>
        <w:adjustRightInd w:val="0"/>
        <w:spacing w:line="360" w:lineRule="auto"/>
        <w:ind w:firstLine="720"/>
        <w:rPr>
          <w:rFonts w:ascii="Calibri" w:hAnsi="Calibri" w:cs="Helv"/>
          <w:color w:val="000000"/>
        </w:rPr>
      </w:pPr>
      <w:r>
        <w:rPr>
          <w:rFonts w:ascii="Calibri" w:hAnsi="Calibri" w:cs="Helv"/>
          <w:color w:val="000000"/>
        </w:rPr>
        <w:t>Barbar</w:t>
      </w:r>
      <w:r w:rsidR="003626EB">
        <w:rPr>
          <w:rFonts w:ascii="Calibri" w:hAnsi="Calibri" w:cs="Helv"/>
          <w:color w:val="000000"/>
        </w:rPr>
        <w:t>a</w:t>
      </w:r>
      <w:r>
        <w:rPr>
          <w:rFonts w:ascii="Calibri" w:hAnsi="Calibri" w:cs="Helv"/>
          <w:color w:val="000000"/>
        </w:rPr>
        <w:t>’s transfer would be a</w:t>
      </w:r>
      <w:r w:rsidR="003626EB">
        <w:rPr>
          <w:rFonts w:ascii="Calibri" w:hAnsi="Calibri" w:cs="Helv"/>
          <w:color w:val="000000"/>
        </w:rPr>
        <w:t xml:space="preserve"> taxable gift for the $100,000 transferred</w:t>
      </w:r>
      <w:r w:rsidR="007333A6">
        <w:rPr>
          <w:rFonts w:ascii="Calibri" w:hAnsi="Calibri" w:cs="Helv"/>
          <w:color w:val="000000"/>
        </w:rPr>
        <w:t xml:space="preserve"> due to IRC §2514</w:t>
      </w:r>
      <w:r w:rsidR="003626EB">
        <w:rPr>
          <w:rFonts w:ascii="Calibri" w:hAnsi="Calibri" w:cs="Helv"/>
          <w:color w:val="000000"/>
        </w:rPr>
        <w:t xml:space="preserve"> – if she had three children and made no other gifts, and the annual exclusion were $15,000 at the time, this would use $55,000 of her applicable exclusion amount</w:t>
      </w:r>
      <w:r w:rsidR="007333A6">
        <w:rPr>
          <w:rFonts w:ascii="Calibri" w:hAnsi="Calibri" w:cs="Helv"/>
          <w:color w:val="000000"/>
        </w:rPr>
        <w:t xml:space="preserve"> ($100,000-$45,000 annual exclusion gifts)</w:t>
      </w:r>
      <w:r w:rsidR="003626EB">
        <w:rPr>
          <w:rFonts w:ascii="Calibri" w:hAnsi="Calibri" w:cs="Helv"/>
          <w:color w:val="000000"/>
        </w:rPr>
        <w:t xml:space="preserve">.  </w:t>
      </w:r>
      <w:r w:rsidR="00EB2700">
        <w:rPr>
          <w:rFonts w:ascii="Calibri" w:hAnsi="Calibri" w:cs="Helv"/>
          <w:color w:val="000000"/>
        </w:rPr>
        <w:t>For many taxpayers, this would not be a big deal, since with DSUE the survivor may have over $22 million of applicable exclusion amount.  The income tax savings would often be worth it.</w:t>
      </w:r>
      <w:r w:rsidR="00C64123">
        <w:rPr>
          <w:rFonts w:ascii="Calibri" w:hAnsi="Calibri" w:cs="Helv"/>
          <w:color w:val="000000"/>
        </w:rPr>
        <w:t xml:space="preserve">  </w:t>
      </w:r>
    </w:p>
    <w:p w14:paraId="562184CE" w14:textId="77777777" w:rsidR="00D757B6" w:rsidRDefault="00EB2700" w:rsidP="009B51CE">
      <w:pPr>
        <w:autoSpaceDE w:val="0"/>
        <w:autoSpaceDN w:val="0"/>
        <w:adjustRightInd w:val="0"/>
        <w:spacing w:line="360" w:lineRule="auto"/>
        <w:ind w:firstLine="720"/>
        <w:rPr>
          <w:rFonts w:ascii="Calibri" w:hAnsi="Calibri" w:cs="Helv"/>
          <w:b/>
          <w:color w:val="000000"/>
        </w:rPr>
      </w:pPr>
      <w:r>
        <w:rPr>
          <w:rFonts w:ascii="Calibri" w:hAnsi="Calibri" w:cs="Helv"/>
          <w:color w:val="000000"/>
        </w:rPr>
        <w:t xml:space="preserve">In conclusion, adding a </w:t>
      </w:r>
      <w:r w:rsidR="005A5E6F">
        <w:rPr>
          <w:rFonts w:ascii="Calibri" w:hAnsi="Calibri" w:cs="Helv"/>
          <w:color w:val="000000"/>
        </w:rPr>
        <w:t xml:space="preserve">5/5 </w:t>
      </w:r>
      <w:r>
        <w:rPr>
          <w:rFonts w:ascii="Calibri" w:hAnsi="Calibri" w:cs="Helv"/>
          <w:color w:val="000000"/>
        </w:rPr>
        <w:t xml:space="preserve">PEG power to a GPOA marital trust </w:t>
      </w:r>
      <w:r w:rsidR="005A5E6F">
        <w:rPr>
          <w:rFonts w:ascii="Calibri" w:hAnsi="Calibri" w:cs="Helv"/>
          <w:color w:val="000000"/>
        </w:rPr>
        <w:t xml:space="preserve">does work to permit tax shifting and better charitable deductions to the extent appointed.  This may work with a QTIP but is much more uncertain – don’t overpromise or get a PLR like PLR 8943005.  </w:t>
      </w:r>
      <w:r w:rsidR="00C64123">
        <w:rPr>
          <w:rFonts w:ascii="Calibri" w:hAnsi="Calibri" w:cs="Helv"/>
          <w:color w:val="000000"/>
        </w:rPr>
        <w:t>Why not just use a bypass trust</w:t>
      </w:r>
      <w:r w:rsidR="00C828DF">
        <w:rPr>
          <w:rFonts w:ascii="Calibri" w:hAnsi="Calibri" w:cs="Helv"/>
          <w:color w:val="000000"/>
        </w:rPr>
        <w:t xml:space="preserve"> </w:t>
      </w:r>
      <w:r w:rsidR="005A5E6F">
        <w:rPr>
          <w:rFonts w:ascii="Calibri" w:hAnsi="Calibri" w:cs="Helv"/>
          <w:color w:val="000000"/>
        </w:rPr>
        <w:t>(optimal basis increase)</w:t>
      </w:r>
      <w:r w:rsidR="00C64123">
        <w:rPr>
          <w:rFonts w:ascii="Calibri" w:hAnsi="Calibri" w:cs="Helv"/>
          <w:color w:val="000000"/>
        </w:rPr>
        <w:t>, which can get most of the advantages of a QTIP, with much more certain and more robust ongoing income tax advantages?</w:t>
      </w:r>
      <w:r w:rsidR="00FB39A0">
        <w:rPr>
          <w:rFonts w:ascii="Calibri" w:hAnsi="Calibri" w:cs="Helv"/>
          <w:color w:val="000000"/>
        </w:rPr>
        <w:t xml:space="preserve">  </w:t>
      </w:r>
      <w:bookmarkEnd w:id="25"/>
      <w:r w:rsidR="00D757B6">
        <w:rPr>
          <w:rFonts w:ascii="Calibri" w:hAnsi="Calibri" w:cs="Helv"/>
          <w:b/>
          <w:color w:val="000000"/>
        </w:rPr>
        <w:br w:type="page"/>
      </w:r>
    </w:p>
    <w:p w14:paraId="5EF0AC60" w14:textId="77777777" w:rsidR="0006302D" w:rsidRPr="0006302D" w:rsidRDefault="00622352" w:rsidP="007174A1">
      <w:pPr>
        <w:pStyle w:val="ListParagraph"/>
        <w:numPr>
          <w:ilvl w:val="0"/>
          <w:numId w:val="34"/>
        </w:numPr>
        <w:autoSpaceDE w:val="0"/>
        <w:autoSpaceDN w:val="0"/>
        <w:adjustRightInd w:val="0"/>
        <w:spacing w:line="360" w:lineRule="auto"/>
        <w:ind w:hanging="720"/>
        <w:rPr>
          <w:rFonts w:ascii="Calibri" w:hAnsi="Calibri" w:cs="Helv"/>
          <w:color w:val="000000"/>
        </w:rPr>
      </w:pPr>
      <w:r w:rsidRPr="0006302D">
        <w:rPr>
          <w:rFonts w:ascii="Calibri" w:hAnsi="Calibri" w:cs="Helv"/>
          <w:b/>
          <w:color w:val="000000"/>
        </w:rPr>
        <w:lastRenderedPageBreak/>
        <w:t>IRC § 642(c)</w:t>
      </w:r>
      <w:r w:rsidRPr="0006302D">
        <w:rPr>
          <w:rFonts w:ascii="Calibri" w:hAnsi="Calibri" w:cs="Helv"/>
          <w:color w:val="000000"/>
        </w:rPr>
        <w:t xml:space="preserve"> </w:t>
      </w:r>
      <w:r w:rsidR="0006302D">
        <w:rPr>
          <w:rFonts w:ascii="Calibri" w:hAnsi="Calibri" w:cs="Helv"/>
          <w:color w:val="000000"/>
        </w:rPr>
        <w:t xml:space="preserve">– </w:t>
      </w:r>
      <w:r w:rsidR="0006302D" w:rsidRPr="0006302D">
        <w:rPr>
          <w:rFonts w:ascii="Calibri" w:hAnsi="Calibri" w:cs="Helv"/>
          <w:b/>
          <w:color w:val="000000"/>
        </w:rPr>
        <w:t>Seizing better charitable deductions through trusts</w:t>
      </w:r>
    </w:p>
    <w:p w14:paraId="5211BB09" w14:textId="77777777" w:rsidR="004A2739" w:rsidRDefault="00D457A3" w:rsidP="007D7B82">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In many respects, </w:t>
      </w:r>
      <w:r w:rsidR="00491FB5">
        <w:rPr>
          <w:rFonts w:ascii="Calibri" w:hAnsi="Calibri" w:cs="Helv"/>
          <w:color w:val="000000"/>
        </w:rPr>
        <w:t>IRC §642(c) offer</w:t>
      </w:r>
      <w:r>
        <w:rPr>
          <w:rFonts w:ascii="Calibri" w:hAnsi="Calibri" w:cs="Helv"/>
          <w:color w:val="000000"/>
        </w:rPr>
        <w:t>s</w:t>
      </w:r>
      <w:r w:rsidR="00491FB5">
        <w:rPr>
          <w:rFonts w:ascii="Calibri" w:hAnsi="Calibri" w:cs="Helv"/>
          <w:color w:val="000000"/>
        </w:rPr>
        <w:t xml:space="preserve"> </w:t>
      </w:r>
      <w:r>
        <w:rPr>
          <w:rFonts w:ascii="Calibri" w:hAnsi="Calibri" w:cs="Helv"/>
          <w:color w:val="000000"/>
        </w:rPr>
        <w:t xml:space="preserve">better deductions for trusts and estates than individuals receive.  The trust can effectively take </w:t>
      </w:r>
      <w:r w:rsidR="00491FB5">
        <w:rPr>
          <w:rFonts w:ascii="Calibri" w:hAnsi="Calibri" w:cs="Helv"/>
          <w:color w:val="000000"/>
        </w:rPr>
        <w:t xml:space="preserve">“above the line” charitable deductions </w:t>
      </w:r>
      <w:r w:rsidR="00B539F9">
        <w:rPr>
          <w:rFonts w:ascii="Calibri" w:hAnsi="Calibri" w:cs="Helv"/>
          <w:color w:val="000000"/>
        </w:rPr>
        <w:t>up to the entire gross</w:t>
      </w:r>
      <w:r>
        <w:rPr>
          <w:rFonts w:ascii="Calibri" w:hAnsi="Calibri" w:cs="Helv"/>
          <w:color w:val="000000"/>
        </w:rPr>
        <w:t xml:space="preserve"> taxable</w:t>
      </w:r>
      <w:r w:rsidR="00B539F9">
        <w:rPr>
          <w:rFonts w:ascii="Calibri" w:hAnsi="Calibri" w:cs="Helv"/>
          <w:color w:val="000000"/>
        </w:rPr>
        <w:t xml:space="preserve"> income, </w:t>
      </w:r>
      <w:r w:rsidR="006E2814">
        <w:rPr>
          <w:rFonts w:ascii="Calibri" w:hAnsi="Calibri" w:cs="Helv"/>
          <w:color w:val="000000"/>
        </w:rPr>
        <w:t>not subject to 20%/30%/50% AGI limitations</w:t>
      </w:r>
      <w:r>
        <w:rPr>
          <w:rFonts w:ascii="Calibri" w:hAnsi="Calibri" w:cs="Helv"/>
          <w:color w:val="000000"/>
        </w:rPr>
        <w:t xml:space="preserve">.  </w:t>
      </w:r>
    </w:p>
    <w:p w14:paraId="0D413226" w14:textId="77777777" w:rsidR="004A2739" w:rsidRDefault="00D457A3" w:rsidP="007D7B82">
      <w:pPr>
        <w:autoSpaceDE w:val="0"/>
        <w:autoSpaceDN w:val="0"/>
        <w:adjustRightInd w:val="0"/>
        <w:spacing w:line="360" w:lineRule="auto"/>
        <w:ind w:firstLine="720"/>
        <w:rPr>
          <w:rFonts w:ascii="Calibri" w:hAnsi="Calibri" w:cs="Helv"/>
          <w:color w:val="000000"/>
        </w:rPr>
      </w:pPr>
      <w:r>
        <w:rPr>
          <w:rFonts w:ascii="Calibri" w:hAnsi="Calibri" w:cs="Helv"/>
          <w:color w:val="000000"/>
        </w:rPr>
        <w:t>I</w:t>
      </w:r>
      <w:r w:rsidR="00491FB5">
        <w:rPr>
          <w:rFonts w:ascii="Calibri" w:hAnsi="Calibri" w:cs="Helv"/>
          <w:color w:val="000000"/>
        </w:rPr>
        <w:t xml:space="preserve">t offers a better deal for internationally minded clients with ties/interests in foreign countries – unlike IRC §170 for individuals, the trust income tax charitable deduction is expressly </w:t>
      </w:r>
      <w:r w:rsidR="00491FB5" w:rsidRPr="007D7864">
        <w:rPr>
          <w:rFonts w:ascii="Calibri" w:hAnsi="Calibri" w:cs="Helv"/>
          <w:i/>
          <w:color w:val="000000"/>
        </w:rPr>
        <w:t>not</w:t>
      </w:r>
      <w:r w:rsidR="00491FB5">
        <w:rPr>
          <w:rFonts w:ascii="Calibri" w:hAnsi="Calibri" w:cs="Helv"/>
          <w:color w:val="000000"/>
        </w:rPr>
        <w:t xml:space="preserve"> limited to charities organized in the </w:t>
      </w:r>
      <w:r w:rsidR="00E96E19">
        <w:rPr>
          <w:rFonts w:ascii="Calibri" w:hAnsi="Calibri" w:cs="Helv"/>
          <w:color w:val="000000"/>
        </w:rPr>
        <w:t>U.S.</w:t>
      </w:r>
      <w:r w:rsidR="00491FB5">
        <w:rPr>
          <w:rFonts w:ascii="Calibri" w:hAnsi="Calibri" w:cs="Helv"/>
          <w:color w:val="000000"/>
        </w:rPr>
        <w:t>.</w:t>
      </w:r>
      <w:r w:rsidR="00491FB5">
        <w:rPr>
          <w:rStyle w:val="FootnoteReference"/>
          <w:rFonts w:ascii="Calibri" w:hAnsi="Calibri" w:cs="Helv"/>
          <w:color w:val="000000"/>
        </w:rPr>
        <w:footnoteReference w:id="464"/>
      </w:r>
      <w:r w:rsidR="00491FB5">
        <w:rPr>
          <w:rFonts w:ascii="Calibri" w:hAnsi="Calibri" w:cs="Helv"/>
          <w:color w:val="000000"/>
        </w:rPr>
        <w:t xml:space="preserve">  </w:t>
      </w:r>
    </w:p>
    <w:p w14:paraId="01E78577" w14:textId="77777777" w:rsidR="00491FB5" w:rsidRDefault="00A6743A" w:rsidP="007D7B82">
      <w:pPr>
        <w:autoSpaceDE w:val="0"/>
        <w:autoSpaceDN w:val="0"/>
        <w:adjustRightInd w:val="0"/>
        <w:spacing w:line="360" w:lineRule="auto"/>
        <w:ind w:firstLine="720"/>
        <w:rPr>
          <w:rFonts w:ascii="Calibri" w:hAnsi="Calibri" w:cs="Helv"/>
          <w:color w:val="000000"/>
        </w:rPr>
      </w:pPr>
      <w:r>
        <w:rPr>
          <w:rFonts w:ascii="Calibri" w:hAnsi="Calibri" w:cs="Helv"/>
          <w:color w:val="000000"/>
        </w:rPr>
        <w:t>Furthermore, unlike individuals, and even better than a 65 day electi</w:t>
      </w:r>
      <w:r w:rsidR="00D457A3">
        <w:rPr>
          <w:rFonts w:ascii="Calibri" w:hAnsi="Calibri" w:cs="Helv"/>
          <w:color w:val="000000"/>
        </w:rPr>
        <w:t xml:space="preserve">on, a trustee can </w:t>
      </w:r>
      <w:r>
        <w:rPr>
          <w:rFonts w:ascii="Calibri" w:hAnsi="Calibri" w:cs="Helv"/>
          <w:color w:val="000000"/>
        </w:rPr>
        <w:t xml:space="preserve">elect to treat a contribution as made in a previous tax year, if the election is made by the due date of the </w:t>
      </w:r>
      <w:r w:rsidR="004C26D1">
        <w:rPr>
          <w:rFonts w:ascii="Calibri" w:hAnsi="Calibri" w:cs="Helv"/>
          <w:color w:val="000000"/>
        </w:rPr>
        <w:t xml:space="preserve">income tax </w:t>
      </w:r>
      <w:r>
        <w:rPr>
          <w:rFonts w:ascii="Calibri" w:hAnsi="Calibri" w:cs="Helv"/>
          <w:color w:val="000000"/>
        </w:rPr>
        <w:t>return and extensions, or even later if granted relief</w:t>
      </w:r>
      <w:r w:rsidR="009C689B">
        <w:rPr>
          <w:rFonts w:ascii="Calibri" w:hAnsi="Calibri" w:cs="Helv"/>
          <w:color w:val="000000"/>
        </w:rPr>
        <w:t xml:space="preserve"> to file late under Treas. Reg. §301.9100-3</w:t>
      </w:r>
      <w:r>
        <w:rPr>
          <w:rFonts w:ascii="Calibri" w:hAnsi="Calibri" w:cs="Helv"/>
          <w:color w:val="000000"/>
        </w:rPr>
        <w:t>.</w:t>
      </w:r>
      <w:r>
        <w:rPr>
          <w:rStyle w:val="FootnoteReference"/>
          <w:rFonts w:ascii="Calibri" w:hAnsi="Calibri" w:cs="Helv"/>
          <w:color w:val="000000"/>
        </w:rPr>
        <w:footnoteReference w:id="465"/>
      </w:r>
    </w:p>
    <w:p w14:paraId="232E7487" w14:textId="77777777" w:rsidR="00FE09E4" w:rsidRDefault="00FE09E4" w:rsidP="007D7B82">
      <w:pPr>
        <w:autoSpaceDE w:val="0"/>
        <w:autoSpaceDN w:val="0"/>
        <w:adjustRightInd w:val="0"/>
        <w:spacing w:line="360" w:lineRule="auto"/>
        <w:ind w:firstLine="720"/>
        <w:rPr>
          <w:rFonts w:ascii="Calibri" w:hAnsi="Calibri" w:cs="Helv"/>
          <w:color w:val="000000"/>
        </w:rPr>
      </w:pPr>
      <w:r>
        <w:rPr>
          <w:rFonts w:ascii="Calibri" w:hAnsi="Calibri" w:cs="Helv"/>
          <w:color w:val="000000"/>
        </w:rPr>
        <w:t>Unlike charitable contributions from individuals, which do NOT affect MAGI or net investme</w:t>
      </w:r>
      <w:r w:rsidR="00944E4F">
        <w:rPr>
          <w:rFonts w:ascii="Calibri" w:hAnsi="Calibri" w:cs="Helv"/>
          <w:color w:val="000000"/>
        </w:rPr>
        <w:t xml:space="preserve">nt income </w:t>
      </w:r>
      <w:r>
        <w:rPr>
          <w:rFonts w:ascii="Calibri" w:hAnsi="Calibri" w:cs="Helv"/>
          <w:color w:val="000000"/>
        </w:rPr>
        <w:t>or an individual</w:t>
      </w:r>
      <w:r w:rsidR="00944E4F">
        <w:rPr>
          <w:rFonts w:ascii="Calibri" w:hAnsi="Calibri" w:cs="Helv"/>
          <w:color w:val="000000"/>
        </w:rPr>
        <w:t>’</w:t>
      </w:r>
      <w:r>
        <w:rPr>
          <w:rFonts w:ascii="Calibri" w:hAnsi="Calibri" w:cs="Helv"/>
          <w:color w:val="000000"/>
        </w:rPr>
        <w:t xml:space="preserve">s 3.8% Medicare surtax exposure, the charitable contribution from a trust under §642(c) DOES reduce net investment income for purposes of the </w:t>
      </w:r>
      <w:r w:rsidR="0042131E">
        <w:rPr>
          <w:rFonts w:ascii="Calibri" w:hAnsi="Calibri" w:cs="Helv"/>
          <w:color w:val="000000"/>
        </w:rPr>
        <w:t xml:space="preserve">3.8% </w:t>
      </w:r>
      <w:r>
        <w:rPr>
          <w:rFonts w:ascii="Calibri" w:hAnsi="Calibri" w:cs="Helv"/>
          <w:color w:val="000000"/>
        </w:rPr>
        <w:t>surtax.</w:t>
      </w:r>
      <w:r>
        <w:rPr>
          <w:rStyle w:val="FootnoteReference"/>
          <w:rFonts w:ascii="Calibri" w:hAnsi="Calibri" w:cs="Helv"/>
          <w:color w:val="000000"/>
        </w:rPr>
        <w:footnoteReference w:id="466"/>
      </w:r>
      <w:r>
        <w:rPr>
          <w:rFonts w:ascii="Calibri" w:hAnsi="Calibri" w:cs="Helv"/>
          <w:color w:val="000000"/>
        </w:rPr>
        <w:t xml:space="preserve"> </w:t>
      </w:r>
      <w:r w:rsidR="00FB3C59">
        <w:rPr>
          <w:rFonts w:ascii="Calibri" w:hAnsi="Calibri" w:cs="Helv"/>
          <w:color w:val="000000"/>
        </w:rPr>
        <w:t>Pease limitations do not apply.</w:t>
      </w:r>
      <w:r w:rsidR="00FB3C59">
        <w:rPr>
          <w:rStyle w:val="FootnoteReference"/>
          <w:rFonts w:ascii="Calibri" w:hAnsi="Calibri" w:cs="Helv"/>
          <w:color w:val="000000"/>
        </w:rPr>
        <w:footnoteReference w:id="467"/>
      </w:r>
      <w:r w:rsidR="00FB3C59">
        <w:rPr>
          <w:rFonts w:ascii="Calibri" w:hAnsi="Calibri" w:cs="Helv"/>
          <w:color w:val="000000"/>
        </w:rPr>
        <w:t xml:space="preserve">  Charitable contributions can come from and carry </w:t>
      </w:r>
      <w:r w:rsidR="00233FE0">
        <w:rPr>
          <w:rFonts w:ascii="Calibri" w:hAnsi="Calibri" w:cs="Helv"/>
          <w:color w:val="000000"/>
        </w:rPr>
        <w:t>out capital gains allocated to corpus.</w:t>
      </w:r>
      <w:r w:rsidR="00233FE0">
        <w:rPr>
          <w:rStyle w:val="FootnoteReference"/>
          <w:rFonts w:ascii="Calibri" w:hAnsi="Calibri" w:cs="Helv"/>
          <w:color w:val="000000"/>
        </w:rPr>
        <w:footnoteReference w:id="468"/>
      </w:r>
      <w:r w:rsidR="005D4F0D">
        <w:rPr>
          <w:rFonts w:ascii="Calibri" w:hAnsi="Calibri" w:cs="Helv"/>
          <w:color w:val="000000"/>
        </w:rPr>
        <w:t xml:space="preserve">  </w:t>
      </w:r>
      <w:r w:rsidR="00FB3C59">
        <w:rPr>
          <w:rFonts w:ascii="Calibri" w:hAnsi="Calibri" w:cs="Helv"/>
          <w:color w:val="000000"/>
        </w:rPr>
        <w:t>They</w:t>
      </w:r>
      <w:r w:rsidR="005D4F0D">
        <w:rPr>
          <w:rFonts w:ascii="Calibri" w:hAnsi="Calibri" w:cs="Helv"/>
          <w:color w:val="000000"/>
        </w:rPr>
        <w:t xml:space="preserve"> can carry out IRD.</w:t>
      </w:r>
      <w:r w:rsidR="005D4F0D">
        <w:rPr>
          <w:rStyle w:val="FootnoteReference"/>
          <w:rFonts w:ascii="Calibri" w:hAnsi="Calibri" w:cs="Helv"/>
          <w:color w:val="000000"/>
        </w:rPr>
        <w:footnoteReference w:id="469"/>
      </w:r>
    </w:p>
    <w:p w14:paraId="07FFD05F" w14:textId="0D42C436" w:rsidR="004A2739" w:rsidRDefault="00944E4F" w:rsidP="00944E4F">
      <w:pPr>
        <w:autoSpaceDE w:val="0"/>
        <w:autoSpaceDN w:val="0"/>
        <w:adjustRightInd w:val="0"/>
        <w:spacing w:line="360" w:lineRule="auto"/>
        <w:ind w:firstLine="720"/>
        <w:rPr>
          <w:rFonts w:ascii="Calibri" w:hAnsi="Calibri" w:cs="Helv"/>
          <w:color w:val="000000"/>
        </w:rPr>
      </w:pPr>
      <w:r w:rsidRPr="00944E4F">
        <w:rPr>
          <w:rFonts w:ascii="Calibri" w:hAnsi="Calibri" w:cs="Helv"/>
          <w:color w:val="000000"/>
        </w:rPr>
        <w:lastRenderedPageBreak/>
        <w:t>Furthermore, there may be substantial state income tax benefits</w:t>
      </w:r>
      <w:r>
        <w:rPr>
          <w:rFonts w:ascii="Calibri" w:hAnsi="Calibri" w:cs="Helv"/>
          <w:color w:val="000000"/>
        </w:rPr>
        <w:t xml:space="preserve"> to </w:t>
      </w:r>
      <w:r w:rsidR="003F3846">
        <w:rPr>
          <w:rFonts w:ascii="Calibri" w:hAnsi="Calibri" w:cs="Helv"/>
          <w:color w:val="000000"/>
        </w:rPr>
        <w:t>§</w:t>
      </w:r>
      <w:r>
        <w:rPr>
          <w:rFonts w:ascii="Calibri" w:hAnsi="Calibri" w:cs="Helv"/>
          <w:color w:val="000000"/>
        </w:rPr>
        <w:t>642(c) deductions</w:t>
      </w:r>
      <w:r w:rsidRPr="00944E4F">
        <w:rPr>
          <w:rFonts w:ascii="Calibri" w:hAnsi="Calibri" w:cs="Helv"/>
          <w:color w:val="000000"/>
        </w:rPr>
        <w:t xml:space="preserve">, </w:t>
      </w:r>
      <w:r>
        <w:rPr>
          <w:rFonts w:ascii="Calibri" w:hAnsi="Calibri" w:cs="Helv"/>
          <w:color w:val="000000"/>
        </w:rPr>
        <w:t>over a §170 individual tax deduction</w:t>
      </w:r>
      <w:r w:rsidRPr="00944E4F">
        <w:rPr>
          <w:rFonts w:ascii="Calibri" w:hAnsi="Calibri" w:cs="Helv"/>
          <w:color w:val="000000"/>
        </w:rPr>
        <w:t xml:space="preserve">.  Many states don't grant individuals a charitable deduction for state income tax purposes, or </w:t>
      </w:r>
      <w:r w:rsidR="00FB3C59">
        <w:rPr>
          <w:rFonts w:ascii="Calibri" w:hAnsi="Calibri" w:cs="Helv"/>
          <w:color w:val="000000"/>
        </w:rPr>
        <w:t xml:space="preserve">severely </w:t>
      </w:r>
      <w:r w:rsidRPr="00944E4F">
        <w:rPr>
          <w:rFonts w:ascii="Calibri" w:hAnsi="Calibri" w:cs="Helv"/>
          <w:color w:val="000000"/>
        </w:rPr>
        <w:t>limit it</w:t>
      </w:r>
      <w:r w:rsidR="00FB3C59">
        <w:rPr>
          <w:rFonts w:ascii="Calibri" w:hAnsi="Calibri" w:cs="Helv"/>
          <w:color w:val="000000"/>
        </w:rPr>
        <w:t xml:space="preserve">. </w:t>
      </w:r>
      <w:r w:rsidR="00FB3C59" w:rsidRPr="00FB3C59">
        <w:rPr>
          <w:rFonts w:ascii="Calibri" w:hAnsi="Calibri" w:cs="Helv"/>
          <w:color w:val="000000"/>
        </w:rPr>
        <w:t>Other states allow individual charitable deductions, but they are subject to Pease limitation</w:t>
      </w:r>
      <w:r w:rsidR="002F70E6">
        <w:rPr>
          <w:rFonts w:ascii="Calibri" w:hAnsi="Calibri" w:cs="Helv"/>
          <w:color w:val="000000"/>
        </w:rPr>
        <w:t>-</w:t>
      </w:r>
      <w:r w:rsidR="00FB3C59" w:rsidRPr="00FB3C59">
        <w:rPr>
          <w:rFonts w:ascii="Calibri" w:hAnsi="Calibri" w:cs="Helv"/>
          <w:color w:val="000000"/>
        </w:rPr>
        <w:t>like phase outs.</w:t>
      </w:r>
      <w:r w:rsidR="00FB3C59" w:rsidRPr="00FB3C59">
        <w:rPr>
          <w:rFonts w:ascii="Calibri" w:hAnsi="Calibri" w:cs="Helv"/>
          <w:color w:val="000000"/>
          <w:vertAlign w:val="superscript"/>
        </w:rPr>
        <w:footnoteReference w:id="470"/>
      </w:r>
      <w:r w:rsidR="00FB3C59" w:rsidRPr="00FB3C59">
        <w:rPr>
          <w:rFonts w:ascii="Calibri" w:hAnsi="Calibri" w:cs="Helv"/>
          <w:color w:val="000000"/>
        </w:rPr>
        <w:t xml:space="preserve"> </w:t>
      </w:r>
      <w:r w:rsidR="00FB3C59">
        <w:rPr>
          <w:rFonts w:ascii="Calibri" w:hAnsi="Calibri" w:cs="Helv"/>
          <w:color w:val="000000"/>
        </w:rPr>
        <w:t>By contrast</w:t>
      </w:r>
      <w:r w:rsidRPr="00944E4F">
        <w:rPr>
          <w:rFonts w:ascii="Calibri" w:hAnsi="Calibri" w:cs="Helv"/>
          <w:color w:val="000000"/>
        </w:rPr>
        <w:t xml:space="preserve">, </w:t>
      </w:r>
      <w:r w:rsidR="00FB3C59">
        <w:rPr>
          <w:rFonts w:ascii="Calibri" w:hAnsi="Calibri" w:cs="Helv"/>
          <w:color w:val="000000"/>
        </w:rPr>
        <w:t xml:space="preserve">most </w:t>
      </w:r>
      <w:r w:rsidRPr="00944E4F">
        <w:rPr>
          <w:rFonts w:ascii="Calibri" w:hAnsi="Calibri" w:cs="Helv"/>
          <w:color w:val="000000"/>
        </w:rPr>
        <w:t xml:space="preserve">states’ </w:t>
      </w:r>
      <w:r w:rsidRPr="00FB3C59">
        <w:rPr>
          <w:rFonts w:ascii="Calibri" w:hAnsi="Calibri" w:cs="Helv"/>
          <w:b/>
          <w:i/>
          <w:color w:val="000000"/>
        </w:rPr>
        <w:t>trust</w:t>
      </w:r>
      <w:r w:rsidRPr="00944E4F">
        <w:rPr>
          <w:rFonts w:ascii="Calibri" w:hAnsi="Calibri" w:cs="Helv"/>
          <w:color w:val="000000"/>
        </w:rPr>
        <w:t xml:space="preserve"> tax regimes start with the taxable income number from federal Form 1041, line 22, which is calculated </w:t>
      </w:r>
      <w:r w:rsidRPr="00944E4F">
        <w:rPr>
          <w:rFonts w:ascii="Calibri" w:hAnsi="Calibri" w:cs="Helv"/>
          <w:i/>
          <w:color w:val="000000"/>
        </w:rPr>
        <w:t>after</w:t>
      </w:r>
      <w:r w:rsidRPr="00944E4F">
        <w:rPr>
          <w:rFonts w:ascii="Calibri" w:hAnsi="Calibri" w:cs="Helv"/>
          <w:color w:val="000000"/>
        </w:rPr>
        <w:t xml:space="preserve"> the §642(c) deduction.</w:t>
      </w:r>
      <w:r w:rsidRPr="00944E4F">
        <w:rPr>
          <w:rFonts w:ascii="Calibri" w:hAnsi="Calibri" w:cs="Helv"/>
          <w:color w:val="000000"/>
          <w:vertAlign w:val="superscript"/>
        </w:rPr>
        <w:footnoteReference w:id="471"/>
      </w:r>
      <w:r w:rsidRPr="00944E4F">
        <w:rPr>
          <w:rFonts w:ascii="Calibri" w:hAnsi="Calibri" w:cs="Helv"/>
          <w:color w:val="000000"/>
        </w:rPr>
        <w:t xml:space="preserve">  </w:t>
      </w:r>
      <w:r w:rsidR="003F3846">
        <w:rPr>
          <w:rFonts w:ascii="Calibri" w:hAnsi="Calibri" w:cs="Helv"/>
          <w:color w:val="000000"/>
        </w:rPr>
        <w:t>Saving another</w:t>
      </w:r>
      <w:r>
        <w:rPr>
          <w:rFonts w:ascii="Calibri" w:hAnsi="Calibri" w:cs="Helv"/>
          <w:color w:val="000000"/>
        </w:rPr>
        <w:t xml:space="preserve"> 5-10</w:t>
      </w:r>
      <w:r w:rsidRPr="00944E4F">
        <w:rPr>
          <w:rFonts w:ascii="Calibri" w:hAnsi="Calibri" w:cs="Helv"/>
          <w:color w:val="000000"/>
        </w:rPr>
        <w:t>% stat</w:t>
      </w:r>
      <w:r>
        <w:rPr>
          <w:rFonts w:ascii="Calibri" w:hAnsi="Calibri" w:cs="Helv"/>
          <w:color w:val="000000"/>
        </w:rPr>
        <w:t>e income tax</w:t>
      </w:r>
      <w:r w:rsidR="003F3846">
        <w:rPr>
          <w:rFonts w:ascii="Calibri" w:hAnsi="Calibri" w:cs="Helv"/>
          <w:color w:val="000000"/>
        </w:rPr>
        <w:t xml:space="preserve"> can</w:t>
      </w:r>
      <w:r>
        <w:rPr>
          <w:rFonts w:ascii="Calibri" w:hAnsi="Calibri" w:cs="Helv"/>
          <w:color w:val="000000"/>
        </w:rPr>
        <w:t xml:space="preserve"> be substantial </w:t>
      </w:r>
      <w:r w:rsidRPr="00944E4F">
        <w:rPr>
          <w:rFonts w:ascii="Calibri" w:hAnsi="Calibri" w:cs="Helv"/>
          <w:color w:val="000000"/>
        </w:rPr>
        <w:t xml:space="preserve">state income tax savings, </w:t>
      </w:r>
      <w:r w:rsidR="00B95180">
        <w:rPr>
          <w:rFonts w:ascii="Calibri" w:hAnsi="Calibri" w:cs="Helv"/>
          <w:color w:val="000000"/>
        </w:rPr>
        <w:t>especially</w:t>
      </w:r>
      <w:r w:rsidRPr="00944E4F">
        <w:rPr>
          <w:rFonts w:ascii="Calibri" w:hAnsi="Calibri" w:cs="Helv"/>
          <w:color w:val="000000"/>
        </w:rPr>
        <w:t xml:space="preserve"> if there is state-source income, like selling a business or real estate located in state</w:t>
      </w:r>
      <w:r w:rsidR="00B95180">
        <w:rPr>
          <w:rFonts w:ascii="Calibri" w:hAnsi="Calibri" w:cs="Helv"/>
          <w:color w:val="000000"/>
        </w:rPr>
        <w:t>, that cannot otherwise get around state income tax</w:t>
      </w:r>
      <w:r w:rsidRPr="00944E4F">
        <w:rPr>
          <w:rFonts w:ascii="Calibri" w:hAnsi="Calibri" w:cs="Helv"/>
          <w:color w:val="000000"/>
        </w:rPr>
        <w:t>.</w:t>
      </w:r>
      <w:r w:rsidRPr="00944E4F">
        <w:rPr>
          <w:rFonts w:ascii="Calibri" w:hAnsi="Calibri" w:cs="Helv"/>
          <w:color w:val="000000"/>
          <w:vertAlign w:val="superscript"/>
        </w:rPr>
        <w:footnoteReference w:id="472"/>
      </w:r>
      <w:r w:rsidRPr="00944E4F">
        <w:rPr>
          <w:rFonts w:ascii="Calibri" w:hAnsi="Calibri" w:cs="Helv"/>
          <w:color w:val="000000"/>
        </w:rPr>
        <w:t xml:space="preserve">  </w:t>
      </w:r>
    </w:p>
    <w:p w14:paraId="03F7F337" w14:textId="77777777" w:rsidR="00944E4F" w:rsidRPr="00944E4F" w:rsidRDefault="003F3846" w:rsidP="00944E4F">
      <w:pPr>
        <w:autoSpaceDE w:val="0"/>
        <w:autoSpaceDN w:val="0"/>
        <w:adjustRightInd w:val="0"/>
        <w:spacing w:line="360" w:lineRule="auto"/>
        <w:ind w:firstLine="720"/>
        <w:rPr>
          <w:rFonts w:ascii="Calibri" w:hAnsi="Calibri" w:cs="Helv"/>
          <w:color w:val="000000"/>
        </w:rPr>
      </w:pPr>
      <w:r>
        <w:rPr>
          <w:rFonts w:ascii="Calibri" w:hAnsi="Calibri" w:cs="Helv"/>
          <w:color w:val="000000"/>
        </w:rPr>
        <w:t>More advantages may accrue</w:t>
      </w:r>
      <w:r w:rsidR="00944E4F" w:rsidRPr="00944E4F">
        <w:rPr>
          <w:rFonts w:ascii="Calibri" w:hAnsi="Calibri" w:cs="Helv"/>
          <w:color w:val="000000"/>
        </w:rPr>
        <w:t xml:space="preserve"> if the </w:t>
      </w:r>
      <w:r w:rsidR="00944E4F">
        <w:rPr>
          <w:rFonts w:ascii="Calibri" w:hAnsi="Calibri" w:cs="Helv"/>
          <w:color w:val="000000"/>
        </w:rPr>
        <w:t xml:space="preserve">trust’s </w:t>
      </w:r>
      <w:r w:rsidR="00944E4F" w:rsidRPr="00944E4F">
        <w:rPr>
          <w:rFonts w:ascii="Calibri" w:hAnsi="Calibri" w:cs="Helv"/>
          <w:color w:val="000000"/>
        </w:rPr>
        <w:t>donation were large enough to exceed an individual’s 20%/30%/50% AGI limitations,</w:t>
      </w:r>
      <w:r>
        <w:rPr>
          <w:rFonts w:ascii="Calibri" w:hAnsi="Calibri" w:cs="Helv"/>
          <w:color w:val="000000"/>
        </w:rPr>
        <w:t xml:space="preserve"> or if the individual beneficiary already had substantial carryforwards that would limit further use</w:t>
      </w:r>
      <w:r w:rsidR="00944E4F" w:rsidRPr="00944E4F">
        <w:rPr>
          <w:rFonts w:ascii="Calibri" w:hAnsi="Calibri" w:cs="Helv"/>
          <w:color w:val="000000"/>
        </w:rPr>
        <w:t>.</w:t>
      </w:r>
    </w:p>
    <w:p w14:paraId="5A3A29C5" w14:textId="77777777" w:rsidR="00491FB5" w:rsidRDefault="00491FB5" w:rsidP="007D7B82">
      <w:pPr>
        <w:autoSpaceDE w:val="0"/>
        <w:autoSpaceDN w:val="0"/>
        <w:adjustRightInd w:val="0"/>
        <w:spacing w:line="360" w:lineRule="auto"/>
        <w:ind w:firstLine="720"/>
        <w:rPr>
          <w:rFonts w:ascii="Calibri" w:hAnsi="Calibri"/>
        </w:rPr>
      </w:pPr>
      <w:r>
        <w:rPr>
          <w:rFonts w:ascii="Calibri" w:hAnsi="Calibri" w:cs="Helv"/>
          <w:color w:val="000000"/>
        </w:rPr>
        <w:lastRenderedPageBreak/>
        <w:t xml:space="preserve">Furthermore, regulations specifically permit that the governing instrument can control the character of the income distributed via </w:t>
      </w:r>
      <w:r w:rsidR="00E92014">
        <w:rPr>
          <w:rFonts w:ascii="Calibri" w:hAnsi="Calibri" w:cs="Helv"/>
          <w:color w:val="000000"/>
        </w:rPr>
        <w:t>§</w:t>
      </w:r>
      <w:r>
        <w:rPr>
          <w:rFonts w:ascii="Calibri" w:hAnsi="Calibri" w:cs="Helv"/>
          <w:color w:val="000000"/>
        </w:rPr>
        <w:t>642(c) provided it</w:t>
      </w:r>
      <w:r w:rsidRPr="008651B1">
        <w:rPr>
          <w:color w:val="333333"/>
          <w:sz w:val="20"/>
          <w:szCs w:val="20"/>
        </w:rPr>
        <w:t xml:space="preserve"> </w:t>
      </w:r>
      <w:r w:rsidRPr="000568C6">
        <w:rPr>
          <w:rFonts w:ascii="Calibri" w:hAnsi="Calibri"/>
        </w:rPr>
        <w:t>“has economic effect independent of income tax consequences.”</w:t>
      </w:r>
      <w:r w:rsidR="009C387C">
        <w:rPr>
          <w:rStyle w:val="FootnoteReference"/>
          <w:rFonts w:ascii="Calibri" w:hAnsi="Calibri"/>
        </w:rPr>
        <w:footnoteReference w:id="473"/>
      </w:r>
      <w:r w:rsidR="00784428">
        <w:rPr>
          <w:rFonts w:ascii="Calibri" w:hAnsi="Calibri"/>
        </w:rPr>
        <w:t xml:space="preserve">  A mere ordering rule is insufficient</w:t>
      </w:r>
      <w:r w:rsidR="009C387C">
        <w:rPr>
          <w:rFonts w:ascii="Calibri" w:hAnsi="Calibri"/>
        </w:rPr>
        <w:t>, but we can accomplish advantageous results by creating limitations on lifetime limited powers of appointment (or spray powers) with such consequences.</w:t>
      </w:r>
      <w:r w:rsidR="009C387C">
        <w:rPr>
          <w:rStyle w:val="FootnoteReference"/>
          <w:rFonts w:ascii="Calibri" w:hAnsi="Calibri"/>
        </w:rPr>
        <w:footnoteReference w:id="474"/>
      </w:r>
      <w:r w:rsidRPr="000568C6">
        <w:rPr>
          <w:sz w:val="20"/>
          <w:szCs w:val="20"/>
        </w:rPr>
        <w:t xml:space="preserve">  </w:t>
      </w:r>
      <w:r w:rsidR="00E40BA9">
        <w:rPr>
          <w:rFonts w:asciiTheme="minorHAnsi" w:hAnsiTheme="minorHAnsi"/>
        </w:rPr>
        <w:t xml:space="preserve">This is not possible with charitable lead trusts (CLTs) because of the fixed unitrust or annuity obligation, </w:t>
      </w:r>
      <w:r w:rsidR="00E0638B">
        <w:rPr>
          <w:rFonts w:asciiTheme="minorHAnsi" w:hAnsiTheme="minorHAnsi"/>
        </w:rPr>
        <w:t xml:space="preserve">which destroys any chance for an ordering rule to have economic effect, </w:t>
      </w:r>
      <w:r w:rsidR="00E40BA9">
        <w:rPr>
          <w:rFonts w:asciiTheme="minorHAnsi" w:hAnsiTheme="minorHAnsi"/>
        </w:rPr>
        <w:t xml:space="preserve">but </w:t>
      </w:r>
      <w:r w:rsidR="00E0638B">
        <w:rPr>
          <w:rFonts w:asciiTheme="minorHAnsi" w:hAnsiTheme="minorHAnsi"/>
        </w:rPr>
        <w:t xml:space="preserve">it </w:t>
      </w:r>
      <w:r w:rsidR="00E40BA9">
        <w:rPr>
          <w:rFonts w:asciiTheme="minorHAnsi" w:hAnsiTheme="minorHAnsi"/>
        </w:rPr>
        <w:t xml:space="preserve">is still viable for non-charitable trusts.  </w:t>
      </w:r>
      <w:r w:rsidRPr="000568C6">
        <w:rPr>
          <w:rFonts w:ascii="Calibri" w:hAnsi="Calibri"/>
        </w:rPr>
        <w:t xml:space="preserve">For instance, if the trust limits the charities’ potential distribution </w:t>
      </w:r>
      <w:r w:rsidR="00E0638B">
        <w:rPr>
          <w:rFonts w:ascii="Calibri" w:hAnsi="Calibri"/>
        </w:rPr>
        <w:t xml:space="preserve">(powerholder’s annual limited power to appoint) </w:t>
      </w:r>
      <w:r w:rsidRPr="000568C6">
        <w:rPr>
          <w:rFonts w:ascii="Calibri" w:hAnsi="Calibri"/>
        </w:rPr>
        <w:t xml:space="preserve">to income from net </w:t>
      </w:r>
      <w:r w:rsidRPr="00E40BA9">
        <w:rPr>
          <w:rFonts w:ascii="Calibri" w:hAnsi="Calibri"/>
          <w:i/>
        </w:rPr>
        <w:t>short-term</w:t>
      </w:r>
      <w:r w:rsidRPr="000568C6">
        <w:rPr>
          <w:rFonts w:ascii="Calibri" w:hAnsi="Calibri"/>
        </w:rPr>
        <w:t xml:space="preserve"> capital gains, taxable interest</w:t>
      </w:r>
      <w:r w:rsidR="00E0638B">
        <w:rPr>
          <w:rFonts w:ascii="Calibri" w:hAnsi="Calibri"/>
        </w:rPr>
        <w:t>, taxable retirement plan distributions</w:t>
      </w:r>
      <w:r w:rsidRPr="000568C6">
        <w:rPr>
          <w:rFonts w:ascii="Calibri" w:hAnsi="Calibri"/>
        </w:rPr>
        <w:t xml:space="preserve"> and rents, it has the economic effect apart from income tax consequences because the amount that could be paid to the charity each year is </w:t>
      </w:r>
      <w:r w:rsidR="00E0638B">
        <w:rPr>
          <w:rFonts w:ascii="Calibri" w:hAnsi="Calibri"/>
        </w:rPr>
        <w:t xml:space="preserve">capped and </w:t>
      </w:r>
      <w:r w:rsidRPr="000568C6">
        <w:rPr>
          <w:rFonts w:ascii="Calibri" w:hAnsi="Calibri"/>
        </w:rPr>
        <w:t>dependent upon the short term capital gains, taxable interest and rents the trust earns within that taxable year.</w:t>
      </w:r>
      <w:r w:rsidRPr="000568C6">
        <w:rPr>
          <w:rStyle w:val="FootnoteReference"/>
          <w:rFonts w:ascii="Calibri" w:hAnsi="Calibri"/>
        </w:rPr>
        <w:footnoteReference w:id="475"/>
      </w:r>
      <w:r w:rsidRPr="000568C6">
        <w:rPr>
          <w:rFonts w:ascii="Calibri" w:hAnsi="Calibri"/>
        </w:rPr>
        <w:t xml:space="preserve"> Therefore, </w:t>
      </w:r>
      <w:r w:rsidR="00B95180">
        <w:rPr>
          <w:rFonts w:ascii="Calibri" w:hAnsi="Calibri"/>
        </w:rPr>
        <w:t xml:space="preserve">going back to </w:t>
      </w:r>
      <w:r w:rsidRPr="000568C6">
        <w:rPr>
          <w:rFonts w:ascii="Calibri" w:hAnsi="Calibri"/>
        </w:rPr>
        <w:t>our example</w:t>
      </w:r>
      <w:r w:rsidR="00B95180">
        <w:rPr>
          <w:rFonts w:ascii="Calibri" w:hAnsi="Calibri"/>
        </w:rPr>
        <w:t xml:space="preserve"> with a charitable limitation with “economic effect”</w:t>
      </w:r>
      <w:r w:rsidRPr="000568C6">
        <w:rPr>
          <w:rFonts w:ascii="Calibri" w:hAnsi="Calibri"/>
        </w:rPr>
        <w:t>,</w:t>
      </w:r>
      <w:r w:rsidR="004A2739" w:rsidRPr="004A2739">
        <w:t xml:space="preserve"> </w:t>
      </w:r>
      <w:r w:rsidR="004A2739" w:rsidRPr="004A2739">
        <w:rPr>
          <w:rFonts w:ascii="Calibri" w:hAnsi="Calibri"/>
        </w:rPr>
        <w:t>the donor advised fund in our example would not receive any long-term capital gains (LTCG), qualified dividend (QD) or tax exempt income – the $20,000 would be limited to coming from the interest and short term capital gains.  What a deal – the taxable beneficiaries can get the LTCG/QD eligible for 15%/0% brackets, and the tax exempt income, while the charity gets the ordinary income otherwise taxed at up to 43.4%</w:t>
      </w:r>
    </w:p>
    <w:p w14:paraId="648E94E4" w14:textId="77777777" w:rsidR="00C77D8F" w:rsidRDefault="00C77D8F" w:rsidP="007D7B82">
      <w:pPr>
        <w:autoSpaceDE w:val="0"/>
        <w:autoSpaceDN w:val="0"/>
        <w:adjustRightInd w:val="0"/>
        <w:spacing w:line="360" w:lineRule="auto"/>
        <w:ind w:firstLine="720"/>
        <w:rPr>
          <w:rFonts w:ascii="Calibri" w:hAnsi="Calibri"/>
        </w:rPr>
      </w:pPr>
      <w:r>
        <w:rPr>
          <w:rFonts w:ascii="Calibri" w:hAnsi="Calibri"/>
        </w:rPr>
        <w:t>Another way to maximize the charitable tax deduction against the highest rate income with the more advantageous §642(c) deduction, while the settlor is still living, is to establish a part grantor, part non-grantor trust.  The accounting income could go to charity, and the capital gains (or other income allocated to principal) could be taxed to the grantor. Think of it as a non-qualifying part grantor, part non-grantor charitable lead trust.  Such a trust would</w:t>
      </w:r>
      <w:r w:rsidRPr="00C77D8F">
        <w:rPr>
          <w:rFonts w:ascii="Calibri" w:hAnsi="Calibri"/>
        </w:rPr>
        <w:t xml:space="preserve"> receive an “above the line” charitable deduction for any proceeds from the non-grantor </w:t>
      </w:r>
      <w:r>
        <w:rPr>
          <w:rFonts w:ascii="Calibri" w:hAnsi="Calibri"/>
        </w:rPr>
        <w:t xml:space="preserve">accounting income </w:t>
      </w:r>
      <w:r w:rsidRPr="00C77D8F">
        <w:rPr>
          <w:rFonts w:ascii="Calibri" w:hAnsi="Calibri"/>
        </w:rPr>
        <w:t xml:space="preserve">portion (typically </w:t>
      </w:r>
      <w:r>
        <w:rPr>
          <w:rFonts w:ascii="Calibri" w:hAnsi="Calibri"/>
        </w:rPr>
        <w:t xml:space="preserve">dividends, interest, rent and pass through income from a </w:t>
      </w:r>
      <w:r>
        <w:rPr>
          <w:rFonts w:ascii="Calibri" w:hAnsi="Calibri"/>
        </w:rPr>
        <w:lastRenderedPageBreak/>
        <w:t>partnership/LLC, but this could include short-term capital gains</w:t>
      </w:r>
      <w:r w:rsidRPr="00C77D8F">
        <w:rPr>
          <w:rFonts w:ascii="Calibri" w:hAnsi="Calibri"/>
        </w:rPr>
        <w:t>) that are distributed to charity.</w:t>
      </w:r>
      <w:r>
        <w:rPr>
          <w:rFonts w:ascii="Calibri" w:hAnsi="Calibri"/>
        </w:rPr>
        <w:t xml:space="preserve">  All but qualified dividends are typically higher rate income.</w:t>
      </w:r>
      <w:r w:rsidRPr="00C77D8F">
        <w:rPr>
          <w:rFonts w:ascii="Calibri" w:hAnsi="Calibri"/>
        </w:rPr>
        <w:t xml:space="preserve">   </w:t>
      </w:r>
      <w:r>
        <w:rPr>
          <w:rFonts w:ascii="Calibri" w:hAnsi="Calibri"/>
        </w:rPr>
        <w:t>Meanwhile, the grantor could then receive and be taxed on the income allocated to principal, typically long-term capital gains, taxed at advantageous rates.</w:t>
      </w:r>
      <w:r>
        <w:rPr>
          <w:rStyle w:val="FootnoteReference"/>
          <w:rFonts w:ascii="Calibri" w:hAnsi="Calibri"/>
        </w:rPr>
        <w:footnoteReference w:id="476"/>
      </w:r>
    </w:p>
    <w:p w14:paraId="1E477D66" w14:textId="77777777" w:rsidR="009537BD" w:rsidRDefault="009537BD" w:rsidP="009537BD">
      <w:pPr>
        <w:autoSpaceDE w:val="0"/>
        <w:autoSpaceDN w:val="0"/>
        <w:adjustRightInd w:val="0"/>
        <w:spacing w:line="360" w:lineRule="auto"/>
        <w:ind w:firstLine="720"/>
        <w:rPr>
          <w:rFonts w:ascii="Calibri" w:hAnsi="Calibri"/>
        </w:rPr>
      </w:pPr>
      <w:r>
        <w:rPr>
          <w:rFonts w:ascii="Calibri" w:hAnsi="Calibri"/>
        </w:rPr>
        <w:t xml:space="preserve">The IRS is surprisingly lenient when it comes to allocation of the charitable deduction when there are other non-charitable discretionary beneficiaries </w:t>
      </w:r>
      <w:r w:rsidR="00306546">
        <w:rPr>
          <w:rFonts w:ascii="Calibri" w:hAnsi="Calibri"/>
        </w:rPr>
        <w:t>receiving distributions</w:t>
      </w:r>
      <w:r>
        <w:rPr>
          <w:rFonts w:ascii="Calibri" w:hAnsi="Calibri"/>
        </w:rPr>
        <w:t>.  To return to our example of Barbara and her family bypass trust above, if the trustee (via spray or via Barbara or another party’s use of a</w:t>
      </w:r>
      <w:r w:rsidR="006832C5">
        <w:rPr>
          <w:rFonts w:ascii="Calibri" w:hAnsi="Calibri"/>
        </w:rPr>
        <w:t xml:space="preserve"> lifetime LPOA) had donated $14</w:t>
      </w:r>
      <w:r>
        <w:rPr>
          <w:rFonts w:ascii="Calibri" w:hAnsi="Calibri"/>
        </w:rPr>
        <w:t>0,000 to charity from the trust’s gross income instead of $20,000</w:t>
      </w:r>
      <w:r w:rsidR="009C387C">
        <w:rPr>
          <w:rFonts w:ascii="Calibri" w:hAnsi="Calibri"/>
        </w:rPr>
        <w:t xml:space="preserve"> (assuming it was not limited to short term capital gains, interest and rents as postulated above)</w:t>
      </w:r>
      <w:r>
        <w:rPr>
          <w:rFonts w:ascii="Calibri" w:hAnsi="Calibri"/>
        </w:rPr>
        <w:t xml:space="preserve">, the result would be that </w:t>
      </w:r>
      <w:r w:rsidR="006832C5">
        <w:rPr>
          <w:rFonts w:ascii="Calibri" w:hAnsi="Calibri"/>
        </w:rPr>
        <w:t xml:space="preserve">Barbara or her family would have </w:t>
      </w:r>
      <w:r w:rsidR="006832C5">
        <w:rPr>
          <w:rFonts w:ascii="Calibri" w:hAnsi="Calibri"/>
          <w:i/>
        </w:rPr>
        <w:t>no taxable income</w:t>
      </w:r>
      <w:r w:rsidR="00784428">
        <w:rPr>
          <w:rFonts w:ascii="Calibri" w:hAnsi="Calibri"/>
          <w:i/>
        </w:rPr>
        <w:t xml:space="preserve"> from the trust</w:t>
      </w:r>
      <w:r w:rsidR="006832C5">
        <w:rPr>
          <w:rFonts w:ascii="Calibri" w:hAnsi="Calibri"/>
          <w:i/>
        </w:rPr>
        <w:t xml:space="preserve">, despite receiving substantial distributions from </w:t>
      </w:r>
      <w:r w:rsidR="00784428">
        <w:rPr>
          <w:rFonts w:ascii="Calibri" w:hAnsi="Calibri"/>
          <w:i/>
        </w:rPr>
        <w:t>it</w:t>
      </w:r>
      <w:r w:rsidR="006832C5">
        <w:rPr>
          <w:rFonts w:ascii="Calibri" w:hAnsi="Calibri"/>
        </w:rPr>
        <w:t>.</w:t>
      </w:r>
      <w:r w:rsidR="006832C5">
        <w:rPr>
          <w:rStyle w:val="FootnoteReference"/>
          <w:rFonts w:ascii="Calibri" w:hAnsi="Calibri"/>
        </w:rPr>
        <w:footnoteReference w:id="477"/>
      </w:r>
    </w:p>
    <w:p w14:paraId="70D80DA1" w14:textId="77777777" w:rsidR="00D0752F" w:rsidRPr="000568C6" w:rsidRDefault="00455159" w:rsidP="00D0752F">
      <w:pPr>
        <w:autoSpaceDE w:val="0"/>
        <w:autoSpaceDN w:val="0"/>
        <w:adjustRightInd w:val="0"/>
        <w:spacing w:line="360" w:lineRule="auto"/>
        <w:ind w:firstLine="720"/>
        <w:rPr>
          <w:rFonts w:ascii="Calibri" w:hAnsi="Calibri"/>
        </w:rPr>
      </w:pPr>
      <w:r w:rsidRPr="000568C6">
        <w:rPr>
          <w:rFonts w:ascii="Calibri" w:hAnsi="Calibri"/>
        </w:rPr>
        <w:t>Furthermore, a distribution pursuant to a lifetime limited power of appointment may also qualify for the IRC §642(c) deduction.</w:t>
      </w:r>
      <w:r w:rsidR="00015581">
        <w:rPr>
          <w:rStyle w:val="FootnoteReference"/>
          <w:rFonts w:ascii="Calibri" w:hAnsi="Calibri"/>
        </w:rPr>
        <w:footnoteReference w:id="478"/>
      </w:r>
      <w:r w:rsidRPr="000568C6">
        <w:rPr>
          <w:rFonts w:ascii="Calibri" w:hAnsi="Calibri"/>
        </w:rPr>
        <w:t xml:space="preserve">  </w:t>
      </w:r>
      <w:r w:rsidR="00D0752F" w:rsidRPr="000568C6">
        <w:rPr>
          <w:rFonts w:ascii="Calibri" w:hAnsi="Calibri"/>
        </w:rPr>
        <w:t xml:space="preserve">In a recent PLR, the trust had </w:t>
      </w:r>
      <w:r w:rsidR="00B07EE5">
        <w:rPr>
          <w:rFonts w:ascii="Calibri" w:hAnsi="Calibri"/>
        </w:rPr>
        <w:t>this</w:t>
      </w:r>
      <w:r w:rsidR="00D0752F" w:rsidRPr="000568C6">
        <w:rPr>
          <w:rFonts w:ascii="Calibri" w:hAnsi="Calibri"/>
        </w:rPr>
        <w:t xml:space="preserve"> clause:</w:t>
      </w:r>
    </w:p>
    <w:p w14:paraId="47435CC5" w14:textId="77777777" w:rsidR="00455159" w:rsidRPr="0040409F" w:rsidRDefault="00D0752F" w:rsidP="00D0752F">
      <w:pPr>
        <w:autoSpaceDE w:val="0"/>
        <w:autoSpaceDN w:val="0"/>
        <w:adjustRightInd w:val="0"/>
        <w:ind w:left="720"/>
        <w:rPr>
          <w:rFonts w:ascii="Calibri" w:hAnsi="Calibri" w:cs="Arial"/>
        </w:rPr>
      </w:pPr>
      <w:r>
        <w:rPr>
          <w:rFonts w:ascii="Calibri" w:hAnsi="Calibri"/>
          <w:color w:val="333333"/>
        </w:rPr>
        <w:t xml:space="preserve"> </w:t>
      </w:r>
      <w:r w:rsidRPr="0040409F">
        <w:rPr>
          <w:rFonts w:ascii="Calibri" w:hAnsi="Calibri" w:cs="Arial"/>
        </w:rPr>
        <w:t>“[T]he Trustee shall distribute all or any portion of the trust estate, including both income and principal, as A may appoint, at any time and from time to time during A’s lifetime or upon A’s death, to any one or more organizations each of which is, at the time contemplated for an actual distribution to such organization, exempt from federal income taxation under § 501(a) as an organization described in § 501(c)(3) and also is described in al of §§ 170(c), 2055(a) and 2522(a).”</w:t>
      </w:r>
      <w:r w:rsidR="0040409F" w:rsidRPr="0040409F">
        <w:rPr>
          <w:rFonts w:ascii="Calibri" w:hAnsi="Calibri" w:cs="Arial"/>
        </w:rPr>
        <w:t xml:space="preserve"> (sic)</w:t>
      </w:r>
    </w:p>
    <w:p w14:paraId="7E4AD8D0" w14:textId="77777777" w:rsidR="0040409F" w:rsidRDefault="0040409F" w:rsidP="00D0752F">
      <w:pPr>
        <w:autoSpaceDE w:val="0"/>
        <w:autoSpaceDN w:val="0"/>
        <w:adjustRightInd w:val="0"/>
        <w:ind w:firstLine="720"/>
        <w:rPr>
          <w:rFonts w:ascii="Arial" w:hAnsi="Arial" w:cs="Arial"/>
        </w:rPr>
      </w:pPr>
    </w:p>
    <w:p w14:paraId="186CAF4E" w14:textId="77777777" w:rsidR="00D0752F" w:rsidRDefault="00D0752F" w:rsidP="0040409F">
      <w:pPr>
        <w:autoSpaceDE w:val="0"/>
        <w:autoSpaceDN w:val="0"/>
        <w:adjustRightInd w:val="0"/>
        <w:spacing w:line="360" w:lineRule="auto"/>
        <w:ind w:firstLine="720"/>
        <w:rPr>
          <w:rFonts w:ascii="Calibri" w:hAnsi="Calibri" w:cs="Arial"/>
        </w:rPr>
      </w:pPr>
      <w:r w:rsidRPr="0040409F">
        <w:rPr>
          <w:rFonts w:ascii="Calibri" w:hAnsi="Calibri" w:cs="Arial"/>
        </w:rPr>
        <w:t>In this ruling, the IRS held that a distribution of gross income from the</w:t>
      </w:r>
      <w:r w:rsidR="0040409F" w:rsidRPr="0040409F">
        <w:rPr>
          <w:rFonts w:ascii="Calibri" w:hAnsi="Calibri" w:cs="Arial"/>
        </w:rPr>
        <w:t xml:space="preserve"> trust</w:t>
      </w:r>
      <w:r w:rsidRPr="0040409F">
        <w:rPr>
          <w:rFonts w:ascii="Calibri" w:hAnsi="Calibri" w:cs="Arial"/>
        </w:rPr>
        <w:t xml:space="preserve"> to one or more charitable organizations</w:t>
      </w:r>
      <w:r w:rsidR="0040409F" w:rsidRPr="0040409F">
        <w:rPr>
          <w:rFonts w:ascii="Calibri" w:hAnsi="Calibri" w:cs="Arial"/>
        </w:rPr>
        <w:t xml:space="preserve"> </w:t>
      </w:r>
      <w:r w:rsidRPr="0040409F">
        <w:rPr>
          <w:rFonts w:ascii="Calibri" w:hAnsi="Calibri" w:cs="Arial"/>
        </w:rPr>
        <w:t xml:space="preserve">made pursuant to A’s limited power of </w:t>
      </w:r>
      <w:r w:rsidR="0040409F" w:rsidRPr="0040409F">
        <w:rPr>
          <w:rFonts w:ascii="Calibri" w:hAnsi="Calibri" w:cs="Arial"/>
        </w:rPr>
        <w:t>a</w:t>
      </w:r>
      <w:r w:rsidRPr="0040409F">
        <w:rPr>
          <w:rFonts w:ascii="Calibri" w:hAnsi="Calibri" w:cs="Arial"/>
        </w:rPr>
        <w:t xml:space="preserve">ppointment will be </w:t>
      </w:r>
      <w:r w:rsidRPr="0040409F">
        <w:rPr>
          <w:rFonts w:ascii="Calibri" w:hAnsi="Calibri" w:cs="Arial"/>
        </w:rPr>
        <w:lastRenderedPageBreak/>
        <w:t>made “pursuant to the terms</w:t>
      </w:r>
      <w:r w:rsidR="0040409F" w:rsidRPr="0040409F">
        <w:rPr>
          <w:rFonts w:ascii="Calibri" w:hAnsi="Calibri" w:cs="Arial"/>
        </w:rPr>
        <w:t xml:space="preserve"> </w:t>
      </w:r>
      <w:r w:rsidRPr="0040409F">
        <w:rPr>
          <w:rFonts w:ascii="Calibri" w:hAnsi="Calibri" w:cs="Arial"/>
        </w:rPr>
        <w:t>of the governing instrument” as provided in §</w:t>
      </w:r>
      <w:r w:rsidR="0040409F" w:rsidRPr="0040409F">
        <w:rPr>
          <w:rFonts w:ascii="Calibri" w:hAnsi="Calibri" w:cs="Arial"/>
        </w:rPr>
        <w:t xml:space="preserve">642(c)(1) and </w:t>
      </w:r>
      <w:r w:rsidRPr="0040409F">
        <w:rPr>
          <w:rFonts w:ascii="Calibri" w:hAnsi="Calibri" w:cs="Arial"/>
        </w:rPr>
        <w:t>provided that the</w:t>
      </w:r>
      <w:r w:rsidR="0040409F" w:rsidRPr="0040409F">
        <w:rPr>
          <w:rFonts w:ascii="Calibri" w:hAnsi="Calibri" w:cs="Arial"/>
        </w:rPr>
        <w:t xml:space="preserve"> </w:t>
      </w:r>
      <w:r w:rsidRPr="0040409F">
        <w:rPr>
          <w:rFonts w:ascii="Calibri" w:hAnsi="Calibri" w:cs="Arial"/>
        </w:rPr>
        <w:t>other requir</w:t>
      </w:r>
      <w:r w:rsidR="00A5665D">
        <w:rPr>
          <w:rFonts w:ascii="Calibri" w:hAnsi="Calibri" w:cs="Arial"/>
        </w:rPr>
        <w:t>ements of §</w:t>
      </w:r>
      <w:r w:rsidRPr="0040409F">
        <w:rPr>
          <w:rFonts w:ascii="Calibri" w:hAnsi="Calibri" w:cs="Arial"/>
        </w:rPr>
        <w:t xml:space="preserve">642(c) are satisfied, such distribution from </w:t>
      </w:r>
      <w:r w:rsidR="0040409F" w:rsidRPr="0040409F">
        <w:rPr>
          <w:rFonts w:ascii="Calibri" w:hAnsi="Calibri" w:cs="Arial"/>
        </w:rPr>
        <w:t xml:space="preserve">the trust </w:t>
      </w:r>
      <w:r w:rsidRPr="0040409F">
        <w:rPr>
          <w:rFonts w:ascii="Calibri" w:hAnsi="Calibri" w:cs="Arial"/>
        </w:rPr>
        <w:t>will qualify for</w:t>
      </w:r>
      <w:r w:rsidR="0040409F" w:rsidRPr="0040409F">
        <w:rPr>
          <w:rFonts w:ascii="Calibri" w:hAnsi="Calibri" w:cs="Arial"/>
        </w:rPr>
        <w:t xml:space="preserve"> </w:t>
      </w:r>
      <w:r w:rsidRPr="0040409F">
        <w:rPr>
          <w:rFonts w:ascii="Calibri" w:hAnsi="Calibri" w:cs="Arial"/>
        </w:rPr>
        <w:t>the charitable</w:t>
      </w:r>
      <w:r w:rsidR="00A5665D">
        <w:rPr>
          <w:rFonts w:ascii="Calibri" w:hAnsi="Calibri" w:cs="Arial"/>
        </w:rPr>
        <w:t xml:space="preserve"> contribution deduction under §</w:t>
      </w:r>
      <w:r w:rsidRPr="0040409F">
        <w:rPr>
          <w:rFonts w:ascii="Calibri" w:hAnsi="Calibri" w:cs="Arial"/>
        </w:rPr>
        <w:t>642(c).</w:t>
      </w:r>
      <w:r w:rsidR="0040409F" w:rsidRPr="0040409F">
        <w:rPr>
          <w:rStyle w:val="FootnoteReference"/>
          <w:rFonts w:ascii="Calibri" w:hAnsi="Calibri" w:cs="Arial"/>
        </w:rPr>
        <w:footnoteReference w:id="479"/>
      </w:r>
    </w:p>
    <w:p w14:paraId="11A368CD" w14:textId="77777777" w:rsidR="002D53DA" w:rsidRDefault="00B0343B" w:rsidP="002D53DA">
      <w:pPr>
        <w:autoSpaceDE w:val="0"/>
        <w:autoSpaceDN w:val="0"/>
        <w:adjustRightInd w:val="0"/>
        <w:spacing w:line="360" w:lineRule="auto"/>
        <w:ind w:firstLine="720"/>
      </w:pPr>
      <w:r>
        <w:rPr>
          <w:rFonts w:ascii="Calibri" w:hAnsi="Calibri" w:cs="Arial"/>
        </w:rPr>
        <w:t xml:space="preserve">What if the court, trustee, trust protector or parties, through reformation, decanting or non-judicial settlement, amend the governing instrument to allow </w:t>
      </w:r>
      <w:r w:rsidR="008579FC">
        <w:rPr>
          <w:rFonts w:ascii="Calibri" w:hAnsi="Calibri" w:cs="Arial"/>
        </w:rPr>
        <w:t xml:space="preserve">the distribution?  </w:t>
      </w:r>
      <w:r w:rsidR="00EF6CAF">
        <w:rPr>
          <w:rFonts w:ascii="Calibri" w:hAnsi="Calibri" w:cs="Arial"/>
        </w:rPr>
        <w:t>It</w:t>
      </w:r>
      <w:r w:rsidR="008579FC">
        <w:rPr>
          <w:rFonts w:ascii="Calibri" w:hAnsi="Calibri" w:cs="Arial"/>
        </w:rPr>
        <w:t xml:space="preserve"> seems logical under the statute that if this new agreement is </w:t>
      </w:r>
      <w:r w:rsidR="008579FC" w:rsidRPr="00015581">
        <w:rPr>
          <w:rFonts w:ascii="Calibri" w:hAnsi="Calibri" w:cs="Arial"/>
          <w:i/>
        </w:rPr>
        <w:t>now the valid governing instrument under state law</w:t>
      </w:r>
      <w:r w:rsidR="008579FC">
        <w:rPr>
          <w:rFonts w:ascii="Calibri" w:hAnsi="Calibri" w:cs="Arial"/>
        </w:rPr>
        <w:t xml:space="preserve">, it </w:t>
      </w:r>
      <w:r w:rsidR="008579FC" w:rsidRPr="00EF6CAF">
        <w:rPr>
          <w:rFonts w:ascii="Calibri" w:hAnsi="Calibri" w:cs="Arial"/>
          <w:i/>
        </w:rPr>
        <w:t>should</w:t>
      </w:r>
      <w:r w:rsidR="008579FC">
        <w:rPr>
          <w:rFonts w:ascii="Calibri" w:hAnsi="Calibri" w:cs="Arial"/>
        </w:rPr>
        <w:t xml:space="preserve"> be allowed</w:t>
      </w:r>
      <w:r w:rsidR="00EF6CAF">
        <w:rPr>
          <w:rFonts w:ascii="Calibri" w:hAnsi="Calibri" w:cs="Arial"/>
        </w:rPr>
        <w:t xml:space="preserve"> – but it will likely be unavailable as to any contributions made prior to the reformation</w:t>
      </w:r>
      <w:r w:rsidR="00F74B87">
        <w:rPr>
          <w:rFonts w:ascii="Calibri" w:hAnsi="Calibri" w:cs="Arial"/>
        </w:rPr>
        <w:t>, and the IRS may even fight or deny its impact prospectively</w:t>
      </w:r>
      <w:r w:rsidR="008579FC">
        <w:rPr>
          <w:rFonts w:ascii="Calibri" w:hAnsi="Calibri" w:cs="Arial"/>
        </w:rPr>
        <w:t>.</w:t>
      </w:r>
      <w:r w:rsidR="00015581">
        <w:rPr>
          <w:rStyle w:val="FootnoteReference"/>
          <w:rFonts w:ascii="Calibri" w:hAnsi="Calibri" w:cs="Arial"/>
        </w:rPr>
        <w:footnoteReference w:id="480"/>
      </w:r>
      <w:r w:rsidR="00EF6CAF">
        <w:rPr>
          <w:rFonts w:ascii="Calibri" w:hAnsi="Calibri" w:cs="Arial"/>
        </w:rPr>
        <w:t xml:space="preserve">  </w:t>
      </w:r>
      <w:r w:rsidR="002D53DA">
        <w:rPr>
          <w:rFonts w:ascii="Calibri" w:hAnsi="Calibri" w:cs="Arial"/>
        </w:rPr>
        <w:t>One</w:t>
      </w:r>
      <w:r w:rsidR="00EF6CAF">
        <w:rPr>
          <w:rFonts w:ascii="Calibri" w:hAnsi="Calibri" w:cs="Arial"/>
        </w:rPr>
        <w:t xml:space="preserve"> recent tax court case </w:t>
      </w:r>
      <w:r w:rsidR="002D53DA">
        <w:rPr>
          <w:rFonts w:ascii="Calibri" w:hAnsi="Calibri" w:cs="Arial"/>
        </w:rPr>
        <w:t>illustrates this important distinction</w:t>
      </w:r>
      <w:r w:rsidR="00EF6CAF">
        <w:rPr>
          <w:rFonts w:ascii="Calibri" w:hAnsi="Calibri" w:cs="Arial"/>
        </w:rPr>
        <w:t xml:space="preserve">: in </w:t>
      </w:r>
      <w:r w:rsidR="00EF6CAF" w:rsidRPr="00EF6CAF">
        <w:rPr>
          <w:rFonts w:ascii="Calibri" w:hAnsi="Calibri" w:cs="Arial"/>
          <w:i/>
        </w:rPr>
        <w:t>Harvey C. Hubbell Trust v. Comm.</w:t>
      </w:r>
      <w:r w:rsidR="00EF6CAF" w:rsidRPr="00EF6CAF">
        <w:rPr>
          <w:rFonts w:ascii="Calibri" w:hAnsi="Calibri" w:cs="Arial"/>
        </w:rPr>
        <w:t xml:space="preserve">, </w:t>
      </w:r>
      <w:r w:rsidR="002D53DA">
        <w:rPr>
          <w:rFonts w:ascii="Calibri" w:hAnsi="Calibri" w:cs="Arial"/>
        </w:rPr>
        <w:t xml:space="preserve">the trustee </w:t>
      </w:r>
      <w:r w:rsidR="002D53DA" w:rsidRPr="00EF6CAF">
        <w:rPr>
          <w:rFonts w:ascii="Calibri" w:hAnsi="Calibri" w:cs="Arial"/>
        </w:rPr>
        <w:t>of a long-term testamentary trust</w:t>
      </w:r>
      <w:r w:rsidR="002D53DA">
        <w:rPr>
          <w:rFonts w:ascii="Calibri" w:hAnsi="Calibri" w:cs="Arial"/>
        </w:rPr>
        <w:t xml:space="preserve"> had for years been making charitable contributions from a trust </w:t>
      </w:r>
      <w:r w:rsidR="00BB3B53">
        <w:rPr>
          <w:rFonts w:ascii="Calibri" w:hAnsi="Calibri" w:cs="Arial"/>
        </w:rPr>
        <w:t xml:space="preserve">without objection from beneficiaries </w:t>
      </w:r>
      <w:r w:rsidR="002D53DA">
        <w:rPr>
          <w:rFonts w:ascii="Calibri" w:hAnsi="Calibri" w:cs="Arial"/>
        </w:rPr>
        <w:t xml:space="preserve">(the </w:t>
      </w:r>
      <w:r w:rsidR="00BB3B53">
        <w:rPr>
          <w:rFonts w:ascii="Calibri" w:hAnsi="Calibri" w:cs="Arial"/>
        </w:rPr>
        <w:t xml:space="preserve">tax </w:t>
      </w:r>
      <w:r w:rsidR="002D53DA">
        <w:rPr>
          <w:rFonts w:ascii="Calibri" w:hAnsi="Calibri" w:cs="Arial"/>
        </w:rPr>
        <w:t>year in question was 2009)</w:t>
      </w:r>
      <w:r w:rsidR="00321B1E">
        <w:rPr>
          <w:rFonts w:ascii="Calibri" w:hAnsi="Calibri" w:cs="Arial"/>
        </w:rPr>
        <w:t>, despite the fact that the charities were not yet entitled to distributions of income</w:t>
      </w:r>
      <w:r w:rsidR="002D53DA">
        <w:rPr>
          <w:rFonts w:ascii="Calibri" w:hAnsi="Calibri" w:cs="Arial"/>
        </w:rPr>
        <w:t>.</w:t>
      </w:r>
      <w:r w:rsidR="00BB3B53">
        <w:rPr>
          <w:rStyle w:val="FootnoteReference"/>
          <w:rFonts w:ascii="Calibri" w:hAnsi="Calibri" w:cs="Arial"/>
        </w:rPr>
        <w:footnoteReference w:id="481"/>
      </w:r>
      <w:r w:rsidR="002D53DA">
        <w:rPr>
          <w:rFonts w:ascii="Calibri" w:hAnsi="Calibri" w:cs="Arial"/>
        </w:rPr>
        <w:t xml:space="preserve">  In 2014</w:t>
      </w:r>
      <w:r w:rsidR="00BB3B53">
        <w:rPr>
          <w:rFonts w:ascii="Calibri" w:hAnsi="Calibri" w:cs="Arial"/>
        </w:rPr>
        <w:t xml:space="preserve"> (it is unclear whether this was before or after instigation of audit)</w:t>
      </w:r>
      <w:r w:rsidR="002D53DA">
        <w:rPr>
          <w:rFonts w:ascii="Calibri" w:hAnsi="Calibri" w:cs="Arial"/>
        </w:rPr>
        <w:t xml:space="preserve">, </w:t>
      </w:r>
      <w:r w:rsidR="00EF6CAF" w:rsidRPr="00EF6CAF">
        <w:rPr>
          <w:rFonts w:ascii="Calibri" w:hAnsi="Calibri" w:cs="Arial"/>
        </w:rPr>
        <w:t xml:space="preserve">the trustee went to the </w:t>
      </w:r>
      <w:r w:rsidR="00D757B6">
        <w:rPr>
          <w:rFonts w:ascii="Calibri" w:hAnsi="Calibri" w:cs="Arial"/>
        </w:rPr>
        <w:t>Hamilton County Probate C</w:t>
      </w:r>
      <w:r w:rsidR="00EF6CAF" w:rsidRPr="00EF6CAF">
        <w:rPr>
          <w:rFonts w:ascii="Calibri" w:hAnsi="Calibri" w:cs="Arial"/>
        </w:rPr>
        <w:t xml:space="preserve">ourt in Cincinnati, Ohio and </w:t>
      </w:r>
      <w:r w:rsidR="00D757B6">
        <w:rPr>
          <w:rFonts w:ascii="Calibri" w:hAnsi="Calibri" w:cs="Arial"/>
        </w:rPr>
        <w:t>succeeded in having</w:t>
      </w:r>
      <w:r w:rsidR="00EF6CAF" w:rsidRPr="00EF6CAF">
        <w:rPr>
          <w:rFonts w:ascii="Calibri" w:hAnsi="Calibri" w:cs="Arial"/>
        </w:rPr>
        <w:t xml:space="preserve"> the court declare as follows:</w:t>
      </w:r>
      <w:r w:rsidR="002D53DA" w:rsidRPr="002D53DA">
        <w:t xml:space="preserve"> </w:t>
      </w:r>
    </w:p>
    <w:p w14:paraId="6990986B" w14:textId="77777777" w:rsidR="002D53DA" w:rsidRPr="00D757B6" w:rsidRDefault="002D53DA" w:rsidP="00501F06">
      <w:pPr>
        <w:autoSpaceDE w:val="0"/>
        <w:autoSpaceDN w:val="0"/>
        <w:adjustRightInd w:val="0"/>
        <w:ind w:left="720"/>
        <w:rPr>
          <w:rFonts w:asciiTheme="minorHAnsi" w:hAnsiTheme="minorHAnsi"/>
        </w:rPr>
      </w:pPr>
      <w:r w:rsidRPr="00D757B6">
        <w:rPr>
          <w:rFonts w:asciiTheme="minorHAnsi" w:hAnsiTheme="minorHAnsi"/>
        </w:rPr>
        <w:t xml:space="preserve">“The language of the Will, as written, providing for the administration of the Trust, authorizes, </w:t>
      </w:r>
      <w:r w:rsidRPr="00B95180">
        <w:rPr>
          <w:rFonts w:asciiTheme="minorHAnsi" w:hAnsiTheme="minorHAnsi"/>
          <w:i/>
        </w:rPr>
        <w:t>and has from the inception of the Trust authorized</w:t>
      </w:r>
      <w:r w:rsidRPr="00D757B6">
        <w:rPr>
          <w:rFonts w:asciiTheme="minorHAnsi" w:hAnsiTheme="minorHAnsi"/>
        </w:rPr>
        <w:t>, the Trustees of the Trust to make distributions of income and principal for charitable purposes specified in Internal Revenue Code section 170(c), or the corresponding provision of any subsequent federal tax law, both currently and upon termination of the Trust.</w:t>
      </w:r>
      <w:r w:rsidR="00D757B6" w:rsidRPr="00D757B6">
        <w:rPr>
          <w:rFonts w:asciiTheme="minorHAnsi" w:hAnsiTheme="minorHAnsi"/>
        </w:rPr>
        <w:t>”</w:t>
      </w:r>
      <w:r w:rsidRPr="00D757B6">
        <w:rPr>
          <w:rFonts w:asciiTheme="minorHAnsi" w:hAnsiTheme="minorHAnsi"/>
        </w:rPr>
        <w:t xml:space="preserve"> </w:t>
      </w:r>
    </w:p>
    <w:p w14:paraId="6B342114" w14:textId="77777777" w:rsidR="00501F06" w:rsidRDefault="00501F06" w:rsidP="00501F06">
      <w:pPr>
        <w:autoSpaceDE w:val="0"/>
        <w:autoSpaceDN w:val="0"/>
        <w:adjustRightInd w:val="0"/>
        <w:ind w:firstLine="720"/>
        <w:rPr>
          <w:rFonts w:ascii="Calibri" w:hAnsi="Calibri" w:cs="Arial"/>
        </w:rPr>
      </w:pPr>
    </w:p>
    <w:p w14:paraId="49E5EA43" w14:textId="77777777" w:rsidR="00D26007" w:rsidRDefault="00D757B6" w:rsidP="002D53DA">
      <w:pPr>
        <w:autoSpaceDE w:val="0"/>
        <w:autoSpaceDN w:val="0"/>
        <w:adjustRightInd w:val="0"/>
        <w:spacing w:line="360" w:lineRule="auto"/>
        <w:ind w:firstLine="720"/>
        <w:rPr>
          <w:rFonts w:ascii="Calibri" w:hAnsi="Calibri" w:cs="Arial"/>
        </w:rPr>
      </w:pPr>
      <w:r>
        <w:rPr>
          <w:rFonts w:ascii="Calibri" w:hAnsi="Calibri" w:cs="Arial"/>
        </w:rPr>
        <w:t>Too late!</w:t>
      </w:r>
      <w:r w:rsidR="00BB3B53">
        <w:rPr>
          <w:rFonts w:ascii="Calibri" w:hAnsi="Calibri" w:cs="Arial"/>
        </w:rPr>
        <w:t xml:space="preserve">  </w:t>
      </w:r>
      <w:r w:rsidR="002D53DA">
        <w:rPr>
          <w:rFonts w:ascii="Calibri" w:hAnsi="Calibri" w:cs="Arial"/>
        </w:rPr>
        <w:t xml:space="preserve">While the </w:t>
      </w:r>
      <w:r w:rsidR="00BB3B53">
        <w:rPr>
          <w:rFonts w:ascii="Calibri" w:hAnsi="Calibri" w:cs="Arial"/>
        </w:rPr>
        <w:t xml:space="preserve">local </w:t>
      </w:r>
      <w:r>
        <w:rPr>
          <w:rFonts w:ascii="Calibri" w:hAnsi="Calibri" w:cs="Arial"/>
        </w:rPr>
        <w:t>p</w:t>
      </w:r>
      <w:r w:rsidR="002D53DA">
        <w:rPr>
          <w:rFonts w:ascii="Calibri" w:hAnsi="Calibri" w:cs="Arial"/>
        </w:rPr>
        <w:t xml:space="preserve">robate </w:t>
      </w:r>
      <w:r>
        <w:rPr>
          <w:rFonts w:ascii="Calibri" w:hAnsi="Calibri" w:cs="Arial"/>
        </w:rPr>
        <w:t>c</w:t>
      </w:r>
      <w:r w:rsidR="002D53DA">
        <w:rPr>
          <w:rFonts w:ascii="Calibri" w:hAnsi="Calibri" w:cs="Arial"/>
        </w:rPr>
        <w:t xml:space="preserve">ourt was happy to oblige the trustee and beneficiaries with the requested relief, the tax court was quick to point out that the Will was hardly ambiguous – it had no mention of any charitable beneficiaries or authorization </w:t>
      </w:r>
      <w:r>
        <w:rPr>
          <w:rFonts w:ascii="Calibri" w:hAnsi="Calibri" w:cs="Arial"/>
        </w:rPr>
        <w:t xml:space="preserve">to distribute to any </w:t>
      </w:r>
      <w:r w:rsidR="00501F06">
        <w:rPr>
          <w:rFonts w:ascii="Calibri" w:hAnsi="Calibri" w:cs="Arial"/>
        </w:rPr>
        <w:t xml:space="preserve">charities </w:t>
      </w:r>
      <w:r w:rsidR="002D53DA">
        <w:rPr>
          <w:rFonts w:ascii="Calibri" w:hAnsi="Calibri" w:cs="Arial"/>
        </w:rPr>
        <w:t xml:space="preserve">whatsoever.  </w:t>
      </w:r>
      <w:r w:rsidR="00BB3B53">
        <w:rPr>
          <w:rFonts w:ascii="Calibri" w:hAnsi="Calibri" w:cs="Arial"/>
        </w:rPr>
        <w:t xml:space="preserve">Accordingly, they gave no weight to the local court’s </w:t>
      </w:r>
      <w:r w:rsidR="00BB3B53">
        <w:rPr>
          <w:rFonts w:ascii="Calibri" w:hAnsi="Calibri" w:cs="Arial"/>
        </w:rPr>
        <w:lastRenderedPageBreak/>
        <w:t>construction of the will/trust and refused to honor any</w:t>
      </w:r>
      <w:r w:rsidR="002D53DA">
        <w:rPr>
          <w:rFonts w:ascii="Calibri" w:hAnsi="Calibri" w:cs="Arial"/>
        </w:rPr>
        <w:t xml:space="preserve"> retroactive tax </w:t>
      </w:r>
      <w:r w:rsidR="002D53DA" w:rsidRPr="002D53DA">
        <w:rPr>
          <w:rFonts w:ascii="Calibri" w:hAnsi="Calibri" w:cs="Arial"/>
        </w:rPr>
        <w:t xml:space="preserve">effect of such a </w:t>
      </w:r>
      <w:r>
        <w:rPr>
          <w:rFonts w:ascii="Calibri" w:hAnsi="Calibri" w:cs="Arial"/>
        </w:rPr>
        <w:t xml:space="preserve">court-ordered </w:t>
      </w:r>
      <w:r w:rsidR="002D53DA" w:rsidRPr="002D53DA">
        <w:rPr>
          <w:rFonts w:ascii="Calibri" w:hAnsi="Calibri" w:cs="Arial"/>
        </w:rPr>
        <w:t xml:space="preserve">amendment for </w:t>
      </w:r>
      <w:r w:rsidR="00BB3B53">
        <w:rPr>
          <w:rFonts w:ascii="Calibri" w:hAnsi="Calibri" w:cs="Arial"/>
        </w:rPr>
        <w:t>§</w:t>
      </w:r>
      <w:r w:rsidR="002D53DA" w:rsidRPr="002D53DA">
        <w:rPr>
          <w:rFonts w:ascii="Calibri" w:hAnsi="Calibri" w:cs="Arial"/>
        </w:rPr>
        <w:t>642(c) purposes</w:t>
      </w:r>
      <w:r w:rsidR="002D53DA">
        <w:rPr>
          <w:rFonts w:ascii="Calibri" w:hAnsi="Calibri" w:cs="Arial"/>
        </w:rPr>
        <w:t>.</w:t>
      </w:r>
      <w:r w:rsidR="00BB3B53">
        <w:rPr>
          <w:rFonts w:ascii="Calibri" w:hAnsi="Calibri" w:cs="Arial"/>
        </w:rPr>
        <w:t xml:space="preserve">  The tax court did </w:t>
      </w:r>
      <w:r w:rsidR="00BB3B53" w:rsidRPr="00B95180">
        <w:rPr>
          <w:rFonts w:ascii="Calibri" w:hAnsi="Calibri" w:cs="Arial"/>
          <w:i/>
        </w:rPr>
        <w:t>not</w:t>
      </w:r>
      <w:r w:rsidR="00BB3B53">
        <w:rPr>
          <w:rFonts w:ascii="Calibri" w:hAnsi="Calibri" w:cs="Arial"/>
        </w:rPr>
        <w:t xml:space="preserve"> address</w:t>
      </w:r>
      <w:r w:rsidR="00321B1E">
        <w:rPr>
          <w:rFonts w:ascii="Calibri" w:hAnsi="Calibri" w:cs="Arial"/>
        </w:rPr>
        <w:t>, however,</w:t>
      </w:r>
      <w:r w:rsidR="00BB3B53">
        <w:rPr>
          <w:rFonts w:ascii="Calibri" w:hAnsi="Calibri" w:cs="Arial"/>
        </w:rPr>
        <w:t xml:space="preserve"> what tax effect the probate court’s amendment would have on contributions made </w:t>
      </w:r>
      <w:r w:rsidR="00BB3B53" w:rsidRPr="00BB3B53">
        <w:rPr>
          <w:rFonts w:ascii="Calibri" w:hAnsi="Calibri" w:cs="Arial"/>
          <w:i/>
        </w:rPr>
        <w:t>after</w:t>
      </w:r>
      <w:r w:rsidR="00BB3B53">
        <w:rPr>
          <w:rFonts w:ascii="Calibri" w:hAnsi="Calibri" w:cs="Arial"/>
        </w:rPr>
        <w:t xml:space="preserve"> the reformation</w:t>
      </w:r>
      <w:r w:rsidR="00DB435B">
        <w:rPr>
          <w:rFonts w:ascii="Calibri" w:hAnsi="Calibri" w:cs="Arial"/>
        </w:rPr>
        <w:t xml:space="preserve"> – those are </w:t>
      </w:r>
      <w:r w:rsidR="00321B1E">
        <w:rPr>
          <w:rFonts w:ascii="Calibri" w:hAnsi="Calibri" w:cs="Arial"/>
        </w:rPr>
        <w:t xml:space="preserve">substantially </w:t>
      </w:r>
      <w:r w:rsidR="00DB435B">
        <w:rPr>
          <w:rFonts w:ascii="Calibri" w:hAnsi="Calibri" w:cs="Arial"/>
        </w:rPr>
        <w:t>different issues</w:t>
      </w:r>
      <w:r>
        <w:rPr>
          <w:rFonts w:ascii="Calibri" w:hAnsi="Calibri" w:cs="Arial"/>
        </w:rPr>
        <w:t xml:space="preserve"> </w:t>
      </w:r>
      <w:r w:rsidR="00321B1E">
        <w:rPr>
          <w:rFonts w:ascii="Calibri" w:hAnsi="Calibri" w:cs="Arial"/>
        </w:rPr>
        <w:t>that</w:t>
      </w:r>
      <w:r>
        <w:rPr>
          <w:rFonts w:ascii="Calibri" w:hAnsi="Calibri" w:cs="Arial"/>
        </w:rPr>
        <w:t xml:space="preserve"> were not </w:t>
      </w:r>
      <w:r w:rsidR="00321B1E">
        <w:rPr>
          <w:rFonts w:ascii="Calibri" w:hAnsi="Calibri" w:cs="Arial"/>
        </w:rPr>
        <w:t xml:space="preserve">yet </w:t>
      </w:r>
      <w:r>
        <w:rPr>
          <w:rFonts w:ascii="Calibri" w:hAnsi="Calibri" w:cs="Arial"/>
        </w:rPr>
        <w:t>before the court</w:t>
      </w:r>
      <w:r w:rsidR="00BB3B53">
        <w:rPr>
          <w:rFonts w:ascii="Calibri" w:hAnsi="Calibri" w:cs="Arial"/>
        </w:rPr>
        <w:t>.</w:t>
      </w:r>
      <w:r w:rsidR="00F74B87">
        <w:rPr>
          <w:rFonts w:ascii="Calibri" w:hAnsi="Calibri" w:cs="Arial"/>
        </w:rPr>
        <w:t xml:space="preserve">  </w:t>
      </w:r>
    </w:p>
    <w:p w14:paraId="1458D8B2" w14:textId="77777777" w:rsidR="00F74B87" w:rsidRDefault="00D26007" w:rsidP="002D53DA">
      <w:pPr>
        <w:autoSpaceDE w:val="0"/>
        <w:autoSpaceDN w:val="0"/>
        <w:adjustRightInd w:val="0"/>
        <w:spacing w:line="360" w:lineRule="auto"/>
        <w:ind w:firstLine="720"/>
        <w:rPr>
          <w:rFonts w:ascii="Calibri" w:hAnsi="Calibri" w:cs="Arial"/>
        </w:rPr>
      </w:pPr>
      <w:r>
        <w:rPr>
          <w:rFonts w:ascii="Calibri" w:hAnsi="Calibri" w:cs="Arial"/>
        </w:rPr>
        <w:t xml:space="preserve">A recent IRS Chief Counsel Advice Memorandum which had </w:t>
      </w:r>
      <w:r w:rsidR="008A5B7C">
        <w:rPr>
          <w:rFonts w:ascii="Calibri" w:hAnsi="Calibri" w:cs="Arial"/>
        </w:rPr>
        <w:t xml:space="preserve">very </w:t>
      </w:r>
      <w:r>
        <w:rPr>
          <w:rFonts w:ascii="Calibri" w:hAnsi="Calibri" w:cs="Arial"/>
        </w:rPr>
        <w:t xml:space="preserve">similar facts </w:t>
      </w:r>
      <w:r w:rsidR="008A5B7C">
        <w:rPr>
          <w:rFonts w:ascii="Calibri" w:hAnsi="Calibri" w:cs="Arial"/>
        </w:rPr>
        <w:t>(</w:t>
      </w:r>
      <w:r>
        <w:rPr>
          <w:rFonts w:ascii="Calibri" w:hAnsi="Calibri" w:cs="Arial"/>
        </w:rPr>
        <w:t xml:space="preserve">and </w:t>
      </w:r>
      <w:r w:rsidR="00955F06">
        <w:rPr>
          <w:rFonts w:ascii="Calibri" w:hAnsi="Calibri" w:cs="Arial"/>
        </w:rPr>
        <w:t xml:space="preserve">is </w:t>
      </w:r>
      <w:r w:rsidR="00321B1E">
        <w:rPr>
          <w:rFonts w:ascii="Calibri" w:hAnsi="Calibri" w:cs="Arial"/>
        </w:rPr>
        <w:t xml:space="preserve">very </w:t>
      </w:r>
      <w:r w:rsidR="00955F06">
        <w:rPr>
          <w:rFonts w:ascii="Calibri" w:hAnsi="Calibri" w:cs="Arial"/>
        </w:rPr>
        <w:t>likely</w:t>
      </w:r>
      <w:r>
        <w:rPr>
          <w:rFonts w:ascii="Calibri" w:hAnsi="Calibri" w:cs="Arial"/>
        </w:rPr>
        <w:t xml:space="preserve"> related to the </w:t>
      </w:r>
      <w:r w:rsidRPr="00D26007">
        <w:rPr>
          <w:rFonts w:ascii="Calibri" w:hAnsi="Calibri" w:cs="Arial"/>
          <w:i/>
        </w:rPr>
        <w:t>Hubbell</w:t>
      </w:r>
      <w:r>
        <w:rPr>
          <w:rFonts w:ascii="Calibri" w:hAnsi="Calibri" w:cs="Arial"/>
        </w:rPr>
        <w:t xml:space="preserve"> case), echoed the same conclusions, and, without much analysis, </w:t>
      </w:r>
      <w:r w:rsidR="008A5B7C">
        <w:rPr>
          <w:rFonts w:ascii="Calibri" w:hAnsi="Calibri" w:cs="Arial"/>
        </w:rPr>
        <w:t>determined that “</w:t>
      </w:r>
      <w:r w:rsidRPr="00D26007">
        <w:rPr>
          <w:rFonts w:ascii="Calibri" w:hAnsi="Calibri" w:cs="Arial"/>
        </w:rPr>
        <w:t xml:space="preserve">any payments to Foundation 1 and Foundation 2 </w:t>
      </w:r>
      <w:r w:rsidRPr="00321B1E">
        <w:rPr>
          <w:rFonts w:ascii="Calibri" w:hAnsi="Calibri" w:cs="Arial"/>
          <w:i/>
        </w:rPr>
        <w:t>after the modification</w:t>
      </w:r>
      <w:r w:rsidRPr="00D26007">
        <w:rPr>
          <w:rFonts w:ascii="Calibri" w:hAnsi="Calibri" w:cs="Arial"/>
        </w:rPr>
        <w:t xml:space="preserve"> of Trust B would not be considered to be made pursuant to the governing instrument, and Trust B is not entitled to a deduction for such payments under § 642(c).</w:t>
      </w:r>
      <w:r w:rsidR="008A5B7C">
        <w:rPr>
          <w:rFonts w:ascii="Calibri" w:hAnsi="Calibri" w:cs="Arial"/>
        </w:rPr>
        <w:t>”</w:t>
      </w:r>
      <w:r>
        <w:rPr>
          <w:rStyle w:val="FootnoteReference"/>
          <w:rFonts w:ascii="Calibri" w:hAnsi="Calibri" w:cs="Arial"/>
        </w:rPr>
        <w:footnoteReference w:id="482"/>
      </w:r>
    </w:p>
    <w:p w14:paraId="0A60C8AD" w14:textId="77777777" w:rsidR="00353E3E" w:rsidRDefault="008A5B7C" w:rsidP="002D53DA">
      <w:pPr>
        <w:autoSpaceDE w:val="0"/>
        <w:autoSpaceDN w:val="0"/>
        <w:adjustRightInd w:val="0"/>
        <w:spacing w:line="360" w:lineRule="auto"/>
        <w:ind w:firstLine="720"/>
        <w:rPr>
          <w:rFonts w:ascii="Calibri" w:hAnsi="Calibri" w:cs="Arial"/>
        </w:rPr>
      </w:pPr>
      <w:r>
        <w:rPr>
          <w:rFonts w:ascii="Calibri" w:hAnsi="Calibri" w:cs="Arial"/>
        </w:rPr>
        <w:t>Another</w:t>
      </w:r>
      <w:r w:rsidR="00F74B87">
        <w:rPr>
          <w:rFonts w:ascii="Calibri" w:hAnsi="Calibri" w:cs="Arial"/>
        </w:rPr>
        <w:t xml:space="preserve"> </w:t>
      </w:r>
      <w:r w:rsidR="001F09F2">
        <w:rPr>
          <w:rFonts w:ascii="Calibri" w:hAnsi="Calibri" w:cs="Arial"/>
        </w:rPr>
        <w:t xml:space="preserve">recent </w:t>
      </w:r>
      <w:r w:rsidR="00F74B87">
        <w:rPr>
          <w:rFonts w:ascii="Calibri" w:hAnsi="Calibri" w:cs="Arial"/>
        </w:rPr>
        <w:t xml:space="preserve">PLR denied the </w:t>
      </w:r>
      <w:r w:rsidR="00F74B87" w:rsidRPr="0050606F">
        <w:rPr>
          <w:rFonts w:ascii="Calibri" w:hAnsi="Calibri" w:cs="Arial"/>
          <w:i/>
        </w:rPr>
        <w:t>prospective</w:t>
      </w:r>
      <w:r w:rsidR="00F74B87">
        <w:rPr>
          <w:rFonts w:ascii="Calibri" w:hAnsi="Calibri" w:cs="Arial"/>
        </w:rPr>
        <w:t xml:space="preserve"> tax effect of an attempted trust reformation in </w:t>
      </w:r>
      <w:r w:rsidR="0050606F">
        <w:rPr>
          <w:rFonts w:ascii="Calibri" w:hAnsi="Calibri" w:cs="Arial"/>
        </w:rPr>
        <w:t xml:space="preserve">a similar </w:t>
      </w:r>
      <w:r w:rsidR="00F74B87">
        <w:rPr>
          <w:rFonts w:ascii="Calibri" w:hAnsi="Calibri" w:cs="Arial"/>
        </w:rPr>
        <w:t xml:space="preserve">instance: in PLR </w:t>
      </w:r>
      <w:r w:rsidR="00F74B87" w:rsidRPr="00F74B87">
        <w:rPr>
          <w:rFonts w:ascii="Calibri" w:hAnsi="Calibri" w:cs="Arial"/>
        </w:rPr>
        <w:t>2014</w:t>
      </w:r>
      <w:r w:rsidR="00F74B87">
        <w:rPr>
          <w:rFonts w:ascii="Calibri" w:hAnsi="Calibri" w:cs="Arial"/>
        </w:rPr>
        <w:t>-</w:t>
      </w:r>
      <w:r w:rsidR="00F74B87" w:rsidRPr="00F74B87">
        <w:rPr>
          <w:rFonts w:ascii="Calibri" w:hAnsi="Calibri" w:cs="Arial"/>
        </w:rPr>
        <w:t>38014</w:t>
      </w:r>
      <w:r w:rsidR="00F74B87">
        <w:rPr>
          <w:rFonts w:ascii="Calibri" w:hAnsi="Calibri" w:cs="Arial"/>
        </w:rPr>
        <w:t xml:space="preserve">, </w:t>
      </w:r>
      <w:r w:rsidR="00F74B87" w:rsidRPr="00F74B87">
        <w:rPr>
          <w:rFonts w:ascii="Calibri" w:hAnsi="Calibri" w:cs="Arial"/>
        </w:rPr>
        <w:t xml:space="preserve">the </w:t>
      </w:r>
      <w:r w:rsidR="0050606F">
        <w:rPr>
          <w:rFonts w:ascii="Calibri" w:hAnsi="Calibri" w:cs="Arial"/>
        </w:rPr>
        <w:t>parties obtained a state court</w:t>
      </w:r>
      <w:r w:rsidR="00F74B87" w:rsidRPr="00F74B87">
        <w:rPr>
          <w:rFonts w:ascii="Calibri" w:hAnsi="Calibri" w:cs="Arial"/>
        </w:rPr>
        <w:t xml:space="preserve"> reformation to qualify the Trust for a charitable deduction under § 642(c)</w:t>
      </w:r>
      <w:r w:rsidR="00F74B87">
        <w:rPr>
          <w:rFonts w:ascii="Calibri" w:hAnsi="Calibri" w:cs="Arial"/>
        </w:rPr>
        <w:t>, so that IRA distributions could go to charity from a trust and qualify for the deduction (the original trust contained a pecuniary bequest)</w:t>
      </w:r>
      <w:r w:rsidR="00353E3E">
        <w:rPr>
          <w:rFonts w:ascii="Calibri" w:hAnsi="Calibri" w:cs="Arial"/>
        </w:rPr>
        <w:t>.</w:t>
      </w:r>
      <w:r w:rsidR="00353E3E">
        <w:rPr>
          <w:rStyle w:val="FootnoteReference"/>
          <w:rFonts w:ascii="Calibri" w:hAnsi="Calibri" w:cs="Arial"/>
        </w:rPr>
        <w:footnoteReference w:id="483"/>
      </w:r>
      <w:r w:rsidR="00353E3E">
        <w:rPr>
          <w:rFonts w:ascii="Calibri" w:hAnsi="Calibri" w:cs="Arial"/>
        </w:rPr>
        <w:t xml:space="preserve">  The IRS ruled that: </w:t>
      </w:r>
    </w:p>
    <w:p w14:paraId="052D4DD6" w14:textId="77777777" w:rsidR="00B0343B" w:rsidRDefault="00353E3E" w:rsidP="00353E3E">
      <w:pPr>
        <w:autoSpaceDE w:val="0"/>
        <w:autoSpaceDN w:val="0"/>
        <w:adjustRightInd w:val="0"/>
        <w:ind w:left="720"/>
        <w:rPr>
          <w:rFonts w:ascii="Calibri" w:hAnsi="Calibri" w:cs="Arial"/>
        </w:rPr>
      </w:pPr>
      <w:r>
        <w:rPr>
          <w:rFonts w:ascii="Calibri" w:hAnsi="Calibri" w:cs="Arial"/>
        </w:rPr>
        <w:t>“</w:t>
      </w:r>
      <w:r w:rsidRPr="00353E3E">
        <w:rPr>
          <w:rFonts w:ascii="Calibri" w:hAnsi="Calibri" w:cs="Arial"/>
        </w:rPr>
        <w:t xml:space="preserve">Neither Rev. Rul. 59-15 nor </w:t>
      </w:r>
      <w:r w:rsidRPr="00353E3E">
        <w:rPr>
          <w:rFonts w:ascii="Calibri" w:hAnsi="Calibri" w:cs="Arial"/>
          <w:i/>
        </w:rPr>
        <w:t>Emanuelson</w:t>
      </w:r>
      <w:r w:rsidRPr="00353E3E">
        <w:rPr>
          <w:rFonts w:ascii="Calibri" w:hAnsi="Calibri" w:cs="Arial"/>
        </w:rPr>
        <w:t xml:space="preserve"> hold that a modification to a governing instrument will be construed to be the governing instrument </w:t>
      </w:r>
      <w:r w:rsidRPr="00353E3E">
        <w:rPr>
          <w:rFonts w:ascii="Calibri" w:hAnsi="Calibri" w:cs="Arial"/>
          <w:i/>
        </w:rPr>
        <w:t>in situations where the modification does not stem from a conflict</w:t>
      </w:r>
      <w:r w:rsidRPr="00353E3E">
        <w:rPr>
          <w:rFonts w:ascii="Calibri" w:hAnsi="Calibri" w:cs="Arial"/>
        </w:rPr>
        <w:t xml:space="preserve">. Additionally, both </w:t>
      </w:r>
      <w:r w:rsidRPr="00353E3E">
        <w:rPr>
          <w:rFonts w:ascii="Calibri" w:hAnsi="Calibri" w:cs="Arial"/>
          <w:i/>
        </w:rPr>
        <w:t>Crown Income Charitable Fund and Brownstone</w:t>
      </w:r>
      <w:r w:rsidRPr="00353E3E">
        <w:rPr>
          <w:rFonts w:ascii="Calibri" w:hAnsi="Calibri" w:cs="Arial"/>
        </w:rPr>
        <w:t xml:space="preserve"> have a narrow interpretation of what qualifies as pursuant to a governing instrument.</w:t>
      </w:r>
      <w:r w:rsidRPr="00353E3E">
        <w:t xml:space="preserve"> </w:t>
      </w:r>
      <w:r>
        <w:rPr>
          <w:rFonts w:ascii="Calibri" w:hAnsi="Calibri" w:cs="Arial"/>
        </w:rPr>
        <w:t>***</w:t>
      </w:r>
      <w:r w:rsidRPr="00353E3E">
        <w:rPr>
          <w:rFonts w:ascii="Calibri" w:hAnsi="Calibri" w:cs="Arial"/>
        </w:rPr>
        <w:t>because the purpose of the court order reforming Trust was to obtain tax benefits rather than resolve a conflict, the Internal Revenue Service will not respect Trust's reformation.</w:t>
      </w:r>
      <w:r>
        <w:rPr>
          <w:rFonts w:ascii="Calibri" w:hAnsi="Calibri" w:cs="Arial"/>
        </w:rPr>
        <w:t>”</w:t>
      </w:r>
    </w:p>
    <w:p w14:paraId="360FCA6F" w14:textId="77777777" w:rsidR="00353E3E" w:rsidRDefault="00353E3E" w:rsidP="00353E3E">
      <w:pPr>
        <w:autoSpaceDE w:val="0"/>
        <w:autoSpaceDN w:val="0"/>
        <w:adjustRightInd w:val="0"/>
        <w:ind w:left="720"/>
        <w:rPr>
          <w:rFonts w:ascii="Calibri" w:hAnsi="Calibri" w:cs="Arial"/>
        </w:rPr>
      </w:pPr>
    </w:p>
    <w:p w14:paraId="16D5C6F0" w14:textId="77777777" w:rsidR="00353E3E" w:rsidRDefault="0050606F" w:rsidP="0040409F">
      <w:pPr>
        <w:autoSpaceDE w:val="0"/>
        <w:autoSpaceDN w:val="0"/>
        <w:adjustRightInd w:val="0"/>
        <w:spacing w:line="360" w:lineRule="auto"/>
        <w:ind w:firstLine="720"/>
        <w:rPr>
          <w:rFonts w:ascii="Calibri" w:hAnsi="Calibri" w:cs="Arial"/>
        </w:rPr>
      </w:pPr>
      <w:r>
        <w:rPr>
          <w:rFonts w:ascii="Calibri" w:hAnsi="Calibri" w:cs="Arial"/>
        </w:rPr>
        <w:t>PLR</w:t>
      </w:r>
      <w:r w:rsidR="00353E3E">
        <w:rPr>
          <w:rFonts w:ascii="Calibri" w:hAnsi="Calibri" w:cs="Arial"/>
        </w:rPr>
        <w:t xml:space="preserve"> </w:t>
      </w:r>
      <w:r w:rsidR="004A2739" w:rsidRPr="004A2739">
        <w:rPr>
          <w:rFonts w:ascii="Calibri" w:hAnsi="Calibri" w:cs="Arial"/>
        </w:rPr>
        <w:t>2014-38014</w:t>
      </w:r>
      <w:r w:rsidR="004A2739">
        <w:rPr>
          <w:rFonts w:ascii="Calibri" w:hAnsi="Calibri" w:cs="Arial"/>
        </w:rPr>
        <w:t xml:space="preserve"> </w:t>
      </w:r>
      <w:r w:rsidR="008A5B7C">
        <w:rPr>
          <w:rFonts w:ascii="Calibri" w:hAnsi="Calibri" w:cs="Arial"/>
        </w:rPr>
        <w:t xml:space="preserve">and CCA </w:t>
      </w:r>
      <w:r w:rsidR="004A2739" w:rsidRPr="004A2739">
        <w:rPr>
          <w:rFonts w:ascii="Calibri" w:hAnsi="Calibri" w:cs="Arial"/>
        </w:rPr>
        <w:t>2016-51013</w:t>
      </w:r>
      <w:r w:rsidR="004A2739">
        <w:rPr>
          <w:rFonts w:ascii="Calibri" w:hAnsi="Calibri" w:cs="Arial"/>
        </w:rPr>
        <w:t xml:space="preserve">’s </w:t>
      </w:r>
      <w:r w:rsidR="00353E3E">
        <w:rPr>
          <w:rFonts w:ascii="Calibri" w:hAnsi="Calibri" w:cs="Arial"/>
        </w:rPr>
        <w:t>conclusion</w:t>
      </w:r>
      <w:r w:rsidR="008A5B7C">
        <w:rPr>
          <w:rFonts w:ascii="Calibri" w:hAnsi="Calibri" w:cs="Arial"/>
        </w:rPr>
        <w:t>s</w:t>
      </w:r>
      <w:r w:rsidR="00353E3E">
        <w:rPr>
          <w:rFonts w:ascii="Calibri" w:hAnsi="Calibri" w:cs="Arial"/>
        </w:rPr>
        <w:t xml:space="preserve"> above </w:t>
      </w:r>
      <w:r w:rsidR="008A5B7C">
        <w:rPr>
          <w:rFonts w:ascii="Calibri" w:hAnsi="Calibri" w:cs="Arial"/>
        </w:rPr>
        <w:t>are</w:t>
      </w:r>
      <w:r>
        <w:rPr>
          <w:rFonts w:ascii="Calibri" w:hAnsi="Calibri" w:cs="Arial"/>
        </w:rPr>
        <w:t xml:space="preserve"> somewhat</w:t>
      </w:r>
      <w:r w:rsidR="00353E3E">
        <w:rPr>
          <w:rFonts w:ascii="Calibri" w:hAnsi="Calibri" w:cs="Arial"/>
        </w:rPr>
        <w:t xml:space="preserve"> dubious</w:t>
      </w:r>
      <w:r>
        <w:rPr>
          <w:rFonts w:ascii="Calibri" w:hAnsi="Calibri" w:cs="Arial"/>
        </w:rPr>
        <w:t xml:space="preserve"> in light of </w:t>
      </w:r>
      <w:r w:rsidRPr="0050606F">
        <w:rPr>
          <w:rFonts w:ascii="Calibri" w:hAnsi="Calibri" w:cs="Arial"/>
        </w:rPr>
        <w:t xml:space="preserve">Rev. Rul. 73-142 </w:t>
      </w:r>
      <w:r>
        <w:rPr>
          <w:rFonts w:ascii="Calibri" w:hAnsi="Calibri" w:cs="Arial"/>
        </w:rPr>
        <w:t xml:space="preserve">and other precedent noted in Part VII of this paper – reformations done primarily for tax purposes are no different than trusts </w:t>
      </w:r>
      <w:r w:rsidR="0022290A">
        <w:rPr>
          <w:rFonts w:ascii="Calibri" w:hAnsi="Calibri" w:cs="Arial"/>
        </w:rPr>
        <w:t>established for tax purposes -</w:t>
      </w:r>
      <w:r>
        <w:rPr>
          <w:rFonts w:ascii="Calibri" w:hAnsi="Calibri" w:cs="Arial"/>
        </w:rPr>
        <w:t xml:space="preserve"> if they are valid they are valid</w:t>
      </w:r>
      <w:r w:rsidR="004A2739">
        <w:rPr>
          <w:rFonts w:ascii="Calibri" w:hAnsi="Calibri" w:cs="Arial"/>
        </w:rPr>
        <w:t xml:space="preserve"> and should be considered the governing instrument </w:t>
      </w:r>
      <w:r w:rsidR="004A2739" w:rsidRPr="004A2739">
        <w:rPr>
          <w:rFonts w:ascii="Calibri" w:hAnsi="Calibri" w:cs="Arial"/>
          <w:i/>
        </w:rPr>
        <w:t>prospectively</w:t>
      </w:r>
      <w:r>
        <w:rPr>
          <w:rFonts w:ascii="Calibri" w:hAnsi="Calibri" w:cs="Arial"/>
        </w:rPr>
        <w:t xml:space="preserve">.  However, </w:t>
      </w:r>
      <w:r w:rsidR="008A5B7C">
        <w:rPr>
          <w:rFonts w:ascii="Calibri" w:hAnsi="Calibri" w:cs="Arial"/>
        </w:rPr>
        <w:t>these rulings</w:t>
      </w:r>
      <w:r>
        <w:rPr>
          <w:rFonts w:ascii="Calibri" w:hAnsi="Calibri" w:cs="Arial"/>
        </w:rPr>
        <w:t xml:space="preserve"> and the </w:t>
      </w:r>
      <w:r w:rsidRPr="0050606F">
        <w:rPr>
          <w:rFonts w:ascii="Calibri" w:hAnsi="Calibri" w:cs="Arial"/>
          <w:i/>
        </w:rPr>
        <w:t>Hubbell</w:t>
      </w:r>
      <w:r>
        <w:rPr>
          <w:rFonts w:ascii="Calibri" w:hAnsi="Calibri" w:cs="Arial"/>
        </w:rPr>
        <w:t xml:space="preserve"> and </w:t>
      </w:r>
      <w:r w:rsidRPr="0050606F">
        <w:rPr>
          <w:rFonts w:ascii="Calibri" w:hAnsi="Calibri" w:cs="Arial"/>
          <w:i/>
        </w:rPr>
        <w:t>Brownstone</w:t>
      </w:r>
      <w:r>
        <w:rPr>
          <w:rFonts w:ascii="Calibri" w:hAnsi="Calibri" w:cs="Arial"/>
        </w:rPr>
        <w:t xml:space="preserve"> cases shed a substantial amount of </w:t>
      </w:r>
      <w:r>
        <w:rPr>
          <w:rFonts w:ascii="Calibri" w:hAnsi="Calibri" w:cs="Arial"/>
        </w:rPr>
        <w:lastRenderedPageBreak/>
        <w:t xml:space="preserve">uncertainty as to the tax effect of any substantial reformations completed </w:t>
      </w:r>
      <w:r>
        <w:rPr>
          <w:rFonts w:ascii="Calibri" w:hAnsi="Calibri" w:cs="Arial"/>
          <w:i/>
        </w:rPr>
        <w:t>for</w:t>
      </w:r>
      <w:r w:rsidRPr="0050606F">
        <w:rPr>
          <w:rFonts w:ascii="Calibri" w:hAnsi="Calibri" w:cs="Arial"/>
          <w:i/>
        </w:rPr>
        <w:t xml:space="preserve"> §642(c) qualification</w:t>
      </w:r>
      <w:r>
        <w:rPr>
          <w:rFonts w:ascii="Calibri" w:hAnsi="Calibri" w:cs="Arial"/>
        </w:rPr>
        <w:t xml:space="preserve">, </w:t>
      </w:r>
      <w:r w:rsidR="008A5B7C">
        <w:rPr>
          <w:rFonts w:ascii="Calibri" w:hAnsi="Calibri" w:cs="Arial"/>
        </w:rPr>
        <w:t xml:space="preserve">even prospectively, </w:t>
      </w:r>
      <w:r>
        <w:rPr>
          <w:rFonts w:ascii="Calibri" w:hAnsi="Calibri" w:cs="Arial"/>
        </w:rPr>
        <w:t>so manage your client’s expectations accordingly.</w:t>
      </w:r>
      <w:r w:rsidR="001F09F2">
        <w:rPr>
          <w:rStyle w:val="FootnoteReference"/>
          <w:rFonts w:ascii="Calibri" w:hAnsi="Calibri" w:cs="Arial"/>
        </w:rPr>
        <w:footnoteReference w:id="484"/>
      </w:r>
    </w:p>
    <w:p w14:paraId="32D6C3BF" w14:textId="77777777" w:rsidR="00470091" w:rsidRPr="00470091" w:rsidRDefault="008579FC" w:rsidP="00470091">
      <w:pPr>
        <w:autoSpaceDE w:val="0"/>
        <w:autoSpaceDN w:val="0"/>
        <w:adjustRightInd w:val="0"/>
        <w:spacing w:line="360" w:lineRule="auto"/>
        <w:ind w:firstLine="720"/>
        <w:rPr>
          <w:rFonts w:ascii="Calibri" w:hAnsi="Calibri" w:cs="Arial"/>
        </w:rPr>
      </w:pPr>
      <w:r>
        <w:rPr>
          <w:rFonts w:ascii="Calibri" w:hAnsi="Calibri" w:cs="Arial"/>
        </w:rPr>
        <w:t xml:space="preserve">What if the trust has no provision to make distributions to charity, but an FLP/LLC partially owned by the trust makes the contribution from </w:t>
      </w:r>
      <w:r w:rsidRPr="008579FC">
        <w:rPr>
          <w:rFonts w:ascii="Calibri" w:hAnsi="Calibri" w:cs="Arial"/>
          <w:i/>
        </w:rPr>
        <w:t>its</w:t>
      </w:r>
      <w:r>
        <w:rPr>
          <w:rFonts w:ascii="Calibri" w:hAnsi="Calibri" w:cs="Arial"/>
        </w:rPr>
        <w:t xml:space="preserve"> gross income through </w:t>
      </w:r>
      <w:r w:rsidRPr="008579FC">
        <w:rPr>
          <w:rFonts w:ascii="Calibri" w:hAnsi="Calibri" w:cs="Arial"/>
          <w:i/>
        </w:rPr>
        <w:t>its</w:t>
      </w:r>
      <w:r>
        <w:rPr>
          <w:rFonts w:ascii="Calibri" w:hAnsi="Calibri" w:cs="Arial"/>
        </w:rPr>
        <w:t xml:space="preserve"> governing instrument, and the contribution passes to the trust via K-1?  Surprisingly, the IRS will permit this </w:t>
      </w:r>
      <w:r w:rsidR="0022290A">
        <w:rPr>
          <w:rFonts w:ascii="Calibri" w:hAnsi="Calibri" w:cs="Arial"/>
        </w:rPr>
        <w:t>and even issued a revenue ruling</w:t>
      </w:r>
      <w:r>
        <w:rPr>
          <w:rFonts w:ascii="Calibri" w:hAnsi="Calibri" w:cs="Arial"/>
        </w:rPr>
        <w:t>, which also opens up further opportunities to exploit §642(c)</w:t>
      </w:r>
      <w:r w:rsidR="0022290A">
        <w:rPr>
          <w:rFonts w:ascii="Calibri" w:hAnsi="Calibri" w:cs="Arial"/>
        </w:rPr>
        <w:t>.</w:t>
      </w:r>
      <w:r>
        <w:rPr>
          <w:rStyle w:val="FootnoteReference"/>
          <w:rFonts w:ascii="Calibri" w:hAnsi="Calibri" w:cs="Arial"/>
        </w:rPr>
        <w:footnoteReference w:id="485"/>
      </w:r>
      <w:r w:rsidR="00353E3E">
        <w:rPr>
          <w:rFonts w:ascii="Calibri" w:hAnsi="Calibri" w:cs="Arial"/>
        </w:rPr>
        <w:t xml:space="preserve">  </w:t>
      </w:r>
      <w:r w:rsidR="00470091" w:rsidRPr="00470091">
        <w:rPr>
          <w:rFonts w:ascii="Calibri" w:hAnsi="Calibri" w:cs="Arial"/>
        </w:rPr>
        <w:t>This is true even for the one of the most stringent taxpayer-unfriendly areas of the tax code – the electing small business trust (ESBT)</w:t>
      </w:r>
      <w:r w:rsidR="00470091">
        <w:rPr>
          <w:rFonts w:ascii="Calibri" w:hAnsi="Calibri" w:cs="Arial"/>
        </w:rPr>
        <w:t xml:space="preserve"> – regulations allow the §642(c) deduction when the S corporation itself makes the contribution</w:t>
      </w:r>
      <w:r w:rsidR="00470091" w:rsidRPr="00470091">
        <w:rPr>
          <w:rFonts w:ascii="Calibri" w:hAnsi="Calibri" w:cs="Arial"/>
        </w:rPr>
        <w:t>.</w:t>
      </w:r>
      <w:r w:rsidR="00470091" w:rsidRPr="00470091">
        <w:rPr>
          <w:rFonts w:ascii="Calibri" w:hAnsi="Calibri" w:cs="Arial"/>
          <w:vertAlign w:val="superscript"/>
        </w:rPr>
        <w:footnoteReference w:id="486"/>
      </w:r>
      <w:r w:rsidR="001340D6">
        <w:rPr>
          <w:rFonts w:ascii="Calibri" w:hAnsi="Calibri" w:cs="Arial"/>
        </w:rPr>
        <w:t xml:space="preserve">  While the rules for passing through the 642(c) deduction are lenient for pass-through business entities, </w:t>
      </w:r>
      <w:r w:rsidR="006468ED">
        <w:rPr>
          <w:rFonts w:ascii="Calibri" w:hAnsi="Calibri" w:cs="Arial"/>
        </w:rPr>
        <w:t>such contributions cannot pass</w:t>
      </w:r>
      <w:r w:rsidR="001340D6">
        <w:rPr>
          <w:rFonts w:ascii="Calibri" w:hAnsi="Calibri" w:cs="Arial"/>
        </w:rPr>
        <w:t xml:space="preserve"> through trust or estates</w:t>
      </w:r>
      <w:r w:rsidR="006468ED">
        <w:rPr>
          <w:rFonts w:ascii="Calibri" w:hAnsi="Calibri" w:cs="Arial"/>
        </w:rPr>
        <w:t xml:space="preserve"> – an important point to remember in exercising any decanting</w:t>
      </w:r>
      <w:r w:rsidR="001340D6">
        <w:rPr>
          <w:rFonts w:ascii="Calibri" w:hAnsi="Calibri" w:cs="Arial"/>
        </w:rPr>
        <w:t>.</w:t>
      </w:r>
      <w:r w:rsidR="001340D6">
        <w:rPr>
          <w:rStyle w:val="FootnoteReference"/>
          <w:rFonts w:ascii="Calibri" w:hAnsi="Calibri" w:cs="Arial"/>
        </w:rPr>
        <w:footnoteReference w:id="487"/>
      </w:r>
    </w:p>
    <w:p w14:paraId="03EC0A57" w14:textId="77777777" w:rsidR="008579FC" w:rsidRDefault="00B95180" w:rsidP="0040409F">
      <w:pPr>
        <w:autoSpaceDE w:val="0"/>
        <w:autoSpaceDN w:val="0"/>
        <w:adjustRightInd w:val="0"/>
        <w:spacing w:line="360" w:lineRule="auto"/>
        <w:ind w:firstLine="720"/>
        <w:rPr>
          <w:rFonts w:ascii="Calibri" w:hAnsi="Calibri" w:cs="Arial"/>
        </w:rPr>
      </w:pPr>
      <w:r>
        <w:rPr>
          <w:rFonts w:ascii="Calibri" w:hAnsi="Calibri" w:cs="Arial"/>
        </w:rPr>
        <w:t xml:space="preserve">While I may disagree with the logic of </w:t>
      </w:r>
      <w:r w:rsidR="00321B1E" w:rsidRPr="00321B1E">
        <w:rPr>
          <w:rFonts w:ascii="Calibri" w:hAnsi="Calibri" w:cs="Arial"/>
        </w:rPr>
        <w:t>CCA 2016-51013</w:t>
      </w:r>
      <w:r>
        <w:rPr>
          <w:rFonts w:ascii="Calibri" w:hAnsi="Calibri" w:cs="Arial"/>
        </w:rPr>
        <w:t xml:space="preserve">, establishing a pass through entity owned in part by the trust to make charitable contributions appears more certain to qualify for §642(c) than modifying the trust </w:t>
      </w:r>
      <w:r w:rsidR="00A85610">
        <w:rPr>
          <w:rFonts w:ascii="Calibri" w:hAnsi="Calibri" w:cs="Arial"/>
        </w:rPr>
        <w:t xml:space="preserve">instrument </w:t>
      </w:r>
      <w:r>
        <w:rPr>
          <w:rFonts w:ascii="Calibri" w:hAnsi="Calibri" w:cs="Arial"/>
        </w:rPr>
        <w:t>itself.</w:t>
      </w:r>
    </w:p>
    <w:p w14:paraId="11556095" w14:textId="77777777" w:rsidR="005D5C2D" w:rsidRPr="0040409F" w:rsidRDefault="005D5C2D" w:rsidP="0040409F">
      <w:pPr>
        <w:autoSpaceDE w:val="0"/>
        <w:autoSpaceDN w:val="0"/>
        <w:adjustRightInd w:val="0"/>
        <w:spacing w:line="360" w:lineRule="auto"/>
        <w:ind w:firstLine="720"/>
        <w:rPr>
          <w:rFonts w:ascii="Calibri" w:hAnsi="Calibri" w:cs="Helv"/>
          <w:color w:val="000000"/>
        </w:rPr>
      </w:pPr>
      <w:r>
        <w:rPr>
          <w:rFonts w:ascii="Calibri" w:hAnsi="Calibri" w:cs="Arial"/>
        </w:rPr>
        <w:t>One unique aspect to §642(c) was not discussed in the PLR</w:t>
      </w:r>
      <w:r w:rsidR="008579FC">
        <w:rPr>
          <w:rFonts w:ascii="Calibri" w:hAnsi="Calibri" w:cs="Arial"/>
        </w:rPr>
        <w:t>s</w:t>
      </w:r>
      <w:r>
        <w:rPr>
          <w:rFonts w:ascii="Calibri" w:hAnsi="Calibri" w:cs="Arial"/>
        </w:rPr>
        <w:t xml:space="preserve">, </w:t>
      </w:r>
      <w:r w:rsidR="00367B65">
        <w:rPr>
          <w:rFonts w:ascii="Calibri" w:hAnsi="Calibri" w:cs="Arial"/>
        </w:rPr>
        <w:t>but merits attention.  Most of the S</w:t>
      </w:r>
      <w:r>
        <w:rPr>
          <w:rFonts w:ascii="Calibri" w:hAnsi="Calibri" w:cs="Arial"/>
        </w:rPr>
        <w:t xml:space="preserve">ubchapter J </w:t>
      </w:r>
      <w:r w:rsidR="00367B65">
        <w:rPr>
          <w:rFonts w:ascii="Calibri" w:hAnsi="Calibri" w:cs="Arial"/>
        </w:rPr>
        <w:t xml:space="preserve">scheme taxing non-grantor trusts </w:t>
      </w:r>
      <w:r>
        <w:rPr>
          <w:rFonts w:ascii="Calibri" w:hAnsi="Calibri" w:cs="Arial"/>
        </w:rPr>
        <w:t>ignores tracing</w:t>
      </w:r>
      <w:r w:rsidR="00367B65">
        <w:rPr>
          <w:rFonts w:ascii="Calibri" w:hAnsi="Calibri" w:cs="Arial"/>
        </w:rPr>
        <w:t>.  For example</w:t>
      </w:r>
      <w:r>
        <w:rPr>
          <w:rFonts w:ascii="Calibri" w:hAnsi="Calibri" w:cs="Arial"/>
        </w:rPr>
        <w:t xml:space="preserve">, </w:t>
      </w:r>
      <w:r w:rsidR="00367B65">
        <w:rPr>
          <w:rFonts w:ascii="Calibri" w:hAnsi="Calibri" w:cs="Arial"/>
        </w:rPr>
        <w:t xml:space="preserve">if the trust has $100,000 of income/DNI and </w:t>
      </w:r>
      <w:r>
        <w:rPr>
          <w:rFonts w:ascii="Calibri" w:hAnsi="Calibri" w:cs="Arial"/>
        </w:rPr>
        <w:t xml:space="preserve">distributes </w:t>
      </w:r>
      <w:r w:rsidR="00367B65" w:rsidRPr="00DB435B">
        <w:rPr>
          <w:rFonts w:ascii="Calibri" w:hAnsi="Calibri" w:cs="Arial"/>
          <w:b/>
        </w:rPr>
        <w:t>only</w:t>
      </w:r>
      <w:r w:rsidR="00367B65">
        <w:rPr>
          <w:rFonts w:ascii="Calibri" w:hAnsi="Calibri" w:cs="Arial"/>
        </w:rPr>
        <w:t xml:space="preserve"> </w:t>
      </w:r>
      <w:r>
        <w:rPr>
          <w:rFonts w:ascii="Calibri" w:hAnsi="Calibri" w:cs="Arial"/>
        </w:rPr>
        <w:t>Blackacre</w:t>
      </w:r>
      <w:r w:rsidR="00367B65">
        <w:rPr>
          <w:rFonts w:ascii="Calibri" w:hAnsi="Calibri" w:cs="Arial"/>
        </w:rPr>
        <w:t xml:space="preserve"> </w:t>
      </w:r>
      <w:r w:rsidR="00470091">
        <w:rPr>
          <w:rFonts w:ascii="Calibri" w:hAnsi="Calibri" w:cs="Arial"/>
        </w:rPr>
        <w:t xml:space="preserve">with a basis of $100,000 </w:t>
      </w:r>
      <w:r w:rsidR="00367B65">
        <w:rPr>
          <w:rFonts w:ascii="Calibri" w:hAnsi="Calibri" w:cs="Arial"/>
        </w:rPr>
        <w:lastRenderedPageBreak/>
        <w:t>valued at $1</w:t>
      </w:r>
      <w:r w:rsidR="00470091">
        <w:rPr>
          <w:rFonts w:ascii="Calibri" w:hAnsi="Calibri" w:cs="Arial"/>
        </w:rPr>
        <w:t>4</w:t>
      </w:r>
      <w:r w:rsidR="00367B65">
        <w:rPr>
          <w:rFonts w:ascii="Calibri" w:hAnsi="Calibri" w:cs="Arial"/>
        </w:rPr>
        <w:t>0,000</w:t>
      </w:r>
      <w:r w:rsidR="00DB435B">
        <w:rPr>
          <w:rFonts w:ascii="Calibri" w:hAnsi="Calibri" w:cs="Arial"/>
        </w:rPr>
        <w:t xml:space="preserve"> (even if it distributes</w:t>
      </w:r>
      <w:r w:rsidR="006D3A84">
        <w:rPr>
          <w:rFonts w:ascii="Calibri" w:hAnsi="Calibri" w:cs="Arial"/>
        </w:rPr>
        <w:t xml:space="preserve"> no assets traceable to income)</w:t>
      </w:r>
      <w:r>
        <w:rPr>
          <w:rFonts w:ascii="Calibri" w:hAnsi="Calibri" w:cs="Arial"/>
        </w:rPr>
        <w:t xml:space="preserve">, </w:t>
      </w:r>
      <w:r w:rsidRPr="006D3A84">
        <w:rPr>
          <w:rFonts w:ascii="Calibri" w:hAnsi="Calibri" w:cs="Arial"/>
          <w:i/>
        </w:rPr>
        <w:t xml:space="preserve">the </w:t>
      </w:r>
      <w:r w:rsidR="00367B65" w:rsidRPr="006D3A84">
        <w:rPr>
          <w:rFonts w:ascii="Calibri" w:hAnsi="Calibri" w:cs="Arial"/>
          <w:i/>
        </w:rPr>
        <w:t xml:space="preserve">trust will get a deduction and the </w:t>
      </w:r>
      <w:r w:rsidRPr="006D3A84">
        <w:rPr>
          <w:rFonts w:ascii="Calibri" w:hAnsi="Calibri" w:cs="Arial"/>
          <w:i/>
        </w:rPr>
        <w:t xml:space="preserve">beneficiary </w:t>
      </w:r>
      <w:r w:rsidR="00367B65" w:rsidRPr="006D3A84">
        <w:rPr>
          <w:rFonts w:ascii="Calibri" w:hAnsi="Calibri" w:cs="Arial"/>
          <w:i/>
        </w:rPr>
        <w:t>will</w:t>
      </w:r>
      <w:r w:rsidRPr="006D3A84">
        <w:rPr>
          <w:rFonts w:ascii="Calibri" w:hAnsi="Calibri" w:cs="Arial"/>
          <w:i/>
        </w:rPr>
        <w:t xml:space="preserve"> get a K-1 for </w:t>
      </w:r>
      <w:r w:rsidR="00367B65" w:rsidRPr="006D3A84">
        <w:rPr>
          <w:rFonts w:ascii="Calibri" w:hAnsi="Calibri" w:cs="Arial"/>
          <w:i/>
        </w:rPr>
        <w:t>$100,000 anyway</w:t>
      </w:r>
      <w:r>
        <w:rPr>
          <w:rFonts w:ascii="Calibri" w:hAnsi="Calibri" w:cs="Arial"/>
        </w:rPr>
        <w:t xml:space="preserve">.  Such is not the case for §642(c) – the distribution </w:t>
      </w:r>
      <w:r w:rsidRPr="00367B65">
        <w:rPr>
          <w:rFonts w:ascii="Calibri" w:hAnsi="Calibri" w:cs="Arial"/>
          <w:b/>
        </w:rPr>
        <w:t>must</w:t>
      </w:r>
      <w:r>
        <w:rPr>
          <w:rFonts w:ascii="Calibri" w:hAnsi="Calibri" w:cs="Arial"/>
        </w:rPr>
        <w:t xml:space="preserve"> come from gross income, though it might come from income accumulated in a prior year.</w:t>
      </w:r>
      <w:r w:rsidR="00FE2196">
        <w:rPr>
          <w:rStyle w:val="FootnoteReference"/>
          <w:rFonts w:ascii="Calibri" w:hAnsi="Calibri" w:cs="Arial"/>
        </w:rPr>
        <w:footnoteReference w:id="488"/>
      </w:r>
      <w:r>
        <w:rPr>
          <w:rFonts w:ascii="Calibri" w:hAnsi="Calibri" w:cs="Arial"/>
        </w:rPr>
        <w:t xml:space="preserve">  </w:t>
      </w:r>
      <w:r w:rsidR="00006ED2">
        <w:rPr>
          <w:rFonts w:ascii="Calibri" w:hAnsi="Calibri" w:cs="Arial"/>
        </w:rPr>
        <w:t>It cannot come from tax-exempt income such as municipal bond interest or a Roth IRA distribution.</w:t>
      </w:r>
    </w:p>
    <w:p w14:paraId="7039FB2C" w14:textId="77777777" w:rsidR="006B5C6D" w:rsidRDefault="006B5C6D" w:rsidP="001A6FD4">
      <w:pPr>
        <w:autoSpaceDE w:val="0"/>
        <w:autoSpaceDN w:val="0"/>
        <w:adjustRightInd w:val="0"/>
        <w:spacing w:line="360" w:lineRule="auto"/>
        <w:ind w:firstLine="720"/>
        <w:rPr>
          <w:rFonts w:ascii="Calibri" w:hAnsi="Calibri" w:cs="Helv"/>
          <w:color w:val="000000"/>
        </w:rPr>
      </w:pPr>
      <w:r>
        <w:rPr>
          <w:rFonts w:ascii="Calibri" w:hAnsi="Calibri" w:cs="Helv"/>
          <w:color w:val="000000"/>
        </w:rPr>
        <w:t>T</w:t>
      </w:r>
      <w:r w:rsidR="006E55AA">
        <w:rPr>
          <w:rFonts w:ascii="Calibri" w:hAnsi="Calibri" w:cs="Helv"/>
          <w:color w:val="000000"/>
        </w:rPr>
        <w:t>his concept extends to distributions in kind.  W</w:t>
      </w:r>
      <w:r>
        <w:rPr>
          <w:rFonts w:ascii="Calibri" w:hAnsi="Calibri" w:cs="Helv"/>
          <w:color w:val="000000"/>
        </w:rPr>
        <w:t>hile</w:t>
      </w:r>
      <w:r w:rsidRPr="006B5C6D">
        <w:rPr>
          <w:rFonts w:ascii="Calibri" w:hAnsi="Calibri" w:cs="Helv"/>
          <w:color w:val="000000"/>
        </w:rPr>
        <w:t xml:space="preserve"> the charitable contribution </w:t>
      </w:r>
      <w:r w:rsidR="0002134C">
        <w:rPr>
          <w:rFonts w:ascii="Calibri" w:hAnsi="Calibri" w:cs="Helv"/>
          <w:color w:val="000000"/>
        </w:rPr>
        <w:t xml:space="preserve">from a trust </w:t>
      </w:r>
      <w:r w:rsidRPr="006B5C6D">
        <w:rPr>
          <w:rFonts w:ascii="Calibri" w:hAnsi="Calibri" w:cs="Helv"/>
          <w:color w:val="000000"/>
        </w:rPr>
        <w:t>need not be in cash</w:t>
      </w:r>
      <w:r>
        <w:rPr>
          <w:rFonts w:ascii="Calibri" w:hAnsi="Calibri" w:cs="Helv"/>
          <w:color w:val="000000"/>
        </w:rPr>
        <w:t>, any property must be traceable to gross income</w:t>
      </w:r>
      <w:r w:rsidR="0002134C">
        <w:rPr>
          <w:rFonts w:ascii="Calibri" w:hAnsi="Calibri" w:cs="Helv"/>
          <w:color w:val="000000"/>
        </w:rPr>
        <w:t xml:space="preserve"> and basis may still be relevant</w:t>
      </w:r>
      <w:r w:rsidRPr="006B5C6D">
        <w:rPr>
          <w:rFonts w:ascii="Calibri" w:hAnsi="Calibri" w:cs="Helv"/>
          <w:color w:val="000000"/>
        </w:rPr>
        <w:t xml:space="preserve">.  </w:t>
      </w:r>
      <w:r w:rsidR="0002134C">
        <w:rPr>
          <w:rFonts w:ascii="Calibri" w:hAnsi="Calibri" w:cs="Helv"/>
          <w:color w:val="000000"/>
        </w:rPr>
        <w:t xml:space="preserve">So, if the trust had purchased Blackacre for $80,000 </w:t>
      </w:r>
      <w:r w:rsidR="006E55AA">
        <w:rPr>
          <w:rFonts w:ascii="Calibri" w:hAnsi="Calibri" w:cs="Helv"/>
          <w:color w:val="000000"/>
        </w:rPr>
        <w:t xml:space="preserve">(traceable to </w:t>
      </w:r>
      <w:r w:rsidR="0002134C">
        <w:rPr>
          <w:rFonts w:ascii="Calibri" w:hAnsi="Calibri" w:cs="Helv"/>
          <w:color w:val="000000"/>
        </w:rPr>
        <w:t>gross income</w:t>
      </w:r>
      <w:r w:rsidR="006E55AA">
        <w:rPr>
          <w:rFonts w:ascii="Calibri" w:hAnsi="Calibri" w:cs="Helv"/>
          <w:color w:val="000000"/>
        </w:rPr>
        <w:t>)</w:t>
      </w:r>
      <w:r w:rsidR="0002134C">
        <w:rPr>
          <w:rFonts w:ascii="Calibri" w:hAnsi="Calibri" w:cs="Helv"/>
          <w:color w:val="000000"/>
        </w:rPr>
        <w:t xml:space="preserve"> and </w:t>
      </w:r>
      <w:r w:rsidR="00D363B1">
        <w:rPr>
          <w:rFonts w:ascii="Calibri" w:hAnsi="Calibri" w:cs="Helv"/>
          <w:color w:val="000000"/>
        </w:rPr>
        <w:t>Blackacre</w:t>
      </w:r>
      <w:r w:rsidR="0002134C">
        <w:rPr>
          <w:rFonts w:ascii="Calibri" w:hAnsi="Calibri" w:cs="Helv"/>
          <w:color w:val="000000"/>
        </w:rPr>
        <w:t xml:space="preserve"> had appreciated to $100,000 by the time of distribution to charity, the</w:t>
      </w:r>
      <w:r w:rsidR="00D363B1">
        <w:rPr>
          <w:rFonts w:ascii="Calibri" w:hAnsi="Calibri" w:cs="Helv"/>
          <w:color w:val="000000"/>
        </w:rPr>
        <w:t>re is substantial uncertainty whether the</w:t>
      </w:r>
      <w:r w:rsidR="0002134C">
        <w:rPr>
          <w:rFonts w:ascii="Calibri" w:hAnsi="Calibri" w:cs="Helv"/>
          <w:color w:val="000000"/>
        </w:rPr>
        <w:t xml:space="preserve"> deduction </w:t>
      </w:r>
      <w:r w:rsidR="006E55AA">
        <w:rPr>
          <w:rFonts w:ascii="Calibri" w:hAnsi="Calibri" w:cs="Helv"/>
          <w:color w:val="000000"/>
        </w:rPr>
        <w:t xml:space="preserve">under IRC §642(c) </w:t>
      </w:r>
      <w:r w:rsidR="0002134C">
        <w:rPr>
          <w:rFonts w:ascii="Calibri" w:hAnsi="Calibri" w:cs="Helv"/>
          <w:color w:val="000000"/>
        </w:rPr>
        <w:t>is limited to $80,000</w:t>
      </w:r>
      <w:r w:rsidR="006E55AA">
        <w:rPr>
          <w:rFonts w:ascii="Calibri" w:hAnsi="Calibri" w:cs="Helv"/>
          <w:color w:val="000000"/>
        </w:rPr>
        <w:t>, since only $80,000 came from gross income</w:t>
      </w:r>
      <w:r w:rsidR="00D363B1">
        <w:rPr>
          <w:rFonts w:ascii="Calibri" w:hAnsi="Calibri" w:cs="Helv"/>
          <w:color w:val="000000"/>
        </w:rPr>
        <w:t>, or the full $100,000</w:t>
      </w:r>
      <w:r w:rsidR="0002134C">
        <w:rPr>
          <w:rFonts w:ascii="Calibri" w:hAnsi="Calibri" w:cs="Helv"/>
          <w:color w:val="000000"/>
        </w:rPr>
        <w:t>.</w:t>
      </w:r>
      <w:r w:rsidR="00D363B1">
        <w:rPr>
          <w:rFonts w:ascii="Calibri" w:hAnsi="Calibri" w:cs="Helv"/>
          <w:color w:val="000000"/>
        </w:rPr>
        <w:t xml:space="preserve">  The IRS believes that it should be limited to $80,000 – that unrealized capital gains should not be added to the deduction.</w:t>
      </w:r>
      <w:r w:rsidR="0002134C">
        <w:rPr>
          <w:rStyle w:val="FootnoteReference"/>
          <w:rFonts w:ascii="Calibri" w:hAnsi="Calibri" w:cs="Helv"/>
          <w:color w:val="000000"/>
        </w:rPr>
        <w:footnoteReference w:id="489"/>
      </w:r>
      <w:r w:rsidR="00D363B1">
        <w:rPr>
          <w:rFonts w:ascii="Calibri" w:hAnsi="Calibri" w:cs="Helv"/>
          <w:color w:val="000000"/>
        </w:rPr>
        <w:t xml:space="preserve">  </w:t>
      </w:r>
      <w:r w:rsidR="00961C11">
        <w:rPr>
          <w:rFonts w:ascii="Calibri" w:hAnsi="Calibri" w:cs="Helv"/>
          <w:color w:val="000000"/>
        </w:rPr>
        <w:t>They are probably right, and were just backed up in a circuit court opinion</w:t>
      </w:r>
      <w:r w:rsidR="00D363B1">
        <w:rPr>
          <w:rFonts w:ascii="Calibri" w:hAnsi="Calibri" w:cs="Helv"/>
          <w:color w:val="000000"/>
        </w:rPr>
        <w:t>.</w:t>
      </w:r>
      <w:r w:rsidR="00D363B1">
        <w:rPr>
          <w:rStyle w:val="FootnoteReference"/>
          <w:rFonts w:ascii="Calibri" w:hAnsi="Calibri" w:cs="Helv"/>
          <w:color w:val="000000"/>
        </w:rPr>
        <w:footnoteReference w:id="490"/>
      </w:r>
    </w:p>
    <w:p w14:paraId="387BA1A7" w14:textId="77777777" w:rsidR="00EF6CAF" w:rsidRDefault="005C7749" w:rsidP="001A6FD4">
      <w:pPr>
        <w:autoSpaceDE w:val="0"/>
        <w:autoSpaceDN w:val="0"/>
        <w:adjustRightInd w:val="0"/>
        <w:spacing w:line="360" w:lineRule="auto"/>
        <w:ind w:firstLine="720"/>
        <w:rPr>
          <w:i/>
        </w:rPr>
      </w:pPr>
      <w:r>
        <w:rPr>
          <w:rFonts w:ascii="Calibri" w:hAnsi="Calibri" w:cs="Helv"/>
          <w:color w:val="000000"/>
        </w:rPr>
        <w:t xml:space="preserve">Another minor negative of the §642(c) deduction is that excess deductions cannot be carried forward or used by another beneficiary, even upon termination of a trust or estate.  In one case, a residuary beneficiary of estate tried to use the </w:t>
      </w:r>
      <w:r w:rsidR="00B22110">
        <w:rPr>
          <w:rFonts w:ascii="Calibri" w:hAnsi="Calibri" w:cs="Helv"/>
          <w:color w:val="000000"/>
        </w:rPr>
        <w:t xml:space="preserve">estate’s </w:t>
      </w:r>
      <w:r>
        <w:rPr>
          <w:rFonts w:ascii="Calibri" w:hAnsi="Calibri" w:cs="Helv"/>
          <w:color w:val="000000"/>
        </w:rPr>
        <w:t>excess charitable deduction and personal exemption that the estate could not use</w:t>
      </w:r>
      <w:r w:rsidR="00B22110">
        <w:rPr>
          <w:rFonts w:ascii="Calibri" w:hAnsi="Calibri" w:cs="Helv"/>
          <w:color w:val="000000"/>
        </w:rPr>
        <w:t xml:space="preserve"> on their personal return</w:t>
      </w:r>
      <w:r>
        <w:rPr>
          <w:rFonts w:ascii="Calibri" w:hAnsi="Calibri" w:cs="Helv"/>
          <w:color w:val="000000"/>
        </w:rPr>
        <w:t xml:space="preserve">, similar to how </w:t>
      </w:r>
      <w:r w:rsidR="001A1D9F">
        <w:rPr>
          <w:rFonts w:ascii="Calibri" w:hAnsi="Calibri" w:cs="Helv"/>
          <w:color w:val="000000"/>
        </w:rPr>
        <w:t xml:space="preserve">many </w:t>
      </w:r>
      <w:r>
        <w:rPr>
          <w:rFonts w:ascii="Calibri" w:hAnsi="Calibri" w:cs="Helv"/>
          <w:color w:val="000000"/>
        </w:rPr>
        <w:t>other excess deductions pass through on an estate/trust termination pursuant to IRC §642(h)(2) – the tax court denied their deduction, holding that</w:t>
      </w:r>
      <w:r w:rsidR="00B22110">
        <w:rPr>
          <w:rFonts w:ascii="Calibri" w:hAnsi="Calibri" w:cs="Helv"/>
          <w:color w:val="000000"/>
        </w:rPr>
        <w:t xml:space="preserve"> </w:t>
      </w:r>
      <w:r w:rsidR="0022290A">
        <w:rPr>
          <w:rFonts w:ascii="Calibri" w:hAnsi="Calibri" w:cs="Helv"/>
          <w:color w:val="000000"/>
        </w:rPr>
        <w:t xml:space="preserve">unlike other losses/deductions, such unused </w:t>
      </w:r>
      <w:r w:rsidR="00B22110">
        <w:rPr>
          <w:rFonts w:ascii="Calibri" w:hAnsi="Calibri" w:cs="Helv"/>
          <w:color w:val="000000"/>
        </w:rPr>
        <w:t xml:space="preserve">deductions do </w:t>
      </w:r>
      <w:r w:rsidR="00B22110" w:rsidRPr="00CA462F">
        <w:rPr>
          <w:rFonts w:ascii="Calibri" w:hAnsi="Calibri" w:cs="Helv"/>
          <w:b/>
          <w:color w:val="000000"/>
        </w:rPr>
        <w:t>not</w:t>
      </w:r>
      <w:r w:rsidR="00B22110">
        <w:rPr>
          <w:rFonts w:ascii="Calibri" w:hAnsi="Calibri" w:cs="Helv"/>
          <w:color w:val="000000"/>
        </w:rPr>
        <w:t xml:space="preserve"> pass out upon termination</w:t>
      </w:r>
      <w:r>
        <w:rPr>
          <w:rFonts w:ascii="Calibri" w:hAnsi="Calibri" w:cs="Helv"/>
          <w:color w:val="000000"/>
        </w:rPr>
        <w:t>.</w:t>
      </w:r>
      <w:r>
        <w:rPr>
          <w:rStyle w:val="FootnoteReference"/>
          <w:rFonts w:ascii="Calibri" w:hAnsi="Calibri" w:cs="Helv"/>
          <w:color w:val="000000"/>
        </w:rPr>
        <w:footnoteReference w:id="491"/>
      </w:r>
      <w:r w:rsidR="00EF6CAF" w:rsidRPr="00EF6CAF">
        <w:rPr>
          <w:i/>
        </w:rPr>
        <w:t xml:space="preserve"> </w:t>
      </w:r>
    </w:p>
    <w:p w14:paraId="5148617B" w14:textId="77777777" w:rsidR="00E04615" w:rsidRDefault="00BB5C1E" w:rsidP="001A6FD4">
      <w:pPr>
        <w:autoSpaceDE w:val="0"/>
        <w:autoSpaceDN w:val="0"/>
        <w:adjustRightInd w:val="0"/>
        <w:spacing w:line="360" w:lineRule="auto"/>
        <w:ind w:firstLine="720"/>
        <w:rPr>
          <w:rFonts w:ascii="Calibri" w:hAnsi="Calibri" w:cs="Helv"/>
          <w:color w:val="000000"/>
        </w:rPr>
      </w:pPr>
      <w:r>
        <w:rPr>
          <w:rFonts w:ascii="Calibri" w:hAnsi="Calibri" w:cs="Helv"/>
          <w:color w:val="000000"/>
        </w:rPr>
        <w:t xml:space="preserve">Another hurdle is </w:t>
      </w:r>
      <w:r w:rsidR="007F1CCC">
        <w:rPr>
          <w:rFonts w:ascii="Calibri" w:hAnsi="Calibri" w:cs="Helv"/>
          <w:color w:val="000000"/>
        </w:rPr>
        <w:t xml:space="preserve">that </w:t>
      </w:r>
      <w:r>
        <w:rPr>
          <w:rFonts w:ascii="Calibri" w:hAnsi="Calibri" w:cs="Helv"/>
          <w:color w:val="000000"/>
        </w:rPr>
        <w:t xml:space="preserve">the use of </w:t>
      </w:r>
      <w:r w:rsidR="000B2DC3">
        <w:rPr>
          <w:rFonts w:ascii="Calibri" w:hAnsi="Calibri" w:cs="Helv"/>
          <w:color w:val="000000"/>
        </w:rPr>
        <w:t>§</w:t>
      </w:r>
      <w:r>
        <w:rPr>
          <w:rFonts w:ascii="Calibri" w:hAnsi="Calibri" w:cs="Helv"/>
          <w:color w:val="000000"/>
        </w:rPr>
        <w:t xml:space="preserve">642(c) is </w:t>
      </w:r>
      <w:r w:rsidR="00E04615">
        <w:rPr>
          <w:rFonts w:ascii="Calibri" w:hAnsi="Calibri" w:cs="Helv"/>
          <w:color w:val="000000"/>
        </w:rPr>
        <w:t xml:space="preserve">sometimes </w:t>
      </w:r>
      <w:r>
        <w:rPr>
          <w:rFonts w:ascii="Calibri" w:hAnsi="Calibri" w:cs="Helv"/>
          <w:color w:val="000000"/>
        </w:rPr>
        <w:t xml:space="preserve">limited for </w:t>
      </w:r>
      <w:r w:rsidR="00B11593">
        <w:rPr>
          <w:rFonts w:ascii="Calibri" w:hAnsi="Calibri" w:cs="Helv"/>
          <w:color w:val="000000"/>
        </w:rPr>
        <w:t xml:space="preserve">ongoing </w:t>
      </w:r>
      <w:r w:rsidRPr="0022290A">
        <w:rPr>
          <w:rFonts w:ascii="Calibri" w:hAnsi="Calibri" w:cs="Helv"/>
          <w:i/>
          <w:color w:val="000000"/>
        </w:rPr>
        <w:t>business</w:t>
      </w:r>
      <w:r>
        <w:rPr>
          <w:rFonts w:ascii="Calibri" w:hAnsi="Calibri" w:cs="Helv"/>
          <w:color w:val="000000"/>
        </w:rPr>
        <w:t xml:space="preserve"> income.  IRC §681 limits </w:t>
      </w:r>
      <w:r w:rsidR="000B2DC3">
        <w:rPr>
          <w:rFonts w:ascii="Calibri" w:hAnsi="Calibri" w:cs="Helv"/>
          <w:color w:val="000000"/>
        </w:rPr>
        <w:t>§</w:t>
      </w:r>
      <w:r>
        <w:rPr>
          <w:rFonts w:ascii="Calibri" w:hAnsi="Calibri" w:cs="Helv"/>
          <w:color w:val="000000"/>
        </w:rPr>
        <w:t xml:space="preserve">642(c)’s deduction if the income would be </w:t>
      </w:r>
      <w:r w:rsidR="00B11593">
        <w:rPr>
          <w:rFonts w:ascii="Calibri" w:hAnsi="Calibri" w:cs="Helv"/>
          <w:color w:val="000000"/>
        </w:rPr>
        <w:t xml:space="preserve">unrelated business </w:t>
      </w:r>
      <w:r w:rsidR="00B11593">
        <w:rPr>
          <w:rFonts w:ascii="Calibri" w:hAnsi="Calibri" w:cs="Helv"/>
          <w:color w:val="000000"/>
        </w:rPr>
        <w:lastRenderedPageBreak/>
        <w:t>taxable income (</w:t>
      </w:r>
      <w:r>
        <w:rPr>
          <w:rFonts w:ascii="Calibri" w:hAnsi="Calibri" w:cs="Helv"/>
          <w:color w:val="000000"/>
        </w:rPr>
        <w:t>UBTI</w:t>
      </w:r>
      <w:r w:rsidR="00B11593">
        <w:rPr>
          <w:rFonts w:ascii="Calibri" w:hAnsi="Calibri" w:cs="Helv"/>
          <w:color w:val="000000"/>
        </w:rPr>
        <w:t>)</w:t>
      </w:r>
      <w:r>
        <w:rPr>
          <w:rFonts w:ascii="Calibri" w:hAnsi="Calibri" w:cs="Helv"/>
          <w:color w:val="000000"/>
        </w:rPr>
        <w:t xml:space="preserve"> </w:t>
      </w:r>
      <w:r w:rsidR="007F1CCC">
        <w:rPr>
          <w:rFonts w:ascii="Calibri" w:hAnsi="Calibri" w:cs="Helv"/>
          <w:color w:val="000000"/>
        </w:rPr>
        <w:t xml:space="preserve">if it were </w:t>
      </w:r>
      <w:r>
        <w:rPr>
          <w:rFonts w:ascii="Calibri" w:hAnsi="Calibri" w:cs="Helv"/>
          <w:color w:val="000000"/>
        </w:rPr>
        <w:t>in the hands of a tax exempt entity.</w:t>
      </w:r>
      <w:r w:rsidR="001E58E7" w:rsidRPr="001E58E7">
        <w:rPr>
          <w:rStyle w:val="FootnoteReference"/>
          <w:rFonts w:ascii="Calibri" w:hAnsi="Calibri" w:cs="Helv"/>
          <w:color w:val="000000"/>
        </w:rPr>
        <w:t xml:space="preserve"> </w:t>
      </w:r>
      <w:r w:rsidR="001E58E7">
        <w:rPr>
          <w:rStyle w:val="FootnoteReference"/>
          <w:rFonts w:ascii="Calibri" w:hAnsi="Calibri" w:cs="Helv"/>
          <w:color w:val="000000"/>
        </w:rPr>
        <w:footnoteReference w:id="492"/>
      </w:r>
      <w:r w:rsidR="007F1CCC">
        <w:rPr>
          <w:rFonts w:ascii="Calibri" w:hAnsi="Calibri" w:cs="Helv"/>
          <w:color w:val="000000"/>
        </w:rPr>
        <w:t xml:space="preserve"> </w:t>
      </w:r>
      <w:r w:rsidR="009A65FD">
        <w:rPr>
          <w:rFonts w:ascii="Calibri" w:hAnsi="Calibri" w:cs="Helv"/>
          <w:color w:val="000000"/>
        </w:rPr>
        <w:t>However, this does not mean that the deduction is eliminated – it may not be reduced at all, and it may depend on where the charitable distribution goes (e.g. to a public charity or a private foundation)</w:t>
      </w:r>
      <w:r w:rsidR="005D4F0D">
        <w:rPr>
          <w:rFonts w:ascii="Calibri" w:hAnsi="Calibri" w:cs="Helv"/>
          <w:color w:val="000000"/>
        </w:rPr>
        <w:t>.</w:t>
      </w:r>
      <w:r w:rsidR="005D4F0D">
        <w:rPr>
          <w:rStyle w:val="FootnoteReference"/>
          <w:rFonts w:ascii="Calibri" w:hAnsi="Calibri" w:cs="Helv"/>
          <w:color w:val="000000"/>
        </w:rPr>
        <w:footnoteReference w:id="493"/>
      </w:r>
      <w:r w:rsidR="005D4F0D">
        <w:rPr>
          <w:rFonts w:ascii="Calibri" w:hAnsi="Calibri" w:cs="Helv"/>
          <w:color w:val="000000"/>
        </w:rPr>
        <w:t xml:space="preserve">  </w:t>
      </w:r>
      <w:r w:rsidR="00E04615">
        <w:rPr>
          <w:rFonts w:ascii="Calibri" w:hAnsi="Calibri" w:cs="Helv"/>
          <w:color w:val="000000"/>
        </w:rPr>
        <w:t>A few simple examples are helpful</w:t>
      </w:r>
      <w:r w:rsidR="003B5FCB">
        <w:rPr>
          <w:rFonts w:ascii="Calibri" w:hAnsi="Calibri" w:cs="Helv"/>
          <w:color w:val="000000"/>
        </w:rPr>
        <w:t xml:space="preserve"> (all assume </w:t>
      </w:r>
      <w:r w:rsidR="003B5FCB" w:rsidRPr="003B5FCB">
        <w:rPr>
          <w:rFonts w:ascii="Calibri" w:hAnsi="Calibri" w:cs="Helv"/>
          <w:b/>
          <w:color w:val="000000"/>
        </w:rPr>
        <w:t>cash</w:t>
      </w:r>
      <w:r w:rsidR="003B5FCB">
        <w:rPr>
          <w:rFonts w:ascii="Calibri" w:hAnsi="Calibri" w:cs="Helv"/>
          <w:color w:val="000000"/>
        </w:rPr>
        <w:t xml:space="preserve"> contribution, not appreciated property)</w:t>
      </w:r>
      <w:r w:rsidR="00E04615">
        <w:rPr>
          <w:rFonts w:ascii="Calibri" w:hAnsi="Calibri" w:cs="Helv"/>
          <w:color w:val="000000"/>
        </w:rPr>
        <w:t xml:space="preserve">: </w:t>
      </w:r>
    </w:p>
    <w:p w14:paraId="400FDA5F" w14:textId="77777777" w:rsidR="00E04615" w:rsidRDefault="00E04615" w:rsidP="00E04615">
      <w:pPr>
        <w:pStyle w:val="ListParagraph"/>
        <w:numPr>
          <w:ilvl w:val="1"/>
          <w:numId w:val="7"/>
        </w:numPr>
        <w:autoSpaceDE w:val="0"/>
        <w:autoSpaceDN w:val="0"/>
        <w:adjustRightInd w:val="0"/>
        <w:spacing w:line="360" w:lineRule="auto"/>
        <w:rPr>
          <w:rFonts w:ascii="Calibri" w:hAnsi="Calibri" w:cs="Helv"/>
          <w:color w:val="000000"/>
        </w:rPr>
      </w:pPr>
      <w:r>
        <w:rPr>
          <w:rFonts w:ascii="Calibri" w:hAnsi="Calibri" w:cs="Helv"/>
          <w:color w:val="000000"/>
        </w:rPr>
        <w:t>A</w:t>
      </w:r>
      <w:r w:rsidRPr="00E04615">
        <w:rPr>
          <w:rFonts w:ascii="Calibri" w:hAnsi="Calibri" w:cs="Helv"/>
          <w:color w:val="000000"/>
        </w:rPr>
        <w:t xml:space="preserve"> trust has $</w:t>
      </w:r>
      <w:r w:rsidR="009A65FD">
        <w:rPr>
          <w:rFonts w:ascii="Calibri" w:hAnsi="Calibri" w:cs="Helv"/>
          <w:color w:val="000000"/>
        </w:rPr>
        <w:t>9</w:t>
      </w:r>
      <w:r>
        <w:rPr>
          <w:rFonts w:ascii="Calibri" w:hAnsi="Calibri" w:cs="Helv"/>
          <w:color w:val="000000"/>
        </w:rPr>
        <w:t>1</w:t>
      </w:r>
      <w:r w:rsidRPr="00E04615">
        <w:rPr>
          <w:rFonts w:ascii="Calibri" w:hAnsi="Calibri" w:cs="Helv"/>
          <w:color w:val="000000"/>
        </w:rPr>
        <w:t xml:space="preserve">,000 of </w:t>
      </w:r>
      <w:r>
        <w:rPr>
          <w:rFonts w:ascii="Calibri" w:hAnsi="Calibri" w:cs="Helv"/>
          <w:color w:val="000000"/>
        </w:rPr>
        <w:t xml:space="preserve">income via </w:t>
      </w:r>
      <w:r w:rsidRPr="00E04615">
        <w:rPr>
          <w:rFonts w:ascii="Calibri" w:hAnsi="Calibri" w:cs="Helv"/>
          <w:color w:val="000000"/>
        </w:rPr>
        <w:t>K-1 from an LLC/partnership conducting a business</w:t>
      </w:r>
      <w:r w:rsidR="009A65FD">
        <w:rPr>
          <w:rFonts w:ascii="Calibri" w:hAnsi="Calibri" w:cs="Helv"/>
          <w:color w:val="000000"/>
        </w:rPr>
        <w:t xml:space="preserve"> and only $9,000 of other income ($100,000 total)</w:t>
      </w:r>
      <w:r w:rsidRPr="00E04615">
        <w:rPr>
          <w:rFonts w:ascii="Calibri" w:hAnsi="Calibri" w:cs="Helv"/>
          <w:color w:val="000000"/>
        </w:rPr>
        <w:t>.</w:t>
      </w:r>
      <w:r>
        <w:rPr>
          <w:rFonts w:ascii="Calibri" w:hAnsi="Calibri" w:cs="Helv"/>
          <w:color w:val="000000"/>
        </w:rPr>
        <w:t xml:space="preserve">  The “quasi-UBTI” </w:t>
      </w:r>
      <w:r w:rsidR="009A65FD">
        <w:rPr>
          <w:rFonts w:ascii="Calibri" w:hAnsi="Calibri" w:cs="Helv"/>
          <w:color w:val="000000"/>
        </w:rPr>
        <w:t xml:space="preserve">before the charitable deduction allowed under §512(b)(11) </w:t>
      </w:r>
      <w:r>
        <w:rPr>
          <w:rFonts w:ascii="Calibri" w:hAnsi="Calibri" w:cs="Helv"/>
          <w:color w:val="000000"/>
        </w:rPr>
        <w:t xml:space="preserve">would therefore </w:t>
      </w:r>
      <w:r w:rsidR="009A65FD">
        <w:rPr>
          <w:rFonts w:ascii="Calibri" w:hAnsi="Calibri" w:cs="Helv"/>
          <w:color w:val="000000"/>
        </w:rPr>
        <w:t>be $9</w:t>
      </w:r>
      <w:r>
        <w:rPr>
          <w:rFonts w:ascii="Calibri" w:hAnsi="Calibri" w:cs="Helv"/>
          <w:color w:val="000000"/>
        </w:rPr>
        <w:t>0,000 ($</w:t>
      </w:r>
      <w:r w:rsidR="00342C07">
        <w:rPr>
          <w:rFonts w:ascii="Calibri" w:hAnsi="Calibri" w:cs="Helv"/>
          <w:color w:val="000000"/>
        </w:rPr>
        <w:t>1000 is subtracted as deduction</w:t>
      </w:r>
      <w:r>
        <w:rPr>
          <w:rFonts w:ascii="Calibri" w:hAnsi="Calibri" w:cs="Helv"/>
          <w:color w:val="000000"/>
        </w:rPr>
        <w:t xml:space="preserve"> per §512</w:t>
      </w:r>
      <w:r w:rsidR="00342C07">
        <w:rPr>
          <w:rFonts w:ascii="Calibri" w:hAnsi="Calibri" w:cs="Helv"/>
          <w:color w:val="000000"/>
        </w:rPr>
        <w:t>(b)(12)</w:t>
      </w:r>
      <w:r>
        <w:rPr>
          <w:rFonts w:ascii="Calibri" w:hAnsi="Calibri" w:cs="Helv"/>
          <w:color w:val="000000"/>
        </w:rPr>
        <w:t>).</w:t>
      </w:r>
      <w:r w:rsidR="009A65FD">
        <w:rPr>
          <w:rFonts w:ascii="Calibri" w:hAnsi="Calibri" w:cs="Helv"/>
          <w:color w:val="000000"/>
        </w:rPr>
        <w:t xml:space="preserve">  If the trust makes a distribution of $50,000 to a public charity that would qualify under §642(c), the portion allocable to “quasi-UBTI” is </w:t>
      </w:r>
      <w:r w:rsidR="00310E8E">
        <w:rPr>
          <w:rFonts w:ascii="Calibri" w:hAnsi="Calibri" w:cs="Helv"/>
          <w:color w:val="000000"/>
        </w:rPr>
        <w:t>9/10 or $45,000 ($90,000 UBTI/$100,000 total income).</w:t>
      </w:r>
      <w:r w:rsidR="009A65FD">
        <w:rPr>
          <w:rFonts w:ascii="Calibri" w:hAnsi="Calibri" w:cs="Helv"/>
          <w:color w:val="000000"/>
        </w:rPr>
        <w:t xml:space="preserve"> </w:t>
      </w:r>
      <w:r w:rsidR="00310E8E">
        <w:rPr>
          <w:rFonts w:ascii="Calibri" w:hAnsi="Calibri" w:cs="Helv"/>
          <w:color w:val="000000"/>
        </w:rPr>
        <w:t xml:space="preserve">The amount disallowed for a deduction is this amount, $45,000, minus </w:t>
      </w:r>
      <w:r w:rsidR="0031652B">
        <w:rPr>
          <w:rFonts w:ascii="Calibri" w:hAnsi="Calibri" w:cs="Helv"/>
          <w:color w:val="000000"/>
        </w:rPr>
        <w:t>what would have been allowed as a charitable deduction against UBTI under §512(b)(</w:t>
      </w:r>
      <w:r w:rsidR="00E61B09">
        <w:rPr>
          <w:rFonts w:ascii="Calibri" w:hAnsi="Calibri" w:cs="Helv"/>
          <w:color w:val="000000"/>
        </w:rPr>
        <w:t>11), 50% times $90,000 ($45</w:t>
      </w:r>
      <w:r w:rsidR="0031652B">
        <w:rPr>
          <w:rFonts w:ascii="Calibri" w:hAnsi="Calibri" w:cs="Helv"/>
          <w:color w:val="000000"/>
        </w:rPr>
        <w:t xml:space="preserve">,000), so </w:t>
      </w:r>
      <w:r w:rsidR="00E61B09" w:rsidRPr="00E61B09">
        <w:rPr>
          <w:rFonts w:ascii="Calibri" w:hAnsi="Calibri" w:cs="Helv"/>
          <w:b/>
          <w:color w:val="000000"/>
        </w:rPr>
        <w:t>NONE</w:t>
      </w:r>
      <w:r w:rsidR="0031652B">
        <w:rPr>
          <w:rFonts w:ascii="Calibri" w:hAnsi="Calibri" w:cs="Helv"/>
          <w:color w:val="000000"/>
        </w:rPr>
        <w:t xml:space="preserve"> of the §642(c) deduction </w:t>
      </w:r>
      <w:r w:rsidR="003B5FCB">
        <w:rPr>
          <w:rFonts w:ascii="Calibri" w:hAnsi="Calibri" w:cs="Helv"/>
          <w:color w:val="000000"/>
        </w:rPr>
        <w:t xml:space="preserve">is </w:t>
      </w:r>
      <w:r w:rsidR="0031652B">
        <w:rPr>
          <w:rFonts w:ascii="Calibri" w:hAnsi="Calibri" w:cs="Helv"/>
          <w:color w:val="000000"/>
        </w:rPr>
        <w:t>disallowed per §681.</w:t>
      </w:r>
    </w:p>
    <w:p w14:paraId="3B393B17" w14:textId="77777777" w:rsidR="000C4661" w:rsidRDefault="00E04615" w:rsidP="00E04615">
      <w:pPr>
        <w:pStyle w:val="ListParagraph"/>
        <w:numPr>
          <w:ilvl w:val="1"/>
          <w:numId w:val="7"/>
        </w:numPr>
        <w:autoSpaceDE w:val="0"/>
        <w:autoSpaceDN w:val="0"/>
        <w:adjustRightInd w:val="0"/>
        <w:spacing w:line="360" w:lineRule="auto"/>
        <w:rPr>
          <w:rFonts w:ascii="Calibri" w:hAnsi="Calibri" w:cs="Helv"/>
          <w:color w:val="000000"/>
        </w:rPr>
      </w:pPr>
      <w:r>
        <w:rPr>
          <w:rFonts w:ascii="Calibri" w:hAnsi="Calibri" w:cs="Helv"/>
          <w:color w:val="000000"/>
        </w:rPr>
        <w:t xml:space="preserve">Same as above, but </w:t>
      </w:r>
      <w:r w:rsidR="000C4661">
        <w:rPr>
          <w:rFonts w:ascii="Calibri" w:hAnsi="Calibri" w:cs="Helv"/>
          <w:color w:val="000000"/>
        </w:rPr>
        <w:t xml:space="preserve">instead the trust </w:t>
      </w:r>
      <w:r w:rsidR="00E61B09">
        <w:rPr>
          <w:rFonts w:ascii="Calibri" w:hAnsi="Calibri" w:cs="Helv"/>
          <w:color w:val="000000"/>
        </w:rPr>
        <w:t>distributes $100,000 that would otherwise qualify for §642(c) deduction</w:t>
      </w:r>
      <w:r>
        <w:rPr>
          <w:rFonts w:ascii="Calibri" w:hAnsi="Calibri" w:cs="Helv"/>
          <w:color w:val="000000"/>
        </w:rPr>
        <w:t>.</w:t>
      </w:r>
      <w:r w:rsidR="000C4661">
        <w:rPr>
          <w:rFonts w:ascii="Calibri" w:hAnsi="Calibri" w:cs="Helv"/>
          <w:color w:val="000000"/>
        </w:rPr>
        <w:t xml:space="preserve">  The calculation is similar, with $90,000 UBTI before any §512(b)(11) deduction.  The portion </w:t>
      </w:r>
      <w:r w:rsidR="00E61B09">
        <w:rPr>
          <w:rFonts w:ascii="Calibri" w:hAnsi="Calibri" w:cs="Helv"/>
          <w:color w:val="000000"/>
        </w:rPr>
        <w:t>of the $10</w:t>
      </w:r>
      <w:r w:rsidR="000C4661">
        <w:rPr>
          <w:rFonts w:ascii="Calibri" w:hAnsi="Calibri" w:cs="Helv"/>
          <w:color w:val="000000"/>
        </w:rPr>
        <w:t xml:space="preserve">0,000 allocable to “quasi-UBTI” is </w:t>
      </w:r>
      <w:r w:rsidR="00E61B09">
        <w:rPr>
          <w:rFonts w:ascii="Calibri" w:hAnsi="Calibri" w:cs="Helv"/>
          <w:color w:val="000000"/>
        </w:rPr>
        <w:t>90% ($90,000 UBTI/$1</w:t>
      </w:r>
      <w:r w:rsidR="000C4661">
        <w:rPr>
          <w:rFonts w:ascii="Calibri" w:hAnsi="Calibri" w:cs="Helv"/>
          <w:color w:val="000000"/>
        </w:rPr>
        <w:t xml:space="preserve">00,000 total income), or </w:t>
      </w:r>
      <w:r w:rsidR="00E61B09">
        <w:rPr>
          <w:rFonts w:ascii="Calibri" w:hAnsi="Calibri" w:cs="Helv"/>
          <w:color w:val="000000"/>
        </w:rPr>
        <w:t>$90,0</w:t>
      </w:r>
      <w:r w:rsidR="000C4661">
        <w:rPr>
          <w:rFonts w:ascii="Calibri" w:hAnsi="Calibri" w:cs="Helv"/>
          <w:color w:val="000000"/>
        </w:rPr>
        <w:t>00.  The amount disallowed by §681 is $</w:t>
      </w:r>
      <w:r w:rsidR="00D93A0A">
        <w:rPr>
          <w:rFonts w:ascii="Calibri" w:hAnsi="Calibri" w:cs="Helv"/>
          <w:color w:val="000000"/>
        </w:rPr>
        <w:t>90,0</w:t>
      </w:r>
      <w:r w:rsidR="000C4661">
        <w:rPr>
          <w:rFonts w:ascii="Calibri" w:hAnsi="Calibri" w:cs="Helv"/>
          <w:color w:val="000000"/>
        </w:rPr>
        <w:t>00, minus what would have been allowed under §511(b)(1</w:t>
      </w:r>
      <w:r w:rsidR="00D93A0A">
        <w:rPr>
          <w:rFonts w:ascii="Calibri" w:hAnsi="Calibri" w:cs="Helv"/>
          <w:color w:val="000000"/>
        </w:rPr>
        <w:t>1), again the same as above, $45</w:t>
      </w:r>
      <w:r w:rsidR="000C4661">
        <w:rPr>
          <w:rFonts w:ascii="Calibri" w:hAnsi="Calibri" w:cs="Helv"/>
          <w:color w:val="000000"/>
        </w:rPr>
        <w:t xml:space="preserve">,000, so </w:t>
      </w:r>
      <w:r w:rsidR="00D93A0A">
        <w:rPr>
          <w:rFonts w:ascii="Calibri" w:hAnsi="Calibri" w:cs="Helv"/>
          <w:b/>
          <w:color w:val="000000"/>
        </w:rPr>
        <w:t>$45,000</w:t>
      </w:r>
      <w:r w:rsidR="000C4661">
        <w:rPr>
          <w:rFonts w:ascii="Calibri" w:hAnsi="Calibri" w:cs="Helv"/>
          <w:color w:val="000000"/>
        </w:rPr>
        <w:t xml:space="preserve"> of the §642(c) deduction is disallowed.</w:t>
      </w:r>
    </w:p>
    <w:p w14:paraId="1D9CAD43" w14:textId="77777777" w:rsidR="00E04615" w:rsidRPr="005D55BD" w:rsidRDefault="00D079F3" w:rsidP="000C4661">
      <w:pPr>
        <w:pStyle w:val="ListParagraph"/>
        <w:numPr>
          <w:ilvl w:val="1"/>
          <w:numId w:val="7"/>
        </w:numPr>
        <w:autoSpaceDE w:val="0"/>
        <w:autoSpaceDN w:val="0"/>
        <w:adjustRightInd w:val="0"/>
        <w:spacing w:line="360" w:lineRule="auto"/>
        <w:rPr>
          <w:rFonts w:ascii="Calibri" w:hAnsi="Calibri" w:cs="Helv"/>
          <w:color w:val="000000"/>
        </w:rPr>
      </w:pPr>
      <w:r w:rsidRPr="005D55BD">
        <w:rPr>
          <w:rFonts w:ascii="Calibri" w:hAnsi="Calibri" w:cs="Helv"/>
          <w:color w:val="000000"/>
        </w:rPr>
        <w:t>E</w:t>
      </w:r>
      <w:r w:rsidR="000C4661" w:rsidRPr="005D55BD">
        <w:rPr>
          <w:rFonts w:ascii="Calibri" w:hAnsi="Calibri" w:cs="Helv"/>
          <w:color w:val="000000"/>
        </w:rPr>
        <w:t xml:space="preserve">xtrapolating some general rules from these </w:t>
      </w:r>
      <w:r w:rsidRPr="005D55BD">
        <w:rPr>
          <w:rFonts w:ascii="Calibri" w:hAnsi="Calibri" w:cs="Helv"/>
          <w:color w:val="000000"/>
        </w:rPr>
        <w:t xml:space="preserve">two </w:t>
      </w:r>
      <w:r w:rsidR="000C4661" w:rsidRPr="005D55BD">
        <w:rPr>
          <w:rFonts w:ascii="Calibri" w:hAnsi="Calibri" w:cs="Helv"/>
          <w:color w:val="000000"/>
        </w:rPr>
        <w:t>examples, the more non-UBTI income in the trust</w:t>
      </w:r>
      <w:r w:rsidR="006D7830" w:rsidRPr="005D55BD">
        <w:rPr>
          <w:rFonts w:ascii="Calibri" w:hAnsi="Calibri" w:cs="Helv"/>
          <w:color w:val="000000"/>
        </w:rPr>
        <w:t xml:space="preserve"> </w:t>
      </w:r>
      <w:r w:rsidR="00D93A0A" w:rsidRPr="005D55BD">
        <w:rPr>
          <w:rFonts w:ascii="Calibri" w:hAnsi="Calibri" w:cs="Helv"/>
          <w:color w:val="000000"/>
        </w:rPr>
        <w:t>and/</w:t>
      </w:r>
      <w:r w:rsidR="006D7830" w:rsidRPr="005D55BD">
        <w:rPr>
          <w:rFonts w:ascii="Calibri" w:hAnsi="Calibri" w:cs="Helv"/>
          <w:color w:val="000000"/>
        </w:rPr>
        <w:t>or smaller the charitable deduction</w:t>
      </w:r>
      <w:r w:rsidR="000C4661" w:rsidRPr="005D55BD">
        <w:rPr>
          <w:rFonts w:ascii="Calibri" w:hAnsi="Calibri" w:cs="Helv"/>
          <w:color w:val="000000"/>
        </w:rPr>
        <w:t xml:space="preserve">, the less we have to worry about §681.  If instead of </w:t>
      </w:r>
      <w:r w:rsidRPr="005D55BD">
        <w:rPr>
          <w:rFonts w:ascii="Calibri" w:hAnsi="Calibri" w:cs="Helv"/>
          <w:color w:val="000000"/>
        </w:rPr>
        <w:t xml:space="preserve">to </w:t>
      </w:r>
      <w:r w:rsidR="000C4661" w:rsidRPr="005D55BD">
        <w:rPr>
          <w:rFonts w:ascii="Calibri" w:hAnsi="Calibri" w:cs="Helv"/>
          <w:color w:val="000000"/>
        </w:rPr>
        <w:t>a public ch</w:t>
      </w:r>
      <w:r w:rsidR="00D93A0A" w:rsidRPr="005D55BD">
        <w:rPr>
          <w:rFonts w:ascii="Calibri" w:hAnsi="Calibri" w:cs="Helv"/>
          <w:color w:val="000000"/>
        </w:rPr>
        <w:t>arity, the $50,000 in example #1</w:t>
      </w:r>
      <w:r w:rsidR="000C4661" w:rsidRPr="005D55BD">
        <w:rPr>
          <w:rFonts w:ascii="Calibri" w:hAnsi="Calibri" w:cs="Helv"/>
          <w:color w:val="000000"/>
        </w:rPr>
        <w:t xml:space="preserve"> went to a PRIVATE foundation, the amount allowed under §511(b)(11) </w:t>
      </w:r>
      <w:r w:rsidR="000C4661" w:rsidRPr="005D55BD">
        <w:rPr>
          <w:rFonts w:ascii="Calibri" w:hAnsi="Calibri" w:cs="Helv"/>
          <w:color w:val="000000"/>
        </w:rPr>
        <w:lastRenderedPageBreak/>
        <w:t xml:space="preserve">would only be </w:t>
      </w:r>
      <w:r w:rsidR="00D93A0A" w:rsidRPr="005D55BD">
        <w:rPr>
          <w:rFonts w:ascii="Calibri" w:hAnsi="Calibri" w:cs="Helv"/>
          <w:b/>
          <w:color w:val="000000"/>
        </w:rPr>
        <w:t>3</w:t>
      </w:r>
      <w:r w:rsidR="000C4661" w:rsidRPr="005D55BD">
        <w:rPr>
          <w:rFonts w:ascii="Calibri" w:hAnsi="Calibri" w:cs="Helv"/>
          <w:b/>
          <w:color w:val="000000"/>
        </w:rPr>
        <w:t>0%</w:t>
      </w:r>
      <w:r w:rsidR="00D93A0A" w:rsidRPr="005D55BD">
        <w:rPr>
          <w:rFonts w:ascii="Calibri" w:hAnsi="Calibri" w:cs="Helv"/>
          <w:color w:val="000000"/>
        </w:rPr>
        <w:t xml:space="preserve"> of $90,000, or $27</w:t>
      </w:r>
      <w:r w:rsidR="000C4661" w:rsidRPr="005D55BD">
        <w:rPr>
          <w:rFonts w:ascii="Calibri" w:hAnsi="Calibri" w:cs="Helv"/>
          <w:color w:val="000000"/>
        </w:rPr>
        <w:t>,000, l</w:t>
      </w:r>
      <w:r w:rsidR="00D93A0A" w:rsidRPr="005D55BD">
        <w:rPr>
          <w:rFonts w:ascii="Calibri" w:hAnsi="Calibri" w:cs="Helv"/>
          <w:color w:val="000000"/>
        </w:rPr>
        <w:t>eaving $18,0</w:t>
      </w:r>
      <w:r w:rsidR="000C4661" w:rsidRPr="005D55BD">
        <w:rPr>
          <w:rFonts w:ascii="Calibri" w:hAnsi="Calibri" w:cs="Helv"/>
          <w:color w:val="000000"/>
        </w:rPr>
        <w:t>00 disallowed under §681</w:t>
      </w:r>
      <w:r w:rsidR="00D93A0A" w:rsidRPr="005D55BD">
        <w:rPr>
          <w:rFonts w:ascii="Calibri" w:hAnsi="Calibri" w:cs="Helv"/>
          <w:color w:val="000000"/>
        </w:rPr>
        <w:t xml:space="preserve"> (in example #2, increasing disallowance to $63,000)</w:t>
      </w:r>
      <w:r w:rsidR="000C4661" w:rsidRPr="005D55BD">
        <w:rPr>
          <w:rFonts w:ascii="Calibri" w:hAnsi="Calibri" w:cs="Helv"/>
          <w:color w:val="000000"/>
        </w:rPr>
        <w:t xml:space="preserve">.  </w:t>
      </w:r>
      <w:r w:rsidR="002E476F" w:rsidRPr="005D55BD">
        <w:rPr>
          <w:rFonts w:ascii="Calibri" w:hAnsi="Calibri" w:cs="Helv"/>
          <w:color w:val="000000"/>
        </w:rPr>
        <w:t>Thus, at the margins</w:t>
      </w:r>
      <w:r w:rsidR="00D93A0A" w:rsidRPr="005D55BD">
        <w:rPr>
          <w:rFonts w:ascii="Calibri" w:hAnsi="Calibri" w:cs="Helv"/>
          <w:color w:val="000000"/>
        </w:rPr>
        <w:t xml:space="preserve"> where there is high % of UBTI and high deductions as % of income</w:t>
      </w:r>
      <w:r w:rsidR="002E476F" w:rsidRPr="005D55BD">
        <w:rPr>
          <w:rFonts w:ascii="Calibri" w:hAnsi="Calibri" w:cs="Helv"/>
          <w:color w:val="000000"/>
        </w:rPr>
        <w:t>, it will matter whether the charitable distribution goes to a private or public charity.</w:t>
      </w:r>
      <w:r w:rsidR="00DD0E3F" w:rsidRPr="005D55BD">
        <w:rPr>
          <w:rFonts w:ascii="Calibri" w:hAnsi="Calibri" w:cs="Helv"/>
          <w:color w:val="000000"/>
        </w:rPr>
        <w:t xml:space="preserve">  </w:t>
      </w:r>
      <w:r w:rsidR="005D55BD" w:rsidRPr="005D55BD">
        <w:rPr>
          <w:rFonts w:ascii="Calibri" w:hAnsi="Calibri" w:cs="Helv"/>
          <w:color w:val="000000"/>
        </w:rPr>
        <w:t>For example, if the non-UBTI were slightly higher, $109,000, in our example #2 above, the portion allocable to UBTI would be half (45% in lieu of 90%), $45,000, minus the amount that would be allowed under §512(b)(11), $45,000, meaning again, NONE of the §642(c) deduction is disallowed.</w:t>
      </w:r>
      <w:r w:rsidR="000C4661" w:rsidRPr="005D55BD">
        <w:rPr>
          <w:rFonts w:ascii="Calibri" w:hAnsi="Calibri" w:cs="Helv"/>
          <w:color w:val="000000"/>
        </w:rPr>
        <w:t xml:space="preserve"> </w:t>
      </w:r>
      <w:r w:rsidR="00E04615" w:rsidRPr="005D55BD">
        <w:rPr>
          <w:rFonts w:ascii="Calibri" w:hAnsi="Calibri" w:cs="Helv"/>
          <w:color w:val="000000"/>
        </w:rPr>
        <w:t xml:space="preserve">  </w:t>
      </w:r>
    </w:p>
    <w:p w14:paraId="1EAF96E5" w14:textId="77777777" w:rsidR="00DD0E3F" w:rsidRDefault="00B14FBB" w:rsidP="002E476F">
      <w:pPr>
        <w:autoSpaceDE w:val="0"/>
        <w:autoSpaceDN w:val="0"/>
        <w:adjustRightInd w:val="0"/>
        <w:spacing w:line="360" w:lineRule="auto"/>
        <w:ind w:firstLine="720"/>
        <w:rPr>
          <w:rFonts w:ascii="Calibri" w:hAnsi="Calibri" w:cs="Helv"/>
          <w:color w:val="000000"/>
        </w:rPr>
      </w:pPr>
      <w:r w:rsidRPr="002E476F">
        <w:rPr>
          <w:rFonts w:ascii="Calibri" w:hAnsi="Calibri" w:cs="Helv"/>
          <w:color w:val="000000"/>
        </w:rPr>
        <w:t xml:space="preserve">As an aside, this </w:t>
      </w:r>
      <w:r w:rsidR="005D55BD">
        <w:rPr>
          <w:rFonts w:ascii="Calibri" w:hAnsi="Calibri" w:cs="Helv"/>
          <w:color w:val="000000"/>
        </w:rPr>
        <w:t>quirk in §512</w:t>
      </w:r>
      <w:r w:rsidRPr="002E476F">
        <w:rPr>
          <w:rFonts w:ascii="Calibri" w:hAnsi="Calibri" w:cs="Helv"/>
          <w:color w:val="000000"/>
        </w:rPr>
        <w:t xml:space="preserve"> </w:t>
      </w:r>
      <w:r w:rsidR="009D19BE">
        <w:rPr>
          <w:rFonts w:ascii="Calibri" w:hAnsi="Calibri" w:cs="Helv"/>
          <w:color w:val="000000"/>
        </w:rPr>
        <w:t>may be</w:t>
      </w:r>
      <w:r w:rsidRPr="002E476F">
        <w:rPr>
          <w:rFonts w:ascii="Calibri" w:hAnsi="Calibri" w:cs="Helv"/>
          <w:color w:val="000000"/>
        </w:rPr>
        <w:t xml:space="preserve"> a good reason to favor trusts as the governing agreement for private foundations that might receive </w:t>
      </w:r>
      <w:r w:rsidR="00DD0E3F">
        <w:rPr>
          <w:rFonts w:ascii="Calibri" w:hAnsi="Calibri" w:cs="Helv"/>
          <w:color w:val="000000"/>
        </w:rPr>
        <w:t xml:space="preserve">significant </w:t>
      </w:r>
      <w:r w:rsidRPr="002E476F">
        <w:rPr>
          <w:rFonts w:ascii="Calibri" w:hAnsi="Calibri" w:cs="Helv"/>
          <w:color w:val="000000"/>
        </w:rPr>
        <w:t xml:space="preserve">UBTI rather than </w:t>
      </w:r>
      <w:r w:rsidR="00D93A0A">
        <w:rPr>
          <w:rFonts w:ascii="Calibri" w:hAnsi="Calibri" w:cs="Helv"/>
          <w:color w:val="000000"/>
        </w:rPr>
        <w:t>using the corporate form</w:t>
      </w:r>
      <w:r w:rsidR="00D079F3">
        <w:rPr>
          <w:rFonts w:ascii="Calibri" w:hAnsi="Calibri" w:cs="Helv"/>
          <w:color w:val="000000"/>
        </w:rPr>
        <w:t>.  Ev</w:t>
      </w:r>
      <w:r w:rsidRPr="002E476F">
        <w:rPr>
          <w:rFonts w:ascii="Calibri" w:hAnsi="Calibri" w:cs="Helv"/>
          <w:color w:val="000000"/>
        </w:rPr>
        <w:t xml:space="preserve">en if the </w:t>
      </w:r>
      <w:r w:rsidR="00D93A0A">
        <w:rPr>
          <w:rFonts w:ascii="Calibri" w:hAnsi="Calibri" w:cs="Helv"/>
          <w:color w:val="000000"/>
        </w:rPr>
        <w:t xml:space="preserve">UBIT </w:t>
      </w:r>
      <w:r w:rsidRPr="002E476F">
        <w:rPr>
          <w:rFonts w:ascii="Calibri" w:hAnsi="Calibri" w:cs="Helv"/>
          <w:color w:val="000000"/>
        </w:rPr>
        <w:t>tax rate is higher</w:t>
      </w:r>
      <w:r w:rsidR="00D93A0A">
        <w:rPr>
          <w:rFonts w:ascii="Calibri" w:hAnsi="Calibri" w:cs="Helv"/>
          <w:color w:val="000000"/>
        </w:rPr>
        <w:t xml:space="preserve"> for trusts than corporations</w:t>
      </w:r>
      <w:r w:rsidR="00D079F3">
        <w:rPr>
          <w:rFonts w:ascii="Calibri" w:hAnsi="Calibri" w:cs="Helv"/>
          <w:color w:val="000000"/>
        </w:rPr>
        <w:t>, the §512(b) offset is better for trusts</w:t>
      </w:r>
      <w:r w:rsidRPr="002E476F">
        <w:rPr>
          <w:rFonts w:ascii="Calibri" w:hAnsi="Calibri" w:cs="Helv"/>
          <w:color w:val="000000"/>
        </w:rPr>
        <w:t>.</w:t>
      </w:r>
      <w:r>
        <w:rPr>
          <w:rStyle w:val="FootnoteReference"/>
          <w:rFonts w:ascii="Calibri" w:hAnsi="Calibri" w:cs="Helv"/>
          <w:color w:val="000000"/>
        </w:rPr>
        <w:footnoteReference w:id="494"/>
      </w:r>
      <w:r w:rsidRPr="002E476F">
        <w:rPr>
          <w:rFonts w:ascii="Calibri" w:hAnsi="Calibri" w:cs="Helv"/>
          <w:color w:val="000000"/>
        </w:rPr>
        <w:t xml:space="preserve">  </w:t>
      </w:r>
    </w:p>
    <w:p w14:paraId="193FADDD" w14:textId="77777777" w:rsidR="00BB5C1E" w:rsidRPr="002E476F" w:rsidRDefault="000D2C87" w:rsidP="002E476F">
      <w:pPr>
        <w:autoSpaceDE w:val="0"/>
        <w:autoSpaceDN w:val="0"/>
        <w:adjustRightInd w:val="0"/>
        <w:spacing w:line="360" w:lineRule="auto"/>
        <w:ind w:firstLine="720"/>
        <w:rPr>
          <w:rFonts w:ascii="Calibri" w:hAnsi="Calibri" w:cs="Helv"/>
          <w:color w:val="000000"/>
        </w:rPr>
      </w:pPr>
      <w:r>
        <w:rPr>
          <w:rFonts w:ascii="Calibri" w:hAnsi="Calibri" w:cs="Helv"/>
          <w:color w:val="000000"/>
        </w:rPr>
        <w:t>One could curtail</w:t>
      </w:r>
      <w:r w:rsidR="001E58E7" w:rsidRPr="002E476F">
        <w:rPr>
          <w:rFonts w:ascii="Calibri" w:hAnsi="Calibri" w:cs="Helv"/>
          <w:color w:val="000000"/>
        </w:rPr>
        <w:t xml:space="preserve"> the </w:t>
      </w:r>
      <w:r w:rsidR="002D142B" w:rsidRPr="002E476F">
        <w:rPr>
          <w:rFonts w:ascii="Calibri" w:hAnsi="Calibri" w:cs="Helv"/>
          <w:color w:val="000000"/>
        </w:rPr>
        <w:t xml:space="preserve">scope of </w:t>
      </w:r>
      <w:r w:rsidR="001E58E7" w:rsidRPr="002E476F">
        <w:rPr>
          <w:rFonts w:ascii="Calibri" w:hAnsi="Calibri" w:cs="Helv"/>
          <w:color w:val="000000"/>
        </w:rPr>
        <w:t xml:space="preserve">a lifetime power of appointment or spray power to charity </w:t>
      </w:r>
      <w:r>
        <w:rPr>
          <w:rFonts w:ascii="Calibri" w:hAnsi="Calibri" w:cs="Helv"/>
          <w:color w:val="000000"/>
        </w:rPr>
        <w:t>to exclude this “quasi-UBTI”</w:t>
      </w:r>
      <w:r w:rsidR="005D55BD">
        <w:rPr>
          <w:rFonts w:ascii="Calibri" w:hAnsi="Calibri" w:cs="Helv"/>
          <w:color w:val="000000"/>
        </w:rPr>
        <w:t xml:space="preserve"> altogether</w:t>
      </w:r>
      <w:r>
        <w:rPr>
          <w:rFonts w:ascii="Calibri" w:hAnsi="Calibri" w:cs="Helv"/>
          <w:color w:val="000000"/>
        </w:rPr>
        <w:t xml:space="preserve">, but this is probably not warranted in most cases </w:t>
      </w:r>
      <w:r w:rsidR="001E58E7" w:rsidRPr="002E476F">
        <w:rPr>
          <w:rFonts w:ascii="Calibri" w:hAnsi="Calibri" w:cs="Helv"/>
          <w:color w:val="000000"/>
        </w:rPr>
        <w:t xml:space="preserve">(see </w:t>
      </w:r>
      <w:r w:rsidR="00114CD7" w:rsidRPr="002E476F">
        <w:rPr>
          <w:rFonts w:ascii="Calibri" w:hAnsi="Calibri" w:cs="Helv"/>
          <w:color w:val="000000"/>
        </w:rPr>
        <w:t xml:space="preserve">various </w:t>
      </w:r>
      <w:r w:rsidR="001E58E7" w:rsidRPr="002E476F">
        <w:rPr>
          <w:rFonts w:ascii="Calibri" w:hAnsi="Calibri" w:cs="Helv"/>
          <w:color w:val="000000"/>
        </w:rPr>
        <w:t>sample</w:t>
      </w:r>
      <w:r w:rsidR="00114CD7" w:rsidRPr="002E476F">
        <w:rPr>
          <w:rFonts w:ascii="Calibri" w:hAnsi="Calibri" w:cs="Helv"/>
          <w:color w:val="000000"/>
        </w:rPr>
        <w:t xml:space="preserve"> language examples</w:t>
      </w:r>
      <w:r w:rsidR="001E58E7" w:rsidRPr="002E476F">
        <w:rPr>
          <w:rFonts w:ascii="Calibri" w:hAnsi="Calibri" w:cs="Helv"/>
          <w:color w:val="000000"/>
        </w:rPr>
        <w:t xml:space="preserve"> in appendix)</w:t>
      </w:r>
      <w:r w:rsidR="007F1CCC" w:rsidRPr="002E476F">
        <w:rPr>
          <w:rFonts w:ascii="Calibri" w:hAnsi="Calibri" w:cs="Helv"/>
          <w:color w:val="000000"/>
        </w:rPr>
        <w:t>.</w:t>
      </w:r>
      <w:r w:rsidR="00E40397" w:rsidRPr="002E476F">
        <w:rPr>
          <w:rFonts w:ascii="Calibri" w:hAnsi="Calibri" w:cs="Helv"/>
          <w:color w:val="000000"/>
        </w:rPr>
        <w:t xml:space="preserve"> </w:t>
      </w:r>
      <w:r w:rsidR="00931D6A" w:rsidRPr="002E476F">
        <w:rPr>
          <w:rFonts w:ascii="Calibri" w:hAnsi="Calibri" w:cs="Helv"/>
          <w:color w:val="000000"/>
        </w:rPr>
        <w:t xml:space="preserve"> For instance, if a trust is funded with 95% </w:t>
      </w:r>
      <w:r>
        <w:rPr>
          <w:rFonts w:ascii="Calibri" w:hAnsi="Calibri" w:cs="Helv"/>
          <w:color w:val="000000"/>
        </w:rPr>
        <w:t>LP/LLC</w:t>
      </w:r>
      <w:r w:rsidR="00931D6A" w:rsidRPr="002E476F">
        <w:rPr>
          <w:rFonts w:ascii="Calibri" w:hAnsi="Calibri" w:cs="Helv"/>
          <w:color w:val="000000"/>
        </w:rPr>
        <w:t xml:space="preserve"> interests kicking off UBTI, limiting the charity to only receiving non-UBTI effectively eliminates the ability to make any meaningful charitable donation.  Whereas, </w:t>
      </w:r>
      <w:r>
        <w:rPr>
          <w:rFonts w:ascii="Calibri" w:hAnsi="Calibri" w:cs="Helv"/>
          <w:color w:val="000000"/>
        </w:rPr>
        <w:t>§681/§512 would still allow a significant, if not all, portion a</w:t>
      </w:r>
      <w:r w:rsidR="009D19BE">
        <w:rPr>
          <w:rFonts w:ascii="Calibri" w:hAnsi="Calibri" w:cs="Helv"/>
          <w:color w:val="000000"/>
        </w:rPr>
        <w:t>s a deduction</w:t>
      </w:r>
      <w:r w:rsidR="00931D6A" w:rsidRPr="002E476F">
        <w:rPr>
          <w:rFonts w:ascii="Calibri" w:hAnsi="Calibri" w:cs="Helv"/>
          <w:color w:val="000000"/>
        </w:rPr>
        <w:t xml:space="preserve">.  The unique provisions regarding </w:t>
      </w:r>
      <w:r w:rsidR="002958A1" w:rsidRPr="002E476F">
        <w:rPr>
          <w:rFonts w:ascii="Calibri" w:hAnsi="Calibri" w:cs="Helv"/>
          <w:color w:val="000000"/>
        </w:rPr>
        <w:t xml:space="preserve">the </w:t>
      </w:r>
      <w:r w:rsidR="00931D6A" w:rsidRPr="002E476F">
        <w:rPr>
          <w:rFonts w:ascii="Calibri" w:hAnsi="Calibri" w:cs="Helv"/>
          <w:color w:val="000000"/>
        </w:rPr>
        <w:t>§</w:t>
      </w:r>
      <w:r w:rsidR="00B14FBB" w:rsidRPr="002E476F">
        <w:rPr>
          <w:rFonts w:ascii="Calibri" w:hAnsi="Calibri" w:cs="Helv"/>
          <w:color w:val="000000"/>
        </w:rPr>
        <w:t>681</w:t>
      </w:r>
      <w:r w:rsidR="002958A1" w:rsidRPr="002E476F">
        <w:rPr>
          <w:rFonts w:ascii="Calibri" w:hAnsi="Calibri" w:cs="Helv"/>
          <w:color w:val="000000"/>
        </w:rPr>
        <w:t>/§512 haircut</w:t>
      </w:r>
      <w:r w:rsidR="00931D6A" w:rsidRPr="002E476F">
        <w:rPr>
          <w:rFonts w:ascii="Calibri" w:hAnsi="Calibri" w:cs="Helv"/>
          <w:color w:val="000000"/>
        </w:rPr>
        <w:t xml:space="preserve"> </w:t>
      </w:r>
      <w:r w:rsidR="00AE28CE">
        <w:rPr>
          <w:rFonts w:ascii="Calibri" w:hAnsi="Calibri" w:cs="Helv"/>
          <w:color w:val="000000"/>
        </w:rPr>
        <w:t>may be</w:t>
      </w:r>
      <w:r w:rsidR="00892D55" w:rsidRPr="002E476F">
        <w:rPr>
          <w:rFonts w:ascii="Calibri" w:hAnsi="Calibri" w:cs="Helv"/>
          <w:color w:val="000000"/>
        </w:rPr>
        <w:t xml:space="preserve"> a reason to </w:t>
      </w:r>
      <w:r w:rsidR="00931D6A" w:rsidRPr="002E476F">
        <w:rPr>
          <w:rFonts w:ascii="Calibri" w:hAnsi="Calibri" w:cs="Helv"/>
          <w:color w:val="000000"/>
        </w:rPr>
        <w:t>favor public charities as recipients of such income</w:t>
      </w:r>
      <w:r w:rsidR="00DD0E3F">
        <w:rPr>
          <w:rFonts w:ascii="Calibri" w:hAnsi="Calibri" w:cs="Helv"/>
          <w:color w:val="000000"/>
        </w:rPr>
        <w:t>, at least at the margins</w:t>
      </w:r>
      <w:r w:rsidR="00892D55" w:rsidRPr="002E476F">
        <w:rPr>
          <w:rFonts w:ascii="Calibri" w:hAnsi="Calibri" w:cs="Helv"/>
          <w:color w:val="000000"/>
        </w:rPr>
        <w:t>.</w:t>
      </w:r>
    </w:p>
    <w:p w14:paraId="3AFDC5E3" w14:textId="77777777" w:rsidR="00424011" w:rsidRDefault="00424011" w:rsidP="001A6FD4">
      <w:pPr>
        <w:autoSpaceDE w:val="0"/>
        <w:autoSpaceDN w:val="0"/>
        <w:adjustRightInd w:val="0"/>
        <w:spacing w:line="360" w:lineRule="auto"/>
        <w:ind w:firstLine="720"/>
        <w:rPr>
          <w:rFonts w:ascii="Calibri" w:hAnsi="Calibri" w:cs="Helv"/>
          <w:color w:val="000000"/>
        </w:rPr>
      </w:pPr>
      <w:r>
        <w:rPr>
          <w:rFonts w:ascii="Calibri" w:hAnsi="Calibri" w:cs="Helv"/>
          <w:color w:val="000000"/>
        </w:rPr>
        <w:lastRenderedPageBreak/>
        <w:t xml:space="preserve">Lastly, whenever using the </w:t>
      </w:r>
      <w:r w:rsidR="003C72F8">
        <w:rPr>
          <w:rFonts w:ascii="Calibri" w:hAnsi="Calibri" w:cs="Helv"/>
          <w:color w:val="000000"/>
        </w:rPr>
        <w:t>§</w:t>
      </w:r>
      <w:r>
        <w:rPr>
          <w:rFonts w:ascii="Calibri" w:hAnsi="Calibri" w:cs="Helv"/>
          <w:color w:val="000000"/>
        </w:rPr>
        <w:t xml:space="preserve">642(c) deduction, be aware that you may have an additional tax return filing requirement.  Filing Form 1041-A is required not only for certain split interest trusts such as charitable remainder trusts, but also for ordinary irrevocable </w:t>
      </w:r>
      <w:r w:rsidR="00F92FCD">
        <w:rPr>
          <w:rFonts w:ascii="Calibri" w:hAnsi="Calibri" w:cs="Helv"/>
          <w:color w:val="000000"/>
        </w:rPr>
        <w:t xml:space="preserve">non-grantor </w:t>
      </w:r>
      <w:r>
        <w:rPr>
          <w:rFonts w:ascii="Calibri" w:hAnsi="Calibri" w:cs="Helv"/>
          <w:color w:val="000000"/>
        </w:rPr>
        <w:t xml:space="preserve">trusts that </w:t>
      </w:r>
      <w:r w:rsidR="003C72F8">
        <w:rPr>
          <w:rFonts w:ascii="Calibri" w:hAnsi="Calibri" w:cs="Helv"/>
          <w:color w:val="000000"/>
        </w:rPr>
        <w:t>are not required to</w:t>
      </w:r>
      <w:r>
        <w:rPr>
          <w:rFonts w:ascii="Calibri" w:hAnsi="Calibri" w:cs="Helv"/>
          <w:color w:val="000000"/>
        </w:rPr>
        <w:t xml:space="preserve"> pay all net income annually, </w:t>
      </w:r>
      <w:r w:rsidR="00F92FCD">
        <w:rPr>
          <w:rFonts w:ascii="Calibri" w:hAnsi="Calibri" w:cs="Helv"/>
          <w:color w:val="000000"/>
        </w:rPr>
        <w:t>that</w:t>
      </w:r>
      <w:r>
        <w:rPr>
          <w:rFonts w:ascii="Calibri" w:hAnsi="Calibri" w:cs="Helv"/>
          <w:color w:val="000000"/>
        </w:rPr>
        <w:t xml:space="preserve"> make distributions to charity</w:t>
      </w:r>
      <w:r w:rsidR="003C72F8">
        <w:rPr>
          <w:rFonts w:ascii="Calibri" w:hAnsi="Calibri" w:cs="Helv"/>
          <w:color w:val="000000"/>
        </w:rPr>
        <w:t xml:space="preserve"> claiming a §642</w:t>
      </w:r>
      <w:r w:rsidR="00F92FCD">
        <w:rPr>
          <w:rFonts w:ascii="Calibri" w:hAnsi="Calibri" w:cs="Helv"/>
          <w:color w:val="000000"/>
        </w:rPr>
        <w:t>(c)</w:t>
      </w:r>
      <w:r w:rsidR="003C72F8">
        <w:rPr>
          <w:rFonts w:ascii="Calibri" w:hAnsi="Calibri" w:cs="Helv"/>
          <w:color w:val="000000"/>
        </w:rPr>
        <w:t xml:space="preserve"> deduction</w:t>
      </w:r>
      <w:r>
        <w:rPr>
          <w:rFonts w:ascii="Calibri" w:hAnsi="Calibri" w:cs="Helv"/>
          <w:color w:val="000000"/>
        </w:rPr>
        <w:t>.</w:t>
      </w:r>
      <w:r>
        <w:rPr>
          <w:rStyle w:val="FootnoteReference"/>
          <w:rFonts w:ascii="Calibri" w:hAnsi="Calibri" w:cs="Helv"/>
          <w:color w:val="000000"/>
        </w:rPr>
        <w:footnoteReference w:id="495"/>
      </w:r>
      <w:r w:rsidR="00F92FCD">
        <w:rPr>
          <w:rFonts w:ascii="Calibri" w:hAnsi="Calibri" w:cs="Helv"/>
          <w:color w:val="000000"/>
        </w:rPr>
        <w:t xml:space="preserve">  Since the trend in drafting trusts is to avoid “all net income annually” trusts to enable better asset protection, accrual of tax benefits, state income tax avoidance and/or tax shifting, as discussed throughout this paper, it would not be odd to run across this requirement.</w:t>
      </w:r>
    </w:p>
    <w:p w14:paraId="14205367" w14:textId="77777777" w:rsidR="00E96E19" w:rsidRDefault="00424011" w:rsidP="0049627C">
      <w:pPr>
        <w:autoSpaceDE w:val="0"/>
        <w:autoSpaceDN w:val="0"/>
        <w:adjustRightInd w:val="0"/>
        <w:spacing w:line="360" w:lineRule="auto"/>
        <w:ind w:firstLine="720"/>
        <w:rPr>
          <w:rFonts w:ascii="Calibri" w:hAnsi="Calibri" w:cs="Helv"/>
          <w:color w:val="000000"/>
        </w:rPr>
      </w:pPr>
      <w:r>
        <w:rPr>
          <w:rFonts w:ascii="Calibri" w:hAnsi="Calibri" w:cs="Helv"/>
          <w:color w:val="000000"/>
        </w:rPr>
        <w:t>Despite the above points to watch out for</w:t>
      </w:r>
      <w:r w:rsidR="00E96E19">
        <w:rPr>
          <w:rFonts w:ascii="Calibri" w:hAnsi="Calibri" w:cs="Helv"/>
          <w:color w:val="000000"/>
        </w:rPr>
        <w:t xml:space="preserve">, with all the above tax planning ideas, </w:t>
      </w:r>
      <w:r w:rsidR="00B07EE5">
        <w:rPr>
          <w:rFonts w:ascii="Calibri" w:hAnsi="Calibri" w:cs="Helv"/>
          <w:color w:val="000000"/>
        </w:rPr>
        <w:t xml:space="preserve">we have the </w:t>
      </w:r>
      <w:r w:rsidR="00B07EE5" w:rsidRPr="00CE495F">
        <w:rPr>
          <w:rFonts w:ascii="Calibri" w:hAnsi="Calibri" w:cs="Helv"/>
          <w:i/>
          <w:color w:val="000000"/>
        </w:rPr>
        <w:t>Holy Grail</w:t>
      </w:r>
      <w:r w:rsidR="00B07EE5">
        <w:rPr>
          <w:rFonts w:ascii="Calibri" w:hAnsi="Calibri" w:cs="Helv"/>
          <w:color w:val="000000"/>
        </w:rPr>
        <w:t xml:space="preserve"> of income tax planning</w:t>
      </w:r>
      <w:r w:rsidR="00AE28CE">
        <w:rPr>
          <w:rFonts w:ascii="Calibri" w:hAnsi="Calibri" w:cs="Helv"/>
          <w:color w:val="000000"/>
        </w:rPr>
        <w:t xml:space="preserve"> </w:t>
      </w:r>
      <w:r w:rsidR="00B07EE5">
        <w:rPr>
          <w:rFonts w:ascii="Calibri" w:hAnsi="Calibri" w:cs="Helv"/>
          <w:color w:val="000000"/>
        </w:rPr>
        <w:t xml:space="preserve">– the ability to trap income </w:t>
      </w:r>
      <w:r w:rsidR="00A5665D">
        <w:rPr>
          <w:rFonts w:ascii="Calibri" w:hAnsi="Calibri" w:cs="Helv"/>
          <w:color w:val="000000"/>
        </w:rPr>
        <w:t xml:space="preserve">in trust </w:t>
      </w:r>
      <w:r w:rsidR="00B07EE5">
        <w:rPr>
          <w:rFonts w:ascii="Calibri" w:hAnsi="Calibri" w:cs="Helv"/>
          <w:color w:val="000000"/>
        </w:rPr>
        <w:t xml:space="preserve">if state tax savings can be had, to spray income to lower bracket beneficiaries, and get </w:t>
      </w:r>
      <w:r>
        <w:rPr>
          <w:rFonts w:ascii="Calibri" w:hAnsi="Calibri" w:cs="Helv"/>
          <w:color w:val="000000"/>
        </w:rPr>
        <w:t>“</w:t>
      </w:r>
      <w:r w:rsidR="00B07EE5">
        <w:rPr>
          <w:rFonts w:ascii="Calibri" w:hAnsi="Calibri" w:cs="Helv"/>
          <w:color w:val="000000"/>
        </w:rPr>
        <w:t>above the line</w:t>
      </w:r>
      <w:r>
        <w:rPr>
          <w:rFonts w:ascii="Calibri" w:hAnsi="Calibri" w:cs="Helv"/>
          <w:color w:val="000000"/>
        </w:rPr>
        <w:t>”</w:t>
      </w:r>
      <w:r w:rsidR="00B07EE5">
        <w:rPr>
          <w:rFonts w:ascii="Calibri" w:hAnsi="Calibri" w:cs="Helv"/>
          <w:color w:val="000000"/>
        </w:rPr>
        <w:t xml:space="preserve"> charitable deductions</w:t>
      </w:r>
      <w:r w:rsidR="00C31488">
        <w:rPr>
          <w:rFonts w:ascii="Calibri" w:hAnsi="Calibri" w:cs="Helv"/>
          <w:color w:val="000000"/>
        </w:rPr>
        <w:t xml:space="preserve"> that can reduce the Medicare Surtax</w:t>
      </w:r>
      <w:r>
        <w:rPr>
          <w:rFonts w:ascii="Calibri" w:hAnsi="Calibri" w:cs="Helv"/>
          <w:color w:val="000000"/>
        </w:rPr>
        <w:t xml:space="preserve"> and avoid Pease limitations</w:t>
      </w:r>
      <w:r w:rsidR="00B07EE5">
        <w:rPr>
          <w:rFonts w:ascii="Calibri" w:hAnsi="Calibri" w:cs="Helv"/>
          <w:color w:val="000000"/>
        </w:rPr>
        <w:t xml:space="preserve"> </w:t>
      </w:r>
      <w:r w:rsidR="00DF6DFF">
        <w:rPr>
          <w:rFonts w:ascii="Calibri" w:hAnsi="Calibri" w:cs="Helv"/>
          <w:color w:val="000000"/>
        </w:rPr>
        <w:t xml:space="preserve">(including in many cases, </w:t>
      </w:r>
      <w:r>
        <w:rPr>
          <w:rFonts w:ascii="Calibri" w:hAnsi="Calibri" w:cs="Helv"/>
          <w:color w:val="000000"/>
        </w:rPr>
        <w:t xml:space="preserve">even receive </w:t>
      </w:r>
      <w:r w:rsidR="00DF6DFF">
        <w:rPr>
          <w:rFonts w:ascii="Calibri" w:hAnsi="Calibri" w:cs="Helv"/>
          <w:color w:val="000000"/>
        </w:rPr>
        <w:t xml:space="preserve">state tax reductions even when states otherwise limit or deny such deductions).  It can even be tailored in many cases to apply to </w:t>
      </w:r>
      <w:r w:rsidR="00B07EE5">
        <w:rPr>
          <w:rFonts w:ascii="Calibri" w:hAnsi="Calibri" w:cs="Helv"/>
          <w:color w:val="000000"/>
        </w:rPr>
        <w:t>the most highly taxed income!</w:t>
      </w:r>
      <w:r w:rsidR="00F3546A">
        <w:rPr>
          <w:rFonts w:ascii="Calibri" w:hAnsi="Calibri" w:cs="Helv"/>
          <w:color w:val="000000"/>
        </w:rPr>
        <w:t xml:space="preserve">  </w:t>
      </w:r>
    </w:p>
    <w:p w14:paraId="372C52D0" w14:textId="77777777" w:rsidR="00892D55" w:rsidRDefault="00DF6DFF" w:rsidP="005F5BA0">
      <w:pPr>
        <w:autoSpaceDE w:val="0"/>
        <w:autoSpaceDN w:val="0"/>
        <w:adjustRightInd w:val="0"/>
        <w:spacing w:line="360" w:lineRule="auto"/>
        <w:ind w:firstLine="720"/>
        <w:rPr>
          <w:rFonts w:ascii="Arial" w:hAnsi="Arial" w:cs="Arial"/>
          <w:b/>
          <w:sz w:val="22"/>
          <w:szCs w:val="22"/>
        </w:rPr>
      </w:pPr>
      <w:r>
        <w:rPr>
          <w:rFonts w:ascii="Calibri" w:hAnsi="Calibri" w:cs="Helv"/>
          <w:color w:val="000000"/>
        </w:rPr>
        <w:t xml:space="preserve">The above income tax shifting techniques require that someone die or make taxable gifts to non-grantor trusts.  What about the </w:t>
      </w:r>
      <w:r w:rsidRPr="00AE28CE">
        <w:rPr>
          <w:rFonts w:ascii="Calibri" w:hAnsi="Calibri" w:cs="Helv"/>
          <w:i/>
          <w:color w:val="000000"/>
        </w:rPr>
        <w:t>other 100%</w:t>
      </w:r>
      <w:r>
        <w:rPr>
          <w:rFonts w:ascii="Calibri" w:hAnsi="Calibri" w:cs="Helv"/>
          <w:color w:val="000000"/>
        </w:rPr>
        <w:t xml:space="preserve"> of the population that prefers to have tax savings </w:t>
      </w:r>
      <w:r w:rsidRPr="002D142B">
        <w:rPr>
          <w:rFonts w:ascii="Calibri" w:hAnsi="Calibri" w:cs="Helv"/>
          <w:i/>
          <w:color w:val="000000"/>
        </w:rPr>
        <w:t>before</w:t>
      </w:r>
      <w:r>
        <w:rPr>
          <w:rFonts w:ascii="Calibri" w:hAnsi="Calibri" w:cs="Helv"/>
          <w:color w:val="000000"/>
        </w:rPr>
        <w:t xml:space="preserve"> they die?   This brings us to the last section</w:t>
      </w:r>
      <w:r w:rsidR="00424011">
        <w:rPr>
          <w:rFonts w:ascii="Calibri" w:hAnsi="Calibri" w:cs="Helv"/>
          <w:color w:val="000000"/>
        </w:rPr>
        <w:t xml:space="preserve"> and the use of inter-vivos non-grantor trusts</w:t>
      </w:r>
      <w:r w:rsidR="00603F32">
        <w:rPr>
          <w:rFonts w:ascii="Calibri" w:hAnsi="Calibri" w:cs="Helv"/>
          <w:color w:val="000000"/>
        </w:rPr>
        <w:t xml:space="preserve"> and even oddly enough, part-grantor, part non-grantor trusts.</w:t>
      </w:r>
      <w:r w:rsidR="00892D55">
        <w:rPr>
          <w:rFonts w:ascii="Arial" w:hAnsi="Arial" w:cs="Arial"/>
          <w:b/>
          <w:sz w:val="22"/>
          <w:szCs w:val="22"/>
        </w:rPr>
        <w:br w:type="page"/>
      </w:r>
    </w:p>
    <w:p w14:paraId="3A71B879" w14:textId="77777777" w:rsidR="00DF6DFF" w:rsidRPr="0006302D" w:rsidRDefault="00DF6DFF" w:rsidP="007174A1">
      <w:pPr>
        <w:pStyle w:val="ListParagraph"/>
        <w:numPr>
          <w:ilvl w:val="0"/>
          <w:numId w:val="34"/>
        </w:numPr>
        <w:autoSpaceDE w:val="0"/>
        <w:autoSpaceDN w:val="0"/>
        <w:adjustRightInd w:val="0"/>
        <w:spacing w:line="360" w:lineRule="auto"/>
        <w:ind w:hanging="720"/>
        <w:rPr>
          <w:rFonts w:ascii="Calibri" w:hAnsi="Calibri" w:cs="Helv"/>
          <w:b/>
          <w:color w:val="000000"/>
        </w:rPr>
      </w:pPr>
      <w:r w:rsidRPr="0006302D">
        <w:rPr>
          <w:rFonts w:ascii="Arial" w:hAnsi="Arial" w:cs="Arial"/>
          <w:b/>
          <w:sz w:val="22"/>
          <w:szCs w:val="22"/>
        </w:rPr>
        <w:lastRenderedPageBreak/>
        <w:t>DINGs, NINGs, OINGs – Not just for STATE income tax a</w:t>
      </w:r>
      <w:r w:rsidR="00DB435B">
        <w:rPr>
          <w:rFonts w:ascii="Arial" w:hAnsi="Arial" w:cs="Arial"/>
          <w:b/>
          <w:sz w:val="22"/>
          <w:szCs w:val="22"/>
        </w:rPr>
        <w:t>voidance</w:t>
      </w:r>
    </w:p>
    <w:p w14:paraId="37BEDBAA" w14:textId="77777777" w:rsidR="00676F70" w:rsidRPr="0006302D" w:rsidRDefault="00DF6DFF" w:rsidP="00DF6DFF">
      <w:pPr>
        <w:autoSpaceDE w:val="0"/>
        <w:autoSpaceDN w:val="0"/>
        <w:adjustRightInd w:val="0"/>
        <w:spacing w:line="360" w:lineRule="auto"/>
        <w:rPr>
          <w:rFonts w:ascii="Arial" w:hAnsi="Arial" w:cs="Arial"/>
          <w:b/>
          <w:i/>
          <w:sz w:val="22"/>
          <w:szCs w:val="22"/>
        </w:rPr>
      </w:pPr>
      <w:r w:rsidRPr="0006302D">
        <w:rPr>
          <w:rFonts w:ascii="Arial" w:hAnsi="Arial" w:cs="Arial"/>
          <w:b/>
          <w:i/>
          <w:sz w:val="22"/>
          <w:szCs w:val="22"/>
        </w:rPr>
        <w:t xml:space="preserve">  (or, How to get a tax deduction for annual exclusion gifts to your kids)</w:t>
      </w:r>
    </w:p>
    <w:p w14:paraId="2FFDDD34" w14:textId="77777777" w:rsidR="00676F70" w:rsidRDefault="00676F70" w:rsidP="00676F70">
      <w:pPr>
        <w:autoSpaceDE w:val="0"/>
        <w:autoSpaceDN w:val="0"/>
        <w:adjustRightInd w:val="0"/>
        <w:spacing w:line="360" w:lineRule="auto"/>
        <w:ind w:firstLine="720"/>
        <w:rPr>
          <w:rFonts w:ascii="Calibri" w:hAnsi="Calibri" w:cs="Calibri"/>
        </w:rPr>
      </w:pPr>
      <w:r w:rsidRPr="00676F70">
        <w:rPr>
          <w:rFonts w:ascii="Calibri" w:hAnsi="Calibri" w:cs="Calibri"/>
        </w:rPr>
        <w:t>Practitioners might consider not only embedding such strategies into bypass</w:t>
      </w:r>
      <w:r w:rsidR="00AE28CE">
        <w:rPr>
          <w:rFonts w:ascii="Calibri" w:hAnsi="Calibri" w:cs="Calibri"/>
        </w:rPr>
        <w:t xml:space="preserve"> or other</w:t>
      </w:r>
      <w:r w:rsidR="003878D0">
        <w:rPr>
          <w:rFonts w:ascii="Calibri" w:hAnsi="Calibri" w:cs="Calibri"/>
        </w:rPr>
        <w:t xml:space="preserve"> </w:t>
      </w:r>
      <w:r w:rsidRPr="00676F70">
        <w:rPr>
          <w:rFonts w:ascii="Calibri" w:hAnsi="Calibri" w:cs="Calibri"/>
        </w:rPr>
        <w:t>trusts</w:t>
      </w:r>
      <w:r w:rsidR="00AE28CE">
        <w:rPr>
          <w:rFonts w:ascii="Calibri" w:hAnsi="Calibri" w:cs="Calibri"/>
        </w:rPr>
        <w:t xml:space="preserve"> established at death</w:t>
      </w:r>
      <w:r w:rsidRPr="00676F70">
        <w:rPr>
          <w:rFonts w:ascii="Calibri" w:hAnsi="Calibri" w:cs="Calibri"/>
        </w:rPr>
        <w:t xml:space="preserve">, but in some cases might actively use such flexible provisions in </w:t>
      </w:r>
      <w:r w:rsidR="005F5BA0">
        <w:rPr>
          <w:rFonts w:ascii="Calibri" w:hAnsi="Calibri" w:cs="Calibri"/>
        </w:rPr>
        <w:t>intervivos</w:t>
      </w:r>
      <w:r w:rsidRPr="00676F70">
        <w:rPr>
          <w:rFonts w:ascii="Calibri" w:hAnsi="Calibri" w:cs="Calibri"/>
        </w:rPr>
        <w:t xml:space="preserve"> </w:t>
      </w:r>
      <w:r>
        <w:rPr>
          <w:rFonts w:ascii="Calibri" w:hAnsi="Calibri" w:cs="Calibri"/>
        </w:rPr>
        <w:t xml:space="preserve">non-grantor </w:t>
      </w:r>
      <w:r w:rsidRPr="00676F70">
        <w:rPr>
          <w:rFonts w:ascii="Calibri" w:hAnsi="Calibri" w:cs="Calibri"/>
        </w:rPr>
        <w:t xml:space="preserve"> trusts for better income tax planning</w:t>
      </w:r>
      <w:r w:rsidR="00EB332B">
        <w:rPr>
          <w:rFonts w:ascii="Calibri" w:hAnsi="Calibri" w:cs="Calibri"/>
        </w:rPr>
        <w:t xml:space="preserve"> (both state and federal)</w:t>
      </w:r>
      <w:r w:rsidRPr="00676F70">
        <w:rPr>
          <w:rFonts w:ascii="Calibri" w:hAnsi="Calibri" w:cs="Calibri"/>
        </w:rPr>
        <w:t xml:space="preserve">.  For example, the </w:t>
      </w:r>
      <w:r w:rsidR="003878D0">
        <w:rPr>
          <w:rFonts w:ascii="Calibri" w:hAnsi="Calibri" w:cs="Calibri"/>
        </w:rPr>
        <w:t xml:space="preserve">recently </w:t>
      </w:r>
      <w:r w:rsidRPr="00676F70">
        <w:rPr>
          <w:rFonts w:ascii="Calibri" w:hAnsi="Calibri" w:cs="Calibri"/>
        </w:rPr>
        <w:t xml:space="preserve">resurrected DING strategy used to avoid state income tax </w:t>
      </w:r>
      <w:r w:rsidR="003878D0">
        <w:rPr>
          <w:rFonts w:ascii="Calibri" w:hAnsi="Calibri" w:cs="Calibri"/>
        </w:rPr>
        <w:t>should</w:t>
      </w:r>
      <w:r w:rsidRPr="00676F70">
        <w:rPr>
          <w:rFonts w:ascii="Calibri" w:hAnsi="Calibri" w:cs="Calibri"/>
        </w:rPr>
        <w:t xml:space="preserve"> include such clauses, and those with charitable intent who already have substantial charitable carryforwards may get mor</w:t>
      </w:r>
      <w:r w:rsidR="002D142B">
        <w:rPr>
          <w:rFonts w:ascii="Calibri" w:hAnsi="Calibri" w:cs="Calibri"/>
        </w:rPr>
        <w:t>e bang for the buck using a non-</w:t>
      </w:r>
      <w:r w:rsidR="005F5BA0">
        <w:rPr>
          <w:rFonts w:ascii="Calibri" w:hAnsi="Calibri" w:cs="Calibri"/>
        </w:rPr>
        <w:t>grantor CLT or</w:t>
      </w:r>
      <w:r w:rsidR="0028611A">
        <w:rPr>
          <w:rFonts w:ascii="Calibri" w:hAnsi="Calibri" w:cs="Calibri"/>
        </w:rPr>
        <w:t xml:space="preserve"> non-</w:t>
      </w:r>
      <w:r w:rsidRPr="00676F70">
        <w:rPr>
          <w:rFonts w:ascii="Calibri" w:hAnsi="Calibri" w:cs="Calibri"/>
        </w:rPr>
        <w:t xml:space="preserve">grantor trust with </w:t>
      </w:r>
      <w:r w:rsidR="002D142B">
        <w:rPr>
          <w:rFonts w:ascii="Calibri" w:hAnsi="Calibri" w:cs="Calibri"/>
        </w:rPr>
        <w:t>§</w:t>
      </w:r>
      <w:r w:rsidRPr="00676F70">
        <w:rPr>
          <w:rFonts w:ascii="Calibri" w:hAnsi="Calibri" w:cs="Calibri"/>
        </w:rPr>
        <w:t>642(c) provisions</w:t>
      </w:r>
      <w:r w:rsidR="005F5BA0">
        <w:rPr>
          <w:rFonts w:ascii="Calibri" w:hAnsi="Calibri" w:cs="Calibri"/>
        </w:rPr>
        <w:t xml:space="preserve"> that does not qualify as a CLT</w:t>
      </w:r>
      <w:r w:rsidR="00AE28CE">
        <w:rPr>
          <w:rFonts w:ascii="Calibri" w:hAnsi="Calibri" w:cs="Calibri"/>
        </w:rPr>
        <w:t>,</w:t>
      </w:r>
      <w:r w:rsidR="0028611A">
        <w:rPr>
          <w:rFonts w:ascii="Calibri" w:hAnsi="Calibri" w:cs="Calibri"/>
        </w:rPr>
        <w:t xml:space="preserve"> instead of a CRT or </w:t>
      </w:r>
      <w:r w:rsidRPr="00676F70">
        <w:rPr>
          <w:rFonts w:ascii="Calibri" w:hAnsi="Calibri" w:cs="Calibri"/>
        </w:rPr>
        <w:t>grantor CLT.</w:t>
      </w:r>
      <w:r>
        <w:rPr>
          <w:rStyle w:val="FootnoteReference"/>
          <w:rFonts w:ascii="Calibri" w:hAnsi="Calibri" w:cs="Calibri"/>
        </w:rPr>
        <w:footnoteReference w:id="496"/>
      </w:r>
      <w:r w:rsidRPr="00676F70">
        <w:rPr>
          <w:rFonts w:ascii="Calibri" w:hAnsi="Calibri" w:cs="Calibri"/>
        </w:rPr>
        <w:t xml:space="preserve"> </w:t>
      </w:r>
    </w:p>
    <w:p w14:paraId="7DCFA3DF" w14:textId="77777777" w:rsidR="003878D0" w:rsidRDefault="003878D0" w:rsidP="00676F70">
      <w:pPr>
        <w:autoSpaceDE w:val="0"/>
        <w:autoSpaceDN w:val="0"/>
        <w:adjustRightInd w:val="0"/>
        <w:spacing w:line="360" w:lineRule="auto"/>
        <w:ind w:firstLine="720"/>
        <w:rPr>
          <w:rFonts w:ascii="Calibri" w:hAnsi="Calibri" w:cs="Calibri"/>
        </w:rPr>
      </w:pPr>
      <w:r>
        <w:rPr>
          <w:rFonts w:ascii="Calibri" w:hAnsi="Calibri" w:cs="Calibri"/>
        </w:rPr>
        <w:t>Let’s start with a DING example</w:t>
      </w:r>
      <w:r w:rsidR="00E10C95">
        <w:rPr>
          <w:rFonts w:ascii="Calibri" w:hAnsi="Calibri" w:cs="Calibri"/>
        </w:rPr>
        <w:t xml:space="preserve"> that does not even rely on state income tax savings</w:t>
      </w:r>
      <w:r>
        <w:rPr>
          <w:rFonts w:ascii="Calibri" w:hAnsi="Calibri" w:cs="Calibri"/>
        </w:rPr>
        <w:t>.</w:t>
      </w:r>
      <w:r w:rsidR="00EB332B">
        <w:rPr>
          <w:rStyle w:val="FootnoteReference"/>
          <w:rFonts w:ascii="Calibri" w:hAnsi="Calibri" w:cs="Calibri"/>
        </w:rPr>
        <w:footnoteReference w:id="497"/>
      </w:r>
      <w:r>
        <w:rPr>
          <w:rFonts w:ascii="Calibri" w:hAnsi="Calibri" w:cs="Calibri"/>
        </w:rPr>
        <w:t xml:space="preserve">  John and Mary are newly retired and well off, but not “rich”.  They no longer worry about estate tax.  They have $1 million in real estate, $3 million in retirement plans, and $5 million in </w:t>
      </w:r>
      <w:r w:rsidR="00EE2664">
        <w:rPr>
          <w:rFonts w:ascii="Calibri" w:hAnsi="Calibri" w:cs="Calibri"/>
        </w:rPr>
        <w:t>various stocks, bonds, and funds</w:t>
      </w:r>
      <w:r>
        <w:rPr>
          <w:rFonts w:ascii="Calibri" w:hAnsi="Calibri" w:cs="Calibri"/>
        </w:rPr>
        <w:t xml:space="preserve">.  They are wealthy enough, and generous enough, </w:t>
      </w:r>
      <w:r w:rsidR="00EE2664">
        <w:rPr>
          <w:rFonts w:ascii="Calibri" w:hAnsi="Calibri" w:cs="Calibri"/>
        </w:rPr>
        <w:t xml:space="preserve">however, </w:t>
      </w:r>
      <w:r>
        <w:rPr>
          <w:rFonts w:ascii="Calibri" w:hAnsi="Calibri" w:cs="Calibri"/>
        </w:rPr>
        <w:t xml:space="preserve">to make </w:t>
      </w:r>
      <w:r w:rsidR="00EE2664">
        <w:rPr>
          <w:rFonts w:ascii="Calibri" w:hAnsi="Calibri" w:cs="Calibri"/>
        </w:rPr>
        <w:t xml:space="preserve">approximately $50,000 in </w:t>
      </w:r>
      <w:r>
        <w:rPr>
          <w:rFonts w:ascii="Calibri" w:hAnsi="Calibri" w:cs="Calibri"/>
        </w:rPr>
        <w:t xml:space="preserve">annual exclusion gifts to their two children, who have young children themselves, and typically give </w:t>
      </w:r>
      <w:r w:rsidR="00EE2664">
        <w:rPr>
          <w:rFonts w:ascii="Calibri" w:hAnsi="Calibri" w:cs="Calibri"/>
        </w:rPr>
        <w:t xml:space="preserve">about </w:t>
      </w:r>
      <w:r>
        <w:rPr>
          <w:rFonts w:ascii="Calibri" w:hAnsi="Calibri" w:cs="Calibri"/>
        </w:rPr>
        <w:t>$</w:t>
      </w:r>
      <w:r w:rsidR="00412F47">
        <w:rPr>
          <w:rFonts w:ascii="Calibri" w:hAnsi="Calibri" w:cs="Calibri"/>
        </w:rPr>
        <w:t>3</w:t>
      </w:r>
      <w:r>
        <w:rPr>
          <w:rFonts w:ascii="Calibri" w:hAnsi="Calibri" w:cs="Calibri"/>
        </w:rPr>
        <w:t xml:space="preserve">0,000 annually to </w:t>
      </w:r>
      <w:r w:rsidR="00412F47">
        <w:rPr>
          <w:rFonts w:ascii="Calibri" w:hAnsi="Calibri" w:cs="Calibri"/>
        </w:rPr>
        <w:t>various charities</w:t>
      </w:r>
      <w:r>
        <w:rPr>
          <w:rFonts w:ascii="Calibri" w:hAnsi="Calibri" w:cs="Calibri"/>
        </w:rPr>
        <w:t xml:space="preserve">. </w:t>
      </w:r>
      <w:r w:rsidR="00412F47">
        <w:rPr>
          <w:rFonts w:ascii="Calibri" w:hAnsi="Calibri" w:cs="Calibri"/>
        </w:rPr>
        <w:t xml:space="preserve">  They get no tax deduction for gifting to their children, no state income tax deduction for their gifts to charity, and their charitable deduction is somewhat “phased out” under the Pease limitations</w:t>
      </w:r>
      <w:r w:rsidR="002E6C18">
        <w:rPr>
          <w:rFonts w:ascii="Calibri" w:hAnsi="Calibri" w:cs="Calibri"/>
        </w:rPr>
        <w:t xml:space="preserve"> and cannot be used to offset the new 3.8% Medicare surtax</w:t>
      </w:r>
      <w:r w:rsidR="00412F47">
        <w:rPr>
          <w:rFonts w:ascii="Calibri" w:hAnsi="Calibri" w:cs="Calibri"/>
        </w:rPr>
        <w:t xml:space="preserve">.  </w:t>
      </w:r>
      <w:r w:rsidR="00B73BF6">
        <w:rPr>
          <w:rFonts w:ascii="Calibri" w:hAnsi="Calibri" w:cs="Calibri"/>
        </w:rPr>
        <w:t>Let’s say their taxable income is under $</w:t>
      </w:r>
      <w:r w:rsidR="002E6C18">
        <w:rPr>
          <w:rFonts w:ascii="Calibri" w:hAnsi="Calibri" w:cs="Calibri"/>
        </w:rPr>
        <w:t>40</w:t>
      </w:r>
      <w:r w:rsidR="00B73BF6">
        <w:rPr>
          <w:rFonts w:ascii="Calibri" w:hAnsi="Calibri" w:cs="Calibri"/>
        </w:rPr>
        <w:t>0,000, putting them in a 35% federal bracket, 5.41% Ohio, 15% capital gains, plus 3.8% surtax for net investment income other than IRA distributions, etc.</w:t>
      </w:r>
      <w:r w:rsidR="005060D6">
        <w:rPr>
          <w:rFonts w:ascii="Calibri" w:hAnsi="Calibri" w:cs="Calibri"/>
        </w:rPr>
        <w:t xml:space="preserve"> </w:t>
      </w:r>
    </w:p>
    <w:p w14:paraId="0F294A0B" w14:textId="77777777" w:rsidR="00765E1A" w:rsidRDefault="00412F47" w:rsidP="00676F70">
      <w:pPr>
        <w:autoSpaceDE w:val="0"/>
        <w:autoSpaceDN w:val="0"/>
        <w:adjustRightInd w:val="0"/>
        <w:spacing w:line="360" w:lineRule="auto"/>
        <w:ind w:firstLine="720"/>
        <w:rPr>
          <w:rFonts w:ascii="Calibri" w:hAnsi="Calibri" w:cs="Calibri"/>
        </w:rPr>
      </w:pPr>
      <w:r>
        <w:rPr>
          <w:rFonts w:ascii="Calibri" w:hAnsi="Calibri" w:cs="Calibri"/>
        </w:rPr>
        <w:t xml:space="preserve">What if they moved $2 million of their </w:t>
      </w:r>
      <w:r w:rsidR="00E10C95">
        <w:rPr>
          <w:rFonts w:ascii="Calibri" w:hAnsi="Calibri" w:cs="Calibri"/>
        </w:rPr>
        <w:t xml:space="preserve">non-IRA </w:t>
      </w:r>
      <w:r>
        <w:rPr>
          <w:rFonts w:ascii="Calibri" w:hAnsi="Calibri" w:cs="Calibri"/>
        </w:rPr>
        <w:t xml:space="preserve">investments to a </w:t>
      </w:r>
      <w:r w:rsidR="00EB332B">
        <w:rPr>
          <w:rFonts w:ascii="Calibri" w:hAnsi="Calibri" w:cs="Calibri"/>
        </w:rPr>
        <w:t>D</w:t>
      </w:r>
      <w:r>
        <w:rPr>
          <w:rFonts w:ascii="Calibri" w:hAnsi="Calibri" w:cs="Calibri"/>
        </w:rPr>
        <w:t xml:space="preserve">ING trust?  </w:t>
      </w:r>
      <w:r w:rsidR="00765E1A">
        <w:rPr>
          <w:rFonts w:ascii="Calibri" w:hAnsi="Calibri" w:cs="Calibri"/>
        </w:rPr>
        <w:t xml:space="preserve">Aside from </w:t>
      </w:r>
      <w:r>
        <w:rPr>
          <w:rFonts w:ascii="Calibri" w:hAnsi="Calibri" w:cs="Calibri"/>
        </w:rPr>
        <w:t>better asset protection, let’s flesh out how what happens for income tax under the above scenario</w:t>
      </w:r>
      <w:r w:rsidR="00B73BF6">
        <w:rPr>
          <w:rFonts w:ascii="Calibri" w:hAnsi="Calibri" w:cs="Calibri"/>
        </w:rPr>
        <w:t xml:space="preserve"> if the same distributions are made from </w:t>
      </w:r>
      <w:r w:rsidR="00765E1A">
        <w:rPr>
          <w:rFonts w:ascii="Calibri" w:hAnsi="Calibri" w:cs="Calibri"/>
        </w:rPr>
        <w:t>a DING</w:t>
      </w:r>
      <w:r w:rsidR="00B73BF6">
        <w:rPr>
          <w:rFonts w:ascii="Calibri" w:hAnsi="Calibri" w:cs="Calibri"/>
        </w:rPr>
        <w:t xml:space="preserve"> trust instead of from John and </w:t>
      </w:r>
      <w:r w:rsidR="00B73BF6">
        <w:rPr>
          <w:rFonts w:ascii="Calibri" w:hAnsi="Calibri" w:cs="Calibri"/>
        </w:rPr>
        <w:lastRenderedPageBreak/>
        <w:t>Mary directly</w:t>
      </w:r>
      <w:r>
        <w:rPr>
          <w:rFonts w:ascii="Calibri" w:hAnsi="Calibri" w:cs="Calibri"/>
        </w:rPr>
        <w:t xml:space="preserve">.  </w:t>
      </w:r>
      <w:r w:rsidR="00765E1A">
        <w:rPr>
          <w:rFonts w:ascii="Calibri" w:hAnsi="Calibri" w:cs="Calibri"/>
        </w:rPr>
        <w:t>Assume the</w:t>
      </w:r>
      <w:r>
        <w:rPr>
          <w:rFonts w:ascii="Calibri" w:hAnsi="Calibri" w:cs="Calibri"/>
        </w:rPr>
        <w:t xml:space="preserve"> $2 million </w:t>
      </w:r>
      <w:r w:rsidR="00765E1A">
        <w:rPr>
          <w:rFonts w:ascii="Calibri" w:hAnsi="Calibri" w:cs="Calibri"/>
        </w:rPr>
        <w:t xml:space="preserve">in trust </w:t>
      </w:r>
      <w:r>
        <w:rPr>
          <w:rFonts w:ascii="Calibri" w:hAnsi="Calibri" w:cs="Calibri"/>
        </w:rPr>
        <w:t>makes 2% taxable interest, 2% dividends, 1% capital gain (we’ll ignore any unrealized capital gains/losses) = $40,000 interest, $40,000 dividends, $20,000 capital gain.</w:t>
      </w:r>
      <w:r w:rsidR="00B73BF6">
        <w:rPr>
          <w:rFonts w:ascii="Calibri" w:hAnsi="Calibri" w:cs="Calibri"/>
        </w:rPr>
        <w:t xml:space="preserve">  Thus, at the most basic level, John and Mary have shifted $100,000 of taxable income from their personal </w:t>
      </w:r>
      <w:r w:rsidR="00764C14">
        <w:rPr>
          <w:rFonts w:ascii="Calibri" w:hAnsi="Calibri" w:cs="Calibri"/>
        </w:rPr>
        <w:t xml:space="preserve">Form </w:t>
      </w:r>
      <w:r w:rsidR="00B73BF6">
        <w:rPr>
          <w:rFonts w:ascii="Calibri" w:hAnsi="Calibri" w:cs="Calibri"/>
        </w:rPr>
        <w:t xml:space="preserve">1040, to the </w:t>
      </w:r>
      <w:r w:rsidR="00764C14">
        <w:rPr>
          <w:rFonts w:ascii="Calibri" w:hAnsi="Calibri" w:cs="Calibri"/>
        </w:rPr>
        <w:t xml:space="preserve">Form </w:t>
      </w:r>
      <w:r w:rsidR="00B73BF6">
        <w:rPr>
          <w:rFonts w:ascii="Calibri" w:hAnsi="Calibri" w:cs="Calibri"/>
        </w:rPr>
        <w:t xml:space="preserve">1041 of the trust. </w:t>
      </w:r>
      <w:r w:rsidR="002E6C18">
        <w:rPr>
          <w:rFonts w:ascii="Calibri" w:hAnsi="Calibri" w:cs="Calibri"/>
        </w:rPr>
        <w:t xml:space="preserve"> </w:t>
      </w:r>
    </w:p>
    <w:p w14:paraId="3E0A4763" w14:textId="77777777" w:rsidR="00F61F68" w:rsidRDefault="002E6C18" w:rsidP="00676F70">
      <w:pPr>
        <w:autoSpaceDE w:val="0"/>
        <w:autoSpaceDN w:val="0"/>
        <w:adjustRightInd w:val="0"/>
        <w:spacing w:line="360" w:lineRule="auto"/>
        <w:ind w:firstLine="720"/>
        <w:rPr>
          <w:rFonts w:ascii="Calibri" w:hAnsi="Calibri" w:cs="Calibri"/>
        </w:rPr>
      </w:pPr>
      <w:r>
        <w:rPr>
          <w:rFonts w:ascii="Calibri" w:hAnsi="Calibri" w:cs="Calibri"/>
        </w:rPr>
        <w:t xml:space="preserve">When the trustee distributes the $80,000 to the children and charity, this completes the taxable gift, but the gift will qualify for the annual exclusion and/or charitable exclusion.  The trust will get an above the line deduction, for federal (and usually state, as discussed above) tax purposes for the charitable contribution.  </w:t>
      </w:r>
      <w:r w:rsidR="00031E1C">
        <w:rPr>
          <w:rFonts w:ascii="Calibri" w:hAnsi="Calibri" w:cs="Calibri"/>
        </w:rPr>
        <w:t xml:space="preserve">If </w:t>
      </w:r>
      <w:r w:rsidR="00142E42">
        <w:rPr>
          <w:rFonts w:ascii="Calibri" w:hAnsi="Calibri" w:cs="Calibri"/>
        </w:rPr>
        <w:t xml:space="preserve">two </w:t>
      </w:r>
      <w:r>
        <w:rPr>
          <w:rFonts w:ascii="Calibri" w:hAnsi="Calibri" w:cs="Calibri"/>
        </w:rPr>
        <w:t>children make $45,000 and $100,000 respectively, the K-1 for the qualified dividends distributed to them will be taxed at 0% and 15% respectively, not 18.8%</w:t>
      </w:r>
      <w:r w:rsidR="005060D6">
        <w:rPr>
          <w:rFonts w:ascii="Calibri" w:hAnsi="Calibri" w:cs="Calibri"/>
        </w:rPr>
        <w:t xml:space="preserve"> (lowering the overall tax to the family on the $40,000 of qualified dividends from $7,520 to $3,000, plus more if the children live in a state with lower taxes than Ohio)</w:t>
      </w:r>
      <w:r>
        <w:rPr>
          <w:rFonts w:ascii="Calibri" w:hAnsi="Calibri" w:cs="Calibri"/>
        </w:rPr>
        <w:t>.</w:t>
      </w:r>
      <w:r w:rsidR="005060D6">
        <w:rPr>
          <w:rFonts w:ascii="Calibri" w:hAnsi="Calibri" w:cs="Calibri"/>
        </w:rPr>
        <w:t xml:space="preserve">  The $10,000 of interest K-1’d to the children changes tax on that from </w:t>
      </w:r>
      <w:r w:rsidR="00ED792D">
        <w:rPr>
          <w:rFonts w:ascii="Calibri" w:hAnsi="Calibri" w:cs="Calibri"/>
        </w:rPr>
        <w:t xml:space="preserve">38.8% plus 5.41% Ohio to 15% plus approx. </w:t>
      </w:r>
      <w:r w:rsidR="00142E42">
        <w:rPr>
          <w:rFonts w:ascii="Calibri" w:hAnsi="Calibri" w:cs="Calibri"/>
        </w:rPr>
        <w:t>4</w:t>
      </w:r>
      <w:r w:rsidR="00ED792D">
        <w:rPr>
          <w:rFonts w:ascii="Calibri" w:hAnsi="Calibri" w:cs="Calibri"/>
        </w:rPr>
        <w:t>% state – cutting that tax by more than half as well.  The charitable contribution is more advantageous as well – avoiding 3.8% Medicare and 5.41% Ohio tax on the $30,000, not to mention the Pease limitations, so there is anoth</w:t>
      </w:r>
      <w:r w:rsidR="00F61F68">
        <w:rPr>
          <w:rFonts w:ascii="Calibri" w:hAnsi="Calibri" w:cs="Calibri"/>
        </w:rPr>
        <w:t>er $3,000 or so benefit there.</w:t>
      </w:r>
      <w:r w:rsidR="00F61F68">
        <w:rPr>
          <w:rStyle w:val="FootnoteReference"/>
          <w:rFonts w:ascii="Calibri" w:hAnsi="Calibri" w:cs="Calibri"/>
        </w:rPr>
        <w:footnoteReference w:id="498"/>
      </w:r>
      <w:r w:rsidR="00930051">
        <w:rPr>
          <w:rFonts w:ascii="Calibri" w:hAnsi="Calibri" w:cs="Calibri"/>
        </w:rPr>
        <w:t xml:space="preserve">  Not </w:t>
      </w:r>
      <w:r w:rsidR="005F5BA0">
        <w:rPr>
          <w:rFonts w:ascii="Calibri" w:hAnsi="Calibri" w:cs="Calibri"/>
        </w:rPr>
        <w:t>only that but</w:t>
      </w:r>
      <w:r w:rsidR="00930051">
        <w:rPr>
          <w:rFonts w:ascii="Calibri" w:hAnsi="Calibri" w:cs="Calibri"/>
        </w:rPr>
        <w:t xml:space="preserve"> many taxpayers, even </w:t>
      </w:r>
      <w:r w:rsidR="00C7530B">
        <w:rPr>
          <w:rFonts w:ascii="Calibri" w:hAnsi="Calibri" w:cs="Calibri"/>
        </w:rPr>
        <w:t xml:space="preserve">many </w:t>
      </w:r>
      <w:r w:rsidR="00930051">
        <w:rPr>
          <w:rFonts w:ascii="Calibri" w:hAnsi="Calibri" w:cs="Calibri"/>
        </w:rPr>
        <w:t>higher income taxpayers, do not even itemize deductions.</w:t>
      </w:r>
      <w:r w:rsidR="00930051">
        <w:rPr>
          <w:rStyle w:val="FootnoteReference"/>
          <w:rFonts w:ascii="Calibri" w:hAnsi="Calibri" w:cs="Calibri"/>
        </w:rPr>
        <w:footnoteReference w:id="499"/>
      </w:r>
    </w:p>
    <w:p w14:paraId="47F7BD34" w14:textId="77777777" w:rsidR="00412F47" w:rsidRDefault="00ED792D" w:rsidP="00676F70">
      <w:pPr>
        <w:autoSpaceDE w:val="0"/>
        <w:autoSpaceDN w:val="0"/>
        <w:adjustRightInd w:val="0"/>
        <w:spacing w:line="360" w:lineRule="auto"/>
        <w:ind w:firstLine="720"/>
        <w:rPr>
          <w:rFonts w:ascii="Calibri" w:hAnsi="Calibri" w:cs="Calibri"/>
        </w:rPr>
      </w:pPr>
      <w:r>
        <w:rPr>
          <w:rFonts w:ascii="Calibri" w:hAnsi="Calibri" w:cs="Calibri"/>
        </w:rPr>
        <w:t>Would a family bother with a trust to get $10,00</w:t>
      </w:r>
      <w:r w:rsidR="00A1576A">
        <w:rPr>
          <w:rFonts w:ascii="Calibri" w:hAnsi="Calibri" w:cs="Calibri"/>
        </w:rPr>
        <w:t>0 tax savings annually?  Perhaps not for that alone, but there are various other reasons, including state income tax</w:t>
      </w:r>
      <w:r>
        <w:rPr>
          <w:rFonts w:ascii="Calibri" w:hAnsi="Calibri" w:cs="Calibri"/>
        </w:rPr>
        <w:t xml:space="preserve">.  </w:t>
      </w:r>
      <w:r w:rsidR="00142E42">
        <w:rPr>
          <w:rFonts w:ascii="Calibri" w:hAnsi="Calibri" w:cs="Calibri"/>
        </w:rPr>
        <w:t>The h</w:t>
      </w:r>
      <w:r>
        <w:rPr>
          <w:rFonts w:ascii="Calibri" w:hAnsi="Calibri" w:cs="Calibri"/>
        </w:rPr>
        <w:t>igher</w:t>
      </w:r>
      <w:r w:rsidR="00142E42">
        <w:rPr>
          <w:rFonts w:ascii="Calibri" w:hAnsi="Calibri" w:cs="Calibri"/>
        </w:rPr>
        <w:t xml:space="preserve"> the</w:t>
      </w:r>
      <w:r>
        <w:rPr>
          <w:rFonts w:ascii="Calibri" w:hAnsi="Calibri" w:cs="Calibri"/>
        </w:rPr>
        <w:t xml:space="preserve"> </w:t>
      </w:r>
      <w:r w:rsidR="00F61F68">
        <w:rPr>
          <w:rFonts w:ascii="Calibri" w:hAnsi="Calibri" w:cs="Calibri"/>
        </w:rPr>
        <w:t xml:space="preserve">donor’s </w:t>
      </w:r>
      <w:r>
        <w:rPr>
          <w:rFonts w:ascii="Calibri" w:hAnsi="Calibri" w:cs="Calibri"/>
        </w:rPr>
        <w:t>bracket</w:t>
      </w:r>
      <w:r w:rsidR="00031E1C">
        <w:rPr>
          <w:rFonts w:ascii="Calibri" w:hAnsi="Calibri" w:cs="Calibri"/>
        </w:rPr>
        <w:t xml:space="preserve">, </w:t>
      </w:r>
      <w:r w:rsidR="00142E42">
        <w:rPr>
          <w:rFonts w:ascii="Calibri" w:hAnsi="Calibri" w:cs="Calibri"/>
        </w:rPr>
        <w:t>the larger the gifts</w:t>
      </w:r>
      <w:r w:rsidR="00031E1C">
        <w:rPr>
          <w:rFonts w:ascii="Calibri" w:hAnsi="Calibri" w:cs="Calibri"/>
        </w:rPr>
        <w:t xml:space="preserve">, the lower the </w:t>
      </w:r>
      <w:r w:rsidR="00F61F68">
        <w:rPr>
          <w:rFonts w:ascii="Calibri" w:hAnsi="Calibri" w:cs="Calibri"/>
        </w:rPr>
        <w:t xml:space="preserve">donee’s </w:t>
      </w:r>
      <w:r w:rsidR="00031E1C">
        <w:rPr>
          <w:rFonts w:ascii="Calibri" w:hAnsi="Calibri" w:cs="Calibri"/>
        </w:rPr>
        <w:t xml:space="preserve">bracket = </w:t>
      </w:r>
      <w:r>
        <w:rPr>
          <w:rFonts w:ascii="Calibri" w:hAnsi="Calibri" w:cs="Calibri"/>
        </w:rPr>
        <w:t>more savings.</w:t>
      </w:r>
      <w:r w:rsidR="00F23B49">
        <w:rPr>
          <w:rFonts w:ascii="Calibri" w:hAnsi="Calibri" w:cs="Calibri"/>
        </w:rPr>
        <w:t xml:space="preserve">  It’s likely that only wealthier taxpayers in the top tax bracket would utilize this, so the savings in the above example would then be a bit higher, adding 4.6% to the arbitrage (35% -&gt; 39.6%).</w:t>
      </w:r>
      <w:r w:rsidR="00B91477">
        <w:rPr>
          <w:rFonts w:ascii="Calibri" w:hAnsi="Calibri" w:cs="Calibri"/>
        </w:rPr>
        <w:t xml:space="preserve">  </w:t>
      </w:r>
      <w:r w:rsidR="00B91477">
        <w:rPr>
          <w:rFonts w:ascii="Calibri" w:hAnsi="Calibri" w:cs="Calibri"/>
        </w:rPr>
        <w:lastRenderedPageBreak/>
        <w:t>Shifting</w:t>
      </w:r>
      <w:r w:rsidR="00B91477" w:rsidRPr="00B91477">
        <w:rPr>
          <w:rFonts w:ascii="Calibri" w:hAnsi="Calibri" w:cs="Calibri"/>
        </w:rPr>
        <w:t xml:space="preserve"> income </w:t>
      </w:r>
      <w:r w:rsidR="00B91477">
        <w:rPr>
          <w:rFonts w:ascii="Calibri" w:hAnsi="Calibri" w:cs="Calibri"/>
        </w:rPr>
        <w:t>to a trust may also preserve</w:t>
      </w:r>
      <w:r w:rsidR="00B91477" w:rsidRPr="00B91477">
        <w:rPr>
          <w:rFonts w:ascii="Calibri" w:hAnsi="Calibri" w:cs="Calibri"/>
        </w:rPr>
        <w:t xml:space="preserve"> </w:t>
      </w:r>
      <w:r w:rsidR="00B91477">
        <w:rPr>
          <w:rFonts w:ascii="Calibri" w:hAnsi="Calibri" w:cs="Calibri"/>
        </w:rPr>
        <w:t>other tax credits/deductions from phase out, such as itemized deductions</w:t>
      </w:r>
      <w:r w:rsidR="00B91477" w:rsidRPr="00B91477">
        <w:rPr>
          <w:rFonts w:ascii="Calibri" w:hAnsi="Calibri" w:cs="Calibri"/>
        </w:rPr>
        <w:t>, AMT exemption, or personal exemptions</w:t>
      </w:r>
      <w:r w:rsidR="00B91477">
        <w:rPr>
          <w:rFonts w:ascii="Calibri" w:hAnsi="Calibri" w:cs="Calibri"/>
        </w:rPr>
        <w:t>.</w:t>
      </w:r>
    </w:p>
    <w:p w14:paraId="06224F28" w14:textId="77777777" w:rsidR="0073623E" w:rsidRDefault="0073623E" w:rsidP="00676F70">
      <w:pPr>
        <w:autoSpaceDE w:val="0"/>
        <w:autoSpaceDN w:val="0"/>
        <w:adjustRightInd w:val="0"/>
        <w:spacing w:line="360" w:lineRule="auto"/>
        <w:ind w:firstLine="720"/>
        <w:rPr>
          <w:rFonts w:ascii="Calibri" w:hAnsi="Calibri" w:cs="Calibri"/>
        </w:rPr>
      </w:pPr>
      <w:r>
        <w:rPr>
          <w:rFonts w:ascii="Calibri" w:hAnsi="Calibri" w:cs="Calibri"/>
        </w:rPr>
        <w:t>Of course, the above</w:t>
      </w:r>
      <w:r w:rsidR="00417474">
        <w:rPr>
          <w:rFonts w:ascii="Calibri" w:hAnsi="Calibri" w:cs="Calibri"/>
        </w:rPr>
        <w:t xml:space="preserve"> example</w:t>
      </w:r>
      <w:r>
        <w:rPr>
          <w:rFonts w:ascii="Calibri" w:hAnsi="Calibri" w:cs="Calibri"/>
        </w:rPr>
        <w:t xml:space="preserve"> does not even contemplate potential state income tax savings, which is touted as the primary benefit of DINGs.  This paper </w:t>
      </w:r>
      <w:r w:rsidR="005F5BA0">
        <w:rPr>
          <w:rFonts w:ascii="Calibri" w:hAnsi="Calibri" w:cs="Calibri"/>
        </w:rPr>
        <w:t xml:space="preserve">will not discuss </w:t>
      </w:r>
      <w:r>
        <w:rPr>
          <w:rFonts w:ascii="Calibri" w:hAnsi="Calibri" w:cs="Calibri"/>
        </w:rPr>
        <w:t>dozens of states’ income tax laws – see the various compiled state charts</w:t>
      </w:r>
      <w:r w:rsidR="00446AD6">
        <w:rPr>
          <w:rFonts w:ascii="Calibri" w:hAnsi="Calibri" w:cs="Calibri"/>
        </w:rPr>
        <w:t xml:space="preserve"> and separate outline</w:t>
      </w:r>
      <w:r>
        <w:rPr>
          <w:rFonts w:ascii="Calibri" w:hAnsi="Calibri" w:cs="Calibri"/>
        </w:rPr>
        <w:t>.</w:t>
      </w:r>
      <w:r>
        <w:rPr>
          <w:rStyle w:val="FootnoteReference"/>
          <w:rFonts w:ascii="Calibri" w:hAnsi="Calibri" w:cs="Calibri"/>
        </w:rPr>
        <w:footnoteReference w:id="500"/>
      </w:r>
      <w:r w:rsidR="005F5BA0">
        <w:rPr>
          <w:rFonts w:ascii="Calibri" w:hAnsi="Calibri" w:cs="Calibri"/>
        </w:rPr>
        <w:t xml:space="preserve">  </w:t>
      </w:r>
    </w:p>
    <w:p w14:paraId="4EE57F9F" w14:textId="77777777" w:rsidR="005F5BA0" w:rsidRPr="00907AED" w:rsidRDefault="005F5BA0" w:rsidP="007174A1">
      <w:pPr>
        <w:pStyle w:val="ListParagraph"/>
        <w:numPr>
          <w:ilvl w:val="0"/>
          <w:numId w:val="34"/>
        </w:numPr>
        <w:autoSpaceDE w:val="0"/>
        <w:autoSpaceDN w:val="0"/>
        <w:adjustRightInd w:val="0"/>
        <w:spacing w:line="360" w:lineRule="auto"/>
        <w:rPr>
          <w:rFonts w:ascii="Calibri" w:hAnsi="Calibri" w:cs="Calibri"/>
          <w:b/>
        </w:rPr>
      </w:pPr>
      <w:r w:rsidRPr="00907AED">
        <w:rPr>
          <w:rFonts w:ascii="Calibri" w:hAnsi="Calibri" w:cs="Calibri"/>
          <w:b/>
        </w:rPr>
        <w:t>The DING-CRUT</w:t>
      </w:r>
      <w:r w:rsidR="00AE28CE">
        <w:rPr>
          <w:rFonts w:ascii="Calibri" w:hAnsi="Calibri" w:cs="Calibri"/>
          <w:b/>
        </w:rPr>
        <w:t xml:space="preserve"> and Other Non-Grantor Trusts Contributing to CRTs </w:t>
      </w:r>
    </w:p>
    <w:p w14:paraId="555DCC1B" w14:textId="77777777" w:rsidR="007500B2" w:rsidRDefault="007500B2" w:rsidP="007500B2">
      <w:pPr>
        <w:autoSpaceDE w:val="0"/>
        <w:autoSpaceDN w:val="0"/>
        <w:adjustRightInd w:val="0"/>
        <w:spacing w:line="360" w:lineRule="auto"/>
        <w:ind w:firstLine="720"/>
        <w:rPr>
          <w:rFonts w:ascii="Calibri" w:hAnsi="Calibri" w:cs="Calibri"/>
        </w:rPr>
      </w:pPr>
      <w:r w:rsidRPr="007500B2">
        <w:rPr>
          <w:rFonts w:ascii="Calibri" w:hAnsi="Calibri" w:cs="Calibri"/>
        </w:rPr>
        <w:t xml:space="preserve">Most </w:t>
      </w:r>
      <w:r>
        <w:rPr>
          <w:rFonts w:ascii="Calibri" w:hAnsi="Calibri" w:cs="Calibri"/>
        </w:rPr>
        <w:t xml:space="preserve">readers </w:t>
      </w:r>
      <w:r w:rsidRPr="007500B2">
        <w:rPr>
          <w:rFonts w:ascii="Calibri" w:hAnsi="Calibri" w:cs="Calibri"/>
        </w:rPr>
        <w:t xml:space="preserve">are familiar with using </w:t>
      </w:r>
      <w:r>
        <w:rPr>
          <w:rFonts w:ascii="Calibri" w:hAnsi="Calibri" w:cs="Calibri"/>
        </w:rPr>
        <w:t>charitable remainder trusts (“</w:t>
      </w:r>
      <w:r w:rsidRPr="007500B2">
        <w:rPr>
          <w:rFonts w:ascii="Calibri" w:hAnsi="Calibri" w:cs="Calibri"/>
        </w:rPr>
        <w:t>CRTs</w:t>
      </w:r>
      <w:r>
        <w:rPr>
          <w:rFonts w:ascii="Calibri" w:hAnsi="Calibri" w:cs="Calibri"/>
        </w:rPr>
        <w:t>”)</w:t>
      </w:r>
      <w:r w:rsidRPr="007500B2">
        <w:rPr>
          <w:rFonts w:ascii="Calibri" w:hAnsi="Calibri" w:cs="Calibri"/>
        </w:rPr>
        <w:t xml:space="preserve"> to defer taxation</w:t>
      </w:r>
      <w:r w:rsidR="00446AD6">
        <w:rPr>
          <w:rFonts w:ascii="Calibri" w:hAnsi="Calibri" w:cs="Calibri"/>
        </w:rPr>
        <w:t>.  A</w:t>
      </w:r>
      <w:r w:rsidRPr="007500B2">
        <w:rPr>
          <w:rFonts w:ascii="Calibri" w:hAnsi="Calibri" w:cs="Calibri"/>
        </w:rPr>
        <w:t xml:space="preserve"> CRT itself is tax exempt, but payments back to a settlor/gr</w:t>
      </w:r>
      <w:r w:rsidR="00446AD6">
        <w:rPr>
          <w:rFonts w:ascii="Calibri" w:hAnsi="Calibri" w:cs="Calibri"/>
        </w:rPr>
        <w:t xml:space="preserve">antor </w:t>
      </w:r>
      <w:r w:rsidR="00272E11">
        <w:rPr>
          <w:rFonts w:ascii="Calibri" w:hAnsi="Calibri" w:cs="Calibri"/>
        </w:rPr>
        <w:t>may</w:t>
      </w:r>
      <w:r w:rsidR="00446AD6">
        <w:rPr>
          <w:rFonts w:ascii="Calibri" w:hAnsi="Calibri" w:cs="Calibri"/>
        </w:rPr>
        <w:t xml:space="preserve"> be taxable under a 4-</w:t>
      </w:r>
      <w:r w:rsidRPr="007500B2">
        <w:rPr>
          <w:rFonts w:ascii="Calibri" w:hAnsi="Calibri" w:cs="Calibri"/>
        </w:rPr>
        <w:t xml:space="preserve">tier </w:t>
      </w:r>
      <w:r w:rsidR="005C7B34">
        <w:rPr>
          <w:rFonts w:ascii="Calibri" w:hAnsi="Calibri" w:cs="Calibri"/>
        </w:rPr>
        <w:t xml:space="preserve">ordering </w:t>
      </w:r>
      <w:r w:rsidRPr="007500B2">
        <w:rPr>
          <w:rFonts w:ascii="Calibri" w:hAnsi="Calibri" w:cs="Calibri"/>
        </w:rPr>
        <w:t>system</w:t>
      </w:r>
      <w:r w:rsidR="00272E11">
        <w:rPr>
          <w:rFonts w:ascii="Calibri" w:hAnsi="Calibri" w:cs="Calibri"/>
        </w:rPr>
        <w:t xml:space="preserve"> (perhaps even 100% of the distribution in early years), so it's more accurate to claim</w:t>
      </w:r>
      <w:r w:rsidRPr="007500B2">
        <w:rPr>
          <w:rFonts w:ascii="Calibri" w:hAnsi="Calibri" w:cs="Calibri"/>
        </w:rPr>
        <w:t xml:space="preserve"> that it </w:t>
      </w:r>
      <w:r w:rsidRPr="00272E11">
        <w:rPr>
          <w:rFonts w:ascii="Calibri" w:hAnsi="Calibri" w:cs="Calibri"/>
          <w:i/>
        </w:rPr>
        <w:t>defers</w:t>
      </w:r>
      <w:r w:rsidRPr="007500B2">
        <w:rPr>
          <w:rFonts w:ascii="Calibri" w:hAnsi="Calibri" w:cs="Calibri"/>
        </w:rPr>
        <w:t xml:space="preserve"> rather than avoids the tax</w:t>
      </w:r>
      <w:r>
        <w:rPr>
          <w:rFonts w:ascii="Calibri" w:hAnsi="Calibri" w:cs="Calibri"/>
        </w:rPr>
        <w:t xml:space="preserve"> (provided the beneficiary lives long enough to receive enough back, if it is a lifetime CRUT)</w:t>
      </w:r>
      <w:r w:rsidRPr="007500B2">
        <w:rPr>
          <w:rFonts w:ascii="Calibri" w:hAnsi="Calibri" w:cs="Calibri"/>
        </w:rPr>
        <w:t>.</w:t>
      </w:r>
      <w:r>
        <w:rPr>
          <w:rFonts w:ascii="Calibri" w:hAnsi="Calibri" w:cs="Calibri"/>
        </w:rPr>
        <w:t xml:space="preserve">  So, CRUTs are often recommended to defer gains on an anticipated sale </w:t>
      </w:r>
      <w:r w:rsidR="00272E11">
        <w:rPr>
          <w:rFonts w:ascii="Calibri" w:hAnsi="Calibri" w:cs="Calibri"/>
        </w:rPr>
        <w:t xml:space="preserve">of appreciated property </w:t>
      </w:r>
      <w:r>
        <w:rPr>
          <w:rFonts w:ascii="Calibri" w:hAnsi="Calibri" w:cs="Calibri"/>
        </w:rPr>
        <w:t xml:space="preserve">(as long as the transfer is done before </w:t>
      </w:r>
      <w:r w:rsidR="00272E11">
        <w:rPr>
          <w:rFonts w:ascii="Calibri" w:hAnsi="Calibri" w:cs="Calibri"/>
        </w:rPr>
        <w:t>the contract for sale</w:t>
      </w:r>
      <w:r>
        <w:rPr>
          <w:rFonts w:ascii="Calibri" w:hAnsi="Calibri" w:cs="Calibri"/>
        </w:rPr>
        <w:t xml:space="preserve"> is a “done deal”).</w:t>
      </w:r>
      <w:r w:rsidR="00240301">
        <w:rPr>
          <w:rStyle w:val="FootnoteReference"/>
          <w:rFonts w:ascii="Calibri" w:hAnsi="Calibri" w:cs="Calibri"/>
        </w:rPr>
        <w:footnoteReference w:id="501"/>
      </w:r>
    </w:p>
    <w:p w14:paraId="6BE43659" w14:textId="77777777" w:rsidR="00240301" w:rsidRDefault="000061D4" w:rsidP="007500B2">
      <w:pPr>
        <w:autoSpaceDE w:val="0"/>
        <w:autoSpaceDN w:val="0"/>
        <w:adjustRightInd w:val="0"/>
        <w:spacing w:line="360" w:lineRule="auto"/>
        <w:ind w:firstLine="720"/>
        <w:rPr>
          <w:rFonts w:ascii="Calibri" w:hAnsi="Calibri" w:cs="Calibri"/>
        </w:rPr>
      </w:pPr>
      <w:r>
        <w:rPr>
          <w:rFonts w:ascii="Calibri" w:hAnsi="Calibri" w:cs="Calibri"/>
        </w:rPr>
        <w:t>DINGs</w:t>
      </w:r>
      <w:r w:rsidR="007500B2" w:rsidRPr="007500B2">
        <w:rPr>
          <w:rFonts w:ascii="Calibri" w:hAnsi="Calibri" w:cs="Calibri"/>
        </w:rPr>
        <w:t xml:space="preserve"> </w:t>
      </w:r>
      <w:r>
        <w:rPr>
          <w:rFonts w:ascii="Calibri" w:hAnsi="Calibri" w:cs="Calibri"/>
        </w:rPr>
        <w:t>often</w:t>
      </w:r>
      <w:r w:rsidR="007500B2" w:rsidRPr="007500B2">
        <w:rPr>
          <w:rFonts w:ascii="Calibri" w:hAnsi="Calibri" w:cs="Calibri"/>
        </w:rPr>
        <w:t xml:space="preserve"> cannot get around "source" income (in-state real estate, closely held in-state LLC/LP/S corps).  However, </w:t>
      </w:r>
      <w:r w:rsidR="00272E11">
        <w:rPr>
          <w:rFonts w:ascii="Calibri" w:hAnsi="Calibri" w:cs="Calibri"/>
        </w:rPr>
        <w:t>C corporations</w:t>
      </w:r>
      <w:r w:rsidR="007500B2" w:rsidRPr="007500B2">
        <w:rPr>
          <w:rFonts w:ascii="Calibri" w:hAnsi="Calibri" w:cs="Calibri"/>
        </w:rPr>
        <w:t xml:space="preserve"> are not </w:t>
      </w:r>
      <w:r w:rsidR="007500B2" w:rsidRPr="005C7B34">
        <w:rPr>
          <w:rFonts w:ascii="Calibri" w:hAnsi="Calibri" w:cs="Calibri"/>
          <w:i/>
        </w:rPr>
        <w:t>source income</w:t>
      </w:r>
      <w:r w:rsidR="007500B2" w:rsidRPr="007500B2">
        <w:rPr>
          <w:rFonts w:ascii="Calibri" w:hAnsi="Calibri" w:cs="Calibri"/>
        </w:rPr>
        <w:t xml:space="preserve"> to any one state.  </w:t>
      </w:r>
      <w:r w:rsidR="007500B2">
        <w:rPr>
          <w:rFonts w:ascii="Calibri" w:hAnsi="Calibri" w:cs="Calibri"/>
        </w:rPr>
        <w:t xml:space="preserve">Taxation of the sale of </w:t>
      </w:r>
      <w:r w:rsidR="005C7B34">
        <w:rPr>
          <w:rFonts w:ascii="Calibri" w:hAnsi="Calibri" w:cs="Calibri"/>
        </w:rPr>
        <w:t>such stocks</w:t>
      </w:r>
      <w:r>
        <w:rPr>
          <w:rFonts w:ascii="Calibri" w:hAnsi="Calibri" w:cs="Calibri"/>
        </w:rPr>
        <w:t xml:space="preserve"> (and depending on the state, often pure stock sales of LLCs/S corporations as well)</w:t>
      </w:r>
      <w:r w:rsidR="007500B2">
        <w:rPr>
          <w:rFonts w:ascii="Calibri" w:hAnsi="Calibri" w:cs="Calibri"/>
        </w:rPr>
        <w:t xml:space="preserve"> </w:t>
      </w:r>
      <w:r>
        <w:rPr>
          <w:rFonts w:ascii="Calibri" w:hAnsi="Calibri" w:cs="Calibri"/>
        </w:rPr>
        <w:t xml:space="preserve">typically </w:t>
      </w:r>
      <w:r w:rsidR="007500B2">
        <w:rPr>
          <w:rFonts w:ascii="Calibri" w:hAnsi="Calibri" w:cs="Calibri"/>
        </w:rPr>
        <w:t xml:space="preserve">follow the domicile of the owner, under the legal theory of </w:t>
      </w:r>
      <w:r w:rsidR="007500B2" w:rsidRPr="007500B2">
        <w:rPr>
          <w:rFonts w:ascii="Calibri" w:hAnsi="Calibri" w:cs="Calibri"/>
          <w:i/>
        </w:rPr>
        <w:t>mobilia sequuntur personam</w:t>
      </w:r>
      <w:r w:rsidR="007500B2">
        <w:rPr>
          <w:rFonts w:ascii="Calibri" w:hAnsi="Calibri" w:cs="Calibri"/>
          <w:i/>
        </w:rPr>
        <w:t>.</w:t>
      </w:r>
      <w:r w:rsidR="00272E11">
        <w:rPr>
          <w:rStyle w:val="FootnoteReference"/>
          <w:rFonts w:ascii="Calibri" w:hAnsi="Calibri" w:cs="Calibri"/>
          <w:i/>
        </w:rPr>
        <w:footnoteReference w:id="502"/>
      </w:r>
      <w:r w:rsidR="007500B2" w:rsidRPr="007500B2">
        <w:rPr>
          <w:rFonts w:ascii="Calibri" w:hAnsi="Calibri" w:cs="Calibri"/>
        </w:rPr>
        <w:t xml:space="preserve"> Thus, </w:t>
      </w:r>
      <w:r w:rsidR="007500B2">
        <w:rPr>
          <w:rFonts w:ascii="Calibri" w:hAnsi="Calibri" w:cs="Calibri"/>
        </w:rPr>
        <w:t xml:space="preserve">these mergers create </w:t>
      </w:r>
      <w:r w:rsidR="007500B2" w:rsidRPr="007500B2">
        <w:rPr>
          <w:rFonts w:ascii="Calibri" w:hAnsi="Calibri" w:cs="Calibri"/>
        </w:rPr>
        <w:t xml:space="preserve">a perfect candidate for using </w:t>
      </w:r>
      <w:r w:rsidR="00240301">
        <w:rPr>
          <w:rFonts w:ascii="Calibri" w:hAnsi="Calibri" w:cs="Calibri"/>
        </w:rPr>
        <w:t xml:space="preserve">either DING </w:t>
      </w:r>
      <w:r w:rsidR="007500B2" w:rsidRPr="007500B2">
        <w:rPr>
          <w:rFonts w:ascii="Calibri" w:hAnsi="Calibri" w:cs="Calibri"/>
        </w:rPr>
        <w:t>trusts to avoid state income tax</w:t>
      </w:r>
      <w:r w:rsidR="00240301">
        <w:rPr>
          <w:rFonts w:ascii="Calibri" w:hAnsi="Calibri" w:cs="Calibri"/>
        </w:rPr>
        <w:t xml:space="preserve"> for higher bracket taxpayers, or CRUTs to defer federal tax. </w:t>
      </w:r>
      <w:r w:rsidR="00E34547">
        <w:rPr>
          <w:rFonts w:ascii="Calibri" w:hAnsi="Calibri" w:cs="Calibri"/>
        </w:rPr>
        <w:t xml:space="preserve"> Or both.</w:t>
      </w:r>
    </w:p>
    <w:p w14:paraId="53671849" w14:textId="77777777" w:rsidR="007500B2" w:rsidRPr="007500B2" w:rsidRDefault="00E34547" w:rsidP="00E34547">
      <w:pPr>
        <w:autoSpaceDE w:val="0"/>
        <w:autoSpaceDN w:val="0"/>
        <w:adjustRightInd w:val="0"/>
        <w:spacing w:line="360" w:lineRule="auto"/>
        <w:ind w:firstLine="720"/>
        <w:rPr>
          <w:rFonts w:ascii="Calibri" w:hAnsi="Calibri" w:cs="Calibri"/>
        </w:rPr>
      </w:pPr>
      <w:r>
        <w:rPr>
          <w:rFonts w:ascii="Calibri" w:hAnsi="Calibri" w:cs="Calibri"/>
        </w:rPr>
        <w:lastRenderedPageBreak/>
        <w:t>CRUTs can be combined with a DING to defer the federal taxation until payment, avoid state taxation of the payment and even permit more optimal tax shifting and charitable deductions for any shifting of the subsequent payment.  T</w:t>
      </w:r>
      <w:r w:rsidR="00240301">
        <w:rPr>
          <w:rFonts w:ascii="Calibri" w:hAnsi="Calibri" w:cs="Calibri"/>
        </w:rPr>
        <w:t xml:space="preserve">he DING </w:t>
      </w:r>
      <w:r>
        <w:rPr>
          <w:rFonts w:ascii="Calibri" w:hAnsi="Calibri" w:cs="Calibri"/>
        </w:rPr>
        <w:t>can be</w:t>
      </w:r>
      <w:r w:rsidR="00240301">
        <w:rPr>
          <w:rFonts w:ascii="Calibri" w:hAnsi="Calibri" w:cs="Calibri"/>
        </w:rPr>
        <w:t xml:space="preserve"> the beneficiary of the CRUT</w:t>
      </w:r>
      <w:r>
        <w:rPr>
          <w:rFonts w:ascii="Calibri" w:hAnsi="Calibri" w:cs="Calibri"/>
        </w:rPr>
        <w:t>.  T</w:t>
      </w:r>
      <w:r w:rsidR="007500B2" w:rsidRPr="007500B2">
        <w:rPr>
          <w:rFonts w:ascii="Calibri" w:hAnsi="Calibri" w:cs="Calibri"/>
        </w:rPr>
        <w:t xml:space="preserve">here is no prohibition on a </w:t>
      </w:r>
      <w:r w:rsidR="005C7B34">
        <w:rPr>
          <w:rFonts w:ascii="Calibri" w:hAnsi="Calibri" w:cs="Calibri"/>
        </w:rPr>
        <w:t xml:space="preserve">non-grantor </w:t>
      </w:r>
      <w:r w:rsidR="007500B2" w:rsidRPr="007500B2">
        <w:rPr>
          <w:rFonts w:ascii="Calibri" w:hAnsi="Calibri" w:cs="Calibri"/>
        </w:rPr>
        <w:t>trust or other entity being</w:t>
      </w:r>
      <w:r w:rsidR="000061D4">
        <w:rPr>
          <w:rFonts w:ascii="Calibri" w:hAnsi="Calibri" w:cs="Calibri"/>
        </w:rPr>
        <w:t xml:space="preserve"> an income beneficiary of a CRT.</w:t>
      </w:r>
      <w:r>
        <w:rPr>
          <w:rStyle w:val="FootnoteReference"/>
          <w:rFonts w:ascii="Calibri" w:hAnsi="Calibri" w:cs="Calibri"/>
        </w:rPr>
        <w:footnoteReference w:id="503"/>
      </w:r>
      <w:r w:rsidR="000061D4">
        <w:rPr>
          <w:rFonts w:ascii="Calibri" w:hAnsi="Calibri" w:cs="Calibri"/>
        </w:rPr>
        <w:t xml:space="preserve">  This would have to be a term, not lifetime, </w:t>
      </w:r>
      <w:r w:rsidR="00240301">
        <w:rPr>
          <w:rFonts w:ascii="Calibri" w:hAnsi="Calibri" w:cs="Calibri"/>
        </w:rPr>
        <w:t xml:space="preserve">CRUT, </w:t>
      </w:r>
      <w:r w:rsidR="001D10AF">
        <w:rPr>
          <w:rFonts w:ascii="Calibri" w:hAnsi="Calibri" w:cs="Calibri"/>
        </w:rPr>
        <w:t xml:space="preserve">of </w:t>
      </w:r>
      <w:r w:rsidR="00240301">
        <w:rPr>
          <w:rFonts w:ascii="Calibri" w:hAnsi="Calibri" w:cs="Calibri"/>
        </w:rPr>
        <w:t>up to 20 years.</w:t>
      </w:r>
      <w:r w:rsidR="00413294">
        <w:rPr>
          <w:rStyle w:val="FootnoteReference"/>
          <w:rFonts w:ascii="Calibri" w:hAnsi="Calibri" w:cs="Calibri"/>
        </w:rPr>
        <w:footnoteReference w:id="504"/>
      </w:r>
    </w:p>
    <w:p w14:paraId="2D5548A7" w14:textId="77777777" w:rsidR="00E34547" w:rsidRDefault="007500B2" w:rsidP="005C7B34">
      <w:pPr>
        <w:autoSpaceDE w:val="0"/>
        <w:autoSpaceDN w:val="0"/>
        <w:adjustRightInd w:val="0"/>
        <w:spacing w:line="360" w:lineRule="auto"/>
        <w:ind w:firstLine="720"/>
        <w:rPr>
          <w:rFonts w:ascii="Calibri" w:hAnsi="Calibri" w:cs="Calibri"/>
        </w:rPr>
      </w:pPr>
      <w:r w:rsidRPr="007500B2">
        <w:rPr>
          <w:rFonts w:ascii="Calibri" w:hAnsi="Calibri" w:cs="Calibri"/>
        </w:rPr>
        <w:t>This may allow the best of both worlds - defer the federal tax, a</w:t>
      </w:r>
      <w:r w:rsidR="005C7B34">
        <w:rPr>
          <w:rFonts w:ascii="Calibri" w:hAnsi="Calibri" w:cs="Calibri"/>
        </w:rPr>
        <w:t xml:space="preserve">nd avoid the state income tax.  In contrast to a term CRT naming a child/grandchild as beneficiary, which creates a lump sum taxable gift upon creation, this method could use the annual exclusion for </w:t>
      </w:r>
      <w:r w:rsidR="001D10AF">
        <w:rPr>
          <w:rFonts w:ascii="Calibri" w:hAnsi="Calibri" w:cs="Calibri"/>
        </w:rPr>
        <w:t>any</w:t>
      </w:r>
      <w:r w:rsidR="005C7B34">
        <w:rPr>
          <w:rFonts w:ascii="Calibri" w:hAnsi="Calibri" w:cs="Calibri"/>
        </w:rPr>
        <w:t xml:space="preserve"> annual gifts</w:t>
      </w:r>
      <w:r w:rsidR="001D10AF">
        <w:rPr>
          <w:rFonts w:ascii="Calibri" w:hAnsi="Calibri" w:cs="Calibri"/>
        </w:rPr>
        <w:t xml:space="preserve"> coming from the DING to the children</w:t>
      </w:r>
      <w:r w:rsidR="005C7B34">
        <w:rPr>
          <w:rFonts w:ascii="Calibri" w:hAnsi="Calibri" w:cs="Calibri"/>
        </w:rPr>
        <w:t>.</w:t>
      </w:r>
    </w:p>
    <w:p w14:paraId="3BD10968" w14:textId="77777777" w:rsidR="008C5BF2" w:rsidRDefault="00E34547" w:rsidP="003E5D73">
      <w:pPr>
        <w:autoSpaceDE w:val="0"/>
        <w:autoSpaceDN w:val="0"/>
        <w:adjustRightInd w:val="0"/>
        <w:spacing w:line="360" w:lineRule="auto"/>
        <w:ind w:firstLine="720"/>
        <w:rPr>
          <w:rFonts w:ascii="Calibri" w:hAnsi="Calibri" w:cs="Calibri"/>
        </w:rPr>
      </w:pPr>
      <w:r>
        <w:rPr>
          <w:rFonts w:ascii="Calibri" w:hAnsi="Calibri" w:cs="Calibri"/>
        </w:rPr>
        <w:t>Even more intriguing, a CRUT can be the beneficiary of the DING</w:t>
      </w:r>
      <w:r w:rsidR="00F73B27">
        <w:rPr>
          <w:rFonts w:ascii="Calibri" w:hAnsi="Calibri" w:cs="Calibri"/>
        </w:rPr>
        <w:t xml:space="preserve"> (or any other non-grantor trust or estate provided the document so permits)</w:t>
      </w:r>
      <w:r>
        <w:rPr>
          <w:rFonts w:ascii="Calibri" w:hAnsi="Calibri" w:cs="Calibri"/>
        </w:rPr>
        <w:t xml:space="preserve">, or more accurately, a CRUT can be a permissible appointee receiving funds </w:t>
      </w:r>
      <w:r w:rsidR="003E5D73">
        <w:rPr>
          <w:rFonts w:ascii="Calibri" w:hAnsi="Calibri" w:cs="Calibri"/>
        </w:rPr>
        <w:t xml:space="preserve">by direction </w:t>
      </w:r>
      <w:r>
        <w:rPr>
          <w:rFonts w:ascii="Calibri" w:hAnsi="Calibri" w:cs="Calibri"/>
        </w:rPr>
        <w:t>from the distribution committee’s lifetime limited power of appointment</w:t>
      </w:r>
      <w:r w:rsidR="00446AD6">
        <w:rPr>
          <w:rFonts w:ascii="Calibri" w:hAnsi="Calibri" w:cs="Calibri"/>
        </w:rPr>
        <w:t xml:space="preserve"> (an exception, of course would be S corp/ESBTs, which for various reasons will not work with this structure)</w:t>
      </w:r>
      <w:r w:rsidR="003E5D73">
        <w:rPr>
          <w:rFonts w:ascii="Calibri" w:hAnsi="Calibri" w:cs="Calibri"/>
        </w:rPr>
        <w:t>.</w:t>
      </w:r>
      <w:r w:rsidR="008C5BF2">
        <w:rPr>
          <w:rFonts w:ascii="Calibri" w:hAnsi="Calibri" w:cs="Calibri"/>
        </w:rPr>
        <w:t xml:space="preserve">  </w:t>
      </w:r>
    </w:p>
    <w:p w14:paraId="5D62B358" w14:textId="77777777" w:rsidR="003E5D73" w:rsidRDefault="008C5BF2" w:rsidP="003E5D73">
      <w:pPr>
        <w:autoSpaceDE w:val="0"/>
        <w:autoSpaceDN w:val="0"/>
        <w:adjustRightInd w:val="0"/>
        <w:spacing w:line="360" w:lineRule="auto"/>
        <w:ind w:firstLine="720"/>
        <w:rPr>
          <w:rFonts w:ascii="Calibri" w:hAnsi="Calibri" w:cs="Calibri"/>
        </w:rPr>
      </w:pPr>
      <w:r>
        <w:rPr>
          <w:rFonts w:ascii="Calibri" w:hAnsi="Calibri" w:cs="Calibri"/>
        </w:rPr>
        <w:t xml:space="preserve">In PLR 9821029, a </w:t>
      </w:r>
      <w:r w:rsidRPr="008C5BF2">
        <w:rPr>
          <w:rFonts w:ascii="Calibri" w:hAnsi="Calibri" w:cs="Calibri"/>
        </w:rPr>
        <w:t>Settlor created the Trust to hold, manage, invest, and reinvest the Trust's property for Beneficiary</w:t>
      </w:r>
      <w:r>
        <w:rPr>
          <w:rFonts w:ascii="Calibri" w:hAnsi="Calibri" w:cs="Calibri"/>
        </w:rPr>
        <w:t xml:space="preserve">, </w:t>
      </w:r>
      <w:r w:rsidRPr="008C5BF2">
        <w:rPr>
          <w:rFonts w:ascii="Calibri" w:hAnsi="Calibri" w:cs="Calibri"/>
        </w:rPr>
        <w:t xml:space="preserve">an adult </w:t>
      </w:r>
      <w:r>
        <w:rPr>
          <w:rFonts w:ascii="Calibri" w:hAnsi="Calibri" w:cs="Calibri"/>
        </w:rPr>
        <w:t>with</w:t>
      </w:r>
      <w:r w:rsidRPr="008C5BF2">
        <w:rPr>
          <w:rFonts w:ascii="Calibri" w:hAnsi="Calibri" w:cs="Calibri"/>
        </w:rPr>
        <w:t xml:space="preserve"> no living descendants</w:t>
      </w:r>
      <w:r w:rsidR="00F73B27">
        <w:rPr>
          <w:rFonts w:ascii="Calibri" w:hAnsi="Calibri" w:cs="Calibri"/>
        </w:rPr>
        <w:t xml:space="preserve">.  </w:t>
      </w:r>
      <w:r w:rsidR="00F73B27" w:rsidRPr="00F73B27">
        <w:rPr>
          <w:rFonts w:ascii="Calibri" w:hAnsi="Calibri" w:cs="Calibri"/>
        </w:rPr>
        <w:t xml:space="preserve">Beneficiary </w:t>
      </w:r>
      <w:r w:rsidR="00F73B27">
        <w:rPr>
          <w:rFonts w:ascii="Calibri" w:hAnsi="Calibri" w:cs="Calibri"/>
        </w:rPr>
        <w:t>held</w:t>
      </w:r>
      <w:r w:rsidR="00F73B27" w:rsidRPr="00F73B27">
        <w:rPr>
          <w:rFonts w:ascii="Calibri" w:hAnsi="Calibri" w:cs="Calibri"/>
        </w:rPr>
        <w:t xml:space="preserve"> the lifetime power to appoint any part or all of the Trust's principal to any one or more of his living descendants and any charitable organizations in trust or otherwise</w:t>
      </w:r>
      <w:r w:rsidR="00F73B27">
        <w:rPr>
          <w:rFonts w:ascii="Calibri" w:hAnsi="Calibri" w:cs="Calibri"/>
        </w:rPr>
        <w:t>.  The beneficiary proposed appointing to a CRUT for a 20</w:t>
      </w:r>
      <w:r w:rsidR="003F70AB">
        <w:rPr>
          <w:rFonts w:ascii="Calibri" w:hAnsi="Calibri" w:cs="Calibri"/>
        </w:rPr>
        <w:t>-</w:t>
      </w:r>
      <w:r w:rsidR="00F73B27">
        <w:rPr>
          <w:rFonts w:ascii="Calibri" w:hAnsi="Calibri" w:cs="Calibri"/>
        </w:rPr>
        <w:t>year term, with the trust receiving 5-50% unitrust and the charity receiving at least a 10% actuarially determined interest.  The IRS found that nothing prohibited a non</w:t>
      </w:r>
      <w:r w:rsidR="003F70AB">
        <w:rPr>
          <w:rFonts w:ascii="Calibri" w:hAnsi="Calibri" w:cs="Calibri"/>
        </w:rPr>
        <w:t>-</w:t>
      </w:r>
      <w:r w:rsidR="00F73B27">
        <w:rPr>
          <w:rFonts w:ascii="Calibri" w:hAnsi="Calibri" w:cs="Calibri"/>
        </w:rPr>
        <w:t>grantor trust from being both a donor and recipient of a CRUT.</w:t>
      </w:r>
      <w:r w:rsidR="00F73B27" w:rsidRPr="00F73B27">
        <w:rPr>
          <w:rFonts w:ascii="Calibri" w:hAnsi="Calibri" w:cs="Calibri"/>
          <w:vertAlign w:val="superscript"/>
        </w:rPr>
        <w:t xml:space="preserve"> </w:t>
      </w:r>
      <w:r w:rsidR="00F73B27" w:rsidRPr="00F73B27">
        <w:rPr>
          <w:rFonts w:ascii="Calibri" w:hAnsi="Calibri" w:cs="Calibri"/>
          <w:vertAlign w:val="superscript"/>
        </w:rPr>
        <w:footnoteReference w:id="505"/>
      </w:r>
    </w:p>
    <w:p w14:paraId="12A1B893" w14:textId="77777777" w:rsidR="00213D58" w:rsidRDefault="00272E11" w:rsidP="003E5D73">
      <w:pPr>
        <w:autoSpaceDE w:val="0"/>
        <w:autoSpaceDN w:val="0"/>
        <w:adjustRightInd w:val="0"/>
        <w:spacing w:line="360" w:lineRule="auto"/>
        <w:ind w:firstLine="720"/>
        <w:rPr>
          <w:rFonts w:ascii="Calibri" w:hAnsi="Calibri" w:cs="Calibri"/>
        </w:rPr>
      </w:pPr>
      <w:r>
        <w:rPr>
          <w:rFonts w:ascii="Calibri" w:hAnsi="Calibri" w:cs="Calibri"/>
        </w:rPr>
        <w:lastRenderedPageBreak/>
        <w:t xml:space="preserve">In an IRS general counsel memorandum, the IRS clarified </w:t>
      </w:r>
      <w:r w:rsidR="00213D58">
        <w:rPr>
          <w:rFonts w:ascii="Calibri" w:hAnsi="Calibri" w:cs="Calibri"/>
        </w:rPr>
        <w:t xml:space="preserve">and concluded </w:t>
      </w:r>
      <w:r>
        <w:rPr>
          <w:rFonts w:ascii="Calibri" w:hAnsi="Calibri" w:cs="Calibri"/>
        </w:rPr>
        <w:t>that an</w:t>
      </w:r>
      <w:r w:rsidRPr="00272E11">
        <w:rPr>
          <w:rFonts w:ascii="Calibri" w:hAnsi="Calibri" w:cs="Calibri"/>
        </w:rPr>
        <w:t xml:space="preserve"> estate</w:t>
      </w:r>
      <w:r w:rsidR="00213D58">
        <w:rPr>
          <w:rFonts w:ascii="Calibri" w:hAnsi="Calibri" w:cs="Calibri"/>
        </w:rPr>
        <w:t xml:space="preserve"> (or</w:t>
      </w:r>
      <w:r>
        <w:rPr>
          <w:rFonts w:ascii="Calibri" w:hAnsi="Calibri" w:cs="Calibri"/>
        </w:rPr>
        <w:t xml:space="preserve"> non-grantor trust) would be</w:t>
      </w:r>
      <w:r w:rsidRPr="00272E11">
        <w:rPr>
          <w:rFonts w:ascii="Calibri" w:hAnsi="Calibri" w:cs="Calibri"/>
        </w:rPr>
        <w:t xml:space="preserve"> entitled to a deduction under IRC 661(a) for amounts distributed to the charitable remainder trust</w:t>
      </w:r>
      <w:r w:rsidR="00213D58">
        <w:rPr>
          <w:rFonts w:ascii="Calibri" w:hAnsi="Calibri" w:cs="Calibri"/>
        </w:rPr>
        <w:t xml:space="preserve"> (up to DNI of course)</w:t>
      </w:r>
      <w:r>
        <w:rPr>
          <w:rFonts w:ascii="Calibri" w:hAnsi="Calibri" w:cs="Calibri"/>
        </w:rPr>
        <w:t>.</w:t>
      </w:r>
      <w:r>
        <w:rPr>
          <w:rStyle w:val="FootnoteReference"/>
          <w:rFonts w:ascii="Calibri" w:hAnsi="Calibri" w:cs="Calibri"/>
        </w:rPr>
        <w:footnoteReference w:id="506"/>
      </w:r>
      <w:r w:rsidR="00213D58">
        <w:rPr>
          <w:rFonts w:ascii="Calibri" w:hAnsi="Calibri" w:cs="Calibri"/>
        </w:rPr>
        <w:t xml:space="preserve">  To quote a few key passages: “</w:t>
      </w:r>
    </w:p>
    <w:p w14:paraId="6F47703B" w14:textId="77777777" w:rsidR="00213D58" w:rsidRDefault="00213D58" w:rsidP="00213D58">
      <w:pPr>
        <w:autoSpaceDE w:val="0"/>
        <w:autoSpaceDN w:val="0"/>
        <w:adjustRightInd w:val="0"/>
        <w:ind w:left="720"/>
      </w:pPr>
      <w:r w:rsidRPr="00213D58">
        <w:rPr>
          <w:rFonts w:ascii="Calibri" w:hAnsi="Calibri" w:cs="Calibri"/>
        </w:rPr>
        <w:t>Section 661(a) provides, in general, that an estate may deduct any income, not to exceed the estate's distributable net income, that was properly paid or credited or required to be distributed within the estate's taxable year.  This section, in conjunction with  IRC 643 and 662, implements the "conduit theory" of estate taxation, under which the income of an estate is "passed through" to the beneficiaries of the estate, and the beneficiaries must include the income which they actually receive or have a right to receive in their gross income</w:t>
      </w:r>
      <w:r>
        <w:rPr>
          <w:rFonts w:ascii="Calibri" w:hAnsi="Calibri" w:cs="Calibri"/>
        </w:rPr>
        <w:t>.***</w:t>
      </w:r>
      <w:r w:rsidRPr="00213D58">
        <w:t xml:space="preserve"> </w:t>
      </w:r>
      <w:r w:rsidRPr="00213D58">
        <w:rPr>
          <w:rFonts w:ascii="Calibri" w:hAnsi="Calibri" w:cs="Calibri"/>
        </w:rPr>
        <w:t>Therefore, the trust is considered to be a beneficiary of the decedent's estate.</w:t>
      </w:r>
      <w:r>
        <w:rPr>
          <w:rFonts w:ascii="Calibri" w:hAnsi="Calibri" w:cs="Calibri"/>
        </w:rPr>
        <w:t>***</w:t>
      </w:r>
      <w:r w:rsidRPr="00213D58">
        <w:t xml:space="preserve"> </w:t>
      </w:r>
      <w:r w:rsidRPr="00213D58">
        <w:rPr>
          <w:rFonts w:ascii="Calibri" w:hAnsi="Calibri" w:cs="Calibri"/>
        </w:rPr>
        <w:t>Since we have concluded in our discussion of Issue (1) that no amounts distributed to the charitable remainder trust in this case are considered as set aside for charitable purposes within the meaning of section 642(c)(2) of the Code, the prohibition of  Treas. Reg. 1.663(a)-2 on section  661 deductions for amounts paid or set aside for charitable purposes has no application in this case.  Thus the estate is entitled to a deduction under section 661 of the Code for its distributions to the trust, up to the amount of the estate's distributable net income.</w:t>
      </w:r>
      <w:r w:rsidRPr="00213D58">
        <w:t xml:space="preserve"> </w:t>
      </w:r>
    </w:p>
    <w:p w14:paraId="22A97ECC" w14:textId="77777777" w:rsidR="00272E11" w:rsidRDefault="00213D58" w:rsidP="00213D58">
      <w:pPr>
        <w:autoSpaceDE w:val="0"/>
        <w:autoSpaceDN w:val="0"/>
        <w:adjustRightInd w:val="0"/>
        <w:ind w:left="720"/>
        <w:rPr>
          <w:rFonts w:ascii="Calibri" w:hAnsi="Calibri" w:cs="Calibri"/>
        </w:rPr>
      </w:pPr>
      <w:r w:rsidRPr="00213D58">
        <w:rPr>
          <w:rFonts w:ascii="Calibri" w:hAnsi="Calibri" w:cs="Calibri"/>
        </w:rPr>
        <w:t>These provisions operate no differently where the beneficiary is tax exempt, as is a charitable remainder trust under section 664(c).  In particular, section 661(a) does not require that a distribution be made or required to be made to a taxable beneficiary in order to be deductible under that section.  The only requirement of section 662 is that the beneficiary include the distributed amount in its gross income.  A charitable remainder trust is required, under IRC 6034, to file returns.  Forms 5227 and 1041-A (if the trust has any unrelated business income) have been promulgated by the Service for, inter alia, a fiduciary to report the gross income of the trust.  Additionally, when the charitable remainder trust distributes income to the income beneficiary, the income maintains its character as ordinary income.   IRC 664(b)(1).</w:t>
      </w:r>
      <w:r>
        <w:rPr>
          <w:rFonts w:ascii="Calibri" w:hAnsi="Calibri" w:cs="Calibri"/>
        </w:rPr>
        <w:t>”</w:t>
      </w:r>
    </w:p>
    <w:p w14:paraId="5B721939" w14:textId="77777777" w:rsidR="00213D58" w:rsidRDefault="00213D58" w:rsidP="00213D58">
      <w:pPr>
        <w:autoSpaceDE w:val="0"/>
        <w:autoSpaceDN w:val="0"/>
        <w:adjustRightInd w:val="0"/>
        <w:spacing w:line="360" w:lineRule="auto"/>
        <w:ind w:left="720"/>
        <w:rPr>
          <w:rFonts w:ascii="Calibri" w:hAnsi="Calibri" w:cs="Calibri"/>
        </w:rPr>
      </w:pPr>
    </w:p>
    <w:p w14:paraId="433E73A0" w14:textId="77777777" w:rsidR="00213D58" w:rsidRDefault="00213D58" w:rsidP="003E5D73">
      <w:pPr>
        <w:autoSpaceDE w:val="0"/>
        <w:autoSpaceDN w:val="0"/>
        <w:adjustRightInd w:val="0"/>
        <w:spacing w:line="360" w:lineRule="auto"/>
        <w:ind w:firstLine="720"/>
        <w:rPr>
          <w:rFonts w:ascii="Calibri" w:hAnsi="Calibri" w:cs="Calibri"/>
        </w:rPr>
      </w:pPr>
      <w:r>
        <w:rPr>
          <w:rFonts w:ascii="Calibri" w:hAnsi="Calibri" w:cs="Calibri"/>
        </w:rPr>
        <w:t xml:space="preserve">Thus, it should be clear from above that while there is no charitable income tax deduction permitted for a contribution from a non-grantor trust or estate to a CRT, there is a garden variety income distribution deduction.  For certain situations, this is actually more valuable – particularly where the contribution to a CRT would comprise of anything but low basis assets.  From a tax deferral perspective, an </w:t>
      </w:r>
      <w:r w:rsidR="009A6550">
        <w:rPr>
          <w:rFonts w:ascii="Calibri" w:hAnsi="Calibri" w:cs="Calibri"/>
        </w:rPr>
        <w:t>individual’s</w:t>
      </w:r>
      <w:r>
        <w:rPr>
          <w:rFonts w:ascii="Calibri" w:hAnsi="Calibri" w:cs="Calibri"/>
        </w:rPr>
        <w:t xml:space="preserve"> contribution to a CRT is</w:t>
      </w:r>
      <w:r w:rsidR="009A6550">
        <w:rPr>
          <w:rFonts w:ascii="Calibri" w:hAnsi="Calibri" w:cs="Calibri"/>
        </w:rPr>
        <w:t xml:space="preserve"> more</w:t>
      </w:r>
      <w:r>
        <w:rPr>
          <w:rFonts w:ascii="Calibri" w:hAnsi="Calibri" w:cs="Calibri"/>
        </w:rPr>
        <w:t xml:space="preserve"> inefficient the higher the basis</w:t>
      </w:r>
      <w:r w:rsidR="009A6550">
        <w:rPr>
          <w:rFonts w:ascii="Calibri" w:hAnsi="Calibri" w:cs="Calibri"/>
        </w:rPr>
        <w:t xml:space="preserve"> of the assets contributed, because one the deferral is less.  For </w:t>
      </w:r>
      <w:r w:rsidR="009A6550">
        <w:rPr>
          <w:rFonts w:ascii="Calibri" w:hAnsi="Calibri" w:cs="Calibri"/>
        </w:rPr>
        <w:lastRenderedPageBreak/>
        <w:t>example, the tax deferral saved by contributing a $1 million, $0 basis asset will be much greater than the tax deferral saved by contributing a $1 million, $900,000 basis asset.  “Crunching the numbers”, depending on the growth and tax rate assumptions, families will almost always be better off financial by selling a high basis asset and paying the tax than by contributing the asset to a CRT.  By contrast, when the basis is below 20% or so, the value of the deferral to the unitrust beneficiary can often make up for the fact that the charity is getting an actuarial value of at least 10% of the contributed corpus</w:t>
      </w:r>
      <w:r w:rsidR="00F82AA4">
        <w:rPr>
          <w:rFonts w:ascii="Calibri" w:hAnsi="Calibri" w:cs="Calibri"/>
        </w:rPr>
        <w:t xml:space="preserve"> (again, this depends on several factors such as assumed </w:t>
      </w:r>
      <w:r w:rsidR="00106FCE">
        <w:rPr>
          <w:rFonts w:ascii="Calibri" w:hAnsi="Calibri" w:cs="Calibri"/>
        </w:rPr>
        <w:t xml:space="preserve">investment </w:t>
      </w:r>
      <w:r w:rsidR="00F82AA4">
        <w:rPr>
          <w:rFonts w:ascii="Calibri" w:hAnsi="Calibri" w:cs="Calibri"/>
        </w:rPr>
        <w:t>returns, how long the settlor</w:t>
      </w:r>
      <w:r w:rsidR="00106FCE">
        <w:rPr>
          <w:rFonts w:ascii="Calibri" w:hAnsi="Calibri" w:cs="Calibri"/>
        </w:rPr>
        <w:t>/spouse</w:t>
      </w:r>
      <w:r w:rsidR="00F82AA4">
        <w:rPr>
          <w:rFonts w:ascii="Calibri" w:hAnsi="Calibri" w:cs="Calibri"/>
        </w:rPr>
        <w:t xml:space="preserve"> live, etc.)</w:t>
      </w:r>
      <w:r w:rsidR="009A6550">
        <w:rPr>
          <w:rFonts w:ascii="Calibri" w:hAnsi="Calibri" w:cs="Calibri"/>
        </w:rPr>
        <w:t>.</w:t>
      </w:r>
      <w:r>
        <w:rPr>
          <w:rFonts w:ascii="Calibri" w:hAnsi="Calibri" w:cs="Calibri"/>
        </w:rPr>
        <w:t xml:space="preserve"> </w:t>
      </w:r>
    </w:p>
    <w:p w14:paraId="4DE6ABBF" w14:textId="77777777" w:rsidR="0077263D" w:rsidRDefault="00F73B27" w:rsidP="003E5D73">
      <w:pPr>
        <w:autoSpaceDE w:val="0"/>
        <w:autoSpaceDN w:val="0"/>
        <w:adjustRightInd w:val="0"/>
        <w:spacing w:line="360" w:lineRule="auto"/>
        <w:ind w:firstLine="720"/>
        <w:rPr>
          <w:rFonts w:ascii="Calibri" w:hAnsi="Calibri" w:cs="Calibri"/>
        </w:rPr>
      </w:pPr>
      <w:r>
        <w:rPr>
          <w:rFonts w:ascii="Calibri" w:hAnsi="Calibri" w:cs="Calibri"/>
        </w:rPr>
        <w:t xml:space="preserve">While the chart below is comparing the use of an incomplete gift non-grantor trust, the comparison and general principles hold equally true when comparing any other non-grantor trust.  </w:t>
      </w:r>
      <w:r w:rsidR="009A6550">
        <w:rPr>
          <w:rFonts w:ascii="Calibri" w:hAnsi="Calibri" w:cs="Calibri"/>
        </w:rPr>
        <w:t>Contributing through a non-grantor trust or estate</w:t>
      </w:r>
      <w:r w:rsidR="003E5D73">
        <w:rPr>
          <w:rFonts w:ascii="Calibri" w:hAnsi="Calibri" w:cs="Calibri"/>
        </w:rPr>
        <w:t xml:space="preserve"> enables much more efficient tax deferral than an ordinary CRUT</w:t>
      </w:r>
      <w:r w:rsidR="0077263D">
        <w:rPr>
          <w:rFonts w:ascii="Calibri" w:hAnsi="Calibri" w:cs="Calibri"/>
        </w:rPr>
        <w:t>, which can only offset, under the best case scenario, the actuarial value of the charity’s interest via Schedule A deduction, as opposed to the entire amount</w:t>
      </w:r>
      <w:r w:rsidR="003E5D73">
        <w:rPr>
          <w:rFonts w:ascii="Calibri" w:hAnsi="Calibri" w:cs="Calibri"/>
        </w:rPr>
        <w:t xml:space="preserve">.  </w:t>
      </w:r>
    </w:p>
    <w:p w14:paraId="2557AA6F" w14:textId="77777777" w:rsidR="003E5D73" w:rsidRDefault="003E5D73" w:rsidP="003E5D73">
      <w:pPr>
        <w:autoSpaceDE w:val="0"/>
        <w:autoSpaceDN w:val="0"/>
        <w:adjustRightInd w:val="0"/>
        <w:spacing w:line="360" w:lineRule="auto"/>
        <w:ind w:firstLine="720"/>
        <w:rPr>
          <w:rFonts w:ascii="Calibri" w:hAnsi="Calibri" w:cs="Calibri"/>
        </w:rPr>
      </w:pPr>
      <w:r>
        <w:rPr>
          <w:rFonts w:ascii="Calibri" w:hAnsi="Calibri" w:cs="Calibri"/>
        </w:rPr>
        <w:t>For more details on this technique</w:t>
      </w:r>
      <w:r w:rsidR="009A6550">
        <w:rPr>
          <w:rFonts w:ascii="Calibri" w:hAnsi="Calibri" w:cs="Calibri"/>
        </w:rPr>
        <w:t xml:space="preserve"> using incomplete gift non-grantor trusts</w:t>
      </w:r>
      <w:r>
        <w:rPr>
          <w:rFonts w:ascii="Calibri" w:hAnsi="Calibri" w:cs="Calibri"/>
        </w:rPr>
        <w:t>, see the author’s separate presentations on this subject.</w:t>
      </w:r>
      <w:r w:rsidR="009A6550">
        <w:rPr>
          <w:rStyle w:val="FootnoteReference"/>
          <w:rFonts w:ascii="Calibri" w:hAnsi="Calibri" w:cs="Calibri"/>
        </w:rPr>
        <w:footnoteReference w:id="507"/>
      </w:r>
      <w:r>
        <w:rPr>
          <w:rFonts w:ascii="Calibri" w:hAnsi="Calibri" w:cs="Calibri"/>
        </w:rPr>
        <w:t xml:space="preserve">  Consider the following chart which illustrates the potential effect over 21 years of several tax planning techniques involving the sale of a $10 million property with $4 million basis, half of the gain being </w:t>
      </w:r>
      <w:r w:rsidR="007E17CD">
        <w:rPr>
          <w:rFonts w:ascii="Calibri" w:hAnsi="Calibri" w:cs="Calibri"/>
        </w:rPr>
        <w:t>§</w:t>
      </w:r>
      <w:r>
        <w:rPr>
          <w:rFonts w:ascii="Calibri" w:hAnsi="Calibri" w:cs="Calibri"/>
        </w:rPr>
        <w:t xml:space="preserve">1250 recapture, with subsequent post-sale return on investment net of expenses of 7.5%, using a </w:t>
      </w:r>
      <w:r w:rsidR="007E17CD">
        <w:rPr>
          <w:rFonts w:ascii="Calibri" w:hAnsi="Calibri" w:cs="Calibri"/>
        </w:rPr>
        <w:t xml:space="preserve">20 year </w:t>
      </w:r>
      <w:r>
        <w:rPr>
          <w:rFonts w:ascii="Calibri" w:hAnsi="Calibri" w:cs="Calibri"/>
        </w:rPr>
        <w:t>CRUT with a minimized charitable interest (approx. 10%), state income tax rate of 9.9% an</w:t>
      </w:r>
      <w:r w:rsidR="007E17CD">
        <w:rPr>
          <w:rFonts w:ascii="Calibri" w:hAnsi="Calibri" w:cs="Calibri"/>
        </w:rPr>
        <w:t>d top federal rates of 20% LTCG,</w:t>
      </w:r>
      <w:r>
        <w:rPr>
          <w:rFonts w:ascii="Calibri" w:hAnsi="Calibri" w:cs="Calibri"/>
        </w:rPr>
        <w:t xml:space="preserve"> 25% </w:t>
      </w:r>
      <w:r w:rsidR="007E17CD">
        <w:rPr>
          <w:rFonts w:ascii="Calibri" w:hAnsi="Calibri" w:cs="Calibri"/>
        </w:rPr>
        <w:t>§</w:t>
      </w:r>
      <w:r>
        <w:rPr>
          <w:rFonts w:ascii="Calibri" w:hAnsi="Calibri" w:cs="Calibri"/>
        </w:rPr>
        <w:t>1250 recapture and 3.8% net investment income tax.</w:t>
      </w:r>
    </w:p>
    <w:p w14:paraId="351A67D8" w14:textId="77777777" w:rsidR="0077263D" w:rsidRDefault="003E5D73" w:rsidP="00606B43">
      <w:pPr>
        <w:autoSpaceDE w:val="0"/>
        <w:autoSpaceDN w:val="0"/>
        <w:adjustRightInd w:val="0"/>
        <w:spacing w:line="360" w:lineRule="auto"/>
        <w:rPr>
          <w:rFonts w:ascii="Calibri" w:hAnsi="Calibri" w:cs="Helv"/>
          <w:color w:val="000000"/>
        </w:rPr>
      </w:pPr>
      <w:r>
        <w:rPr>
          <w:noProof/>
        </w:rPr>
        <w:lastRenderedPageBreak/>
        <w:drawing>
          <wp:inline distT="0" distB="0" distL="0" distR="0" wp14:anchorId="3C433101" wp14:editId="78BBD584">
            <wp:extent cx="5874327" cy="3834938"/>
            <wp:effectExtent l="0" t="0" r="1270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E96E19">
        <w:rPr>
          <w:rFonts w:ascii="Calibri" w:hAnsi="Calibri" w:cs="Helv"/>
          <w:color w:val="000000"/>
        </w:rPr>
        <w:br w:type="page"/>
      </w:r>
    </w:p>
    <w:p w14:paraId="510EA601" w14:textId="77777777" w:rsidR="0077263D" w:rsidRPr="0077263D" w:rsidRDefault="0077263D" w:rsidP="0077263D">
      <w:pPr>
        <w:pStyle w:val="ListParagraph"/>
        <w:spacing w:line="360" w:lineRule="auto"/>
        <w:ind w:left="0" w:firstLine="720"/>
        <w:rPr>
          <w:rFonts w:ascii="Calibri" w:hAnsi="Calibri" w:cs="Helv"/>
          <w:b/>
          <w:color w:val="000000"/>
        </w:rPr>
      </w:pPr>
      <w:r w:rsidRPr="0077263D">
        <w:rPr>
          <w:rFonts w:ascii="Calibri" w:hAnsi="Calibri" w:cs="Helv"/>
          <w:b/>
          <w:color w:val="000000"/>
        </w:rPr>
        <w:lastRenderedPageBreak/>
        <w:t>Does the “Character” of Income as UBTI Pass Out on K-1 to Beneficiaries when the Distribution Qualifies for the Deduction under IRC §661 rather than §642(c)?</w:t>
      </w:r>
    </w:p>
    <w:p w14:paraId="3A035AB7" w14:textId="77777777" w:rsidR="0077263D" w:rsidRPr="0077263D" w:rsidRDefault="0077263D" w:rsidP="0077263D">
      <w:pPr>
        <w:pStyle w:val="ListParagraph"/>
        <w:spacing w:line="360" w:lineRule="auto"/>
        <w:ind w:left="0" w:firstLine="720"/>
        <w:rPr>
          <w:rFonts w:ascii="Calibri" w:hAnsi="Calibri" w:cs="Helv"/>
          <w:color w:val="000000"/>
        </w:rPr>
      </w:pPr>
      <w:r w:rsidRPr="0077263D">
        <w:rPr>
          <w:rFonts w:ascii="Calibri" w:hAnsi="Calibri" w:cs="Helv"/>
          <w:color w:val="000000"/>
        </w:rPr>
        <w:t xml:space="preserve">This is a vexing </w:t>
      </w:r>
      <w:r w:rsidR="009A6550">
        <w:rPr>
          <w:rFonts w:ascii="Calibri" w:hAnsi="Calibri" w:cs="Helv"/>
          <w:color w:val="000000"/>
        </w:rPr>
        <w:t xml:space="preserve">but extremely important </w:t>
      </w:r>
      <w:r w:rsidRPr="0077263D">
        <w:rPr>
          <w:rFonts w:ascii="Calibri" w:hAnsi="Calibri" w:cs="Helv"/>
          <w:color w:val="000000"/>
        </w:rPr>
        <w:t>question</w:t>
      </w:r>
      <w:r w:rsidR="009A6550">
        <w:rPr>
          <w:rFonts w:ascii="Calibri" w:hAnsi="Calibri" w:cs="Helv"/>
          <w:color w:val="000000"/>
        </w:rPr>
        <w:t xml:space="preserve"> to address in planning for any transfer to a CRT from a trust or estate</w:t>
      </w:r>
      <w:r w:rsidR="00326D8B">
        <w:rPr>
          <w:rFonts w:ascii="Calibri" w:hAnsi="Calibri" w:cs="Helv"/>
          <w:color w:val="000000"/>
        </w:rPr>
        <w:t xml:space="preserve"> if it holds any business interests</w:t>
      </w:r>
      <w:r w:rsidRPr="0077263D">
        <w:rPr>
          <w:rFonts w:ascii="Calibri" w:hAnsi="Calibri" w:cs="Helv"/>
          <w:color w:val="000000"/>
        </w:rPr>
        <w:t xml:space="preserve">.  No treatise I have found discusses the issue very well nor has a firm opinion or citation.  Someone has to take a stand!  So, with the caveat that I may be the lone attorney on the planet to have this firm opinion, let’s explore why this question is important, state the arguments and stake an opinion: </w:t>
      </w:r>
      <w:r w:rsidRPr="0077263D">
        <w:rPr>
          <w:rFonts w:ascii="Calibri" w:hAnsi="Calibri" w:cs="Helv"/>
          <w:i/>
          <w:color w:val="000000"/>
        </w:rPr>
        <w:t xml:space="preserve">amounts passing from an estate or trust to charitable remainder trust are </w:t>
      </w:r>
      <w:r w:rsidRPr="0077263D">
        <w:rPr>
          <w:rFonts w:ascii="Calibri" w:hAnsi="Calibri" w:cs="Helv"/>
          <w:b/>
          <w:i/>
          <w:color w:val="000000"/>
        </w:rPr>
        <w:t>not</w:t>
      </w:r>
      <w:r w:rsidRPr="0077263D">
        <w:rPr>
          <w:rFonts w:ascii="Calibri" w:hAnsi="Calibri" w:cs="Helv"/>
          <w:i/>
          <w:color w:val="000000"/>
        </w:rPr>
        <w:t xml:space="preserve"> UBTI, even if some of the income on the K-1 would have been UBTI had it been received by a charity directly or through ownership of a partnership or S corporation</w:t>
      </w:r>
      <w:r w:rsidRPr="0077263D">
        <w:rPr>
          <w:rFonts w:ascii="Calibri" w:hAnsi="Calibri" w:cs="Helv"/>
          <w:color w:val="000000"/>
        </w:rPr>
        <w:t>.</w:t>
      </w:r>
    </w:p>
    <w:p w14:paraId="2DBBFCF7" w14:textId="77777777" w:rsidR="00326D8B" w:rsidRDefault="009A6550" w:rsidP="0077263D">
      <w:pPr>
        <w:pStyle w:val="ListParagraph"/>
        <w:spacing w:line="360" w:lineRule="auto"/>
        <w:ind w:left="0" w:firstLine="720"/>
        <w:rPr>
          <w:rFonts w:ascii="Calibri" w:hAnsi="Calibri" w:cs="Helv"/>
          <w:color w:val="000000"/>
        </w:rPr>
      </w:pPr>
      <w:r>
        <w:rPr>
          <w:rFonts w:ascii="Calibri" w:hAnsi="Calibri" w:cs="Helv"/>
          <w:color w:val="000000"/>
        </w:rPr>
        <w:t>Being confident in this conclusion is crucial if any business sale or income is involved, because UBTI is taxed at 100% rate for CRTs!</w:t>
      </w:r>
      <w:r>
        <w:rPr>
          <w:rStyle w:val="FootnoteReference"/>
          <w:rFonts w:ascii="Calibri" w:hAnsi="Calibri" w:cs="Helv"/>
          <w:color w:val="000000"/>
        </w:rPr>
        <w:footnoteReference w:id="508"/>
      </w:r>
      <w:r>
        <w:rPr>
          <w:rFonts w:ascii="Calibri" w:hAnsi="Calibri" w:cs="Helv"/>
          <w:color w:val="000000"/>
        </w:rPr>
        <w:t xml:space="preserve">  </w:t>
      </w:r>
      <w:r w:rsidR="00326D8B">
        <w:rPr>
          <w:rFonts w:ascii="Calibri" w:hAnsi="Calibri" w:cs="Helv"/>
          <w:color w:val="000000"/>
        </w:rPr>
        <w:t>What if an estate or trust sells some S corporation stock (which would be UBTI if sold by a charity) and then happens to make a contribution to a CRT in the same year?</w:t>
      </w:r>
    </w:p>
    <w:p w14:paraId="18FAB47B" w14:textId="77777777" w:rsidR="0077263D" w:rsidRPr="0077263D" w:rsidRDefault="0077263D" w:rsidP="0077263D">
      <w:pPr>
        <w:pStyle w:val="ListParagraph"/>
        <w:spacing w:line="360" w:lineRule="auto"/>
        <w:ind w:left="0" w:firstLine="720"/>
        <w:rPr>
          <w:rFonts w:ascii="Calibri" w:hAnsi="Calibri" w:cs="Helv"/>
          <w:color w:val="000000"/>
        </w:rPr>
      </w:pPr>
      <w:r w:rsidRPr="0077263D">
        <w:rPr>
          <w:rFonts w:ascii="Calibri" w:hAnsi="Calibri" w:cs="Helv"/>
          <w:color w:val="000000"/>
        </w:rPr>
        <w:t>The reason why the question is confusing</w:t>
      </w:r>
      <w:r w:rsidR="00326D8B">
        <w:rPr>
          <w:rFonts w:ascii="Calibri" w:hAnsi="Calibri" w:cs="Helv"/>
          <w:color w:val="000000"/>
        </w:rPr>
        <w:t xml:space="preserve"> to many practitioners</w:t>
      </w:r>
      <w:r w:rsidRPr="0077263D">
        <w:rPr>
          <w:rFonts w:ascii="Calibri" w:hAnsi="Calibri" w:cs="Helv"/>
          <w:color w:val="000000"/>
        </w:rPr>
        <w:t xml:space="preserve"> is that the general rule for distributions carrying out income to beneficiaries is that the </w:t>
      </w:r>
      <w:r w:rsidRPr="0077263D">
        <w:rPr>
          <w:rFonts w:ascii="Calibri" w:hAnsi="Calibri" w:cs="Helv"/>
          <w:b/>
          <w:i/>
          <w:color w:val="000000"/>
        </w:rPr>
        <w:t>character</w:t>
      </w:r>
      <w:r w:rsidRPr="0077263D">
        <w:rPr>
          <w:rFonts w:ascii="Calibri" w:hAnsi="Calibri" w:cs="Helv"/>
          <w:color w:val="000000"/>
        </w:rPr>
        <w:t xml:space="preserve"> of the income flows through to the beneficiary.  IRC §662, which governs the i</w:t>
      </w:r>
      <w:r w:rsidRPr="0077263D">
        <w:rPr>
          <w:rFonts w:ascii="Calibri" w:hAnsi="Calibri" w:cs="Helv"/>
          <w:color w:val="000000"/>
          <w:lang w:val="en"/>
        </w:rPr>
        <w:t xml:space="preserve">nclusion of amounts in gross income of beneficiaries of estates and trusts accumulating income or distributing corpus, </w:t>
      </w:r>
      <w:r w:rsidRPr="0077263D">
        <w:rPr>
          <w:rFonts w:ascii="Calibri" w:hAnsi="Calibri" w:cs="Helv"/>
          <w:color w:val="000000"/>
        </w:rPr>
        <w:t>lays this out as follows:</w:t>
      </w:r>
    </w:p>
    <w:p w14:paraId="64EA91C5" w14:textId="77777777" w:rsidR="0077263D" w:rsidRPr="0077263D" w:rsidRDefault="0077263D" w:rsidP="0077263D">
      <w:pPr>
        <w:pStyle w:val="ListParagraph"/>
        <w:rPr>
          <w:rFonts w:ascii="Calibri" w:hAnsi="Calibri" w:cs="Helv"/>
          <w:color w:val="000000"/>
          <w:lang w:val="en"/>
        </w:rPr>
      </w:pPr>
      <w:r w:rsidRPr="0077263D">
        <w:rPr>
          <w:rFonts w:ascii="Calibri" w:hAnsi="Calibri" w:cs="Helv"/>
          <w:b/>
          <w:bCs/>
          <w:color w:val="000000"/>
          <w:lang w:val="en"/>
        </w:rPr>
        <w:t>“(b) Character of amounts</w:t>
      </w:r>
      <w:r w:rsidRPr="0077263D">
        <w:rPr>
          <w:rFonts w:ascii="Calibri" w:hAnsi="Calibri" w:cs="Helv"/>
          <w:color w:val="000000"/>
          <w:lang w:val="en"/>
        </w:rPr>
        <w:t xml:space="preserve"> </w:t>
      </w:r>
    </w:p>
    <w:p w14:paraId="15E73086" w14:textId="77777777" w:rsidR="0077263D" w:rsidRPr="0077263D" w:rsidRDefault="0077263D" w:rsidP="0077263D">
      <w:pPr>
        <w:pStyle w:val="ListParagraph"/>
        <w:rPr>
          <w:rFonts w:ascii="Calibri" w:hAnsi="Calibri" w:cs="Helv"/>
          <w:color w:val="000000"/>
          <w:lang w:val="en"/>
        </w:rPr>
      </w:pPr>
      <w:r w:rsidRPr="0077263D">
        <w:rPr>
          <w:rFonts w:ascii="Calibri" w:hAnsi="Calibri" w:cs="Helv"/>
          <w:color w:val="000000"/>
          <w:lang w:val="en"/>
        </w:rPr>
        <w:t xml:space="preserve">The amounts determined under subsection (a) </w:t>
      </w:r>
      <w:r w:rsidRPr="0077263D">
        <w:rPr>
          <w:rFonts w:ascii="Calibri" w:hAnsi="Calibri" w:cs="Helv"/>
          <w:b/>
          <w:color w:val="000000"/>
          <w:lang w:val="en"/>
        </w:rPr>
        <w:t xml:space="preserve">shall have the same </w:t>
      </w:r>
      <w:r w:rsidRPr="0077263D">
        <w:rPr>
          <w:rFonts w:ascii="Calibri" w:hAnsi="Calibri" w:cs="Helv"/>
          <w:b/>
          <w:i/>
          <w:color w:val="000000"/>
          <w:lang w:val="en"/>
        </w:rPr>
        <w:t>character</w:t>
      </w:r>
      <w:r w:rsidRPr="0077263D">
        <w:rPr>
          <w:rFonts w:ascii="Calibri" w:hAnsi="Calibri" w:cs="Helv"/>
          <w:b/>
          <w:color w:val="000000"/>
          <w:lang w:val="en"/>
        </w:rPr>
        <w:t xml:space="preserve"> in the hands of the beneficiary as in the hands of the estate or trust</w:t>
      </w:r>
      <w:r w:rsidRPr="0077263D">
        <w:rPr>
          <w:rFonts w:ascii="Calibri" w:hAnsi="Calibri" w:cs="Helv"/>
          <w:color w:val="000000"/>
          <w:lang w:val="en"/>
        </w:rPr>
        <w:t xml:space="preserve">. </w:t>
      </w:r>
    </w:p>
    <w:p w14:paraId="613D451E" w14:textId="77777777" w:rsidR="0077263D" w:rsidRPr="0077263D" w:rsidRDefault="0077263D" w:rsidP="0077263D">
      <w:pPr>
        <w:pStyle w:val="ListParagraph"/>
        <w:rPr>
          <w:rFonts w:ascii="Calibri" w:hAnsi="Calibri" w:cs="Helv"/>
          <w:color w:val="000000"/>
          <w:lang w:val="en"/>
        </w:rPr>
      </w:pPr>
      <w:r w:rsidRPr="0077263D">
        <w:rPr>
          <w:rFonts w:ascii="Calibri" w:hAnsi="Calibri" w:cs="Helv"/>
          <w:color w:val="000000"/>
          <w:lang w:val="en"/>
        </w:rPr>
        <w:t>*********</w:t>
      </w:r>
    </w:p>
    <w:p w14:paraId="069171D5" w14:textId="77777777" w:rsidR="0077263D" w:rsidRDefault="0077263D" w:rsidP="0077263D">
      <w:pPr>
        <w:pStyle w:val="ListParagraph"/>
        <w:rPr>
          <w:rFonts w:ascii="Calibri" w:hAnsi="Calibri" w:cs="Helv"/>
          <w:color w:val="000000"/>
        </w:rPr>
      </w:pPr>
      <w:r w:rsidRPr="0077263D">
        <w:rPr>
          <w:rFonts w:ascii="Calibri" w:hAnsi="Calibri" w:cs="Helv"/>
          <w:color w:val="000000"/>
        </w:rPr>
        <w:t>The tax treatment of amounts determined under § 1.652(a)-1 depends upon the beneficiary's status with respect to them not upon the status of the trust.”</w:t>
      </w:r>
      <w:r w:rsidRPr="0077263D">
        <w:rPr>
          <w:rFonts w:ascii="Calibri" w:hAnsi="Calibri" w:cs="Helv"/>
          <w:color w:val="000000"/>
          <w:vertAlign w:val="superscript"/>
        </w:rPr>
        <w:footnoteReference w:id="509"/>
      </w:r>
    </w:p>
    <w:p w14:paraId="73C8C775" w14:textId="77777777" w:rsidR="0077263D" w:rsidRPr="0077263D" w:rsidRDefault="0077263D" w:rsidP="0077263D">
      <w:pPr>
        <w:pStyle w:val="ListParagraph"/>
        <w:rPr>
          <w:rFonts w:ascii="Calibri" w:hAnsi="Calibri" w:cs="Helv"/>
          <w:color w:val="000000"/>
          <w:lang w:val="en"/>
        </w:rPr>
      </w:pPr>
    </w:p>
    <w:p w14:paraId="7898CA30" w14:textId="77777777" w:rsidR="0077263D" w:rsidRPr="0077263D" w:rsidRDefault="0077263D" w:rsidP="0077263D">
      <w:pPr>
        <w:pStyle w:val="ListParagraph"/>
        <w:spacing w:line="360" w:lineRule="auto"/>
        <w:ind w:left="0" w:firstLine="720"/>
        <w:rPr>
          <w:rFonts w:ascii="Calibri" w:hAnsi="Calibri" w:cs="Helv"/>
          <w:color w:val="000000"/>
        </w:rPr>
      </w:pPr>
      <w:r w:rsidRPr="0077263D">
        <w:rPr>
          <w:rFonts w:ascii="Calibri" w:hAnsi="Calibri" w:cs="Helv"/>
          <w:color w:val="000000"/>
        </w:rPr>
        <w:t>So, is unrelated business income a “character” of income that becomes “unrelated business taxable income”</w:t>
      </w:r>
      <w:r w:rsidR="003F70AB">
        <w:rPr>
          <w:rFonts w:ascii="Calibri" w:hAnsi="Calibri" w:cs="Helv"/>
          <w:color w:val="000000"/>
        </w:rPr>
        <w:t xml:space="preserve"> (UBTI)</w:t>
      </w:r>
      <w:r w:rsidRPr="0077263D">
        <w:rPr>
          <w:rFonts w:ascii="Calibri" w:hAnsi="Calibri" w:cs="Helv"/>
          <w:color w:val="000000"/>
        </w:rPr>
        <w:t xml:space="preserve"> once it leaves a trust or</w:t>
      </w:r>
      <w:r w:rsidR="00175D86">
        <w:rPr>
          <w:rFonts w:ascii="Calibri" w:hAnsi="Calibri" w:cs="Helv"/>
          <w:color w:val="000000"/>
        </w:rPr>
        <w:t xml:space="preserve"> estate and passes out to a tax-</w:t>
      </w:r>
      <w:r w:rsidRPr="0077263D">
        <w:rPr>
          <w:rFonts w:ascii="Calibri" w:hAnsi="Calibri" w:cs="Helv"/>
          <w:color w:val="000000"/>
        </w:rPr>
        <w:t xml:space="preserve">exempt entity subject to UBTI?  </w:t>
      </w:r>
    </w:p>
    <w:p w14:paraId="189188DA" w14:textId="77777777" w:rsidR="0077263D" w:rsidRPr="0077263D" w:rsidRDefault="0077263D" w:rsidP="0077263D">
      <w:pPr>
        <w:pStyle w:val="ListParagraph"/>
        <w:spacing w:line="360" w:lineRule="auto"/>
        <w:ind w:left="0" w:firstLine="720"/>
        <w:rPr>
          <w:rFonts w:ascii="Calibri" w:hAnsi="Calibri" w:cs="Helv"/>
          <w:color w:val="000000"/>
        </w:rPr>
      </w:pPr>
      <w:r w:rsidRPr="0077263D">
        <w:rPr>
          <w:rFonts w:ascii="Calibri" w:hAnsi="Calibri" w:cs="Helv"/>
          <w:b/>
          <w:color w:val="000000"/>
        </w:rPr>
        <w:lastRenderedPageBreak/>
        <w:t>NO</w:t>
      </w:r>
      <w:r w:rsidRPr="0077263D">
        <w:rPr>
          <w:rFonts w:ascii="Calibri" w:hAnsi="Calibri" w:cs="Helv"/>
          <w:color w:val="000000"/>
        </w:rPr>
        <w:t xml:space="preserve">.  </w:t>
      </w:r>
    </w:p>
    <w:p w14:paraId="223BDEF3" w14:textId="77777777" w:rsidR="0077263D" w:rsidRPr="0077263D" w:rsidRDefault="0077263D" w:rsidP="0077263D">
      <w:pPr>
        <w:pStyle w:val="ListParagraph"/>
        <w:spacing w:line="360" w:lineRule="auto"/>
        <w:ind w:left="0" w:firstLine="720"/>
        <w:rPr>
          <w:rFonts w:ascii="Calibri" w:hAnsi="Calibri" w:cs="Helv"/>
          <w:color w:val="000000"/>
        </w:rPr>
      </w:pPr>
      <w:r w:rsidRPr="0077263D">
        <w:rPr>
          <w:rFonts w:ascii="Calibri" w:hAnsi="Calibri" w:cs="Helv"/>
          <w:color w:val="000000"/>
        </w:rPr>
        <w:t xml:space="preserve">The above code and regulations are irrelevant to this issue.  Unlike qualified dividends, interest or short/long term capital gain, which would remain and be taxed as such in the hands of the beneficiary in the same manner as if it were trapped in the trust (albeit with different brackets, exemptions, etc.), any such business income would </w:t>
      </w:r>
      <w:r w:rsidRPr="0077263D">
        <w:rPr>
          <w:rFonts w:ascii="Calibri" w:hAnsi="Calibri" w:cs="Helv"/>
          <w:b/>
          <w:color w:val="000000"/>
        </w:rPr>
        <w:t>not</w:t>
      </w:r>
      <w:r w:rsidRPr="0077263D">
        <w:rPr>
          <w:rFonts w:ascii="Calibri" w:hAnsi="Calibri" w:cs="Helv"/>
          <w:color w:val="000000"/>
        </w:rPr>
        <w:t xml:space="preserve"> be UBTI in the hands of the trust or estate.  There is never any UBTI in the trust or estate to ever start out and “remain” as such in the hands of a tax-exempt beneficiary.  UBTI is a completely separate section of the tax code (IRC §§511-515).  </w:t>
      </w:r>
    </w:p>
    <w:p w14:paraId="6DE4DC41" w14:textId="77777777" w:rsidR="0077263D" w:rsidRPr="0077263D" w:rsidRDefault="0077263D" w:rsidP="0077263D">
      <w:pPr>
        <w:pStyle w:val="ListParagraph"/>
        <w:spacing w:line="360" w:lineRule="auto"/>
        <w:ind w:left="0" w:firstLine="720"/>
        <w:rPr>
          <w:rFonts w:ascii="Calibri" w:hAnsi="Calibri" w:cs="Helv"/>
          <w:bCs/>
          <w:color w:val="000000"/>
        </w:rPr>
      </w:pPr>
      <w:r w:rsidRPr="0077263D">
        <w:rPr>
          <w:rFonts w:ascii="Calibri" w:hAnsi="Calibri" w:cs="Helv"/>
          <w:color w:val="000000"/>
        </w:rPr>
        <w:t>IRS Publication 598 “</w:t>
      </w:r>
      <w:r w:rsidRPr="0077263D">
        <w:rPr>
          <w:rFonts w:ascii="Calibri" w:hAnsi="Calibri" w:cs="Helv"/>
          <w:bCs/>
          <w:color w:val="000000"/>
        </w:rPr>
        <w:t>Tax on Unrelated Business Income of Exempt Organizations” has no mention of UBTI being received from an estate or trust, it only mentions receiving UBTI from an S corp</w:t>
      </w:r>
      <w:r w:rsidR="00175D86">
        <w:rPr>
          <w:rFonts w:ascii="Calibri" w:hAnsi="Calibri" w:cs="Helv"/>
          <w:bCs/>
          <w:color w:val="000000"/>
        </w:rPr>
        <w:t>oration</w:t>
      </w:r>
      <w:r w:rsidRPr="0077263D">
        <w:rPr>
          <w:rFonts w:ascii="Calibri" w:hAnsi="Calibri" w:cs="Helv"/>
          <w:bCs/>
          <w:color w:val="000000"/>
        </w:rPr>
        <w:t xml:space="preserve"> or partnership owned directly by the tax exempt organization.  </w:t>
      </w:r>
    </w:p>
    <w:p w14:paraId="7FE28A7E" w14:textId="77777777" w:rsidR="0077263D" w:rsidRPr="0077263D" w:rsidRDefault="0077263D" w:rsidP="0077263D">
      <w:pPr>
        <w:pStyle w:val="ListParagraph"/>
        <w:spacing w:line="360" w:lineRule="auto"/>
        <w:ind w:left="0" w:firstLine="720"/>
        <w:rPr>
          <w:rFonts w:ascii="Calibri" w:hAnsi="Calibri" w:cs="Helv"/>
          <w:bCs/>
          <w:color w:val="000000"/>
        </w:rPr>
      </w:pPr>
      <w:r w:rsidRPr="0077263D">
        <w:rPr>
          <w:rFonts w:ascii="Calibri" w:hAnsi="Calibri" w:cs="Helv"/>
          <w:bCs/>
          <w:color w:val="000000"/>
        </w:rPr>
        <w:t>IRC §512 and §513 outline what is and is not UBTI.</w:t>
      </w:r>
      <w:r w:rsidRPr="0077263D">
        <w:rPr>
          <w:rFonts w:ascii="Calibri" w:hAnsi="Calibri" w:cs="Helv"/>
          <w:bCs/>
          <w:color w:val="000000"/>
          <w:vertAlign w:val="superscript"/>
        </w:rPr>
        <w:footnoteReference w:id="510"/>
      </w:r>
      <w:r w:rsidRPr="0077263D">
        <w:rPr>
          <w:rFonts w:ascii="Calibri" w:hAnsi="Calibri" w:cs="Helv"/>
          <w:bCs/>
          <w:color w:val="000000"/>
        </w:rPr>
        <w:t xml:space="preserve">  Congress felt obliged to add specific provisions </w:t>
      </w:r>
      <w:r w:rsidR="00B96442">
        <w:rPr>
          <w:rFonts w:ascii="Calibri" w:hAnsi="Calibri" w:cs="Helv"/>
          <w:bCs/>
          <w:color w:val="000000"/>
        </w:rPr>
        <w:t>to make K-1 income from</w:t>
      </w:r>
      <w:r w:rsidRPr="0077263D">
        <w:rPr>
          <w:rFonts w:ascii="Calibri" w:hAnsi="Calibri" w:cs="Helv"/>
          <w:bCs/>
          <w:color w:val="000000"/>
        </w:rPr>
        <w:t xml:space="preserve"> S corporations and partnerships owned by a charitable entity</w:t>
      </w:r>
      <w:r w:rsidR="00B96442">
        <w:rPr>
          <w:rFonts w:ascii="Calibri" w:hAnsi="Calibri" w:cs="Helv"/>
          <w:bCs/>
          <w:color w:val="000000"/>
        </w:rPr>
        <w:t xml:space="preserve"> UBTI</w:t>
      </w:r>
      <w:r w:rsidRPr="0077263D">
        <w:rPr>
          <w:rFonts w:ascii="Calibri" w:hAnsi="Calibri" w:cs="Helv"/>
          <w:bCs/>
          <w:color w:val="000000"/>
        </w:rPr>
        <w:t xml:space="preserve">, despite the fact that such pass through entities pass through the </w:t>
      </w:r>
      <w:r w:rsidRPr="0077263D">
        <w:rPr>
          <w:rFonts w:ascii="Calibri" w:hAnsi="Calibri" w:cs="Helv"/>
          <w:bCs/>
          <w:i/>
          <w:color w:val="000000"/>
        </w:rPr>
        <w:t>character</w:t>
      </w:r>
      <w:r w:rsidRPr="0077263D">
        <w:rPr>
          <w:rFonts w:ascii="Calibri" w:hAnsi="Calibri" w:cs="Helv"/>
          <w:bCs/>
          <w:color w:val="000000"/>
        </w:rPr>
        <w:t xml:space="preserve"> of their income as well.</w:t>
      </w:r>
      <w:r w:rsidRPr="0077263D">
        <w:rPr>
          <w:rFonts w:ascii="Calibri" w:hAnsi="Calibri" w:cs="Helv"/>
          <w:bCs/>
          <w:color w:val="000000"/>
          <w:vertAlign w:val="superscript"/>
        </w:rPr>
        <w:footnoteReference w:id="511"/>
      </w:r>
      <w:r w:rsidRPr="0077263D">
        <w:rPr>
          <w:rFonts w:ascii="Calibri" w:hAnsi="Calibri" w:cs="Helv"/>
          <w:bCs/>
          <w:color w:val="000000"/>
        </w:rPr>
        <w:t xml:space="preserve">  The reason for this is that UBTI is not a “character”, it’s a </w:t>
      </w:r>
      <w:r w:rsidR="007658EA">
        <w:rPr>
          <w:rFonts w:ascii="Calibri" w:hAnsi="Calibri" w:cs="Helv"/>
          <w:bCs/>
          <w:color w:val="000000"/>
        </w:rPr>
        <w:t xml:space="preserve">separate </w:t>
      </w:r>
      <w:r w:rsidRPr="0077263D">
        <w:rPr>
          <w:rFonts w:ascii="Calibri" w:hAnsi="Calibri" w:cs="Helv"/>
          <w:bCs/>
          <w:color w:val="000000"/>
        </w:rPr>
        <w:t xml:space="preserve">tax scheme applicable to certain charitable entities that own and derive income “from any unrelated trade or business regularly carried on by it”.  There is an attribution </w:t>
      </w:r>
      <w:r w:rsidRPr="0077263D">
        <w:rPr>
          <w:rFonts w:ascii="Calibri" w:hAnsi="Calibri" w:cs="Helv"/>
          <w:bCs/>
          <w:color w:val="000000"/>
        </w:rPr>
        <w:lastRenderedPageBreak/>
        <w:t>scheme for S corporations and partnerships owned by trusts, but no such scheme to attribute income from ordinary trusts and estates, except for the narrow purpose of application of §681, which would clearly not apply to distributions to CRTs (nor probably to other tax-exempt but non-charitable entities).</w:t>
      </w:r>
    </w:p>
    <w:p w14:paraId="393729B0" w14:textId="77777777" w:rsidR="0077263D" w:rsidRPr="0077263D" w:rsidRDefault="0077263D" w:rsidP="0077263D">
      <w:pPr>
        <w:pStyle w:val="ListParagraph"/>
        <w:spacing w:line="360" w:lineRule="auto"/>
        <w:ind w:left="0" w:firstLine="720"/>
        <w:rPr>
          <w:rFonts w:ascii="Calibri" w:hAnsi="Calibri" w:cs="Helv"/>
          <w:bCs/>
          <w:color w:val="000000"/>
        </w:rPr>
      </w:pPr>
      <w:r w:rsidRPr="0077263D">
        <w:rPr>
          <w:rFonts w:ascii="Calibri" w:hAnsi="Calibri" w:cs="Helv"/>
          <w:bCs/>
          <w:color w:val="000000"/>
        </w:rPr>
        <w:t xml:space="preserve">IRS Form </w:t>
      </w:r>
      <w:r w:rsidR="00D25637">
        <w:rPr>
          <w:rFonts w:ascii="Calibri" w:hAnsi="Calibri" w:cs="Helv"/>
          <w:bCs/>
          <w:color w:val="000000"/>
        </w:rPr>
        <w:t>K-1</w:t>
      </w:r>
      <w:r w:rsidRPr="0077263D">
        <w:rPr>
          <w:rFonts w:ascii="Calibri" w:hAnsi="Calibri" w:cs="Helv"/>
          <w:bCs/>
          <w:color w:val="000000"/>
        </w:rPr>
        <w:t xml:space="preserve"> instructions for partnerships have specific instructions to partnerships for calculating UBTI</w:t>
      </w:r>
      <w:r w:rsidR="00D25637">
        <w:rPr>
          <w:rFonts w:ascii="Calibri" w:hAnsi="Calibri" w:cs="Helv"/>
          <w:bCs/>
          <w:color w:val="000000"/>
        </w:rPr>
        <w:t xml:space="preserve"> for tax-exempt partners</w:t>
      </w:r>
      <w:r w:rsidRPr="0077263D">
        <w:rPr>
          <w:rFonts w:ascii="Calibri" w:hAnsi="Calibri" w:cs="Helv"/>
          <w:bCs/>
          <w:color w:val="000000"/>
        </w:rPr>
        <w:t xml:space="preserve">, but Form </w:t>
      </w:r>
      <w:r w:rsidR="00D25637">
        <w:rPr>
          <w:rFonts w:ascii="Calibri" w:hAnsi="Calibri" w:cs="Helv"/>
          <w:bCs/>
          <w:color w:val="000000"/>
        </w:rPr>
        <w:t>K-1</w:t>
      </w:r>
      <w:r w:rsidRPr="0077263D">
        <w:rPr>
          <w:rFonts w:ascii="Calibri" w:hAnsi="Calibri" w:cs="Helv"/>
          <w:bCs/>
          <w:color w:val="000000"/>
        </w:rPr>
        <w:t xml:space="preserve"> instructions for estates/trusts </w:t>
      </w:r>
      <w:r w:rsidRPr="0077263D">
        <w:rPr>
          <w:rFonts w:ascii="Calibri" w:hAnsi="Calibri" w:cs="Helv"/>
          <w:bCs/>
          <w:i/>
          <w:color w:val="000000"/>
        </w:rPr>
        <w:t>lack any mention or instruction on the matter whatsoever</w:t>
      </w:r>
      <w:r w:rsidRPr="0077263D">
        <w:rPr>
          <w:rFonts w:ascii="Calibri" w:hAnsi="Calibri" w:cs="Helv"/>
          <w:bCs/>
          <w:color w:val="000000"/>
        </w:rPr>
        <w:t>.</w:t>
      </w:r>
      <w:r w:rsidRPr="0077263D">
        <w:rPr>
          <w:rFonts w:ascii="Calibri" w:hAnsi="Calibri" w:cs="Helv"/>
          <w:bCs/>
          <w:color w:val="000000"/>
          <w:vertAlign w:val="superscript"/>
        </w:rPr>
        <w:footnoteReference w:id="512"/>
      </w:r>
      <w:r w:rsidRPr="0077263D">
        <w:rPr>
          <w:rFonts w:ascii="Calibri" w:hAnsi="Calibri" w:cs="Helv"/>
          <w:bCs/>
          <w:color w:val="000000"/>
        </w:rPr>
        <w:t xml:space="preserve"> Instructions for S corporation </w:t>
      </w:r>
      <w:r w:rsidR="00D25637">
        <w:rPr>
          <w:rFonts w:ascii="Calibri" w:hAnsi="Calibri" w:cs="Helv"/>
          <w:bCs/>
          <w:color w:val="000000"/>
        </w:rPr>
        <w:t>K-1s</w:t>
      </w:r>
      <w:r w:rsidRPr="0077263D">
        <w:rPr>
          <w:rFonts w:ascii="Calibri" w:hAnsi="Calibri" w:cs="Helv"/>
          <w:bCs/>
          <w:color w:val="000000"/>
        </w:rPr>
        <w:t xml:space="preserve"> lack instructions, but that’s </w:t>
      </w:r>
      <w:r w:rsidR="00D25637">
        <w:rPr>
          <w:rFonts w:ascii="Calibri" w:hAnsi="Calibri" w:cs="Helv"/>
          <w:bCs/>
          <w:color w:val="000000"/>
        </w:rPr>
        <w:t xml:space="preserve">completely understandable since </w:t>
      </w:r>
      <w:r w:rsidRPr="00F703FA">
        <w:rPr>
          <w:rFonts w:ascii="Calibri" w:hAnsi="Calibri" w:cs="Helv"/>
          <w:bCs/>
          <w:i/>
          <w:color w:val="000000"/>
        </w:rPr>
        <w:t>all</w:t>
      </w:r>
      <w:r w:rsidRPr="0077263D">
        <w:rPr>
          <w:rFonts w:ascii="Calibri" w:hAnsi="Calibri" w:cs="Helv"/>
          <w:bCs/>
          <w:color w:val="000000"/>
        </w:rPr>
        <w:t xml:space="preserve"> </w:t>
      </w:r>
      <w:r w:rsidR="00F703FA">
        <w:rPr>
          <w:rFonts w:ascii="Calibri" w:hAnsi="Calibri" w:cs="Helv"/>
          <w:bCs/>
          <w:color w:val="000000"/>
        </w:rPr>
        <w:t>S corporation</w:t>
      </w:r>
      <w:r w:rsidRPr="0077263D">
        <w:rPr>
          <w:rFonts w:ascii="Calibri" w:hAnsi="Calibri" w:cs="Helv"/>
          <w:bCs/>
          <w:color w:val="000000"/>
        </w:rPr>
        <w:t xml:space="preserve"> income is UBTI</w:t>
      </w:r>
      <w:r w:rsidR="00D25637">
        <w:rPr>
          <w:rFonts w:ascii="Calibri" w:hAnsi="Calibri" w:cs="Helv"/>
          <w:bCs/>
          <w:color w:val="000000"/>
        </w:rPr>
        <w:t xml:space="preserve"> and any parsing or reporting as UBTI would be unneeded</w:t>
      </w:r>
      <w:r w:rsidRPr="0077263D">
        <w:rPr>
          <w:rFonts w:ascii="Calibri" w:hAnsi="Calibri" w:cs="Helv"/>
          <w:bCs/>
          <w:color w:val="000000"/>
        </w:rPr>
        <w:t>.</w:t>
      </w:r>
    </w:p>
    <w:p w14:paraId="06EA902D" w14:textId="77777777" w:rsidR="0077263D" w:rsidRPr="0077263D" w:rsidRDefault="0077263D" w:rsidP="0077263D">
      <w:pPr>
        <w:pStyle w:val="ListParagraph"/>
        <w:spacing w:line="360" w:lineRule="auto"/>
        <w:ind w:left="0" w:firstLine="720"/>
        <w:rPr>
          <w:rFonts w:ascii="Calibri" w:hAnsi="Calibri" w:cs="Helv"/>
          <w:color w:val="000000"/>
        </w:rPr>
      </w:pPr>
      <w:r w:rsidRPr="0077263D">
        <w:rPr>
          <w:rFonts w:ascii="Calibri" w:hAnsi="Calibri" w:cs="Helv"/>
          <w:color w:val="000000"/>
        </w:rPr>
        <w:t xml:space="preserve">A distribution from an estate or trust to a Charitable Remainder Trust is not eligible for the income tax charitable deduction; it is deductible, if at all, only as </w:t>
      </w:r>
      <w:r w:rsidR="003F70AB">
        <w:rPr>
          <w:rFonts w:ascii="Calibri" w:hAnsi="Calibri" w:cs="Helv"/>
          <w:color w:val="000000"/>
        </w:rPr>
        <w:t>an income distribution deduction, up to distributable net income (</w:t>
      </w:r>
      <w:r w:rsidRPr="0077263D">
        <w:rPr>
          <w:rFonts w:ascii="Calibri" w:hAnsi="Calibri" w:cs="Helv"/>
          <w:color w:val="000000"/>
        </w:rPr>
        <w:t>DNI</w:t>
      </w:r>
      <w:r w:rsidR="003F70AB">
        <w:rPr>
          <w:rFonts w:ascii="Calibri" w:hAnsi="Calibri" w:cs="Helv"/>
          <w:color w:val="000000"/>
        </w:rPr>
        <w:t>)</w:t>
      </w:r>
      <w:r w:rsidRPr="0077263D">
        <w:rPr>
          <w:rFonts w:ascii="Calibri" w:hAnsi="Calibri" w:cs="Helv"/>
          <w:color w:val="000000"/>
        </w:rPr>
        <w:t>.</w:t>
      </w:r>
      <w:r w:rsidRPr="0077263D">
        <w:rPr>
          <w:rFonts w:ascii="Calibri" w:hAnsi="Calibri" w:cs="Helv"/>
          <w:color w:val="000000"/>
          <w:vertAlign w:val="superscript"/>
        </w:rPr>
        <w:footnoteReference w:id="513"/>
      </w:r>
      <w:r w:rsidRPr="0077263D">
        <w:rPr>
          <w:rFonts w:ascii="Calibri" w:hAnsi="Calibri" w:cs="Helv"/>
          <w:color w:val="000000"/>
        </w:rPr>
        <w:t xml:space="preserve"> </w:t>
      </w:r>
    </w:p>
    <w:p w14:paraId="5F5243C1" w14:textId="77777777" w:rsidR="0077263D" w:rsidRPr="0077263D" w:rsidRDefault="0077263D" w:rsidP="0077263D">
      <w:pPr>
        <w:pStyle w:val="ListParagraph"/>
        <w:spacing w:line="360" w:lineRule="auto"/>
        <w:ind w:left="0" w:firstLine="720"/>
        <w:rPr>
          <w:rFonts w:ascii="Calibri" w:hAnsi="Calibri" w:cs="Helv"/>
          <w:color w:val="000000"/>
        </w:rPr>
      </w:pPr>
      <w:r w:rsidRPr="0077263D">
        <w:rPr>
          <w:rFonts w:ascii="Calibri" w:hAnsi="Calibri" w:cs="Helv"/>
          <w:color w:val="000000"/>
        </w:rPr>
        <w:t>A distribution to a charitable remainder trust is eligible for the DNI deduction, to the extent it meets the other requirements of that deduction. Treas. Reg. § 1.664-1(a)(5)(iii) provides</w:t>
      </w:r>
      <w:r w:rsidR="00B96442">
        <w:rPr>
          <w:rFonts w:ascii="Calibri" w:hAnsi="Calibri" w:cs="Helv"/>
          <w:color w:val="000000"/>
        </w:rPr>
        <w:t>:</w:t>
      </w:r>
      <w:r w:rsidRPr="0077263D">
        <w:rPr>
          <w:rFonts w:ascii="Calibri" w:hAnsi="Calibri" w:cs="Helv"/>
          <w:color w:val="000000"/>
        </w:rPr>
        <w:t xml:space="preserve"> </w:t>
      </w:r>
    </w:p>
    <w:p w14:paraId="71FE1E73" w14:textId="77777777" w:rsidR="0077263D" w:rsidRPr="0077263D" w:rsidRDefault="0077263D" w:rsidP="0077263D">
      <w:pPr>
        <w:pStyle w:val="ListParagraph"/>
        <w:rPr>
          <w:rFonts w:ascii="Calibri" w:hAnsi="Calibri" w:cs="Helv"/>
          <w:color w:val="000000"/>
        </w:rPr>
      </w:pPr>
      <w:r w:rsidRPr="0077263D">
        <w:rPr>
          <w:rFonts w:ascii="Calibri" w:hAnsi="Calibri" w:cs="Helv"/>
          <w:color w:val="000000"/>
        </w:rPr>
        <w:t>“The treatment of a distribution to a charitable remainder trust, or to a recipient in respect of an annuity or unitrust amount, paid, credited, or required to be distributed by an estate, or by a trust which is not a charitable remainder trust, shall be governed by the rules of subchapter J, chapter 1, subtitle A of the Code other than section 664.”</w:t>
      </w:r>
    </w:p>
    <w:p w14:paraId="3CE30BBA" w14:textId="77777777" w:rsidR="0077263D" w:rsidRDefault="0077263D" w:rsidP="0077263D">
      <w:pPr>
        <w:pStyle w:val="ListParagraph"/>
        <w:ind w:left="0" w:firstLine="720"/>
        <w:rPr>
          <w:rFonts w:ascii="Calibri" w:hAnsi="Calibri" w:cs="Helv"/>
          <w:color w:val="000000"/>
        </w:rPr>
      </w:pPr>
    </w:p>
    <w:p w14:paraId="6D45B26A" w14:textId="77777777" w:rsidR="0077263D" w:rsidRPr="0077263D" w:rsidRDefault="0077263D" w:rsidP="0077263D">
      <w:pPr>
        <w:pStyle w:val="ListParagraph"/>
        <w:ind w:left="0" w:firstLine="720"/>
        <w:rPr>
          <w:rFonts w:ascii="Calibri" w:hAnsi="Calibri" w:cs="Helv"/>
          <w:color w:val="000000"/>
        </w:rPr>
      </w:pPr>
      <w:r w:rsidRPr="0077263D">
        <w:rPr>
          <w:rFonts w:ascii="Calibri" w:hAnsi="Calibri" w:cs="Helv"/>
          <w:color w:val="000000"/>
        </w:rPr>
        <w:t xml:space="preserve">Treas. Reg. </w:t>
      </w:r>
      <w:r w:rsidR="00F703FA">
        <w:rPr>
          <w:rFonts w:ascii="Calibri" w:hAnsi="Calibri" w:cs="Helv"/>
          <w:color w:val="000000"/>
        </w:rPr>
        <w:t>§</w:t>
      </w:r>
      <w:r w:rsidRPr="0077263D">
        <w:rPr>
          <w:rFonts w:ascii="Calibri" w:hAnsi="Calibri" w:cs="Helv"/>
          <w:color w:val="000000"/>
        </w:rPr>
        <w:t>1.664-1(a)(6), Example 5 provides:</w:t>
      </w:r>
    </w:p>
    <w:p w14:paraId="25DA702A" w14:textId="77777777" w:rsidR="0077263D" w:rsidRDefault="0077263D" w:rsidP="0077263D">
      <w:pPr>
        <w:pStyle w:val="ListParagraph"/>
        <w:ind w:left="0" w:firstLine="720"/>
        <w:rPr>
          <w:rFonts w:ascii="Calibri" w:hAnsi="Calibri" w:cs="Helv"/>
          <w:color w:val="000000"/>
        </w:rPr>
      </w:pPr>
    </w:p>
    <w:p w14:paraId="480DC536" w14:textId="77777777" w:rsidR="0077263D" w:rsidRPr="0077263D" w:rsidRDefault="0077263D" w:rsidP="0077263D">
      <w:pPr>
        <w:pStyle w:val="ListParagraph"/>
        <w:tabs>
          <w:tab w:val="left" w:pos="720"/>
        </w:tabs>
        <w:rPr>
          <w:rFonts w:ascii="Calibri" w:hAnsi="Calibri" w:cs="Helv"/>
          <w:color w:val="000000"/>
        </w:rPr>
      </w:pPr>
      <w:r w:rsidRPr="0077263D">
        <w:rPr>
          <w:rFonts w:ascii="Calibri" w:hAnsi="Calibri" w:cs="Helv"/>
          <w:color w:val="000000"/>
        </w:rPr>
        <w:t xml:space="preserve">“In 1973, H dies testate leaving the net residue of his estate (after payment by the estate of all debts and administration expenses) to a trust which meets the definition of a charitable remainder unitrust. For purposes of section 2055, the trust is deemed created at H's death if the requirement to pay the unitrust amount begins on H's death </w:t>
      </w:r>
      <w:r w:rsidRPr="0077263D">
        <w:rPr>
          <w:rFonts w:ascii="Calibri" w:hAnsi="Calibri" w:cs="Helv"/>
          <w:color w:val="000000"/>
        </w:rPr>
        <w:lastRenderedPageBreak/>
        <w:t>and is a charitable remainder trust even though the estate is obligated to pay debts and administration expenses.</w:t>
      </w:r>
    </w:p>
    <w:p w14:paraId="53538D2C" w14:textId="77777777" w:rsidR="0077263D" w:rsidRDefault="0077263D" w:rsidP="0077263D">
      <w:pPr>
        <w:pStyle w:val="ListParagraph"/>
        <w:tabs>
          <w:tab w:val="left" w:pos="720"/>
        </w:tabs>
        <w:rPr>
          <w:rFonts w:ascii="Calibri" w:hAnsi="Calibri" w:cs="Helv"/>
          <w:color w:val="000000"/>
        </w:rPr>
      </w:pPr>
      <w:r w:rsidRPr="0077263D">
        <w:rPr>
          <w:rFonts w:ascii="Calibri" w:hAnsi="Calibri" w:cs="Helv"/>
          <w:color w:val="000000"/>
        </w:rPr>
        <w:t xml:space="preserve">For purposes of section 664, the trust becomes a charitable remainder trust as soon as it is partially or completely funded. Consequently, unless the trust has unrelated business taxable income, the income of the trust is exempt from all taxes imposed by subtitle A of the Code, and any distributions by the trust, even before it is completely funded, are governed by the rules of section 664. </w:t>
      </w:r>
      <w:r w:rsidRPr="0077263D">
        <w:rPr>
          <w:rFonts w:ascii="Calibri" w:hAnsi="Calibri" w:cs="Helv"/>
          <w:b/>
          <w:i/>
          <w:color w:val="000000"/>
        </w:rPr>
        <w:t>Any distributions made by H's estate, including distributions to a recipient in respect of unitrust amounts, are governed by the rules of subchapter J, chapter 1, subtitle A of the Code other than section 664</w:t>
      </w:r>
      <w:r w:rsidRPr="0077263D">
        <w:rPr>
          <w:rFonts w:ascii="Calibri" w:hAnsi="Calibri" w:cs="Helv"/>
          <w:color w:val="000000"/>
        </w:rPr>
        <w:t>.”</w:t>
      </w:r>
    </w:p>
    <w:p w14:paraId="475BA1AF" w14:textId="77777777" w:rsidR="0077263D" w:rsidRPr="0077263D" w:rsidRDefault="0077263D" w:rsidP="0077263D">
      <w:pPr>
        <w:pStyle w:val="ListParagraph"/>
        <w:tabs>
          <w:tab w:val="left" w:pos="720"/>
        </w:tabs>
        <w:rPr>
          <w:rFonts w:ascii="Calibri" w:hAnsi="Calibri" w:cs="Helv"/>
          <w:color w:val="000000"/>
        </w:rPr>
      </w:pPr>
    </w:p>
    <w:p w14:paraId="2156821B" w14:textId="77777777" w:rsidR="0077263D" w:rsidRPr="0077263D" w:rsidRDefault="0077263D" w:rsidP="0077263D">
      <w:pPr>
        <w:pStyle w:val="ListParagraph"/>
        <w:spacing w:line="360" w:lineRule="auto"/>
        <w:ind w:left="0" w:firstLine="720"/>
        <w:rPr>
          <w:rFonts w:ascii="Calibri" w:hAnsi="Calibri" w:cs="Helv"/>
          <w:color w:val="000000"/>
        </w:rPr>
      </w:pPr>
      <w:r w:rsidRPr="0077263D">
        <w:rPr>
          <w:rFonts w:ascii="Calibri" w:hAnsi="Calibri" w:cs="Helv"/>
          <w:color w:val="000000"/>
        </w:rPr>
        <w:t>In other words, distributions to CRTs are treated no differently from distributions to other non-charitable beneficiaries.  To the extent of the DNI ceiling, distributions carry out income and the CRT would receive a K-1, no different than if the CRT had received a Form 1099-R distribution from a traditional IRA or 401(k).</w:t>
      </w:r>
      <w:r w:rsidR="00EE4125">
        <w:rPr>
          <w:rFonts w:ascii="Calibri" w:hAnsi="Calibri" w:cs="Helv"/>
          <w:color w:val="000000"/>
        </w:rPr>
        <w:t xml:space="preserve">  </w:t>
      </w:r>
    </w:p>
    <w:p w14:paraId="0EC9FCE2" w14:textId="77777777" w:rsidR="0077263D" w:rsidRPr="0077263D" w:rsidRDefault="0077263D" w:rsidP="0077263D">
      <w:pPr>
        <w:pStyle w:val="ListParagraph"/>
        <w:ind w:left="0" w:firstLine="720"/>
        <w:rPr>
          <w:rFonts w:ascii="Calibri" w:hAnsi="Calibri" w:cs="Helv"/>
          <w:color w:val="000000"/>
        </w:rPr>
      </w:pPr>
      <w:r w:rsidRPr="0077263D">
        <w:rPr>
          <w:rFonts w:ascii="Calibri" w:hAnsi="Calibri" w:cs="Helv"/>
          <w:color w:val="000000"/>
        </w:rPr>
        <w:br w:type="page"/>
      </w:r>
    </w:p>
    <w:p w14:paraId="75F730FB" w14:textId="77777777" w:rsidR="00491FB5" w:rsidRPr="00235C64" w:rsidRDefault="00935EAB" w:rsidP="00606B43">
      <w:pPr>
        <w:autoSpaceDE w:val="0"/>
        <w:autoSpaceDN w:val="0"/>
        <w:adjustRightInd w:val="0"/>
        <w:spacing w:line="360" w:lineRule="auto"/>
        <w:rPr>
          <w:rFonts w:ascii="Calibri" w:hAnsi="Calibri" w:cs="Helv"/>
          <w:b/>
          <w:bCs/>
          <w:color w:val="000000"/>
        </w:rPr>
      </w:pPr>
      <w:r>
        <w:rPr>
          <w:rFonts w:ascii="Calibri" w:hAnsi="Calibri" w:cs="Helv"/>
          <w:b/>
          <w:bCs/>
          <w:color w:val="000000"/>
        </w:rPr>
        <w:lastRenderedPageBreak/>
        <w:t xml:space="preserve">IX. </w:t>
      </w:r>
      <w:r>
        <w:rPr>
          <w:rFonts w:ascii="Calibri" w:hAnsi="Calibri" w:cs="Helv"/>
          <w:b/>
          <w:bCs/>
          <w:color w:val="000000"/>
        </w:rPr>
        <w:tab/>
      </w:r>
      <w:r w:rsidR="00F97955">
        <w:rPr>
          <w:rFonts w:ascii="Calibri" w:hAnsi="Calibri" w:cs="Helv"/>
          <w:b/>
          <w:bCs/>
          <w:color w:val="000000"/>
        </w:rPr>
        <w:t xml:space="preserve">Conclusion - </w:t>
      </w:r>
      <w:r w:rsidR="00491FB5">
        <w:rPr>
          <w:rFonts w:ascii="Calibri" w:hAnsi="Calibri" w:cs="Helv"/>
          <w:b/>
          <w:bCs/>
          <w:color w:val="000000"/>
        </w:rPr>
        <w:t>Pros and Cons of the Optimal Basis Increase and Tax Efficiency Trust</w:t>
      </w:r>
    </w:p>
    <w:p w14:paraId="271F06F2" w14:textId="77777777" w:rsidR="00491FB5" w:rsidRDefault="00491FB5" w:rsidP="00CF4BDF">
      <w:pPr>
        <w:spacing w:line="360" w:lineRule="auto"/>
        <w:jc w:val="both"/>
        <w:rPr>
          <w:rFonts w:ascii="Calibri" w:hAnsi="Calibri"/>
        </w:rPr>
      </w:pPr>
      <w:r>
        <w:rPr>
          <w:rFonts w:ascii="Calibri" w:hAnsi="Calibri"/>
        </w:rPr>
        <w:tab/>
      </w:r>
      <w:r>
        <w:rPr>
          <w:rFonts w:ascii="Calibri" w:hAnsi="Calibri"/>
          <w:color w:val="000000"/>
        </w:rPr>
        <w:t xml:space="preserve">Much of the planning and techniques for the über-wealthy are unchanged after ATRA – the increased exclusion </w:t>
      </w:r>
      <w:r w:rsidR="00142E42">
        <w:rPr>
          <w:rFonts w:ascii="Calibri" w:hAnsi="Calibri"/>
          <w:color w:val="000000"/>
        </w:rPr>
        <w:t xml:space="preserve">amounts </w:t>
      </w:r>
      <w:r>
        <w:rPr>
          <w:rFonts w:ascii="Calibri" w:hAnsi="Calibri"/>
          <w:color w:val="000000"/>
        </w:rPr>
        <w:t xml:space="preserve">merely turbocharge previous gifting techniques.  The </w:t>
      </w:r>
      <w:r w:rsidR="00691CBB">
        <w:rPr>
          <w:rFonts w:ascii="Calibri" w:hAnsi="Calibri"/>
          <w:color w:val="000000"/>
        </w:rPr>
        <w:t>basis</w:t>
      </w:r>
      <w:r w:rsidR="005C7B34">
        <w:rPr>
          <w:rFonts w:ascii="Calibri" w:hAnsi="Calibri"/>
          <w:color w:val="000000"/>
        </w:rPr>
        <w:t xml:space="preserve"> </w:t>
      </w:r>
      <w:r>
        <w:rPr>
          <w:rFonts w:ascii="Calibri" w:hAnsi="Calibri"/>
          <w:color w:val="000000"/>
        </w:rPr>
        <w:t xml:space="preserve">techniques </w:t>
      </w:r>
      <w:r w:rsidR="00C31488">
        <w:rPr>
          <w:rFonts w:ascii="Calibri" w:hAnsi="Calibri"/>
          <w:color w:val="000000"/>
        </w:rPr>
        <w:t>discussed in Part III</w:t>
      </w:r>
      <w:r>
        <w:rPr>
          <w:rFonts w:ascii="Calibri" w:hAnsi="Calibri"/>
          <w:color w:val="000000"/>
        </w:rPr>
        <w:t xml:space="preserve"> won’t help a wealthy couple with $100 million</w:t>
      </w:r>
      <w:r w:rsidR="00523B6B">
        <w:rPr>
          <w:rFonts w:ascii="Calibri" w:hAnsi="Calibri"/>
          <w:color w:val="000000"/>
        </w:rPr>
        <w:t xml:space="preserve"> a bit</w:t>
      </w:r>
      <w:r>
        <w:rPr>
          <w:rFonts w:ascii="Calibri" w:hAnsi="Calibri"/>
          <w:color w:val="000000"/>
        </w:rPr>
        <w:t xml:space="preserve">, but they can be </w:t>
      </w:r>
      <w:r w:rsidR="00691CBB">
        <w:rPr>
          <w:rFonts w:ascii="Calibri" w:hAnsi="Calibri"/>
          <w:color w:val="000000"/>
        </w:rPr>
        <w:t>extremely valuable for sub-$10.9</w:t>
      </w:r>
      <w:r>
        <w:rPr>
          <w:rFonts w:ascii="Calibri" w:hAnsi="Calibri"/>
          <w:color w:val="000000"/>
        </w:rPr>
        <w:t xml:space="preserve"> million estates. </w:t>
      </w:r>
      <w:r w:rsidR="00691CBB">
        <w:rPr>
          <w:rFonts w:ascii="Calibri" w:hAnsi="Calibri"/>
          <w:color w:val="000000"/>
        </w:rPr>
        <w:t>The basis increasing techniques in Part V may apply to middle class and wealthy alike.</w:t>
      </w:r>
      <w:r>
        <w:rPr>
          <w:rFonts w:ascii="Calibri" w:hAnsi="Calibri"/>
          <w:color w:val="000000"/>
        </w:rPr>
        <w:t xml:space="preserve"> </w:t>
      </w:r>
    </w:p>
    <w:p w14:paraId="6C5A2BD5" w14:textId="77777777" w:rsidR="00491FB5" w:rsidRPr="007B5EC0" w:rsidRDefault="00491FB5" w:rsidP="00A1576A">
      <w:pPr>
        <w:spacing w:line="360" w:lineRule="auto"/>
        <w:ind w:firstLine="720"/>
        <w:rPr>
          <w:rFonts w:ascii="Calibri" w:hAnsi="Calibri"/>
        </w:rPr>
      </w:pPr>
      <w:r>
        <w:rPr>
          <w:rFonts w:ascii="Calibri" w:hAnsi="Calibri"/>
        </w:rPr>
        <w:t xml:space="preserve">The </w:t>
      </w:r>
      <w:r w:rsidRPr="00142E42">
        <w:rPr>
          <w:rFonts w:ascii="Calibri" w:hAnsi="Calibri"/>
          <w:i/>
        </w:rPr>
        <w:t>ongoing</w:t>
      </w:r>
      <w:r>
        <w:rPr>
          <w:rFonts w:ascii="Calibri" w:hAnsi="Calibri"/>
        </w:rPr>
        <w:t xml:space="preserve"> trust income tax </w:t>
      </w:r>
      <w:r w:rsidR="00F97955">
        <w:rPr>
          <w:rFonts w:ascii="Calibri" w:hAnsi="Calibri"/>
        </w:rPr>
        <w:t xml:space="preserve">planning </w:t>
      </w:r>
      <w:r>
        <w:rPr>
          <w:rFonts w:ascii="Calibri" w:hAnsi="Calibri"/>
        </w:rPr>
        <w:t xml:space="preserve">techniques discussed </w:t>
      </w:r>
      <w:r w:rsidR="00C31488">
        <w:rPr>
          <w:rFonts w:ascii="Calibri" w:hAnsi="Calibri"/>
        </w:rPr>
        <w:t>in Part VIII</w:t>
      </w:r>
      <w:r>
        <w:rPr>
          <w:rFonts w:ascii="Calibri" w:hAnsi="Calibri"/>
        </w:rPr>
        <w:t xml:space="preserve"> apply to all estate levels –</w:t>
      </w:r>
      <w:r w:rsidR="00F97955">
        <w:rPr>
          <w:rFonts w:ascii="Calibri" w:hAnsi="Calibri"/>
        </w:rPr>
        <w:t xml:space="preserve"> </w:t>
      </w:r>
      <w:r w:rsidRPr="005C7B34">
        <w:rPr>
          <w:rFonts w:ascii="Calibri" w:hAnsi="Calibri"/>
          <w:i/>
        </w:rPr>
        <w:t>even more so</w:t>
      </w:r>
      <w:r>
        <w:rPr>
          <w:rFonts w:ascii="Calibri" w:hAnsi="Calibri"/>
        </w:rPr>
        <w:t xml:space="preserve"> </w:t>
      </w:r>
      <w:r w:rsidR="005C7B34">
        <w:rPr>
          <w:rFonts w:ascii="Calibri" w:hAnsi="Calibri"/>
        </w:rPr>
        <w:t>for</w:t>
      </w:r>
      <w:r>
        <w:rPr>
          <w:rFonts w:ascii="Calibri" w:hAnsi="Calibri"/>
        </w:rPr>
        <w:t xml:space="preserve"> wealthier families.  After all, how many </w:t>
      </w:r>
      <w:r w:rsidR="00523B6B">
        <w:rPr>
          <w:rFonts w:ascii="Calibri" w:hAnsi="Calibri"/>
        </w:rPr>
        <w:t xml:space="preserve">lower generation </w:t>
      </w:r>
      <w:r>
        <w:rPr>
          <w:rFonts w:ascii="Calibri" w:hAnsi="Calibri"/>
        </w:rPr>
        <w:t xml:space="preserve">trust beneficiaries, even of wealthy families, always make over $400,000 or $450,000 in taxable income and </w:t>
      </w:r>
      <w:r w:rsidR="00523B6B">
        <w:rPr>
          <w:rFonts w:ascii="Calibri" w:hAnsi="Calibri"/>
        </w:rPr>
        <w:t>are</w:t>
      </w:r>
      <w:r>
        <w:rPr>
          <w:rFonts w:ascii="Calibri" w:hAnsi="Calibri"/>
        </w:rPr>
        <w:t xml:space="preserve"> subject to the same tax rates as a non-grantor trust?</w:t>
      </w:r>
      <w:r>
        <w:rPr>
          <w:rStyle w:val="FootnoteReference"/>
          <w:rFonts w:ascii="Calibri" w:hAnsi="Calibri"/>
        </w:rPr>
        <w:footnoteReference w:id="514"/>
      </w:r>
      <w:r>
        <w:rPr>
          <w:rFonts w:ascii="Calibri" w:hAnsi="Calibri"/>
        </w:rPr>
        <w:t xml:space="preserve"> </w:t>
      </w:r>
      <w:r w:rsidR="00523B6B">
        <w:rPr>
          <w:rFonts w:ascii="Calibri" w:hAnsi="Calibri"/>
        </w:rPr>
        <w:t xml:space="preserve"> Even those rare wealthy families whose children/grandchildren/great</w:t>
      </w:r>
      <w:r w:rsidR="00735C81">
        <w:rPr>
          <w:rFonts w:ascii="Calibri" w:hAnsi="Calibri"/>
        </w:rPr>
        <w:t>-</w:t>
      </w:r>
      <w:r w:rsidR="00523B6B">
        <w:rPr>
          <w:rFonts w:ascii="Calibri" w:hAnsi="Calibri"/>
        </w:rPr>
        <w:t>grandchildren all make over $450,000</w:t>
      </w:r>
      <w:r w:rsidR="00B91477">
        <w:rPr>
          <w:rFonts w:ascii="Calibri" w:hAnsi="Calibri"/>
        </w:rPr>
        <w:t>/year</w:t>
      </w:r>
      <w:r w:rsidR="00523B6B">
        <w:rPr>
          <w:rFonts w:ascii="Calibri" w:hAnsi="Calibri"/>
        </w:rPr>
        <w:t xml:space="preserve"> in taxable income are often charitably inclined and should be considering the varied </w:t>
      </w:r>
      <w:r w:rsidR="00EF5767">
        <w:rPr>
          <w:rFonts w:ascii="Calibri" w:hAnsi="Calibri"/>
        </w:rPr>
        <w:t>§</w:t>
      </w:r>
      <w:r w:rsidR="00523B6B">
        <w:rPr>
          <w:rFonts w:ascii="Calibri" w:hAnsi="Calibri"/>
        </w:rPr>
        <w:t>642(c) techniques discussed herein.</w:t>
      </w:r>
    </w:p>
    <w:p w14:paraId="5B7A4EFC" w14:textId="77777777" w:rsidR="00491FB5" w:rsidRDefault="00491FB5" w:rsidP="003C7231">
      <w:pPr>
        <w:spacing w:line="360" w:lineRule="auto"/>
        <w:ind w:firstLine="720"/>
        <w:rPr>
          <w:rFonts w:ascii="Calibri" w:hAnsi="Calibri"/>
        </w:rPr>
      </w:pPr>
      <w:r>
        <w:rPr>
          <w:rFonts w:ascii="Calibri" w:hAnsi="Calibri"/>
        </w:rPr>
        <w:t>For married clients with e</w:t>
      </w:r>
      <w:r w:rsidR="00691CBB">
        <w:rPr>
          <w:rFonts w:ascii="Calibri" w:hAnsi="Calibri"/>
        </w:rPr>
        <w:t>states under approximately $10.9</w:t>
      </w:r>
      <w:r>
        <w:rPr>
          <w:rFonts w:ascii="Calibri" w:hAnsi="Calibri"/>
        </w:rPr>
        <w:t xml:space="preserve"> million, the Optimal Basis and Income Tax Efficiency Trust offers the following advantages over an outright bequest, even where DSUE is successfully claimed: better asset protection from creditors, better divorce/remarriage protection, better protection from mismanagement, better sheltering of appreciation/growth from both federal and state estate and inheritance taxes, better planning in event of simultaneous or close death (potentially millions in savings for those estates where one spouse’s estate is ov</w:t>
      </w:r>
      <w:r w:rsidR="00691CBB">
        <w:rPr>
          <w:rFonts w:ascii="Calibri" w:hAnsi="Calibri"/>
        </w:rPr>
        <w:t>er $5.4</w:t>
      </w:r>
      <w:r>
        <w:rPr>
          <w:rFonts w:ascii="Calibri" w:hAnsi="Calibri"/>
        </w:rPr>
        <w:t>5 million), better use of GST exclusion, better incapacity planning, better Medicaid/VA/benefits planning, avoidance of step down in basis at second death and the ability to spray income to children/charities in lower brackets.  The drawbacks are the same as with any trust planning: increased attorney fees (and potentially post-mortem, accounting/trustee fees) and complexity.</w:t>
      </w:r>
      <w:r w:rsidR="00C31488">
        <w:rPr>
          <w:rFonts w:ascii="Calibri" w:hAnsi="Calibri"/>
        </w:rPr>
        <w:t xml:space="preserve">  The </w:t>
      </w:r>
      <w:r w:rsidR="005E36EE">
        <w:rPr>
          <w:rFonts w:ascii="Calibri" w:hAnsi="Calibri"/>
        </w:rPr>
        <w:t>§</w:t>
      </w:r>
      <w:r w:rsidR="005B153E">
        <w:rPr>
          <w:rFonts w:ascii="Calibri" w:hAnsi="Calibri"/>
        </w:rPr>
        <w:t xml:space="preserve"> </w:t>
      </w:r>
      <w:r w:rsidR="00C31488">
        <w:rPr>
          <w:rFonts w:ascii="Calibri" w:hAnsi="Calibri"/>
        </w:rPr>
        <w:t>678(a) variant discussed in Part VIII may even alleviate some of the accounting</w:t>
      </w:r>
      <w:r w:rsidR="005E36EE">
        <w:rPr>
          <w:rFonts w:ascii="Calibri" w:hAnsi="Calibri"/>
        </w:rPr>
        <w:t>/tax filing complexity.</w:t>
      </w:r>
    </w:p>
    <w:p w14:paraId="7E3507FD" w14:textId="77777777" w:rsidR="00491FB5" w:rsidRDefault="00491FB5" w:rsidP="003C7231">
      <w:pPr>
        <w:spacing w:line="360" w:lineRule="auto"/>
        <w:ind w:firstLine="720"/>
        <w:rPr>
          <w:rFonts w:ascii="Calibri" w:hAnsi="Calibri"/>
        </w:rPr>
      </w:pPr>
      <w:r>
        <w:rPr>
          <w:rFonts w:ascii="Calibri" w:hAnsi="Calibri"/>
        </w:rPr>
        <w:lastRenderedPageBreak/>
        <w:t>The Optimal Basis and Income Tax Efficiency Trust offers the following advantages over the traditional bypass trust: better step up in basis at second death</w:t>
      </w:r>
      <w:r w:rsidR="00300972">
        <w:rPr>
          <w:rFonts w:ascii="Calibri" w:hAnsi="Calibri"/>
        </w:rPr>
        <w:t xml:space="preserve"> (potentially for fractional interests held w/survivor outright as well as trust)</w:t>
      </w:r>
      <w:r>
        <w:rPr>
          <w:rFonts w:ascii="Calibri" w:hAnsi="Calibri"/>
        </w:rPr>
        <w:t xml:space="preserve">, </w:t>
      </w:r>
      <w:r w:rsidR="00935EAB">
        <w:rPr>
          <w:rFonts w:ascii="Calibri" w:hAnsi="Calibri"/>
        </w:rPr>
        <w:t>better compatibility with disclaimer planning</w:t>
      </w:r>
      <w:r w:rsidR="00300972">
        <w:rPr>
          <w:rFonts w:ascii="Calibri" w:hAnsi="Calibri"/>
        </w:rPr>
        <w:t xml:space="preserve"> at first death, enabling disclaimer planning at second death</w:t>
      </w:r>
      <w:r w:rsidR="00935EAB">
        <w:rPr>
          <w:rFonts w:ascii="Calibri" w:hAnsi="Calibri"/>
        </w:rPr>
        <w:t xml:space="preserve">, </w:t>
      </w:r>
      <w:r>
        <w:rPr>
          <w:rFonts w:ascii="Calibri" w:hAnsi="Calibri"/>
        </w:rPr>
        <w:t>better ongoing income tax treatment for the trust and spouse overall and better income tax flexibility and charitable deduction treatment via spray provisions</w:t>
      </w:r>
      <w:r w:rsidR="005B153E">
        <w:rPr>
          <w:rFonts w:ascii="Calibri" w:hAnsi="Calibri"/>
        </w:rPr>
        <w:t xml:space="preserve"> or lifetime limited powers of appointment</w:t>
      </w:r>
      <w:r>
        <w:rPr>
          <w:rFonts w:ascii="Calibri" w:hAnsi="Calibri"/>
        </w:rPr>
        <w:t>.</w:t>
      </w:r>
      <w:r w:rsidR="00300972">
        <w:rPr>
          <w:rFonts w:ascii="Calibri" w:hAnsi="Calibri"/>
        </w:rPr>
        <w:t xml:space="preserve">  </w:t>
      </w:r>
    </w:p>
    <w:p w14:paraId="53806B12" w14:textId="77777777" w:rsidR="00491FB5" w:rsidRDefault="00491FB5" w:rsidP="00A27A52">
      <w:pPr>
        <w:spacing w:line="360" w:lineRule="auto"/>
        <w:ind w:firstLine="720"/>
        <w:rPr>
          <w:rFonts w:ascii="Calibri" w:hAnsi="Calibri"/>
        </w:rPr>
      </w:pPr>
      <w:r>
        <w:rPr>
          <w:rFonts w:ascii="Calibri" w:hAnsi="Calibri"/>
        </w:rPr>
        <w:t>The Optimal Basis and Income Tax Efficiency Trust offers the following advantages over a traditional QTIP</w:t>
      </w:r>
      <w:r w:rsidR="00300972">
        <w:rPr>
          <w:rFonts w:ascii="Calibri" w:hAnsi="Calibri"/>
        </w:rPr>
        <w:t xml:space="preserve"> (assuming estates</w:t>
      </w:r>
      <w:r w:rsidR="00B92B0D">
        <w:rPr>
          <w:rFonts w:ascii="Calibri" w:hAnsi="Calibri"/>
        </w:rPr>
        <w:t xml:space="preserve"> under exclusion amount)</w:t>
      </w:r>
      <w:r>
        <w:rPr>
          <w:rFonts w:ascii="Calibri" w:hAnsi="Calibri"/>
        </w:rPr>
        <w:t xml:space="preserve">: better asset protection during the surviving spouse’s life (for accounting income), </w:t>
      </w:r>
      <w:r w:rsidR="00B7670B">
        <w:rPr>
          <w:rFonts w:ascii="Calibri" w:hAnsi="Calibri"/>
        </w:rPr>
        <w:t>better leverage of GST exclusion</w:t>
      </w:r>
      <w:r w:rsidR="00046EE8">
        <w:rPr>
          <w:rFonts w:ascii="Calibri" w:hAnsi="Calibri"/>
        </w:rPr>
        <w:t xml:space="preserve"> than reverse QTIP if income is reinvested</w:t>
      </w:r>
      <w:r w:rsidR="002B4EE1">
        <w:rPr>
          <w:rFonts w:ascii="Calibri" w:hAnsi="Calibri"/>
        </w:rPr>
        <w:t xml:space="preserve"> (</w:t>
      </w:r>
      <w:r w:rsidR="007E5C61">
        <w:rPr>
          <w:rFonts w:ascii="Calibri" w:hAnsi="Calibri"/>
        </w:rPr>
        <w:t xml:space="preserve">though </w:t>
      </w:r>
      <w:r w:rsidR="002B4EE1">
        <w:rPr>
          <w:rFonts w:ascii="Calibri" w:hAnsi="Calibri"/>
        </w:rPr>
        <w:t xml:space="preserve">in </w:t>
      </w:r>
      <w:r w:rsidR="007E5C61">
        <w:rPr>
          <w:rFonts w:ascii="Calibri" w:hAnsi="Calibri"/>
        </w:rPr>
        <w:t>some</w:t>
      </w:r>
      <w:r w:rsidR="00CE3376">
        <w:rPr>
          <w:rFonts w:ascii="Calibri" w:hAnsi="Calibri"/>
        </w:rPr>
        <w:t xml:space="preserve"> </w:t>
      </w:r>
      <w:r w:rsidR="007B4F89">
        <w:rPr>
          <w:rFonts w:ascii="Calibri" w:hAnsi="Calibri"/>
        </w:rPr>
        <w:t xml:space="preserve">instances, QTIPs are </w:t>
      </w:r>
      <w:r w:rsidR="007B4F89" w:rsidRPr="007E5C61">
        <w:rPr>
          <w:rFonts w:ascii="Calibri" w:hAnsi="Calibri"/>
          <w:i/>
        </w:rPr>
        <w:t>more</w:t>
      </w:r>
      <w:r w:rsidR="007B4F89">
        <w:rPr>
          <w:rFonts w:ascii="Calibri" w:hAnsi="Calibri"/>
        </w:rPr>
        <w:t xml:space="preserve"> GST efficient)</w:t>
      </w:r>
      <w:r w:rsidR="00046EE8">
        <w:rPr>
          <w:rFonts w:ascii="Calibri" w:hAnsi="Calibri"/>
        </w:rPr>
        <w:t>, less complicated administration/compliance for retirement plan/IRA benefits,</w:t>
      </w:r>
      <w:r w:rsidR="00046EE8">
        <w:rPr>
          <w:rStyle w:val="FootnoteReference"/>
          <w:rFonts w:ascii="Calibri" w:hAnsi="Calibri"/>
        </w:rPr>
        <w:footnoteReference w:id="515"/>
      </w:r>
      <w:r w:rsidR="00046EE8">
        <w:rPr>
          <w:rFonts w:ascii="Calibri" w:hAnsi="Calibri"/>
        </w:rPr>
        <w:t xml:space="preserve"> </w:t>
      </w:r>
      <w:r w:rsidR="0067345C">
        <w:rPr>
          <w:rFonts w:ascii="Calibri" w:hAnsi="Calibri"/>
        </w:rPr>
        <w:t xml:space="preserve">better ability to augment or curtail powers of appointment, </w:t>
      </w:r>
      <w:r w:rsidR="00AB6761">
        <w:rPr>
          <w:rFonts w:ascii="Calibri" w:hAnsi="Calibri"/>
        </w:rPr>
        <w:t xml:space="preserve">less </w:t>
      </w:r>
      <w:r>
        <w:rPr>
          <w:rFonts w:ascii="Calibri" w:hAnsi="Calibri"/>
        </w:rPr>
        <w:t xml:space="preserve">chance of losing </w:t>
      </w:r>
      <w:r w:rsidR="00142E42">
        <w:rPr>
          <w:rFonts w:ascii="Calibri" w:hAnsi="Calibri"/>
        </w:rPr>
        <w:t xml:space="preserve">ported DSEU </w:t>
      </w:r>
      <w:r w:rsidR="00B92B0D">
        <w:rPr>
          <w:rFonts w:ascii="Calibri" w:hAnsi="Calibri"/>
        </w:rPr>
        <w:t>exclusion</w:t>
      </w:r>
      <w:r>
        <w:rPr>
          <w:rFonts w:ascii="Calibri" w:hAnsi="Calibri"/>
        </w:rPr>
        <w:t xml:space="preserve"> due to remarriage, better ongoing income tax treatment for the primary beneficiary, ability to spray income or capital gains to lower (or 0%) tax bracket beneficiaries, </w:t>
      </w:r>
      <w:r w:rsidR="009331A3">
        <w:rPr>
          <w:rFonts w:ascii="Calibri" w:hAnsi="Calibri"/>
        </w:rPr>
        <w:t xml:space="preserve">ability to spray or shift income with better charitable deductions up to 100% of trust AGI with no Pease limitations and a one-year lookback, </w:t>
      </w:r>
      <w:r w:rsidR="00656BE6">
        <w:rPr>
          <w:rFonts w:ascii="Calibri" w:hAnsi="Calibri"/>
        </w:rPr>
        <w:t xml:space="preserve">ability to gift </w:t>
      </w:r>
      <w:r w:rsidR="005B153E">
        <w:rPr>
          <w:rFonts w:ascii="Calibri" w:hAnsi="Calibri"/>
        </w:rPr>
        <w:t xml:space="preserve">or transact with the trust </w:t>
      </w:r>
      <w:r w:rsidR="00656BE6">
        <w:rPr>
          <w:rFonts w:ascii="Calibri" w:hAnsi="Calibri"/>
        </w:rPr>
        <w:t xml:space="preserve">without the IRC §2519 gift tax trap, </w:t>
      </w:r>
      <w:r>
        <w:rPr>
          <w:rFonts w:ascii="Calibri" w:hAnsi="Calibri"/>
        </w:rPr>
        <w:t xml:space="preserve">ability to shelter from </w:t>
      </w:r>
      <w:r w:rsidR="005B153E">
        <w:rPr>
          <w:rFonts w:ascii="Calibri" w:hAnsi="Calibri"/>
        </w:rPr>
        <w:t xml:space="preserve">16%-20% </w:t>
      </w:r>
      <w:r>
        <w:rPr>
          <w:rFonts w:ascii="Calibri" w:hAnsi="Calibri"/>
        </w:rPr>
        <w:t xml:space="preserve">state estate/inheritance tax, </w:t>
      </w:r>
      <w:r w:rsidR="00AB6761">
        <w:rPr>
          <w:rFonts w:ascii="Calibri" w:hAnsi="Calibri"/>
        </w:rPr>
        <w:t>ability to better avoid inadvertent</w:t>
      </w:r>
      <w:r w:rsidR="00BC4A11">
        <w:rPr>
          <w:rFonts w:ascii="Calibri" w:hAnsi="Calibri"/>
        </w:rPr>
        <w:t xml:space="preserve"> unwanted</w:t>
      </w:r>
      <w:r w:rsidR="00AB6761">
        <w:rPr>
          <w:rFonts w:ascii="Calibri" w:hAnsi="Calibri"/>
        </w:rPr>
        <w:t xml:space="preserve"> discounting for fractional interests</w:t>
      </w:r>
      <w:r w:rsidR="00BC4A11">
        <w:rPr>
          <w:rFonts w:ascii="Calibri" w:hAnsi="Calibri"/>
        </w:rPr>
        <w:t xml:space="preserve"> owned w/spouse</w:t>
      </w:r>
      <w:r w:rsidR="00AB6761">
        <w:rPr>
          <w:rFonts w:ascii="Calibri" w:hAnsi="Calibri"/>
        </w:rPr>
        <w:t xml:space="preserve">, </w:t>
      </w:r>
      <w:r>
        <w:rPr>
          <w:rFonts w:ascii="Calibri" w:hAnsi="Calibri"/>
        </w:rPr>
        <w:t xml:space="preserve">no requirement to file </w:t>
      </w:r>
      <w:r w:rsidR="00AB6761">
        <w:rPr>
          <w:rFonts w:ascii="Calibri" w:hAnsi="Calibri"/>
        </w:rPr>
        <w:t xml:space="preserve">(or chance to botch) </w:t>
      </w:r>
      <w:r>
        <w:rPr>
          <w:rFonts w:ascii="Calibri" w:hAnsi="Calibri"/>
        </w:rPr>
        <w:t xml:space="preserve">Form 706 to make appropriate QTIP election, </w:t>
      </w:r>
      <w:r w:rsidR="00217DE1">
        <w:rPr>
          <w:rFonts w:ascii="Calibri" w:hAnsi="Calibri"/>
        </w:rPr>
        <w:t xml:space="preserve">no prospect of Congress eliminating the estate tax and marital deduction altogether and thus the second step up in basis, </w:t>
      </w:r>
      <w:r w:rsidR="005B153E">
        <w:rPr>
          <w:rFonts w:ascii="Calibri" w:hAnsi="Calibri"/>
        </w:rPr>
        <w:t xml:space="preserve">better ability to decant/amend, </w:t>
      </w:r>
      <w:r w:rsidR="00EC1E1E">
        <w:rPr>
          <w:rFonts w:ascii="Calibri" w:hAnsi="Calibri"/>
        </w:rPr>
        <w:t>ability to add “poison pill”/cessor language for Medicaid/</w:t>
      </w:r>
      <w:r w:rsidR="007E17CD">
        <w:rPr>
          <w:rFonts w:ascii="Calibri" w:hAnsi="Calibri"/>
        </w:rPr>
        <w:t>tax lien/</w:t>
      </w:r>
      <w:r w:rsidR="00EC1E1E">
        <w:rPr>
          <w:rFonts w:ascii="Calibri" w:hAnsi="Calibri"/>
        </w:rPr>
        <w:t xml:space="preserve">asset protection, </w:t>
      </w:r>
      <w:r w:rsidR="00300972">
        <w:rPr>
          <w:rFonts w:ascii="Calibri" w:hAnsi="Calibri"/>
        </w:rPr>
        <w:t xml:space="preserve">ability to do disclaimer planning nine months from the surviving spouse’s death </w:t>
      </w:r>
      <w:r w:rsidR="00BC4A11">
        <w:rPr>
          <w:rFonts w:ascii="Calibri" w:hAnsi="Calibri"/>
        </w:rPr>
        <w:t xml:space="preserve">to the extent of any general testamentary power </w:t>
      </w:r>
      <w:r>
        <w:rPr>
          <w:rFonts w:ascii="Calibri" w:hAnsi="Calibri"/>
        </w:rPr>
        <w:t xml:space="preserve">and </w:t>
      </w:r>
      <w:r w:rsidR="00BC4A11">
        <w:rPr>
          <w:rFonts w:ascii="Calibri" w:hAnsi="Calibri"/>
        </w:rPr>
        <w:t xml:space="preserve">of course </w:t>
      </w:r>
      <w:r>
        <w:rPr>
          <w:rFonts w:ascii="Calibri" w:hAnsi="Calibri"/>
        </w:rPr>
        <w:t xml:space="preserve">the prevention of a second step </w:t>
      </w:r>
      <w:r w:rsidRPr="00BC4A11">
        <w:rPr>
          <w:rFonts w:ascii="Calibri" w:hAnsi="Calibri"/>
          <w:i/>
        </w:rPr>
        <w:t>down</w:t>
      </w:r>
      <w:r>
        <w:rPr>
          <w:rFonts w:ascii="Calibri" w:hAnsi="Calibri"/>
        </w:rPr>
        <w:t xml:space="preserve"> in basis</w:t>
      </w:r>
      <w:r w:rsidR="00BC4A11">
        <w:rPr>
          <w:rFonts w:ascii="Calibri" w:hAnsi="Calibri"/>
        </w:rPr>
        <w:t xml:space="preserve"> for assets in trust with basis higher than FMV</w:t>
      </w:r>
      <w:r>
        <w:rPr>
          <w:rFonts w:ascii="Calibri" w:hAnsi="Calibri"/>
        </w:rPr>
        <w:t xml:space="preserve">.  </w:t>
      </w:r>
    </w:p>
    <w:p w14:paraId="74F15C2A" w14:textId="77777777" w:rsidR="00491FB5" w:rsidRDefault="00491FB5" w:rsidP="00FB32D4">
      <w:pPr>
        <w:spacing w:line="360" w:lineRule="auto"/>
        <w:ind w:firstLine="720"/>
        <w:rPr>
          <w:rFonts w:ascii="Calibri" w:hAnsi="Calibri"/>
        </w:rPr>
      </w:pPr>
      <w:r>
        <w:rPr>
          <w:rFonts w:ascii="Calibri" w:hAnsi="Calibri"/>
        </w:rPr>
        <w:lastRenderedPageBreak/>
        <w:t xml:space="preserve">Just as importantly, although not extensively discussed herein, if the surviving spouse’s estate, including the QTIP trust, increases over time above the survivor’s Applicable Exclusion Amount (including portability), the bypass trust will almost certainly have saved more in estate taxes than the </w:t>
      </w:r>
      <w:r w:rsidR="00BE2576">
        <w:rPr>
          <w:rFonts w:ascii="Calibri" w:hAnsi="Calibri"/>
        </w:rPr>
        <w:t xml:space="preserve">potential </w:t>
      </w:r>
      <w:r>
        <w:rPr>
          <w:rFonts w:ascii="Calibri" w:hAnsi="Calibri"/>
        </w:rPr>
        <w:t>capital gains tax savings from getting new (presumably mostly increased) basis.</w:t>
      </w:r>
      <w:r>
        <w:rPr>
          <w:rStyle w:val="FootnoteReference"/>
          <w:rFonts w:ascii="Calibri" w:hAnsi="Calibri"/>
        </w:rPr>
        <w:footnoteReference w:id="516"/>
      </w:r>
      <w:r>
        <w:rPr>
          <w:rFonts w:ascii="Calibri" w:hAnsi="Calibri"/>
        </w:rPr>
        <w:t xml:space="preserve"> </w:t>
      </w:r>
      <w:r w:rsidR="00025A63">
        <w:rPr>
          <w:rFonts w:ascii="Calibri" w:hAnsi="Calibri"/>
        </w:rPr>
        <w:t xml:space="preserve"> </w:t>
      </w:r>
      <w:r w:rsidR="0068100E">
        <w:rPr>
          <w:rFonts w:ascii="Calibri" w:hAnsi="Calibri"/>
        </w:rPr>
        <w:t>Realize</w:t>
      </w:r>
      <w:r w:rsidR="00025A63">
        <w:rPr>
          <w:rFonts w:ascii="Calibri" w:hAnsi="Calibri"/>
        </w:rPr>
        <w:t xml:space="preserve"> that </w:t>
      </w:r>
      <w:r w:rsidR="0068100E">
        <w:rPr>
          <w:rFonts w:ascii="Calibri" w:hAnsi="Calibri"/>
        </w:rPr>
        <w:t xml:space="preserve">any </w:t>
      </w:r>
      <w:r w:rsidR="00025A63">
        <w:rPr>
          <w:rFonts w:ascii="Calibri" w:hAnsi="Calibri"/>
        </w:rPr>
        <w:t xml:space="preserve">higher inflation over </w:t>
      </w:r>
      <w:r w:rsidR="00217DE1">
        <w:rPr>
          <w:rFonts w:ascii="Calibri" w:hAnsi="Calibri"/>
        </w:rPr>
        <w:t>a longer period of time</w:t>
      </w:r>
      <w:r w:rsidR="00025A63">
        <w:rPr>
          <w:rFonts w:ascii="Calibri" w:hAnsi="Calibri"/>
        </w:rPr>
        <w:t xml:space="preserve"> exacerbates this </w:t>
      </w:r>
      <w:r w:rsidR="00217DE1">
        <w:rPr>
          <w:rFonts w:ascii="Calibri" w:hAnsi="Calibri"/>
        </w:rPr>
        <w:t xml:space="preserve">effect </w:t>
      </w:r>
      <w:r w:rsidR="00025A63">
        <w:rPr>
          <w:rFonts w:ascii="Calibri" w:hAnsi="Calibri"/>
        </w:rPr>
        <w:t xml:space="preserve">extensively, since the </w:t>
      </w:r>
      <w:r w:rsidR="00302F2B">
        <w:rPr>
          <w:rFonts w:ascii="Calibri" w:hAnsi="Calibri"/>
        </w:rPr>
        <w:t xml:space="preserve">locked in </w:t>
      </w:r>
      <w:r w:rsidR="00025A63">
        <w:rPr>
          <w:rFonts w:ascii="Calibri" w:hAnsi="Calibri"/>
        </w:rPr>
        <w:t xml:space="preserve">DSEU amount does </w:t>
      </w:r>
      <w:r w:rsidR="00025A63" w:rsidRPr="00217DE1">
        <w:rPr>
          <w:rFonts w:ascii="Calibri" w:hAnsi="Calibri"/>
          <w:b/>
          <w:i/>
        </w:rPr>
        <w:t>not</w:t>
      </w:r>
      <w:r w:rsidR="00025A63">
        <w:rPr>
          <w:rFonts w:ascii="Calibri" w:hAnsi="Calibri"/>
        </w:rPr>
        <w:t xml:space="preserve"> adjust for inflation.</w:t>
      </w:r>
      <w:r w:rsidR="008B2B08" w:rsidRPr="008B2B08">
        <w:rPr>
          <w:rFonts w:ascii="Calibri" w:hAnsi="Calibri"/>
        </w:rPr>
        <w:t xml:space="preserve"> </w:t>
      </w:r>
      <w:r w:rsidR="008B2B08">
        <w:rPr>
          <w:rFonts w:ascii="Calibri" w:hAnsi="Calibri"/>
        </w:rPr>
        <w:t>And remember, the first to die’s family usually gets stuck with the tax apportionment – important for blended families</w:t>
      </w:r>
      <w:r w:rsidR="00BC4A11">
        <w:rPr>
          <w:rFonts w:ascii="Calibri" w:hAnsi="Calibri"/>
        </w:rPr>
        <w:t xml:space="preserve"> and important even for residents with smaller estates who live in states with a separate estate tax</w:t>
      </w:r>
      <w:r w:rsidR="008B2B08">
        <w:rPr>
          <w:rFonts w:ascii="Calibri" w:hAnsi="Calibri"/>
        </w:rPr>
        <w:t>.</w:t>
      </w:r>
      <w:r w:rsidR="008B2B08">
        <w:rPr>
          <w:rStyle w:val="FootnoteReference"/>
          <w:rFonts w:ascii="Calibri" w:hAnsi="Calibri"/>
        </w:rPr>
        <w:footnoteReference w:id="517"/>
      </w:r>
      <w:r w:rsidR="008B2B08">
        <w:rPr>
          <w:rFonts w:ascii="Calibri" w:hAnsi="Calibri"/>
        </w:rPr>
        <w:t xml:space="preserve">  </w:t>
      </w:r>
    </w:p>
    <w:p w14:paraId="1AD70AB7" w14:textId="77777777" w:rsidR="00302F2B" w:rsidRDefault="006F506F" w:rsidP="00FB32D4">
      <w:pPr>
        <w:spacing w:line="360" w:lineRule="auto"/>
        <w:ind w:firstLine="720"/>
        <w:rPr>
          <w:rFonts w:ascii="Calibri" w:hAnsi="Calibri"/>
        </w:rPr>
      </w:pPr>
      <w:r>
        <w:rPr>
          <w:rFonts w:ascii="Calibri" w:hAnsi="Calibri"/>
        </w:rPr>
        <w:t xml:space="preserve">There </w:t>
      </w:r>
      <w:r w:rsidR="007B7668">
        <w:rPr>
          <w:rFonts w:ascii="Calibri" w:hAnsi="Calibri"/>
        </w:rPr>
        <w:t>are</w:t>
      </w:r>
      <w:r w:rsidR="00491FB5">
        <w:rPr>
          <w:rFonts w:ascii="Calibri" w:hAnsi="Calibri"/>
        </w:rPr>
        <w:t xml:space="preserve"> some </w:t>
      </w:r>
      <w:r w:rsidR="00025A63">
        <w:rPr>
          <w:rFonts w:ascii="Calibri" w:hAnsi="Calibri"/>
        </w:rPr>
        <w:t xml:space="preserve">narrow </w:t>
      </w:r>
      <w:r w:rsidR="00491FB5">
        <w:rPr>
          <w:rFonts w:ascii="Calibri" w:hAnsi="Calibri"/>
        </w:rPr>
        <w:t xml:space="preserve">situations </w:t>
      </w:r>
      <w:r>
        <w:rPr>
          <w:rFonts w:ascii="Calibri" w:hAnsi="Calibri"/>
        </w:rPr>
        <w:t xml:space="preserve">in which </w:t>
      </w:r>
      <w:r w:rsidR="00491FB5">
        <w:rPr>
          <w:rFonts w:ascii="Calibri" w:hAnsi="Calibri"/>
        </w:rPr>
        <w:t xml:space="preserve">a marital trust </w:t>
      </w:r>
      <w:r w:rsidR="000B7C48">
        <w:rPr>
          <w:rFonts w:ascii="Calibri" w:hAnsi="Calibri"/>
        </w:rPr>
        <w:t>will</w:t>
      </w:r>
      <w:r w:rsidR="00491FB5">
        <w:rPr>
          <w:rFonts w:ascii="Calibri" w:hAnsi="Calibri"/>
        </w:rPr>
        <w:t xml:space="preserve"> generate better </w:t>
      </w:r>
      <w:r w:rsidR="00984073">
        <w:rPr>
          <w:rFonts w:ascii="Calibri" w:hAnsi="Calibri"/>
        </w:rPr>
        <w:t xml:space="preserve">estate tax </w:t>
      </w:r>
      <w:r w:rsidR="00491FB5">
        <w:rPr>
          <w:rFonts w:ascii="Calibri" w:hAnsi="Calibri"/>
        </w:rPr>
        <w:t>results than an OBIT.</w:t>
      </w:r>
      <w:r w:rsidR="00D95E54">
        <w:rPr>
          <w:rStyle w:val="FootnoteReference"/>
          <w:rFonts w:ascii="Calibri" w:hAnsi="Calibri"/>
        </w:rPr>
        <w:footnoteReference w:id="518"/>
      </w:r>
      <w:r w:rsidR="000B7C48">
        <w:rPr>
          <w:rFonts w:ascii="Calibri" w:hAnsi="Calibri"/>
        </w:rPr>
        <w:t xml:space="preserve">  </w:t>
      </w:r>
      <w:r w:rsidR="007B7668">
        <w:rPr>
          <w:rFonts w:ascii="Calibri" w:hAnsi="Calibri"/>
        </w:rPr>
        <w:t>There are also situations in which a marital trust will generate a</w:t>
      </w:r>
      <w:r w:rsidR="00302F2B">
        <w:rPr>
          <w:rFonts w:ascii="Calibri" w:hAnsi="Calibri"/>
        </w:rPr>
        <w:t xml:space="preserve"> </w:t>
      </w:r>
      <w:r w:rsidR="007B7668">
        <w:rPr>
          <w:rFonts w:ascii="Calibri" w:hAnsi="Calibri"/>
        </w:rPr>
        <w:t xml:space="preserve">better </w:t>
      </w:r>
      <w:r w:rsidR="00BE2576">
        <w:rPr>
          <w:rFonts w:ascii="Calibri" w:hAnsi="Calibri"/>
        </w:rPr>
        <w:t xml:space="preserve">overall </w:t>
      </w:r>
      <w:r w:rsidR="000B7C48">
        <w:rPr>
          <w:rFonts w:ascii="Calibri" w:hAnsi="Calibri"/>
        </w:rPr>
        <w:t>basis increase – consider two spouses who each have net $5 million estates and one survives by only two years</w:t>
      </w:r>
      <w:r w:rsidR="005625DA">
        <w:rPr>
          <w:rFonts w:ascii="Calibri" w:hAnsi="Calibri"/>
        </w:rPr>
        <w:t xml:space="preserve">, all assets mildly </w:t>
      </w:r>
      <w:r w:rsidR="000B7C48">
        <w:rPr>
          <w:rFonts w:ascii="Calibri" w:hAnsi="Calibri"/>
        </w:rPr>
        <w:t xml:space="preserve">appreciate </w:t>
      </w:r>
      <w:r w:rsidR="007B7668">
        <w:rPr>
          <w:rFonts w:ascii="Calibri" w:hAnsi="Calibri"/>
        </w:rPr>
        <w:t>with inflation</w:t>
      </w:r>
      <w:r w:rsidR="007E17CD">
        <w:rPr>
          <w:rFonts w:ascii="Calibri" w:hAnsi="Calibri"/>
        </w:rPr>
        <w:t>, none go down in value,</w:t>
      </w:r>
      <w:r w:rsidR="007B7668">
        <w:rPr>
          <w:rFonts w:ascii="Calibri" w:hAnsi="Calibri"/>
        </w:rPr>
        <w:t xml:space="preserve"> to $</w:t>
      </w:r>
      <w:r w:rsidR="00027AEE">
        <w:rPr>
          <w:rFonts w:ascii="Calibri" w:hAnsi="Calibri"/>
        </w:rPr>
        <w:t>10.5</w:t>
      </w:r>
      <w:r w:rsidR="007B7668">
        <w:rPr>
          <w:rFonts w:ascii="Calibri" w:hAnsi="Calibri"/>
        </w:rPr>
        <w:t xml:space="preserve"> million </w:t>
      </w:r>
      <w:r w:rsidR="00027AEE">
        <w:rPr>
          <w:rFonts w:ascii="Calibri" w:hAnsi="Calibri"/>
        </w:rPr>
        <w:t>total</w:t>
      </w:r>
      <w:r w:rsidR="005625DA">
        <w:rPr>
          <w:rFonts w:ascii="Calibri" w:hAnsi="Calibri"/>
        </w:rPr>
        <w:t xml:space="preserve">, and the spouse doesn’t spray any income to </w:t>
      </w:r>
      <w:r w:rsidR="00CC7E96">
        <w:rPr>
          <w:rFonts w:ascii="Calibri" w:hAnsi="Calibri"/>
        </w:rPr>
        <w:t>lower bracket</w:t>
      </w:r>
      <w:r w:rsidR="005625DA">
        <w:rPr>
          <w:rFonts w:ascii="Calibri" w:hAnsi="Calibri"/>
        </w:rPr>
        <w:t xml:space="preserve"> beneficiaries from the trust- the OBIT would not save any estat</w:t>
      </w:r>
      <w:r w:rsidR="00CC7E96">
        <w:rPr>
          <w:rFonts w:ascii="Calibri" w:hAnsi="Calibri"/>
        </w:rPr>
        <w:t>e tax, not save any income tax, would only garner very minimal if any step up, whereas a QTIP</w:t>
      </w:r>
      <w:r w:rsidR="00E87379">
        <w:rPr>
          <w:rFonts w:ascii="Calibri" w:hAnsi="Calibri"/>
        </w:rPr>
        <w:t xml:space="preserve"> (if portability elected and DSUE not lost)</w:t>
      </w:r>
      <w:r w:rsidR="00CC7E96">
        <w:rPr>
          <w:rFonts w:ascii="Calibri" w:hAnsi="Calibri"/>
        </w:rPr>
        <w:t xml:space="preserve"> would not cost any estate tax and would garner slightly more step up</w:t>
      </w:r>
      <w:r w:rsidR="00302F2B">
        <w:rPr>
          <w:rFonts w:ascii="Calibri" w:hAnsi="Calibri"/>
        </w:rPr>
        <w:t xml:space="preserve"> in basis</w:t>
      </w:r>
      <w:r w:rsidR="005625DA">
        <w:rPr>
          <w:rFonts w:ascii="Calibri" w:hAnsi="Calibri"/>
        </w:rPr>
        <w:t>.</w:t>
      </w:r>
      <w:r w:rsidR="00491FB5">
        <w:rPr>
          <w:rFonts w:ascii="Calibri" w:hAnsi="Calibri"/>
        </w:rPr>
        <w:t xml:space="preserve">  </w:t>
      </w:r>
    </w:p>
    <w:p w14:paraId="3B3287AC" w14:textId="77777777" w:rsidR="00735C81" w:rsidRDefault="00491FB5" w:rsidP="00FB32D4">
      <w:pPr>
        <w:spacing w:line="360" w:lineRule="auto"/>
        <w:ind w:firstLine="720"/>
        <w:rPr>
          <w:rFonts w:ascii="Calibri" w:hAnsi="Calibri"/>
        </w:rPr>
      </w:pPr>
      <w:r>
        <w:rPr>
          <w:rFonts w:ascii="Calibri" w:hAnsi="Calibri"/>
        </w:rPr>
        <w:t xml:space="preserve">To </w:t>
      </w:r>
      <w:r w:rsidR="00027AEE">
        <w:rPr>
          <w:rFonts w:ascii="Calibri" w:hAnsi="Calibri"/>
        </w:rPr>
        <w:t>craft a</w:t>
      </w:r>
      <w:r>
        <w:rPr>
          <w:rFonts w:ascii="Calibri" w:hAnsi="Calibri"/>
        </w:rPr>
        <w:t xml:space="preserve"> precise</w:t>
      </w:r>
      <w:r w:rsidR="00027AEE">
        <w:rPr>
          <w:rFonts w:ascii="Calibri" w:hAnsi="Calibri"/>
        </w:rPr>
        <w:t xml:space="preserve"> rule</w:t>
      </w:r>
      <w:r>
        <w:rPr>
          <w:rFonts w:ascii="Calibri" w:hAnsi="Calibri"/>
        </w:rPr>
        <w:t>, you need to know asset mix, depreciation info, date of 2</w:t>
      </w:r>
      <w:r w:rsidRPr="0014672D">
        <w:rPr>
          <w:rFonts w:ascii="Calibri" w:hAnsi="Calibri"/>
          <w:vertAlign w:val="superscript"/>
        </w:rPr>
        <w:t>nd</w:t>
      </w:r>
      <w:r>
        <w:rPr>
          <w:rFonts w:ascii="Calibri" w:hAnsi="Calibri"/>
        </w:rPr>
        <w:t xml:space="preserve"> death, the beneficiary’s distribution needs</w:t>
      </w:r>
      <w:r w:rsidR="00302F2B">
        <w:rPr>
          <w:rFonts w:ascii="Calibri" w:hAnsi="Calibri"/>
        </w:rPr>
        <w:t xml:space="preserve"> and whether a powerholder would spray income</w:t>
      </w:r>
      <w:r>
        <w:rPr>
          <w:rFonts w:ascii="Calibri" w:hAnsi="Calibri"/>
        </w:rPr>
        <w:t xml:space="preserve">, </w:t>
      </w:r>
      <w:r w:rsidR="007E17CD">
        <w:rPr>
          <w:rFonts w:ascii="Calibri" w:hAnsi="Calibri"/>
        </w:rPr>
        <w:t xml:space="preserve">future </w:t>
      </w:r>
      <w:r>
        <w:rPr>
          <w:rFonts w:ascii="Calibri" w:hAnsi="Calibri"/>
        </w:rPr>
        <w:t>tax rates/exclusions</w:t>
      </w:r>
      <w:r w:rsidR="00F82D19">
        <w:rPr>
          <w:rFonts w:ascii="Calibri" w:hAnsi="Calibri"/>
        </w:rPr>
        <w:t xml:space="preserve"> (including state)</w:t>
      </w:r>
      <w:r>
        <w:rPr>
          <w:rFonts w:ascii="Calibri" w:hAnsi="Calibri"/>
        </w:rPr>
        <w:t>, inflation, investment turnover, investment returns and more to make an accurate prediction</w:t>
      </w:r>
      <w:r w:rsidR="00E87379">
        <w:rPr>
          <w:rFonts w:ascii="Calibri" w:hAnsi="Calibri"/>
        </w:rPr>
        <w:t xml:space="preserve">.  QTIPs used with portability have a sweet </w:t>
      </w:r>
      <w:r w:rsidR="00E87379">
        <w:rPr>
          <w:rFonts w:ascii="Calibri" w:hAnsi="Calibri"/>
        </w:rPr>
        <w:lastRenderedPageBreak/>
        <w:t>spot similar to the example above</w:t>
      </w:r>
      <w:r w:rsidR="00027AEE">
        <w:rPr>
          <w:rFonts w:ascii="Calibri" w:hAnsi="Calibri"/>
        </w:rPr>
        <w:t xml:space="preserve"> (</w:t>
      </w:r>
      <w:r w:rsidR="00735C81">
        <w:rPr>
          <w:rFonts w:ascii="Calibri" w:hAnsi="Calibri"/>
        </w:rPr>
        <w:t xml:space="preserve">total </w:t>
      </w:r>
      <w:r w:rsidR="00027AEE">
        <w:rPr>
          <w:rFonts w:ascii="Calibri" w:hAnsi="Calibri"/>
        </w:rPr>
        <w:t>assets close to</w:t>
      </w:r>
      <w:r w:rsidR="00735C81">
        <w:rPr>
          <w:rFonts w:ascii="Calibri" w:hAnsi="Calibri"/>
        </w:rPr>
        <w:t xml:space="preserve"> combined</w:t>
      </w:r>
      <w:r w:rsidR="00027AEE">
        <w:rPr>
          <w:rFonts w:ascii="Calibri" w:hAnsi="Calibri"/>
        </w:rPr>
        <w:t xml:space="preserve"> exclusion but little chance of eventual estate tax)</w:t>
      </w:r>
      <w:r w:rsidR="00E87379">
        <w:rPr>
          <w:rFonts w:ascii="Calibri" w:hAnsi="Calibri"/>
        </w:rPr>
        <w:t xml:space="preserve">, but with </w:t>
      </w:r>
      <w:r w:rsidR="007D59C9">
        <w:rPr>
          <w:rFonts w:ascii="Calibri" w:hAnsi="Calibri"/>
        </w:rPr>
        <w:t>similar or</w:t>
      </w:r>
      <w:r w:rsidR="00E87379">
        <w:rPr>
          <w:rFonts w:ascii="Calibri" w:hAnsi="Calibri"/>
        </w:rPr>
        <w:t xml:space="preserve"> larger estates </w:t>
      </w:r>
      <w:r w:rsidR="007D59C9">
        <w:rPr>
          <w:rFonts w:ascii="Calibri" w:hAnsi="Calibri"/>
        </w:rPr>
        <w:t>OBITs</w:t>
      </w:r>
      <w:r w:rsidR="00E87379">
        <w:rPr>
          <w:rFonts w:ascii="Calibri" w:hAnsi="Calibri"/>
        </w:rPr>
        <w:t xml:space="preserve"> could save a lot more estate tax</w:t>
      </w:r>
      <w:r w:rsidR="007D59C9">
        <w:rPr>
          <w:rFonts w:ascii="Calibri" w:hAnsi="Calibri"/>
        </w:rPr>
        <w:t xml:space="preserve"> if the surviving spouse lives a significant time with returns outpacing inflation, and with smaller estates an OBIT can get the </w:t>
      </w:r>
      <w:r w:rsidR="001E09D4">
        <w:rPr>
          <w:rFonts w:ascii="Calibri" w:hAnsi="Calibri"/>
        </w:rPr>
        <w:t xml:space="preserve">exact </w:t>
      </w:r>
      <w:r w:rsidR="007D59C9">
        <w:rPr>
          <w:rFonts w:ascii="Calibri" w:hAnsi="Calibri"/>
        </w:rPr>
        <w:t xml:space="preserve">same step up AND avoid step down. </w:t>
      </w:r>
      <w:r w:rsidR="00E87379">
        <w:rPr>
          <w:rFonts w:ascii="Calibri" w:hAnsi="Calibri"/>
        </w:rPr>
        <w:t xml:space="preserve"> </w:t>
      </w:r>
      <w:r w:rsidR="00025A63">
        <w:rPr>
          <w:rFonts w:ascii="Calibri" w:hAnsi="Calibri"/>
        </w:rPr>
        <w:t xml:space="preserve">  </w:t>
      </w:r>
    </w:p>
    <w:p w14:paraId="1C8BADE0" w14:textId="77777777" w:rsidR="0068100E" w:rsidRDefault="00025A63" w:rsidP="00FB32D4">
      <w:pPr>
        <w:spacing w:line="360" w:lineRule="auto"/>
        <w:ind w:firstLine="720"/>
        <w:rPr>
          <w:rFonts w:ascii="Calibri" w:hAnsi="Calibri"/>
        </w:rPr>
      </w:pPr>
      <w:r>
        <w:rPr>
          <w:rFonts w:ascii="Calibri" w:hAnsi="Calibri"/>
        </w:rPr>
        <w:t xml:space="preserve">But basis increase (or lack of decrease) for the family </w:t>
      </w:r>
      <w:r w:rsidR="00F3546A">
        <w:rPr>
          <w:rFonts w:ascii="Calibri" w:hAnsi="Calibri"/>
        </w:rPr>
        <w:t xml:space="preserve">at the surviving spouse’s death </w:t>
      </w:r>
      <w:r w:rsidR="00E14467">
        <w:rPr>
          <w:rFonts w:ascii="Calibri" w:hAnsi="Calibri"/>
        </w:rPr>
        <w:t>is</w:t>
      </w:r>
      <w:r w:rsidR="00523B6B">
        <w:rPr>
          <w:rFonts w:ascii="Calibri" w:hAnsi="Calibri"/>
        </w:rPr>
        <w:t xml:space="preserve"> </w:t>
      </w:r>
      <w:r w:rsidR="00F3546A">
        <w:rPr>
          <w:rFonts w:ascii="Calibri" w:hAnsi="Calibri"/>
        </w:rPr>
        <w:t xml:space="preserve">a </w:t>
      </w:r>
      <w:r w:rsidR="00F82D19">
        <w:rPr>
          <w:rFonts w:ascii="Calibri" w:hAnsi="Calibri"/>
          <w:i/>
        </w:rPr>
        <w:t>one-</w:t>
      </w:r>
      <w:r w:rsidR="00523B6B" w:rsidRPr="00F3546A">
        <w:rPr>
          <w:rFonts w:ascii="Calibri" w:hAnsi="Calibri"/>
          <w:i/>
        </w:rPr>
        <w:t>time event</w:t>
      </w:r>
      <w:r w:rsidR="00F82D19">
        <w:rPr>
          <w:rFonts w:ascii="Calibri" w:hAnsi="Calibri"/>
          <w:i/>
        </w:rPr>
        <w:t xml:space="preserve"> </w:t>
      </w:r>
      <w:r w:rsidR="009331A3">
        <w:rPr>
          <w:rFonts w:ascii="Calibri" w:hAnsi="Calibri"/>
        </w:rPr>
        <w:t>and even these benefits are typically delayed until sale.  T</w:t>
      </w:r>
      <w:r w:rsidR="00E87379">
        <w:rPr>
          <w:rFonts w:ascii="Calibri" w:hAnsi="Calibri"/>
        </w:rPr>
        <w:t xml:space="preserve">his </w:t>
      </w:r>
      <w:r w:rsidR="008B2B08">
        <w:rPr>
          <w:rFonts w:ascii="Calibri" w:hAnsi="Calibri"/>
        </w:rPr>
        <w:t xml:space="preserve">is probably </w:t>
      </w:r>
      <w:r w:rsidR="008B2B08" w:rsidRPr="009331A3">
        <w:rPr>
          <w:rFonts w:ascii="Calibri" w:hAnsi="Calibri"/>
          <w:i/>
        </w:rPr>
        <w:t>not</w:t>
      </w:r>
      <w:r w:rsidR="007B7668" w:rsidRPr="009331A3">
        <w:rPr>
          <w:rFonts w:ascii="Calibri" w:hAnsi="Calibri"/>
          <w:i/>
        </w:rPr>
        <w:t xml:space="preserve"> </w:t>
      </w:r>
      <w:r w:rsidRPr="009331A3">
        <w:rPr>
          <w:rFonts w:ascii="Calibri" w:hAnsi="Calibri"/>
          <w:i/>
        </w:rPr>
        <w:t>nearly as important</w:t>
      </w:r>
      <w:r>
        <w:rPr>
          <w:rFonts w:ascii="Calibri" w:hAnsi="Calibri"/>
        </w:rPr>
        <w:t xml:space="preserve"> </w:t>
      </w:r>
      <w:r w:rsidR="009331A3" w:rsidRPr="009331A3">
        <w:rPr>
          <w:rFonts w:ascii="Calibri" w:hAnsi="Calibri"/>
          <w:i/>
        </w:rPr>
        <w:t>to the surviving spouse</w:t>
      </w:r>
      <w:r w:rsidR="009331A3">
        <w:rPr>
          <w:rFonts w:ascii="Calibri" w:hAnsi="Calibri"/>
        </w:rPr>
        <w:t xml:space="preserve"> </w:t>
      </w:r>
      <w:r>
        <w:rPr>
          <w:rFonts w:ascii="Calibri" w:hAnsi="Calibri"/>
        </w:rPr>
        <w:t xml:space="preserve">as the </w:t>
      </w:r>
      <w:r w:rsidRPr="00984073">
        <w:rPr>
          <w:rFonts w:ascii="Calibri" w:hAnsi="Calibri"/>
          <w:i/>
        </w:rPr>
        <w:t>ongoing income tax efficiency</w:t>
      </w:r>
      <w:r>
        <w:rPr>
          <w:rFonts w:ascii="Calibri" w:hAnsi="Calibri"/>
        </w:rPr>
        <w:t xml:space="preserve"> of the </w:t>
      </w:r>
      <w:r w:rsidR="00523B6B">
        <w:rPr>
          <w:rFonts w:ascii="Calibri" w:hAnsi="Calibri"/>
        </w:rPr>
        <w:t>trust</w:t>
      </w:r>
      <w:r w:rsidR="00E14467">
        <w:rPr>
          <w:rFonts w:ascii="Calibri" w:hAnsi="Calibri"/>
        </w:rPr>
        <w:t xml:space="preserve">.  </w:t>
      </w:r>
      <w:r w:rsidR="0068100E">
        <w:rPr>
          <w:rFonts w:ascii="Calibri" w:hAnsi="Calibri"/>
        </w:rPr>
        <w:t xml:space="preserve">The ability to spray income to beneficiaries in lower brackets and obtain better charitable deductions </w:t>
      </w:r>
      <w:r w:rsidR="007E17CD">
        <w:rPr>
          <w:rFonts w:ascii="Calibri" w:hAnsi="Calibri"/>
        </w:rPr>
        <w:t xml:space="preserve">and asset protection </w:t>
      </w:r>
      <w:r w:rsidR="0068100E">
        <w:rPr>
          <w:rFonts w:ascii="Calibri" w:hAnsi="Calibri"/>
        </w:rPr>
        <w:t xml:space="preserve">can be much more important because the spouse benefits </w:t>
      </w:r>
      <w:r w:rsidR="0068100E" w:rsidRPr="007E17CD">
        <w:rPr>
          <w:rFonts w:ascii="Calibri" w:hAnsi="Calibri"/>
          <w:i/>
        </w:rPr>
        <w:t>while still alive</w:t>
      </w:r>
      <w:r w:rsidR="0068100E">
        <w:rPr>
          <w:rFonts w:ascii="Calibri" w:hAnsi="Calibri"/>
        </w:rPr>
        <w:t>.</w:t>
      </w:r>
    </w:p>
    <w:p w14:paraId="359A1C6E" w14:textId="77777777" w:rsidR="00C91633" w:rsidRDefault="00C47C85" w:rsidP="00FB32D4">
      <w:pPr>
        <w:spacing w:line="360" w:lineRule="auto"/>
        <w:ind w:firstLine="720"/>
        <w:rPr>
          <w:rFonts w:ascii="Calibri" w:hAnsi="Calibri"/>
        </w:rPr>
      </w:pPr>
      <w:r>
        <w:rPr>
          <w:rFonts w:ascii="Calibri" w:hAnsi="Calibri"/>
        </w:rPr>
        <w:t xml:space="preserve"> </w:t>
      </w:r>
      <w:r w:rsidR="00263EB1">
        <w:rPr>
          <w:rFonts w:ascii="Calibri" w:hAnsi="Calibri"/>
        </w:rPr>
        <w:t xml:space="preserve">This </w:t>
      </w:r>
      <w:r w:rsidR="0068100E">
        <w:rPr>
          <w:rFonts w:ascii="Calibri" w:hAnsi="Calibri"/>
        </w:rPr>
        <w:t xml:space="preserve">improved </w:t>
      </w:r>
      <w:r w:rsidR="00263EB1">
        <w:rPr>
          <w:rFonts w:ascii="Calibri" w:hAnsi="Calibri"/>
        </w:rPr>
        <w:t>flexibility includes post-mortem amendments.  A</w:t>
      </w:r>
      <w:r w:rsidR="0068100E">
        <w:rPr>
          <w:rFonts w:ascii="Calibri" w:hAnsi="Calibri"/>
        </w:rPr>
        <w:t xml:space="preserve">n </w:t>
      </w:r>
      <w:r w:rsidR="00F5653B">
        <w:rPr>
          <w:rFonts w:ascii="Calibri" w:hAnsi="Calibri"/>
        </w:rPr>
        <w:t xml:space="preserve">OBIT can </w:t>
      </w:r>
      <w:r w:rsidR="00263EB1">
        <w:rPr>
          <w:rFonts w:ascii="Calibri" w:hAnsi="Calibri"/>
        </w:rPr>
        <w:t xml:space="preserve">often </w:t>
      </w:r>
      <w:r w:rsidR="00F5653B">
        <w:rPr>
          <w:rFonts w:ascii="Calibri" w:hAnsi="Calibri"/>
        </w:rPr>
        <w:t xml:space="preserve">be amended </w:t>
      </w:r>
      <w:r w:rsidR="001E09D4">
        <w:rPr>
          <w:rFonts w:ascii="Calibri" w:hAnsi="Calibri"/>
        </w:rPr>
        <w:t>in various ways</w:t>
      </w:r>
      <w:r w:rsidR="00263EB1">
        <w:rPr>
          <w:rFonts w:ascii="Calibri" w:hAnsi="Calibri"/>
        </w:rPr>
        <w:t xml:space="preserve"> to adapt to change in circumstance or tax law</w:t>
      </w:r>
      <w:r w:rsidR="001E09D4">
        <w:rPr>
          <w:rFonts w:ascii="Calibri" w:hAnsi="Calibri"/>
        </w:rPr>
        <w:t>,</w:t>
      </w:r>
      <w:r w:rsidR="00263EB1">
        <w:rPr>
          <w:rFonts w:ascii="Calibri" w:hAnsi="Calibri"/>
        </w:rPr>
        <w:t xml:space="preserve"> via trust protector</w:t>
      </w:r>
      <w:r w:rsidR="007E17CD">
        <w:rPr>
          <w:rFonts w:ascii="Calibri" w:hAnsi="Calibri"/>
        </w:rPr>
        <w:t>, decanting</w:t>
      </w:r>
      <w:r w:rsidR="00263EB1">
        <w:rPr>
          <w:rFonts w:ascii="Calibri" w:hAnsi="Calibri"/>
        </w:rPr>
        <w:t xml:space="preserve"> or otherwise.</w:t>
      </w:r>
      <w:r w:rsidR="00263EB1">
        <w:rPr>
          <w:rStyle w:val="FootnoteReference"/>
          <w:rFonts w:ascii="Calibri" w:hAnsi="Calibri"/>
        </w:rPr>
        <w:footnoteReference w:id="519"/>
      </w:r>
      <w:r w:rsidR="00263EB1">
        <w:rPr>
          <w:rFonts w:ascii="Calibri" w:hAnsi="Calibri"/>
        </w:rPr>
        <w:t xml:space="preserve">  By contrast,</w:t>
      </w:r>
      <w:r w:rsidR="001E09D4">
        <w:rPr>
          <w:rFonts w:ascii="Calibri" w:hAnsi="Calibri"/>
        </w:rPr>
        <w:t xml:space="preserve"> </w:t>
      </w:r>
      <w:r w:rsidR="00F5653B">
        <w:rPr>
          <w:rFonts w:ascii="Calibri" w:hAnsi="Calibri"/>
        </w:rPr>
        <w:t xml:space="preserve">a marital trust </w:t>
      </w:r>
      <w:r w:rsidR="00263EB1">
        <w:rPr>
          <w:rFonts w:ascii="Calibri" w:hAnsi="Calibri"/>
        </w:rPr>
        <w:t>must</w:t>
      </w:r>
      <w:r w:rsidR="001E09D4">
        <w:rPr>
          <w:rFonts w:ascii="Calibri" w:hAnsi="Calibri"/>
        </w:rPr>
        <w:t xml:space="preserve"> </w:t>
      </w:r>
      <w:r w:rsidR="00263EB1">
        <w:rPr>
          <w:rFonts w:ascii="Calibri" w:hAnsi="Calibri"/>
        </w:rPr>
        <w:t>not only avoid</w:t>
      </w:r>
      <w:r w:rsidR="00F5653B">
        <w:rPr>
          <w:rFonts w:ascii="Calibri" w:hAnsi="Calibri"/>
        </w:rPr>
        <w:t xml:space="preserve"> any </w:t>
      </w:r>
      <w:r w:rsidR="00263EB1">
        <w:rPr>
          <w:rFonts w:ascii="Calibri" w:hAnsi="Calibri"/>
        </w:rPr>
        <w:t>substantial</w:t>
      </w:r>
      <w:r w:rsidR="001E09D4">
        <w:rPr>
          <w:rFonts w:ascii="Calibri" w:hAnsi="Calibri"/>
        </w:rPr>
        <w:t xml:space="preserve"> amendment</w:t>
      </w:r>
      <w:r w:rsidR="00263EB1">
        <w:rPr>
          <w:rFonts w:ascii="Calibri" w:hAnsi="Calibri"/>
        </w:rPr>
        <w:t>s</w:t>
      </w:r>
      <w:r w:rsidR="00F5653B">
        <w:rPr>
          <w:rFonts w:ascii="Calibri" w:hAnsi="Calibri"/>
        </w:rPr>
        <w:t>,</w:t>
      </w:r>
      <w:r w:rsidR="00263EB1">
        <w:rPr>
          <w:rFonts w:ascii="Calibri" w:hAnsi="Calibri"/>
        </w:rPr>
        <w:t xml:space="preserve"> but must curb any </w:t>
      </w:r>
      <w:r w:rsidR="00263EB1" w:rsidRPr="00263EB1">
        <w:rPr>
          <w:rFonts w:ascii="Calibri" w:hAnsi="Calibri"/>
          <w:i/>
        </w:rPr>
        <w:t>potential</w:t>
      </w:r>
      <w:r w:rsidR="00263EB1">
        <w:rPr>
          <w:rFonts w:ascii="Calibri" w:hAnsi="Calibri"/>
        </w:rPr>
        <w:t xml:space="preserve"> for amendments </w:t>
      </w:r>
      <w:r w:rsidR="00CE757B">
        <w:rPr>
          <w:rFonts w:ascii="Calibri" w:hAnsi="Calibri"/>
        </w:rPr>
        <w:t>(</w:t>
      </w:r>
      <w:r w:rsidR="00263EB1">
        <w:rPr>
          <w:rFonts w:ascii="Calibri" w:hAnsi="Calibri"/>
        </w:rPr>
        <w:t>beyond what is permitted under state law</w:t>
      </w:r>
      <w:r w:rsidR="00CE757B">
        <w:rPr>
          <w:rFonts w:ascii="Calibri" w:hAnsi="Calibri"/>
        </w:rPr>
        <w:t>)</w:t>
      </w:r>
      <w:r w:rsidR="00263EB1">
        <w:rPr>
          <w:rFonts w:ascii="Calibri" w:hAnsi="Calibri"/>
        </w:rPr>
        <w:t xml:space="preserve">, </w:t>
      </w:r>
      <w:r w:rsidR="00F5653B">
        <w:rPr>
          <w:rFonts w:ascii="Calibri" w:hAnsi="Calibri"/>
        </w:rPr>
        <w:t xml:space="preserve">else the </w:t>
      </w:r>
      <w:r w:rsidR="00686919">
        <w:rPr>
          <w:rFonts w:ascii="Calibri" w:hAnsi="Calibri"/>
        </w:rPr>
        <w:t xml:space="preserve">marital </w:t>
      </w:r>
      <w:r w:rsidR="00F5653B">
        <w:rPr>
          <w:rFonts w:ascii="Calibri" w:hAnsi="Calibri"/>
        </w:rPr>
        <w:t xml:space="preserve">deduction </w:t>
      </w:r>
      <w:r w:rsidR="008B2B08">
        <w:rPr>
          <w:rFonts w:ascii="Calibri" w:hAnsi="Calibri"/>
        </w:rPr>
        <w:t xml:space="preserve">will </w:t>
      </w:r>
      <w:r w:rsidR="00F5653B">
        <w:rPr>
          <w:rFonts w:ascii="Calibri" w:hAnsi="Calibri"/>
        </w:rPr>
        <w:t>be denied</w:t>
      </w:r>
      <w:r w:rsidR="00300972">
        <w:rPr>
          <w:rFonts w:ascii="Calibri" w:hAnsi="Calibri"/>
        </w:rPr>
        <w:t xml:space="preserve"> (</w:t>
      </w:r>
      <w:r w:rsidR="001E09D4">
        <w:rPr>
          <w:rFonts w:ascii="Calibri" w:hAnsi="Calibri"/>
        </w:rPr>
        <w:t xml:space="preserve">and hence, the subsequent </w:t>
      </w:r>
      <w:r w:rsidR="00300972">
        <w:rPr>
          <w:rFonts w:ascii="Calibri" w:hAnsi="Calibri"/>
        </w:rPr>
        <w:t>step up</w:t>
      </w:r>
      <w:r w:rsidR="00263EB1">
        <w:rPr>
          <w:rFonts w:ascii="Calibri" w:hAnsi="Calibri"/>
        </w:rPr>
        <w:t xml:space="preserve"> in basis</w:t>
      </w:r>
      <w:r w:rsidR="00300972">
        <w:rPr>
          <w:rFonts w:ascii="Calibri" w:hAnsi="Calibri"/>
        </w:rPr>
        <w:t>)</w:t>
      </w:r>
      <w:r w:rsidR="00F5653B">
        <w:rPr>
          <w:rFonts w:ascii="Calibri" w:hAnsi="Calibri"/>
        </w:rPr>
        <w:t>.</w:t>
      </w:r>
      <w:r w:rsidR="00F5653B">
        <w:rPr>
          <w:rStyle w:val="FootnoteReference"/>
          <w:rFonts w:ascii="Calibri" w:hAnsi="Calibri"/>
        </w:rPr>
        <w:footnoteReference w:id="520"/>
      </w:r>
      <w:r w:rsidR="00F82D19">
        <w:rPr>
          <w:rFonts w:ascii="Calibri" w:hAnsi="Calibri"/>
        </w:rPr>
        <w:t xml:space="preserve">  </w:t>
      </w:r>
      <w:r w:rsidR="0014165C">
        <w:rPr>
          <w:rFonts w:ascii="Calibri" w:hAnsi="Calibri"/>
        </w:rPr>
        <w:t xml:space="preserve"> </w:t>
      </w:r>
    </w:p>
    <w:p w14:paraId="5D862D27" w14:textId="77777777" w:rsidR="00EC45C0" w:rsidRDefault="003A5A6D" w:rsidP="00FB32D4">
      <w:pPr>
        <w:spacing w:line="360" w:lineRule="auto"/>
        <w:ind w:firstLine="720"/>
        <w:rPr>
          <w:rFonts w:ascii="Calibri" w:hAnsi="Calibri"/>
        </w:rPr>
      </w:pPr>
      <w:r>
        <w:rPr>
          <w:rFonts w:ascii="Calibri" w:hAnsi="Calibri"/>
        </w:rPr>
        <w:t>U</w:t>
      </w:r>
      <w:r w:rsidR="00EC45C0">
        <w:rPr>
          <w:rFonts w:ascii="Calibri" w:hAnsi="Calibri"/>
        </w:rPr>
        <w:t xml:space="preserve">sing the Delaware Tax Trap to maximize basis in some circumstances </w:t>
      </w:r>
      <w:r w:rsidR="00A92BDB">
        <w:rPr>
          <w:rFonts w:ascii="Calibri" w:hAnsi="Calibri"/>
        </w:rPr>
        <w:t>may be</w:t>
      </w:r>
      <w:r w:rsidR="00EC45C0">
        <w:rPr>
          <w:rFonts w:ascii="Calibri" w:hAnsi="Calibri"/>
        </w:rPr>
        <w:t xml:space="preserve"> safer</w:t>
      </w:r>
      <w:r w:rsidR="008B2B08">
        <w:rPr>
          <w:rFonts w:ascii="Calibri" w:hAnsi="Calibri"/>
        </w:rPr>
        <w:t xml:space="preserve"> and can be more targeted</w:t>
      </w:r>
      <w:r w:rsidR="00EC45C0">
        <w:rPr>
          <w:rFonts w:ascii="Calibri" w:hAnsi="Calibri"/>
        </w:rPr>
        <w:t xml:space="preserve"> than using a formula GPOA, but both can probably be used effectively (especially if no cap is needed for smaller estates).  However, </w:t>
      </w:r>
      <w:r w:rsidR="004C1272">
        <w:rPr>
          <w:rFonts w:ascii="Calibri" w:hAnsi="Calibri"/>
        </w:rPr>
        <w:t xml:space="preserve">unlike </w:t>
      </w:r>
      <w:r w:rsidR="004C1272" w:rsidRPr="00CE757B">
        <w:rPr>
          <w:rFonts w:ascii="Calibri" w:hAnsi="Calibri"/>
          <w:i/>
        </w:rPr>
        <w:t>general</w:t>
      </w:r>
      <w:r w:rsidR="004C1272">
        <w:rPr>
          <w:rFonts w:ascii="Calibri" w:hAnsi="Calibri"/>
        </w:rPr>
        <w:t xml:space="preserve"> powers </w:t>
      </w:r>
      <w:r w:rsidR="00300972">
        <w:rPr>
          <w:rFonts w:ascii="Calibri" w:hAnsi="Calibri"/>
        </w:rPr>
        <w:t>which have</w:t>
      </w:r>
      <w:r w:rsidR="004C1272">
        <w:rPr>
          <w:rFonts w:ascii="Calibri" w:hAnsi="Calibri"/>
        </w:rPr>
        <w:t xml:space="preserve"> ample precedent and guidance, there is only one reported case construing </w:t>
      </w:r>
      <w:r w:rsidR="004C1272">
        <w:rPr>
          <w:rFonts w:ascii="Calibri" w:hAnsi="Calibri"/>
        </w:rPr>
        <w:lastRenderedPageBreak/>
        <w:t xml:space="preserve">the Delaware Tax Trap.  </w:t>
      </w:r>
      <w:r w:rsidR="00A92BDB">
        <w:rPr>
          <w:rFonts w:ascii="Calibri" w:hAnsi="Calibri"/>
        </w:rPr>
        <w:t>Ideally, we’d trigger the</w:t>
      </w:r>
      <w:r w:rsidR="00EC45C0">
        <w:rPr>
          <w:rFonts w:ascii="Calibri" w:hAnsi="Calibri"/>
        </w:rPr>
        <w:t xml:space="preserve"> Delaware Tax Trap </w:t>
      </w:r>
      <w:r w:rsidR="00027AEE">
        <w:rPr>
          <w:rFonts w:ascii="Calibri" w:hAnsi="Calibri"/>
        </w:rPr>
        <w:t>by creating</w:t>
      </w:r>
      <w:r w:rsidR="00EC45C0">
        <w:rPr>
          <w:rFonts w:ascii="Calibri" w:hAnsi="Calibri"/>
        </w:rPr>
        <w:t xml:space="preserve"> successive </w:t>
      </w:r>
      <w:r w:rsidR="00EC45C0" w:rsidRPr="0014165C">
        <w:rPr>
          <w:rFonts w:ascii="Calibri" w:hAnsi="Calibri"/>
          <w:i/>
        </w:rPr>
        <w:t>limited</w:t>
      </w:r>
      <w:r w:rsidR="00EC45C0">
        <w:rPr>
          <w:rFonts w:ascii="Calibri" w:hAnsi="Calibri"/>
        </w:rPr>
        <w:t xml:space="preserve"> powers of appointment</w:t>
      </w:r>
      <w:r w:rsidR="00A92BDB">
        <w:rPr>
          <w:rFonts w:ascii="Calibri" w:hAnsi="Calibri"/>
        </w:rPr>
        <w:t xml:space="preserve">, but </w:t>
      </w:r>
      <w:r w:rsidR="001F1A23">
        <w:rPr>
          <w:rFonts w:ascii="Calibri" w:hAnsi="Calibri"/>
        </w:rPr>
        <w:t>as of late 2016</w:t>
      </w:r>
      <w:r w:rsidR="00A92BDB">
        <w:rPr>
          <w:rFonts w:ascii="Calibri" w:hAnsi="Calibri"/>
        </w:rPr>
        <w:t xml:space="preserve"> only two states clearly permit this</w:t>
      </w:r>
      <w:r w:rsidR="00EC45C0">
        <w:rPr>
          <w:rFonts w:ascii="Calibri" w:hAnsi="Calibri"/>
        </w:rPr>
        <w:t>.</w:t>
      </w:r>
    </w:p>
    <w:p w14:paraId="7F7F2767" w14:textId="77777777" w:rsidR="0014672D" w:rsidRDefault="0014672D" w:rsidP="0014672D">
      <w:pPr>
        <w:spacing w:line="360" w:lineRule="auto"/>
        <w:ind w:firstLine="720"/>
        <w:rPr>
          <w:rFonts w:ascii="Calibri" w:hAnsi="Calibri"/>
        </w:rPr>
      </w:pPr>
      <w:r>
        <w:rPr>
          <w:rFonts w:ascii="Calibri" w:hAnsi="Calibri"/>
        </w:rPr>
        <w:t xml:space="preserve">There will </w:t>
      </w:r>
      <w:r w:rsidR="004C1272">
        <w:rPr>
          <w:rFonts w:ascii="Calibri" w:hAnsi="Calibri"/>
        </w:rPr>
        <w:t xml:space="preserve">certainly </w:t>
      </w:r>
      <w:r>
        <w:rPr>
          <w:rFonts w:ascii="Calibri" w:hAnsi="Calibri"/>
        </w:rPr>
        <w:t xml:space="preserve">be certain </w:t>
      </w:r>
      <w:r w:rsidR="00A92BDB">
        <w:rPr>
          <w:rFonts w:ascii="Calibri" w:hAnsi="Calibri"/>
        </w:rPr>
        <w:t xml:space="preserve">assets or </w:t>
      </w:r>
      <w:r>
        <w:rPr>
          <w:rFonts w:ascii="Calibri" w:hAnsi="Calibri"/>
        </w:rPr>
        <w:t xml:space="preserve">situations in which these techniques </w:t>
      </w:r>
      <w:r w:rsidR="00756B28">
        <w:rPr>
          <w:rFonts w:ascii="Calibri" w:hAnsi="Calibri"/>
        </w:rPr>
        <w:t xml:space="preserve">should not </w:t>
      </w:r>
      <w:r>
        <w:rPr>
          <w:rFonts w:ascii="Calibri" w:hAnsi="Calibri"/>
        </w:rPr>
        <w:t xml:space="preserve">be used.  </w:t>
      </w:r>
      <w:r w:rsidR="004C1272">
        <w:rPr>
          <w:rFonts w:ascii="Calibri" w:hAnsi="Calibri"/>
        </w:rPr>
        <w:t>Qualified retirement plan/IRA assets receive longer tax deferral if left outright to a spouse</w:t>
      </w:r>
      <w:r w:rsidR="001E343E">
        <w:rPr>
          <w:rFonts w:ascii="Calibri" w:hAnsi="Calibri"/>
        </w:rPr>
        <w:t xml:space="preserve">, for example, so </w:t>
      </w:r>
      <w:r w:rsidR="00A92BDB">
        <w:rPr>
          <w:rFonts w:ascii="Calibri" w:hAnsi="Calibri"/>
        </w:rPr>
        <w:t>absent blended family situations,</w:t>
      </w:r>
      <w:r w:rsidR="001E343E">
        <w:rPr>
          <w:rFonts w:ascii="Calibri" w:hAnsi="Calibri"/>
        </w:rPr>
        <w:t xml:space="preserve"> using </w:t>
      </w:r>
      <w:r w:rsidR="00CE757B">
        <w:rPr>
          <w:rFonts w:ascii="Calibri" w:hAnsi="Calibri"/>
        </w:rPr>
        <w:t xml:space="preserve">outright dispositions with </w:t>
      </w:r>
      <w:r w:rsidR="001E343E">
        <w:rPr>
          <w:rFonts w:ascii="Calibri" w:hAnsi="Calibri"/>
        </w:rPr>
        <w:t xml:space="preserve">portability for such assets </w:t>
      </w:r>
      <w:r w:rsidR="001F1A23">
        <w:rPr>
          <w:rFonts w:ascii="Calibri" w:hAnsi="Calibri"/>
        </w:rPr>
        <w:t>is often</w:t>
      </w:r>
      <w:r w:rsidR="001E343E">
        <w:rPr>
          <w:rFonts w:ascii="Calibri" w:hAnsi="Calibri"/>
        </w:rPr>
        <w:t xml:space="preserve"> </w:t>
      </w:r>
      <w:r w:rsidR="00A92BDB">
        <w:rPr>
          <w:rFonts w:ascii="Calibri" w:hAnsi="Calibri"/>
        </w:rPr>
        <w:t>the best</w:t>
      </w:r>
      <w:r w:rsidR="001E343E">
        <w:rPr>
          <w:rFonts w:ascii="Calibri" w:hAnsi="Calibri"/>
        </w:rPr>
        <w:t xml:space="preserve"> plan.  </w:t>
      </w:r>
      <w:r w:rsidR="00A92BDB">
        <w:rPr>
          <w:rFonts w:ascii="Calibri" w:hAnsi="Calibri"/>
        </w:rPr>
        <w:t xml:space="preserve">Similarly, large deferred compensation payouts or other income in respect of a decedent may be more optimized going outright or to a charitable remainder trust.  </w:t>
      </w:r>
      <w:r w:rsidR="001E343E">
        <w:rPr>
          <w:rFonts w:ascii="Calibri" w:hAnsi="Calibri"/>
        </w:rPr>
        <w:t xml:space="preserve">We can certainly think of others, </w:t>
      </w:r>
      <w:r>
        <w:rPr>
          <w:rFonts w:ascii="Calibri" w:hAnsi="Calibri"/>
        </w:rPr>
        <w:t xml:space="preserve">but </w:t>
      </w:r>
      <w:r w:rsidR="00A92BDB">
        <w:rPr>
          <w:rFonts w:ascii="Calibri" w:hAnsi="Calibri"/>
        </w:rPr>
        <w:t>the Optimal Basis Increase and Income Tax Efficiency Trust should probably be the new default plan for most married couples, absent some of the more exceptional situations noted above – it offers</w:t>
      </w:r>
      <w:r w:rsidR="00492AD4">
        <w:rPr>
          <w:rFonts w:ascii="Calibri" w:hAnsi="Calibri"/>
        </w:rPr>
        <w:t xml:space="preserve"> all of the benefits of the traditional bypass trust and more, with avoidance of most of the drawbacks</w:t>
      </w:r>
      <w:r>
        <w:rPr>
          <w:rFonts w:ascii="Calibri" w:hAnsi="Calibri"/>
        </w:rPr>
        <w:t xml:space="preserve">.  </w:t>
      </w:r>
      <w:r w:rsidR="001F1A23">
        <w:rPr>
          <w:rFonts w:ascii="Calibri" w:hAnsi="Calibri"/>
        </w:rPr>
        <w:t>See the comparison charts in the appendix for a broad overview of factors.</w:t>
      </w:r>
    </w:p>
    <w:p w14:paraId="4C178C62" w14:textId="77777777" w:rsidR="0068100E" w:rsidRDefault="008B2B08" w:rsidP="00492AD4">
      <w:pPr>
        <w:spacing w:line="360" w:lineRule="auto"/>
        <w:ind w:firstLine="720"/>
        <w:rPr>
          <w:rFonts w:ascii="Calibri" w:hAnsi="Calibri"/>
          <w:b/>
          <w:color w:val="333399"/>
          <w:sz w:val="28"/>
          <w:szCs w:val="28"/>
        </w:rPr>
      </w:pPr>
      <w:r>
        <w:rPr>
          <w:rFonts w:ascii="Calibri" w:hAnsi="Calibri"/>
        </w:rPr>
        <w:t xml:space="preserve">Many taxpayers </w:t>
      </w:r>
      <w:r w:rsidR="00D57563" w:rsidRPr="007B5EC0">
        <w:rPr>
          <w:rFonts w:ascii="Calibri" w:hAnsi="Calibri"/>
        </w:rPr>
        <w:t xml:space="preserve">have been reticent to pay for needed amendments to planning due to </w:t>
      </w:r>
      <w:r w:rsidR="00797C67">
        <w:rPr>
          <w:rFonts w:ascii="Calibri" w:hAnsi="Calibri"/>
        </w:rPr>
        <w:t xml:space="preserve">“tax volatility fatigue” and </w:t>
      </w:r>
      <w:r w:rsidR="00D57563" w:rsidRPr="007B5EC0">
        <w:rPr>
          <w:rFonts w:ascii="Calibri" w:hAnsi="Calibri"/>
        </w:rPr>
        <w:t xml:space="preserve">frustration with Congress.  </w:t>
      </w:r>
      <w:r w:rsidR="005B750A">
        <w:rPr>
          <w:rFonts w:ascii="Calibri" w:hAnsi="Calibri"/>
        </w:rPr>
        <w:t>T</w:t>
      </w:r>
      <w:r w:rsidR="00797C67">
        <w:rPr>
          <w:rFonts w:ascii="Calibri" w:hAnsi="Calibri"/>
        </w:rPr>
        <w:t xml:space="preserve">he </w:t>
      </w:r>
      <w:r w:rsidR="005B750A">
        <w:rPr>
          <w:rFonts w:ascii="Calibri" w:hAnsi="Calibri"/>
        </w:rPr>
        <w:t>pitfalls</w:t>
      </w:r>
      <w:r w:rsidR="003C6D21">
        <w:rPr>
          <w:rFonts w:ascii="Calibri" w:hAnsi="Calibri"/>
        </w:rPr>
        <w:t xml:space="preserve"> of the status quo</w:t>
      </w:r>
      <w:r w:rsidR="005B750A">
        <w:rPr>
          <w:rFonts w:ascii="Calibri" w:hAnsi="Calibri"/>
        </w:rPr>
        <w:t xml:space="preserve"> and </w:t>
      </w:r>
      <w:r w:rsidR="003C6D21">
        <w:rPr>
          <w:rFonts w:ascii="Calibri" w:hAnsi="Calibri"/>
        </w:rPr>
        <w:t xml:space="preserve">the </w:t>
      </w:r>
      <w:r w:rsidR="00492AD4">
        <w:rPr>
          <w:rFonts w:ascii="Calibri" w:hAnsi="Calibri"/>
        </w:rPr>
        <w:t>improved tax techniques</w:t>
      </w:r>
      <w:r w:rsidR="00797C67">
        <w:rPr>
          <w:rFonts w:ascii="Calibri" w:hAnsi="Calibri"/>
        </w:rPr>
        <w:t xml:space="preserve"> discussed in this article</w:t>
      </w:r>
      <w:r w:rsidR="004B3870">
        <w:rPr>
          <w:rFonts w:ascii="Calibri" w:hAnsi="Calibri"/>
        </w:rPr>
        <w:t xml:space="preserve"> </w:t>
      </w:r>
      <w:r w:rsidR="00797C67">
        <w:rPr>
          <w:rFonts w:ascii="Calibri" w:hAnsi="Calibri"/>
        </w:rPr>
        <w:t xml:space="preserve">should give </w:t>
      </w:r>
      <w:r w:rsidR="00492AD4">
        <w:rPr>
          <w:rFonts w:ascii="Calibri" w:hAnsi="Calibri"/>
        </w:rPr>
        <w:t xml:space="preserve">these taxpayers </w:t>
      </w:r>
      <w:r w:rsidR="00797C67">
        <w:rPr>
          <w:rFonts w:ascii="Calibri" w:hAnsi="Calibri"/>
        </w:rPr>
        <w:t xml:space="preserve">substantial </w:t>
      </w:r>
      <w:r w:rsidR="004B3870">
        <w:rPr>
          <w:rFonts w:ascii="Calibri" w:hAnsi="Calibri"/>
        </w:rPr>
        <w:t>financial</w:t>
      </w:r>
      <w:r w:rsidR="00797C67">
        <w:rPr>
          <w:rFonts w:ascii="Calibri" w:hAnsi="Calibri"/>
        </w:rPr>
        <w:t xml:space="preserve"> incentives to revisit their </w:t>
      </w:r>
      <w:r w:rsidR="005B750A">
        <w:rPr>
          <w:rFonts w:ascii="Calibri" w:hAnsi="Calibri"/>
        </w:rPr>
        <w:t xml:space="preserve">old </w:t>
      </w:r>
      <w:r w:rsidR="00797C67">
        <w:rPr>
          <w:rFonts w:ascii="Calibri" w:hAnsi="Calibri"/>
        </w:rPr>
        <w:t>estate plan.</w:t>
      </w:r>
      <w:r w:rsidR="00DB40E5">
        <w:rPr>
          <w:rFonts w:ascii="Calibri" w:hAnsi="Calibri"/>
        </w:rPr>
        <w:t xml:space="preserve">  </w:t>
      </w:r>
      <w:r w:rsidR="005B750A">
        <w:rPr>
          <w:rFonts w:ascii="Calibri" w:hAnsi="Calibri"/>
        </w:rPr>
        <w:t>T</w:t>
      </w:r>
      <w:r w:rsidR="00DB40E5">
        <w:rPr>
          <w:rFonts w:ascii="Calibri" w:hAnsi="Calibri"/>
        </w:rPr>
        <w:t>hese techniques are not available to “do it yourselfers” or general pract</w:t>
      </w:r>
      <w:r w:rsidR="00F82D19">
        <w:rPr>
          <w:rFonts w:ascii="Calibri" w:hAnsi="Calibri"/>
        </w:rPr>
        <w:t>itioners – there are no off-the-</w:t>
      </w:r>
      <w:r w:rsidR="00DB40E5">
        <w:rPr>
          <w:rFonts w:ascii="Calibri" w:hAnsi="Calibri"/>
        </w:rPr>
        <w:t>shelf</w:t>
      </w:r>
      <w:r w:rsidR="001E3A3E">
        <w:rPr>
          <w:rFonts w:ascii="Calibri" w:hAnsi="Calibri"/>
        </w:rPr>
        <w:t>, Nolo Press, Trusts-R-Us</w:t>
      </w:r>
      <w:r w:rsidR="00DB40E5">
        <w:rPr>
          <w:rFonts w:ascii="Calibri" w:hAnsi="Calibri"/>
        </w:rPr>
        <w:t xml:space="preserve"> </w:t>
      </w:r>
      <w:r w:rsidR="004E5696">
        <w:rPr>
          <w:rFonts w:ascii="Calibri" w:hAnsi="Calibri"/>
        </w:rPr>
        <w:t xml:space="preserve">or </w:t>
      </w:r>
      <w:r w:rsidR="001E3A3E">
        <w:rPr>
          <w:rFonts w:ascii="Calibri" w:hAnsi="Calibri"/>
        </w:rPr>
        <w:t xml:space="preserve">other </w:t>
      </w:r>
      <w:r w:rsidR="004E5696">
        <w:rPr>
          <w:rFonts w:ascii="Calibri" w:hAnsi="Calibri"/>
        </w:rPr>
        <w:t xml:space="preserve">online </w:t>
      </w:r>
      <w:r w:rsidR="00DB40E5">
        <w:rPr>
          <w:rFonts w:ascii="Calibri" w:hAnsi="Calibri"/>
        </w:rPr>
        <w:t xml:space="preserve">form books for any of </w:t>
      </w:r>
      <w:r w:rsidR="005B750A">
        <w:rPr>
          <w:rFonts w:ascii="Calibri" w:hAnsi="Calibri"/>
        </w:rPr>
        <w:t>this</w:t>
      </w:r>
      <w:r w:rsidR="00DB40E5">
        <w:rPr>
          <w:rFonts w:ascii="Calibri" w:hAnsi="Calibri"/>
        </w:rPr>
        <w:t>.</w:t>
      </w:r>
      <w:r w:rsidR="004E5696">
        <w:rPr>
          <w:rFonts w:ascii="Calibri" w:hAnsi="Calibri"/>
        </w:rPr>
        <w:t xml:space="preserve">  However, any attorney specializing in </w:t>
      </w:r>
      <w:r w:rsidR="005B750A">
        <w:rPr>
          <w:rFonts w:ascii="Calibri" w:hAnsi="Calibri"/>
        </w:rPr>
        <w:t>estate planning</w:t>
      </w:r>
      <w:r w:rsidR="004E5696">
        <w:rPr>
          <w:rFonts w:ascii="Calibri" w:hAnsi="Calibri"/>
        </w:rPr>
        <w:t xml:space="preserve"> can </w:t>
      </w:r>
      <w:r w:rsidR="00492AD4">
        <w:rPr>
          <w:rFonts w:ascii="Calibri" w:hAnsi="Calibri"/>
        </w:rPr>
        <w:t xml:space="preserve">easily </w:t>
      </w:r>
      <w:r w:rsidR="004E5696">
        <w:rPr>
          <w:rFonts w:ascii="Calibri" w:hAnsi="Calibri"/>
        </w:rPr>
        <w:t>adapt these ideas to provide tremendous value</w:t>
      </w:r>
      <w:r w:rsidR="00492AD4">
        <w:rPr>
          <w:rFonts w:ascii="Calibri" w:hAnsi="Calibri"/>
        </w:rPr>
        <w:t xml:space="preserve"> for clients.</w:t>
      </w:r>
      <w:r w:rsidR="0068100E">
        <w:rPr>
          <w:rFonts w:ascii="Calibri" w:hAnsi="Calibri"/>
          <w:b/>
          <w:color w:val="333399"/>
          <w:sz w:val="28"/>
          <w:szCs w:val="28"/>
        </w:rPr>
        <w:br w:type="page"/>
      </w:r>
    </w:p>
    <w:p w14:paraId="3E717015" w14:textId="77777777" w:rsidR="00345429" w:rsidRDefault="00345429" w:rsidP="001E09D4">
      <w:pPr>
        <w:spacing w:line="360" w:lineRule="auto"/>
        <w:jc w:val="center"/>
        <w:rPr>
          <w:rFonts w:ascii="Calibri" w:hAnsi="Calibri"/>
          <w:b/>
          <w:color w:val="333399"/>
          <w:sz w:val="28"/>
          <w:szCs w:val="28"/>
        </w:rPr>
      </w:pPr>
      <w:r w:rsidRPr="00345429">
        <w:rPr>
          <w:rFonts w:ascii="Calibri" w:hAnsi="Calibri"/>
          <w:b/>
          <w:color w:val="333399"/>
          <w:sz w:val="28"/>
          <w:szCs w:val="28"/>
        </w:rPr>
        <w:lastRenderedPageBreak/>
        <w:t>Speaker Bio</w:t>
      </w:r>
    </w:p>
    <w:p w14:paraId="20E59F5C" w14:textId="77777777" w:rsidR="00345429" w:rsidRPr="00C76632" w:rsidRDefault="00345429" w:rsidP="00C76632"/>
    <w:p w14:paraId="241F5C13" w14:textId="77777777" w:rsidR="00345429" w:rsidRPr="00345429" w:rsidRDefault="00345429" w:rsidP="00345429">
      <w:pPr>
        <w:jc w:val="center"/>
        <w:rPr>
          <w:rFonts w:ascii="Calibri" w:hAnsi="Calibri"/>
          <w:bCs/>
          <w:sz w:val="22"/>
          <w:szCs w:val="22"/>
        </w:rPr>
      </w:pPr>
      <w:r w:rsidRPr="00345429">
        <w:rPr>
          <w:rFonts w:ascii="Calibri" w:hAnsi="Calibri"/>
          <w:sz w:val="22"/>
          <w:szCs w:val="22"/>
        </w:rPr>
        <w:t>Edwin P. Morrow III</w:t>
      </w:r>
    </w:p>
    <w:p w14:paraId="7D44202C" w14:textId="77777777" w:rsidR="000568C6" w:rsidRPr="00345429" w:rsidRDefault="00000000" w:rsidP="00345429">
      <w:pPr>
        <w:pStyle w:val="BodyText"/>
        <w:spacing w:before="0"/>
        <w:jc w:val="center"/>
        <w:rPr>
          <w:rFonts w:ascii="Calibri" w:hAnsi="Calibri"/>
          <w:color w:val="333399"/>
        </w:rPr>
      </w:pPr>
      <w:hyperlink r:id="rId44" w:history="1">
        <w:r w:rsidR="000568C6" w:rsidRPr="00D05229">
          <w:rPr>
            <w:rStyle w:val="Hyperlink"/>
            <w:rFonts w:ascii="Calibri" w:hAnsi="Calibri"/>
            <w:sz w:val="22"/>
            <w:szCs w:val="22"/>
          </w:rPr>
          <w:t>edwinmorrow@msn.com</w:t>
        </w:r>
      </w:hyperlink>
      <w:r w:rsidR="000568C6">
        <w:rPr>
          <w:rFonts w:ascii="Calibri" w:hAnsi="Calibri"/>
          <w:sz w:val="22"/>
          <w:szCs w:val="22"/>
        </w:rPr>
        <w:t xml:space="preserve"> </w:t>
      </w:r>
    </w:p>
    <w:p w14:paraId="39933BB6" w14:textId="5D2AF02C" w:rsidR="00746CD5" w:rsidRDefault="00746CD5" w:rsidP="00345429">
      <w:pPr>
        <w:pStyle w:val="BodyText"/>
        <w:spacing w:line="280" w:lineRule="exact"/>
        <w:rPr>
          <w:rFonts w:ascii="Calibri" w:hAnsi="Calibri"/>
          <w:color w:val="auto"/>
          <w:sz w:val="22"/>
          <w:szCs w:val="22"/>
        </w:rPr>
      </w:pPr>
      <w:r w:rsidRPr="00746CD5">
        <w:rPr>
          <w:rFonts w:ascii="Calibri" w:hAnsi="Calibri"/>
          <w:color w:val="auto"/>
          <w:sz w:val="22"/>
          <w:szCs w:val="22"/>
        </w:rPr>
        <w:t xml:space="preserve">Ed is currently </w:t>
      </w:r>
      <w:r w:rsidR="00D62B5D">
        <w:rPr>
          <w:rFonts w:ascii="Calibri" w:hAnsi="Calibri"/>
          <w:color w:val="auto"/>
          <w:sz w:val="22"/>
          <w:szCs w:val="22"/>
        </w:rPr>
        <w:t xml:space="preserve">a </w:t>
      </w:r>
      <w:r w:rsidRPr="00746CD5">
        <w:rPr>
          <w:rFonts w:ascii="Calibri" w:hAnsi="Calibri"/>
          <w:color w:val="auto"/>
          <w:sz w:val="22"/>
          <w:szCs w:val="22"/>
        </w:rPr>
        <w:t xml:space="preserve">Wealth Strategist for </w:t>
      </w:r>
      <w:r w:rsidR="00D62B5D">
        <w:rPr>
          <w:rFonts w:ascii="Calibri" w:hAnsi="Calibri"/>
          <w:color w:val="auto"/>
          <w:sz w:val="22"/>
          <w:szCs w:val="22"/>
        </w:rPr>
        <w:t>Huntington National Bank</w:t>
      </w:r>
      <w:r w:rsidRPr="00746CD5">
        <w:rPr>
          <w:rFonts w:ascii="Calibri" w:hAnsi="Calibri"/>
          <w:color w:val="auto"/>
          <w:sz w:val="22"/>
          <w:szCs w:val="22"/>
        </w:rPr>
        <w:t xml:space="preserve">, where he concentrates on thought leadership and planning ideas for high net worth clientele in tax, asset protection and estate planning areas. Previously, he was </w:t>
      </w:r>
      <w:r w:rsidR="00B05B58">
        <w:rPr>
          <w:rFonts w:ascii="Calibri" w:hAnsi="Calibri"/>
          <w:color w:val="auto"/>
          <w:sz w:val="22"/>
          <w:szCs w:val="22"/>
        </w:rPr>
        <w:t>in similar positions with</w:t>
      </w:r>
      <w:r w:rsidR="00D62B5D">
        <w:rPr>
          <w:rFonts w:ascii="Calibri" w:hAnsi="Calibri"/>
          <w:color w:val="auto"/>
          <w:sz w:val="22"/>
          <w:szCs w:val="22"/>
        </w:rPr>
        <w:t xml:space="preserve"> </w:t>
      </w:r>
      <w:r w:rsidR="00D62B5D" w:rsidRPr="00D62B5D">
        <w:rPr>
          <w:rFonts w:ascii="Calibri" w:hAnsi="Calibri"/>
          <w:color w:val="auto"/>
          <w:sz w:val="22"/>
          <w:szCs w:val="22"/>
        </w:rPr>
        <w:t>U.S. Bank's Private Wealth Management</w:t>
      </w:r>
      <w:r w:rsidR="00D62B5D">
        <w:rPr>
          <w:rFonts w:ascii="Calibri" w:hAnsi="Calibri"/>
          <w:color w:val="auto"/>
          <w:sz w:val="22"/>
          <w:szCs w:val="22"/>
        </w:rPr>
        <w:t xml:space="preserve"> and</w:t>
      </w:r>
      <w:r w:rsidRPr="00746CD5">
        <w:rPr>
          <w:rFonts w:ascii="Calibri" w:hAnsi="Calibri"/>
          <w:color w:val="auto"/>
          <w:sz w:val="22"/>
          <w:szCs w:val="22"/>
        </w:rPr>
        <w:t xml:space="preserve"> Key Private Bank's Family Wealth Advisory Group, analyzing tax, trust and estate planning needs of ultra high net worth clients in conjunction with local teams of financial planners, trust officers, investment specialists and private bankers</w:t>
      </w:r>
      <w:r w:rsidR="00345429" w:rsidRPr="00A96394">
        <w:rPr>
          <w:rFonts w:ascii="Calibri" w:hAnsi="Calibri"/>
          <w:color w:val="auto"/>
          <w:sz w:val="22"/>
          <w:szCs w:val="22"/>
        </w:rPr>
        <w:t xml:space="preserve">.  </w:t>
      </w:r>
    </w:p>
    <w:p w14:paraId="6066752E" w14:textId="591A14D3" w:rsidR="00746CD5" w:rsidRPr="00746CD5" w:rsidRDefault="00951435" w:rsidP="00746CD5">
      <w:pPr>
        <w:pStyle w:val="BodyText"/>
        <w:spacing w:line="280" w:lineRule="exact"/>
        <w:rPr>
          <w:rFonts w:ascii="Calibri" w:hAnsi="Calibri"/>
          <w:color w:val="auto"/>
          <w:sz w:val="22"/>
          <w:szCs w:val="22"/>
        </w:rPr>
      </w:pPr>
      <w:r>
        <w:rPr>
          <w:rFonts w:ascii="Calibri" w:hAnsi="Calibri"/>
          <w:color w:val="auto"/>
          <w:sz w:val="22"/>
          <w:szCs w:val="22"/>
        </w:rPr>
        <w:t>Previous to working in wealth management, Ed was</w:t>
      </w:r>
      <w:r w:rsidR="00746CD5" w:rsidRPr="00746CD5">
        <w:rPr>
          <w:rFonts w:ascii="Calibri" w:hAnsi="Calibri"/>
          <w:color w:val="auto"/>
          <w:sz w:val="22"/>
          <w:szCs w:val="22"/>
        </w:rPr>
        <w:t xml:space="preserve"> in private law practice </w:t>
      </w:r>
      <w:r w:rsidR="000F4803">
        <w:rPr>
          <w:rFonts w:ascii="Calibri" w:hAnsi="Calibri"/>
          <w:color w:val="auto"/>
          <w:sz w:val="22"/>
          <w:szCs w:val="22"/>
        </w:rPr>
        <w:t>concentrating</w:t>
      </w:r>
      <w:r w:rsidR="00746CD5" w:rsidRPr="00746CD5">
        <w:rPr>
          <w:rFonts w:ascii="Calibri" w:hAnsi="Calibri"/>
          <w:color w:val="auto"/>
          <w:sz w:val="22"/>
          <w:szCs w:val="22"/>
        </w:rPr>
        <w:t xml:space="preserve"> in taxation, probate, estate and business planning. Other experience includes research and writing of legal memoranda for the U.S. District Court of Portland, Oregon as a law clerk. He is a Fellow of the American College of Trust and Estate Counsel (ACTEC). He is a Board</w:t>
      </w:r>
      <w:r w:rsidR="006263F7">
        <w:rPr>
          <w:rFonts w:ascii="Calibri" w:hAnsi="Calibri"/>
          <w:color w:val="auto"/>
          <w:sz w:val="22"/>
          <w:szCs w:val="22"/>
        </w:rPr>
        <w:t>-</w:t>
      </w:r>
      <w:r w:rsidR="00746CD5" w:rsidRPr="00746CD5">
        <w:rPr>
          <w:rFonts w:ascii="Calibri" w:hAnsi="Calibri"/>
          <w:color w:val="auto"/>
          <w:sz w:val="22"/>
          <w:szCs w:val="22"/>
        </w:rPr>
        <w:t>Certified Specialist (through the Ohio State Bar Assn) in Estate Planning, Trust and Probate Law, a Certified Financial Planner (CFP) professional and a Certified Merger &amp; Acquisition Advisor (CM&amp;AA). He is also a Non-Public Arbitrator for the Financial Industry Regulatory Authority (FINRA).</w:t>
      </w:r>
    </w:p>
    <w:p w14:paraId="55AA4B2A" w14:textId="77777777" w:rsidR="00746CD5" w:rsidRDefault="00746CD5" w:rsidP="00746CD5">
      <w:pPr>
        <w:pStyle w:val="BodyText"/>
        <w:spacing w:line="280" w:lineRule="exact"/>
        <w:rPr>
          <w:rFonts w:ascii="Calibri" w:hAnsi="Calibri"/>
          <w:color w:val="auto"/>
          <w:sz w:val="22"/>
          <w:szCs w:val="22"/>
        </w:rPr>
      </w:pPr>
      <w:r w:rsidRPr="00746CD5">
        <w:rPr>
          <w:rFonts w:ascii="Calibri" w:hAnsi="Calibri"/>
          <w:color w:val="auto"/>
          <w:sz w:val="22"/>
          <w:szCs w:val="22"/>
        </w:rPr>
        <w:t xml:space="preserve">Ed is a frequent speaker at CLE/CPE courses on asset protection, tax and financial and estate planning topics, and recently co-authored, with Stephan Leimberg, Paul Hood, Martin Shenkman and Jay Katz, the 18th </w:t>
      </w:r>
      <w:r w:rsidR="006263F7">
        <w:rPr>
          <w:rFonts w:ascii="Calibri" w:hAnsi="Calibri"/>
          <w:color w:val="auto"/>
          <w:sz w:val="22"/>
          <w:szCs w:val="22"/>
        </w:rPr>
        <w:t>and now 19</w:t>
      </w:r>
      <w:r w:rsidR="006263F7" w:rsidRPr="006263F7">
        <w:rPr>
          <w:rFonts w:ascii="Calibri" w:hAnsi="Calibri"/>
          <w:color w:val="auto"/>
          <w:sz w:val="22"/>
          <w:szCs w:val="22"/>
          <w:vertAlign w:val="superscript"/>
        </w:rPr>
        <w:t>th</w:t>
      </w:r>
      <w:r w:rsidR="006263F7">
        <w:rPr>
          <w:rFonts w:ascii="Calibri" w:hAnsi="Calibri"/>
          <w:color w:val="auto"/>
          <w:sz w:val="22"/>
          <w:szCs w:val="22"/>
        </w:rPr>
        <w:t xml:space="preserve"> </w:t>
      </w:r>
      <w:r w:rsidRPr="00746CD5">
        <w:rPr>
          <w:rFonts w:ascii="Calibri" w:hAnsi="Calibri"/>
          <w:color w:val="auto"/>
          <w:sz w:val="22"/>
          <w:szCs w:val="22"/>
        </w:rPr>
        <w:t>Edition of The Tools and Techniques of Estate Planning, a 997-page practice-based resource on estate planning.</w:t>
      </w:r>
      <w:r>
        <w:rPr>
          <w:rFonts w:ascii="Calibri" w:hAnsi="Calibri"/>
          <w:color w:val="auto"/>
          <w:sz w:val="22"/>
          <w:szCs w:val="22"/>
        </w:rPr>
        <w:t xml:space="preserve"> </w:t>
      </w:r>
    </w:p>
    <w:p w14:paraId="011261DA" w14:textId="31452FDD" w:rsidR="00345429" w:rsidRDefault="00345429" w:rsidP="00746CD5">
      <w:pPr>
        <w:pStyle w:val="BodyText"/>
        <w:spacing w:line="280" w:lineRule="exact"/>
        <w:rPr>
          <w:rFonts w:ascii="Calibri" w:hAnsi="Calibri"/>
          <w:color w:val="auto"/>
          <w:sz w:val="22"/>
          <w:szCs w:val="22"/>
        </w:rPr>
      </w:pPr>
      <w:r w:rsidRPr="00A96394">
        <w:rPr>
          <w:rFonts w:ascii="Calibri" w:hAnsi="Calibri"/>
          <w:color w:val="auto"/>
          <w:sz w:val="22"/>
          <w:szCs w:val="22"/>
        </w:rPr>
        <w:t xml:space="preserve">He is married and resides in </w:t>
      </w:r>
      <w:r w:rsidR="006F0555">
        <w:rPr>
          <w:rFonts w:ascii="Calibri" w:hAnsi="Calibri"/>
          <w:color w:val="auto"/>
          <w:sz w:val="22"/>
          <w:szCs w:val="22"/>
        </w:rPr>
        <w:t>Centerville</w:t>
      </w:r>
      <w:r w:rsidRPr="00A96394">
        <w:rPr>
          <w:rFonts w:ascii="Calibri" w:hAnsi="Calibri"/>
          <w:color w:val="auto"/>
          <w:sz w:val="22"/>
          <w:szCs w:val="22"/>
        </w:rPr>
        <w:t>, Ohio with his wife and two daughters.</w:t>
      </w:r>
    </w:p>
    <w:p w14:paraId="3940A8A2" w14:textId="77777777" w:rsidR="00345429" w:rsidRPr="008E0EBA" w:rsidRDefault="00345429" w:rsidP="00345429">
      <w:pPr>
        <w:pStyle w:val="BodyText"/>
        <w:spacing w:line="280" w:lineRule="exact"/>
        <w:rPr>
          <w:rFonts w:ascii="Calibri" w:hAnsi="Calibri"/>
          <w:color w:val="auto"/>
          <w:sz w:val="22"/>
          <w:szCs w:val="22"/>
        </w:rPr>
      </w:pPr>
    </w:p>
    <w:p w14:paraId="009230CA" w14:textId="77777777" w:rsidR="00345429" w:rsidRPr="00BF2B83" w:rsidRDefault="00345429" w:rsidP="00345429">
      <w:pPr>
        <w:rPr>
          <w:rFonts w:ascii="Calibri" w:hAnsi="Calibri"/>
          <w:b/>
          <w:sz w:val="22"/>
          <w:szCs w:val="22"/>
        </w:rPr>
      </w:pPr>
      <w:r w:rsidRPr="00BF2B83">
        <w:rPr>
          <w:rFonts w:ascii="Calibri" w:hAnsi="Calibri"/>
          <w:b/>
          <w:sz w:val="22"/>
          <w:szCs w:val="22"/>
        </w:rPr>
        <w:t>Education:</w:t>
      </w:r>
    </w:p>
    <w:p w14:paraId="03665D79" w14:textId="77777777" w:rsidR="00345429" w:rsidRPr="00BF2B83" w:rsidRDefault="00345429" w:rsidP="00180FD1">
      <w:pPr>
        <w:numPr>
          <w:ilvl w:val="0"/>
          <w:numId w:val="2"/>
        </w:numPr>
        <w:tabs>
          <w:tab w:val="left" w:pos="360"/>
        </w:tabs>
        <w:overflowPunct w:val="0"/>
        <w:autoSpaceDE w:val="0"/>
        <w:autoSpaceDN w:val="0"/>
        <w:adjustRightInd w:val="0"/>
        <w:ind w:left="0" w:firstLine="0"/>
        <w:textAlignment w:val="baseline"/>
        <w:rPr>
          <w:rFonts w:ascii="Calibri" w:hAnsi="Calibri"/>
          <w:sz w:val="22"/>
          <w:szCs w:val="22"/>
        </w:rPr>
      </w:pPr>
      <w:r w:rsidRPr="00BF2B83">
        <w:rPr>
          <w:rFonts w:ascii="Calibri" w:hAnsi="Calibri"/>
          <w:sz w:val="22"/>
          <w:szCs w:val="22"/>
        </w:rPr>
        <w:t>Bachelor of Arts (B.A.), History, Stetson University</w:t>
      </w:r>
    </w:p>
    <w:p w14:paraId="091CA542" w14:textId="77777777" w:rsidR="00345429" w:rsidRPr="00BF2B83" w:rsidRDefault="00345429" w:rsidP="00180FD1">
      <w:pPr>
        <w:numPr>
          <w:ilvl w:val="0"/>
          <w:numId w:val="2"/>
        </w:numPr>
        <w:tabs>
          <w:tab w:val="left" w:pos="360"/>
        </w:tabs>
        <w:overflowPunct w:val="0"/>
        <w:autoSpaceDE w:val="0"/>
        <w:autoSpaceDN w:val="0"/>
        <w:adjustRightInd w:val="0"/>
        <w:ind w:left="0" w:firstLine="0"/>
        <w:textAlignment w:val="baseline"/>
        <w:rPr>
          <w:rFonts w:ascii="Calibri" w:hAnsi="Calibri"/>
          <w:sz w:val="22"/>
          <w:szCs w:val="22"/>
        </w:rPr>
      </w:pPr>
      <w:r w:rsidRPr="00BF2B83">
        <w:rPr>
          <w:rFonts w:ascii="Calibri" w:hAnsi="Calibri"/>
          <w:sz w:val="22"/>
          <w:szCs w:val="22"/>
        </w:rPr>
        <w:t>Juris Doctorate (J.D.), Northwestern School of Law at Lewis &amp; Clark College</w:t>
      </w:r>
    </w:p>
    <w:p w14:paraId="2AFC79BA" w14:textId="77777777" w:rsidR="00345429" w:rsidRPr="00BF2B83" w:rsidRDefault="00345429" w:rsidP="00180FD1">
      <w:pPr>
        <w:numPr>
          <w:ilvl w:val="0"/>
          <w:numId w:val="2"/>
        </w:numPr>
        <w:tabs>
          <w:tab w:val="left" w:pos="360"/>
        </w:tabs>
        <w:overflowPunct w:val="0"/>
        <w:autoSpaceDE w:val="0"/>
        <w:autoSpaceDN w:val="0"/>
        <w:adjustRightInd w:val="0"/>
        <w:ind w:left="0" w:firstLine="0"/>
        <w:textAlignment w:val="baseline"/>
        <w:rPr>
          <w:rFonts w:ascii="Calibri" w:hAnsi="Calibri"/>
          <w:sz w:val="22"/>
          <w:szCs w:val="22"/>
        </w:rPr>
      </w:pPr>
      <w:r w:rsidRPr="00BF2B83">
        <w:rPr>
          <w:rFonts w:ascii="Calibri" w:hAnsi="Calibri"/>
          <w:sz w:val="22"/>
          <w:szCs w:val="22"/>
        </w:rPr>
        <w:t xml:space="preserve">Masters of Law (LL.M.) in </w:t>
      </w:r>
      <w:r>
        <w:rPr>
          <w:rFonts w:ascii="Calibri" w:hAnsi="Calibri"/>
          <w:sz w:val="22"/>
          <w:szCs w:val="22"/>
        </w:rPr>
        <w:t>Tax Law</w:t>
      </w:r>
      <w:r w:rsidRPr="00BF2B83">
        <w:rPr>
          <w:rFonts w:ascii="Calibri" w:hAnsi="Calibri"/>
          <w:sz w:val="22"/>
          <w:szCs w:val="22"/>
        </w:rPr>
        <w:t>, Capital University Law School</w:t>
      </w:r>
    </w:p>
    <w:p w14:paraId="32D6973D" w14:textId="77777777" w:rsidR="00345429" w:rsidRPr="00BF2B83" w:rsidRDefault="00345429" w:rsidP="00180FD1">
      <w:pPr>
        <w:numPr>
          <w:ilvl w:val="0"/>
          <w:numId w:val="2"/>
        </w:numPr>
        <w:tabs>
          <w:tab w:val="left" w:pos="360"/>
        </w:tabs>
        <w:overflowPunct w:val="0"/>
        <w:autoSpaceDE w:val="0"/>
        <w:autoSpaceDN w:val="0"/>
        <w:adjustRightInd w:val="0"/>
        <w:ind w:left="0" w:firstLine="0"/>
        <w:textAlignment w:val="baseline"/>
        <w:rPr>
          <w:rFonts w:ascii="Calibri" w:hAnsi="Calibri"/>
          <w:sz w:val="22"/>
          <w:szCs w:val="22"/>
        </w:rPr>
      </w:pPr>
      <w:r w:rsidRPr="00BF2B83">
        <w:rPr>
          <w:rFonts w:ascii="Calibri" w:hAnsi="Calibri"/>
          <w:sz w:val="22"/>
          <w:szCs w:val="22"/>
        </w:rPr>
        <w:t>Masters of Business Administration (MBA), Xavier University</w:t>
      </w:r>
    </w:p>
    <w:p w14:paraId="6D74D3D4" w14:textId="77777777" w:rsidR="00345429" w:rsidRPr="00BF2B83" w:rsidRDefault="00345429" w:rsidP="00345429">
      <w:pPr>
        <w:tabs>
          <w:tab w:val="left" w:pos="360"/>
        </w:tabs>
        <w:rPr>
          <w:rFonts w:ascii="Calibri" w:hAnsi="Calibri"/>
          <w:sz w:val="22"/>
          <w:szCs w:val="22"/>
        </w:rPr>
      </w:pPr>
    </w:p>
    <w:p w14:paraId="35EF4F99" w14:textId="77777777" w:rsidR="00345429" w:rsidRPr="00BF2B83" w:rsidRDefault="00345429" w:rsidP="00345429">
      <w:pPr>
        <w:numPr>
          <w:ilvl w:val="12"/>
          <w:numId w:val="0"/>
        </w:numPr>
        <w:rPr>
          <w:rFonts w:ascii="Calibri" w:hAnsi="Calibri"/>
          <w:b/>
          <w:sz w:val="22"/>
          <w:szCs w:val="22"/>
        </w:rPr>
      </w:pPr>
      <w:r w:rsidRPr="00BF2B83">
        <w:rPr>
          <w:rFonts w:ascii="Calibri" w:hAnsi="Calibri"/>
          <w:b/>
          <w:sz w:val="22"/>
          <w:szCs w:val="22"/>
        </w:rPr>
        <w:t>Professional Accreditations:</w:t>
      </w:r>
    </w:p>
    <w:p w14:paraId="38CD637E" w14:textId="77777777" w:rsidR="00345429" w:rsidRPr="00BF2B83" w:rsidRDefault="00345429" w:rsidP="00180FD1">
      <w:pPr>
        <w:numPr>
          <w:ilvl w:val="0"/>
          <w:numId w:val="2"/>
        </w:numPr>
        <w:tabs>
          <w:tab w:val="left" w:pos="360"/>
        </w:tabs>
        <w:overflowPunct w:val="0"/>
        <w:autoSpaceDE w:val="0"/>
        <w:autoSpaceDN w:val="0"/>
        <w:adjustRightInd w:val="0"/>
        <w:textAlignment w:val="baseline"/>
        <w:rPr>
          <w:rFonts w:ascii="Calibri" w:hAnsi="Calibri"/>
          <w:sz w:val="22"/>
          <w:szCs w:val="22"/>
        </w:rPr>
      </w:pPr>
      <w:r w:rsidRPr="00BF2B83">
        <w:rPr>
          <w:rFonts w:ascii="Calibri" w:hAnsi="Calibri"/>
          <w:sz w:val="22"/>
          <w:szCs w:val="22"/>
        </w:rPr>
        <w:t xml:space="preserve">Licensed to practice in all Ohio courts, U.S. District Court </w:t>
      </w:r>
      <w:r>
        <w:rPr>
          <w:rFonts w:ascii="Calibri" w:hAnsi="Calibri"/>
          <w:sz w:val="22"/>
          <w:szCs w:val="22"/>
        </w:rPr>
        <w:t xml:space="preserve">of Southern Ohio </w:t>
      </w:r>
      <w:r w:rsidRPr="00BF2B83">
        <w:rPr>
          <w:rFonts w:ascii="Calibri" w:hAnsi="Calibri"/>
          <w:sz w:val="22"/>
          <w:szCs w:val="22"/>
        </w:rPr>
        <w:t>and U.S. Tax Court</w:t>
      </w:r>
    </w:p>
    <w:p w14:paraId="3A6EBA7B" w14:textId="77777777" w:rsidR="00345429" w:rsidRPr="00BF2B83" w:rsidRDefault="00345429" w:rsidP="00180FD1">
      <w:pPr>
        <w:numPr>
          <w:ilvl w:val="0"/>
          <w:numId w:val="2"/>
        </w:numPr>
        <w:tabs>
          <w:tab w:val="left" w:pos="360"/>
        </w:tabs>
        <w:overflowPunct w:val="0"/>
        <w:autoSpaceDE w:val="0"/>
        <w:autoSpaceDN w:val="0"/>
        <w:adjustRightInd w:val="0"/>
        <w:textAlignment w:val="baseline"/>
        <w:rPr>
          <w:rFonts w:ascii="Calibri" w:hAnsi="Calibri"/>
          <w:sz w:val="22"/>
          <w:szCs w:val="22"/>
        </w:rPr>
      </w:pPr>
      <w:r w:rsidRPr="00BF2B83">
        <w:rPr>
          <w:rFonts w:ascii="Calibri" w:hAnsi="Calibri"/>
          <w:sz w:val="22"/>
          <w:szCs w:val="22"/>
        </w:rPr>
        <w:t xml:space="preserve">Certified Specialist </w:t>
      </w:r>
      <w:r>
        <w:rPr>
          <w:rFonts w:ascii="Calibri" w:hAnsi="Calibri"/>
          <w:sz w:val="22"/>
          <w:szCs w:val="22"/>
        </w:rPr>
        <w:t>through Ohio State Bar Assn</w:t>
      </w:r>
      <w:r w:rsidRPr="00BF2B83">
        <w:rPr>
          <w:rFonts w:ascii="Calibri" w:hAnsi="Calibri"/>
          <w:sz w:val="22"/>
          <w:szCs w:val="22"/>
        </w:rPr>
        <w:t xml:space="preserve"> in Estate Planning, Trust and Probate Law</w:t>
      </w:r>
    </w:p>
    <w:p w14:paraId="44F4D521" w14:textId="77777777" w:rsidR="00345429" w:rsidRDefault="00345429" w:rsidP="00180FD1">
      <w:pPr>
        <w:numPr>
          <w:ilvl w:val="0"/>
          <w:numId w:val="2"/>
        </w:numPr>
        <w:tabs>
          <w:tab w:val="left" w:pos="360"/>
        </w:tabs>
        <w:overflowPunct w:val="0"/>
        <w:autoSpaceDE w:val="0"/>
        <w:autoSpaceDN w:val="0"/>
        <w:adjustRightInd w:val="0"/>
        <w:textAlignment w:val="baseline"/>
        <w:rPr>
          <w:rFonts w:ascii="Calibri" w:hAnsi="Calibri"/>
          <w:sz w:val="22"/>
          <w:szCs w:val="22"/>
        </w:rPr>
      </w:pPr>
      <w:r w:rsidRPr="00BF2B83">
        <w:rPr>
          <w:rFonts w:ascii="Calibri" w:hAnsi="Calibri"/>
          <w:sz w:val="22"/>
          <w:szCs w:val="22"/>
        </w:rPr>
        <w:t>Certified Financial Planner (CFP®)</w:t>
      </w:r>
    </w:p>
    <w:p w14:paraId="7FA121A9" w14:textId="77777777" w:rsidR="00746CD5" w:rsidRDefault="00746CD5" w:rsidP="00746CD5">
      <w:pPr>
        <w:numPr>
          <w:ilvl w:val="0"/>
          <w:numId w:val="2"/>
        </w:numPr>
        <w:tabs>
          <w:tab w:val="left" w:pos="360"/>
        </w:tabs>
        <w:overflowPunct w:val="0"/>
        <w:autoSpaceDE w:val="0"/>
        <w:autoSpaceDN w:val="0"/>
        <w:adjustRightInd w:val="0"/>
        <w:textAlignment w:val="baseline"/>
        <w:rPr>
          <w:rFonts w:ascii="Calibri" w:hAnsi="Calibri"/>
          <w:sz w:val="22"/>
          <w:szCs w:val="22"/>
        </w:rPr>
      </w:pPr>
      <w:r>
        <w:rPr>
          <w:rFonts w:ascii="Calibri" w:hAnsi="Calibri"/>
          <w:sz w:val="22"/>
          <w:szCs w:val="22"/>
        </w:rPr>
        <w:t>Certified Merger and Acquisition Advisor (CM&amp;AA</w:t>
      </w:r>
      <w:r w:rsidRPr="00746CD5">
        <w:rPr>
          <w:rFonts w:ascii="Calibri" w:hAnsi="Calibri"/>
          <w:sz w:val="22"/>
          <w:szCs w:val="22"/>
        </w:rPr>
        <w:t>®</w:t>
      </w:r>
      <w:r>
        <w:rPr>
          <w:rFonts w:ascii="Calibri" w:hAnsi="Calibri"/>
          <w:sz w:val="22"/>
          <w:szCs w:val="22"/>
        </w:rPr>
        <w:t>)</w:t>
      </w:r>
    </w:p>
    <w:p w14:paraId="639545F5" w14:textId="77777777" w:rsidR="00345429" w:rsidRPr="00BF2B83" w:rsidRDefault="00345429" w:rsidP="00180FD1">
      <w:pPr>
        <w:numPr>
          <w:ilvl w:val="0"/>
          <w:numId w:val="2"/>
        </w:numPr>
        <w:tabs>
          <w:tab w:val="left" w:pos="360"/>
        </w:tabs>
        <w:overflowPunct w:val="0"/>
        <w:autoSpaceDE w:val="0"/>
        <w:autoSpaceDN w:val="0"/>
        <w:adjustRightInd w:val="0"/>
        <w:textAlignment w:val="baseline"/>
        <w:rPr>
          <w:rFonts w:ascii="Calibri" w:hAnsi="Calibri"/>
          <w:sz w:val="22"/>
          <w:szCs w:val="22"/>
        </w:rPr>
      </w:pPr>
      <w:r>
        <w:rPr>
          <w:rFonts w:ascii="Calibri" w:hAnsi="Calibri"/>
          <w:sz w:val="22"/>
          <w:szCs w:val="22"/>
        </w:rPr>
        <w:t>Non-Public Arbitrator for the Financial Industry Regulatory Authority (FINRA)</w:t>
      </w:r>
    </w:p>
    <w:p w14:paraId="70A9A1B1" w14:textId="77777777" w:rsidR="00345429" w:rsidRPr="00BF2B83" w:rsidRDefault="00345429" w:rsidP="00345429">
      <w:pPr>
        <w:tabs>
          <w:tab w:val="left" w:pos="360"/>
        </w:tabs>
        <w:rPr>
          <w:rFonts w:ascii="Calibri" w:hAnsi="Calibri"/>
          <w:sz w:val="22"/>
          <w:szCs w:val="22"/>
        </w:rPr>
      </w:pPr>
    </w:p>
    <w:p w14:paraId="36ACED66" w14:textId="77777777" w:rsidR="00D323AE" w:rsidRPr="00D323AE" w:rsidRDefault="00D323AE" w:rsidP="0014672D">
      <w:pPr>
        <w:spacing w:line="360" w:lineRule="auto"/>
        <w:ind w:firstLine="720"/>
        <w:jc w:val="both"/>
        <w:rPr>
          <w:rFonts w:ascii="Calibri" w:hAnsi="Calibri"/>
          <w:b/>
        </w:rPr>
      </w:pPr>
      <w:r>
        <w:rPr>
          <w:rFonts w:ascii="Calibri" w:hAnsi="Calibri"/>
        </w:rPr>
        <w:br w:type="page"/>
      </w:r>
      <w:r w:rsidRPr="00D323AE">
        <w:rPr>
          <w:rFonts w:ascii="Calibri" w:hAnsi="Calibri"/>
          <w:b/>
        </w:rPr>
        <w:lastRenderedPageBreak/>
        <w:t xml:space="preserve">26 U.S.C. §2041 – Powers of Appointment </w:t>
      </w:r>
    </w:p>
    <w:p w14:paraId="231C43B0" w14:textId="77777777" w:rsidR="00345429" w:rsidRDefault="00D323AE" w:rsidP="0014672D">
      <w:pPr>
        <w:spacing w:line="360" w:lineRule="auto"/>
        <w:ind w:firstLine="720"/>
        <w:jc w:val="both"/>
        <w:rPr>
          <w:rFonts w:ascii="Calibri" w:hAnsi="Calibri"/>
        </w:rPr>
      </w:pPr>
      <w:r>
        <w:rPr>
          <w:rFonts w:ascii="Calibri" w:hAnsi="Calibri"/>
        </w:rPr>
        <w:t xml:space="preserve">(how powers of appointment are included in gross estate, sections </w:t>
      </w:r>
      <w:r w:rsidRPr="00D323AE">
        <w:rPr>
          <w:rFonts w:ascii="Calibri" w:hAnsi="Calibri"/>
          <w:b/>
          <w:i/>
        </w:rPr>
        <w:t>bold/italicized</w:t>
      </w:r>
      <w:r>
        <w:rPr>
          <w:rFonts w:ascii="Calibri" w:hAnsi="Calibri"/>
        </w:rPr>
        <w:t xml:space="preserve"> are sections discussed by author</w:t>
      </w:r>
      <w:r w:rsidR="00FA28E9">
        <w:rPr>
          <w:rFonts w:ascii="Calibri" w:hAnsi="Calibri"/>
        </w:rPr>
        <w:t xml:space="preserve">, [bracketed </w:t>
      </w:r>
      <w:r w:rsidR="00E5680E">
        <w:rPr>
          <w:rFonts w:ascii="Calibri" w:hAnsi="Calibri"/>
        </w:rPr>
        <w:t xml:space="preserve">comments </w:t>
      </w:r>
      <w:r w:rsidR="00FA28E9">
        <w:rPr>
          <w:rFonts w:ascii="Calibri" w:hAnsi="Calibri"/>
        </w:rPr>
        <w:t>inserted by author]</w:t>
      </w:r>
      <w:r>
        <w:rPr>
          <w:rFonts w:ascii="Calibri" w:hAnsi="Calibri"/>
        </w:rPr>
        <w:t>)</w:t>
      </w:r>
    </w:p>
    <w:p w14:paraId="0E5D846B" w14:textId="77777777" w:rsidR="00D323AE" w:rsidRPr="00FA28E9" w:rsidRDefault="00D323AE" w:rsidP="00D323AE">
      <w:pPr>
        <w:rPr>
          <w:sz w:val="18"/>
          <w:szCs w:val="18"/>
          <w:lang w:val="en"/>
        </w:rPr>
      </w:pPr>
      <w:bookmarkStart w:id="27" w:name="a"/>
      <w:bookmarkEnd w:id="27"/>
      <w:r w:rsidRPr="00FA28E9">
        <w:rPr>
          <w:rStyle w:val="enumbell1"/>
          <w:sz w:val="18"/>
          <w:szCs w:val="18"/>
          <w:lang w:val="en"/>
        </w:rPr>
        <w:t>(a)</w:t>
      </w:r>
      <w:r w:rsidRPr="00FA28E9">
        <w:rPr>
          <w:sz w:val="18"/>
          <w:szCs w:val="18"/>
          <w:lang w:val="en"/>
        </w:rPr>
        <w:t xml:space="preserve"> </w:t>
      </w:r>
      <w:r w:rsidRPr="00FA28E9">
        <w:rPr>
          <w:b/>
          <w:bCs/>
          <w:sz w:val="18"/>
          <w:szCs w:val="18"/>
          <w:lang w:val="en"/>
        </w:rPr>
        <w:t xml:space="preserve">In general </w:t>
      </w:r>
    </w:p>
    <w:p w14:paraId="34ADA94E" w14:textId="77777777" w:rsidR="00D323AE" w:rsidRPr="00FA28E9" w:rsidRDefault="00D323AE" w:rsidP="00D323AE">
      <w:pPr>
        <w:rPr>
          <w:sz w:val="18"/>
          <w:szCs w:val="18"/>
          <w:lang w:val="en"/>
        </w:rPr>
      </w:pPr>
      <w:r w:rsidRPr="00FA28E9">
        <w:rPr>
          <w:sz w:val="18"/>
          <w:szCs w:val="18"/>
          <w:lang w:val="en"/>
        </w:rPr>
        <w:t xml:space="preserve">The value of the gross estate shall include the value of all property— </w:t>
      </w:r>
    </w:p>
    <w:p w14:paraId="0544E42A" w14:textId="77777777" w:rsidR="00D323AE" w:rsidRPr="00FA28E9" w:rsidRDefault="00D323AE" w:rsidP="00D323AE">
      <w:pPr>
        <w:rPr>
          <w:sz w:val="18"/>
          <w:szCs w:val="18"/>
          <w:lang w:val="en"/>
        </w:rPr>
      </w:pPr>
      <w:bookmarkStart w:id="28" w:name="a_1"/>
      <w:bookmarkEnd w:id="28"/>
      <w:r w:rsidRPr="00FA28E9">
        <w:rPr>
          <w:rStyle w:val="enumbell1"/>
          <w:sz w:val="18"/>
          <w:szCs w:val="18"/>
          <w:lang w:val="en"/>
        </w:rPr>
        <w:t>(1)</w:t>
      </w:r>
      <w:r w:rsidRPr="00FA28E9">
        <w:rPr>
          <w:sz w:val="18"/>
          <w:szCs w:val="18"/>
          <w:lang w:val="en"/>
        </w:rPr>
        <w:t xml:space="preserve"> </w:t>
      </w:r>
      <w:r w:rsidRPr="00FA28E9">
        <w:rPr>
          <w:b/>
          <w:bCs/>
          <w:sz w:val="18"/>
          <w:szCs w:val="18"/>
          <w:lang w:val="en"/>
        </w:rPr>
        <w:t xml:space="preserve">Powers of appointment created on or before October 21, 1942 </w:t>
      </w:r>
    </w:p>
    <w:p w14:paraId="3EF1D608" w14:textId="77777777" w:rsidR="00D323AE" w:rsidRPr="00FA28E9" w:rsidRDefault="00D323AE" w:rsidP="00D323AE">
      <w:pPr>
        <w:rPr>
          <w:sz w:val="18"/>
          <w:szCs w:val="18"/>
          <w:lang w:val="en"/>
        </w:rPr>
      </w:pPr>
      <w:r w:rsidRPr="00FA28E9">
        <w:rPr>
          <w:sz w:val="18"/>
          <w:szCs w:val="18"/>
          <w:lang w:val="en"/>
        </w:rPr>
        <w:t>[</w:t>
      </w:r>
      <w:r w:rsidRPr="00FA28E9">
        <w:rPr>
          <w:b/>
          <w:sz w:val="18"/>
          <w:szCs w:val="18"/>
          <w:lang w:val="en"/>
        </w:rPr>
        <w:t>omitted</w:t>
      </w:r>
      <w:r w:rsidRPr="00FA28E9">
        <w:rPr>
          <w:sz w:val="18"/>
          <w:szCs w:val="18"/>
          <w:lang w:val="en"/>
        </w:rPr>
        <w:t xml:space="preserve"> – but important if you have an old trust]</w:t>
      </w:r>
    </w:p>
    <w:p w14:paraId="5EACC247" w14:textId="77777777" w:rsidR="00D323AE" w:rsidRPr="00FA28E9" w:rsidRDefault="00D323AE" w:rsidP="00D323AE">
      <w:pPr>
        <w:rPr>
          <w:sz w:val="18"/>
          <w:szCs w:val="18"/>
          <w:lang w:val="en"/>
        </w:rPr>
      </w:pPr>
      <w:bookmarkStart w:id="29" w:name="a_2"/>
      <w:bookmarkEnd w:id="29"/>
      <w:r w:rsidRPr="00FA28E9">
        <w:rPr>
          <w:rStyle w:val="enumbell1"/>
          <w:sz w:val="18"/>
          <w:szCs w:val="18"/>
          <w:lang w:val="en"/>
        </w:rPr>
        <w:t>(2)</w:t>
      </w:r>
      <w:r w:rsidRPr="00FA28E9">
        <w:rPr>
          <w:sz w:val="18"/>
          <w:szCs w:val="18"/>
          <w:lang w:val="en"/>
        </w:rPr>
        <w:t xml:space="preserve"> </w:t>
      </w:r>
      <w:r w:rsidRPr="00FA28E9">
        <w:rPr>
          <w:b/>
          <w:bCs/>
          <w:sz w:val="18"/>
          <w:szCs w:val="18"/>
          <w:lang w:val="en"/>
        </w:rPr>
        <w:t xml:space="preserve">Powers created after October 21, 1942 </w:t>
      </w:r>
    </w:p>
    <w:p w14:paraId="24A601AD" w14:textId="77777777" w:rsidR="00D323AE" w:rsidRPr="00E5680E" w:rsidRDefault="00D323AE" w:rsidP="00D323AE">
      <w:pPr>
        <w:rPr>
          <w:sz w:val="18"/>
          <w:szCs w:val="18"/>
          <w:lang w:val="en"/>
        </w:rPr>
      </w:pPr>
      <w:r w:rsidRPr="00FA28E9">
        <w:rPr>
          <w:b/>
          <w:i/>
          <w:sz w:val="18"/>
          <w:szCs w:val="18"/>
          <w:lang w:val="en"/>
        </w:rPr>
        <w:t xml:space="preserve">To the extent of any property with respect to which the decedent has at the time of his death a general power of appointment created after October 21, 1942, </w:t>
      </w:r>
      <w:r w:rsidRPr="00E5680E">
        <w:rPr>
          <w:sz w:val="18"/>
          <w:szCs w:val="18"/>
          <w:lang w:val="en"/>
        </w:rPr>
        <w:t xml:space="preserve">or with respect to which the decedent has at any time exercised or released such a power of appointment by a disposition which is of such nature that if it were a transfer of property owned by the decedent, such property would be includible in the decedent’s gross estate under sections </w:t>
      </w:r>
      <w:hyperlink r:id="rId45" w:tooltip="§ 2035 - Adjustments for certain gifts made within 3 years of decedent’s death" w:history="1">
        <w:r w:rsidRPr="00E5680E">
          <w:rPr>
            <w:rStyle w:val="Hyperlink"/>
            <w:sz w:val="18"/>
            <w:szCs w:val="18"/>
            <w:lang w:val="en"/>
          </w:rPr>
          <w:t>2035</w:t>
        </w:r>
      </w:hyperlink>
      <w:r w:rsidRPr="00E5680E">
        <w:rPr>
          <w:sz w:val="18"/>
          <w:szCs w:val="18"/>
          <w:lang w:val="en"/>
        </w:rPr>
        <w:t xml:space="preserve"> to </w:t>
      </w:r>
      <w:hyperlink r:id="rId46" w:tooltip="§ 2038 - Revocable transfers" w:history="1">
        <w:r w:rsidRPr="00E5680E">
          <w:rPr>
            <w:rStyle w:val="Hyperlink"/>
            <w:sz w:val="18"/>
            <w:szCs w:val="18"/>
            <w:lang w:val="en"/>
          </w:rPr>
          <w:t>2038</w:t>
        </w:r>
      </w:hyperlink>
      <w:r w:rsidRPr="00E5680E">
        <w:rPr>
          <w:sz w:val="18"/>
          <w:szCs w:val="18"/>
          <w:lang w:val="en"/>
        </w:rPr>
        <w:t xml:space="preserve">, inclusive. For purposes of this paragraph (2), the power of appointment shall be considered to exist on the date of the decedent’s death even though the exercise of the power is subject to a precedent giving of notice or even though the exercise of the power takes effect only on the expiration of a stated period after its exercise, whether or not on or before the date of the decedent’s death notice has been given or the power has been exercised. </w:t>
      </w:r>
    </w:p>
    <w:p w14:paraId="0F9B0232" w14:textId="77777777" w:rsidR="00D323AE" w:rsidRPr="00FA28E9" w:rsidRDefault="00D323AE" w:rsidP="00D323AE">
      <w:pPr>
        <w:rPr>
          <w:b/>
          <w:sz w:val="18"/>
          <w:szCs w:val="18"/>
          <w:lang w:val="en"/>
        </w:rPr>
      </w:pPr>
      <w:bookmarkStart w:id="30" w:name="a_3"/>
      <w:bookmarkEnd w:id="30"/>
      <w:r w:rsidRPr="00FA28E9">
        <w:rPr>
          <w:rStyle w:val="enumbell1"/>
          <w:i/>
          <w:sz w:val="18"/>
          <w:szCs w:val="18"/>
          <w:lang w:val="en"/>
        </w:rPr>
        <w:t>(3)</w:t>
      </w:r>
      <w:r w:rsidRPr="00FA28E9">
        <w:rPr>
          <w:b/>
          <w:i/>
          <w:sz w:val="18"/>
          <w:szCs w:val="18"/>
          <w:lang w:val="en"/>
        </w:rPr>
        <w:t xml:space="preserve"> </w:t>
      </w:r>
      <w:r w:rsidRPr="00FA28E9">
        <w:rPr>
          <w:b/>
          <w:bCs/>
          <w:i/>
          <w:sz w:val="18"/>
          <w:szCs w:val="18"/>
          <w:lang w:val="en"/>
        </w:rPr>
        <w:t>Creation of another power in certain cases</w:t>
      </w:r>
      <w:r w:rsidR="00FA28E9" w:rsidRPr="00FA28E9">
        <w:rPr>
          <w:b/>
          <w:bCs/>
          <w:i/>
          <w:sz w:val="18"/>
          <w:szCs w:val="18"/>
          <w:lang w:val="en"/>
        </w:rPr>
        <w:t xml:space="preserve"> </w:t>
      </w:r>
      <w:r w:rsidR="00FA28E9" w:rsidRPr="00FA28E9">
        <w:rPr>
          <w:b/>
          <w:bCs/>
          <w:sz w:val="18"/>
          <w:szCs w:val="18"/>
          <w:lang w:val="en"/>
        </w:rPr>
        <w:t>[aka the Delaware Tax Trap]</w:t>
      </w:r>
      <w:r w:rsidRPr="00FA28E9">
        <w:rPr>
          <w:b/>
          <w:bCs/>
          <w:sz w:val="18"/>
          <w:szCs w:val="18"/>
          <w:lang w:val="en"/>
        </w:rPr>
        <w:t xml:space="preserve"> </w:t>
      </w:r>
    </w:p>
    <w:p w14:paraId="48B0026B" w14:textId="77777777" w:rsidR="00D323AE" w:rsidRPr="00FA28E9" w:rsidRDefault="00D323AE" w:rsidP="00D323AE">
      <w:pPr>
        <w:rPr>
          <w:b/>
          <w:i/>
          <w:sz w:val="18"/>
          <w:szCs w:val="18"/>
          <w:lang w:val="en"/>
        </w:rPr>
      </w:pPr>
      <w:r w:rsidRPr="00FA28E9">
        <w:rPr>
          <w:b/>
          <w:i/>
          <w:sz w:val="18"/>
          <w:szCs w:val="18"/>
          <w:lang w:val="en"/>
        </w:rPr>
        <w:t xml:space="preserve">To the extent of any property with respect to which the decedent— </w:t>
      </w:r>
    </w:p>
    <w:p w14:paraId="23599CF0" w14:textId="77777777" w:rsidR="00D323AE" w:rsidRPr="00FA28E9" w:rsidRDefault="00D323AE" w:rsidP="00D323AE">
      <w:pPr>
        <w:rPr>
          <w:b/>
          <w:i/>
          <w:sz w:val="18"/>
          <w:szCs w:val="18"/>
          <w:lang w:val="en"/>
        </w:rPr>
      </w:pPr>
      <w:bookmarkStart w:id="31" w:name="a_3_A"/>
      <w:bookmarkEnd w:id="31"/>
      <w:r w:rsidRPr="00FA28E9">
        <w:rPr>
          <w:rStyle w:val="enumbell1"/>
          <w:i/>
          <w:sz w:val="18"/>
          <w:szCs w:val="18"/>
          <w:lang w:val="en"/>
        </w:rPr>
        <w:t>(A)</w:t>
      </w:r>
      <w:r w:rsidRPr="00FA28E9">
        <w:rPr>
          <w:b/>
          <w:i/>
          <w:sz w:val="18"/>
          <w:szCs w:val="18"/>
          <w:lang w:val="en"/>
        </w:rPr>
        <w:t xml:space="preserve"> </w:t>
      </w:r>
      <w:r w:rsidRPr="00FA28E9">
        <w:rPr>
          <w:rStyle w:val="ptext-25"/>
          <w:b/>
          <w:i/>
          <w:sz w:val="18"/>
          <w:szCs w:val="18"/>
          <w:lang w:val="en"/>
        </w:rPr>
        <w:t xml:space="preserve">by will, or </w:t>
      </w:r>
    </w:p>
    <w:p w14:paraId="3FE66367" w14:textId="77777777" w:rsidR="00D323AE" w:rsidRPr="00FA28E9" w:rsidRDefault="00D323AE" w:rsidP="00D323AE">
      <w:pPr>
        <w:rPr>
          <w:b/>
          <w:i/>
          <w:sz w:val="18"/>
          <w:szCs w:val="18"/>
          <w:lang w:val="en"/>
        </w:rPr>
      </w:pPr>
      <w:bookmarkStart w:id="32" w:name="a_3_B"/>
      <w:bookmarkEnd w:id="32"/>
      <w:r w:rsidRPr="00FA28E9">
        <w:rPr>
          <w:rStyle w:val="enumbell1"/>
          <w:i/>
          <w:sz w:val="18"/>
          <w:szCs w:val="18"/>
          <w:lang w:val="en"/>
        </w:rPr>
        <w:t>(B)</w:t>
      </w:r>
      <w:r w:rsidRPr="00FA28E9">
        <w:rPr>
          <w:b/>
          <w:i/>
          <w:sz w:val="18"/>
          <w:szCs w:val="18"/>
          <w:lang w:val="en"/>
        </w:rPr>
        <w:t xml:space="preserve"> </w:t>
      </w:r>
      <w:r w:rsidRPr="00FA28E9">
        <w:rPr>
          <w:rStyle w:val="ptext-25"/>
          <w:b/>
          <w:i/>
          <w:sz w:val="18"/>
          <w:szCs w:val="18"/>
          <w:lang w:val="en"/>
        </w:rPr>
        <w:t xml:space="preserve">by a disposition which is of such nature that if it were a transfer of property owned by the decedent such property would be includible in the decedent’s gross estate under section </w:t>
      </w:r>
      <w:hyperlink r:id="rId47" w:tooltip="§ 2035 - Adjustments for certain gifts made within 3 years of decedent’s death" w:history="1">
        <w:r w:rsidRPr="00FA28E9">
          <w:rPr>
            <w:rStyle w:val="Hyperlink"/>
            <w:b/>
            <w:i/>
            <w:sz w:val="18"/>
            <w:szCs w:val="18"/>
            <w:lang w:val="en"/>
          </w:rPr>
          <w:t>2035</w:t>
        </w:r>
      </w:hyperlink>
      <w:r w:rsidRPr="00FA28E9">
        <w:rPr>
          <w:rStyle w:val="ptext-25"/>
          <w:b/>
          <w:i/>
          <w:sz w:val="18"/>
          <w:szCs w:val="18"/>
          <w:lang w:val="en"/>
        </w:rPr>
        <w:t xml:space="preserve">, </w:t>
      </w:r>
      <w:hyperlink r:id="rId48" w:tooltip="§ 2036 - Transfers with retained life estate" w:history="1">
        <w:r w:rsidRPr="00FA28E9">
          <w:rPr>
            <w:rStyle w:val="Hyperlink"/>
            <w:b/>
            <w:i/>
            <w:sz w:val="18"/>
            <w:szCs w:val="18"/>
            <w:lang w:val="en"/>
          </w:rPr>
          <w:t>2036</w:t>
        </w:r>
      </w:hyperlink>
      <w:r w:rsidRPr="00FA28E9">
        <w:rPr>
          <w:rStyle w:val="ptext-25"/>
          <w:b/>
          <w:i/>
          <w:sz w:val="18"/>
          <w:szCs w:val="18"/>
          <w:lang w:val="en"/>
        </w:rPr>
        <w:t xml:space="preserve">, or </w:t>
      </w:r>
      <w:hyperlink r:id="rId49" w:tooltip="§ 2037 - Transfers taking effect at death" w:history="1">
        <w:r w:rsidRPr="00FA28E9">
          <w:rPr>
            <w:rStyle w:val="Hyperlink"/>
            <w:b/>
            <w:i/>
            <w:sz w:val="18"/>
            <w:szCs w:val="18"/>
            <w:lang w:val="en"/>
          </w:rPr>
          <w:t>2037</w:t>
        </w:r>
      </w:hyperlink>
      <w:r w:rsidRPr="00FA28E9">
        <w:rPr>
          <w:rStyle w:val="ptext-25"/>
          <w:b/>
          <w:i/>
          <w:sz w:val="18"/>
          <w:szCs w:val="18"/>
          <w:lang w:val="en"/>
        </w:rPr>
        <w:t>,</w:t>
      </w:r>
      <w:r w:rsidRPr="00FA28E9">
        <w:rPr>
          <w:b/>
          <w:i/>
          <w:sz w:val="18"/>
          <w:szCs w:val="18"/>
          <w:lang w:val="en"/>
        </w:rPr>
        <w:t xml:space="preserve"> </w:t>
      </w:r>
    </w:p>
    <w:p w14:paraId="04803373" w14:textId="77777777" w:rsidR="00D323AE" w:rsidRPr="00FA28E9" w:rsidRDefault="00D323AE" w:rsidP="00D323AE">
      <w:pPr>
        <w:rPr>
          <w:b/>
          <w:i/>
          <w:sz w:val="18"/>
          <w:szCs w:val="18"/>
          <w:lang w:val="en"/>
        </w:rPr>
      </w:pPr>
      <w:r w:rsidRPr="00FA28E9">
        <w:rPr>
          <w:b/>
          <w:i/>
          <w:sz w:val="18"/>
          <w:szCs w:val="18"/>
          <w:lang w:val="en"/>
        </w:rPr>
        <w:t xml:space="preserve">exercises a power of appointment created after October 21, 1942, by creating another power of appointment which under the applicable local law can be validly exercised so as to postpone the vesting of any estate or interest in such property, or suspend the absolute ownership or power of alienation of such property, for a period ascertainable without regard to the date of the creation of the first power. </w:t>
      </w:r>
    </w:p>
    <w:p w14:paraId="45426BC3" w14:textId="77777777" w:rsidR="00D323AE" w:rsidRPr="00FA28E9" w:rsidRDefault="00D323AE" w:rsidP="00D323AE">
      <w:pPr>
        <w:rPr>
          <w:sz w:val="18"/>
          <w:szCs w:val="18"/>
          <w:lang w:val="en"/>
        </w:rPr>
      </w:pPr>
      <w:bookmarkStart w:id="33" w:name="b"/>
      <w:bookmarkEnd w:id="33"/>
      <w:r w:rsidRPr="00FA28E9">
        <w:rPr>
          <w:rStyle w:val="enumbell1"/>
          <w:sz w:val="18"/>
          <w:szCs w:val="18"/>
          <w:lang w:val="en"/>
        </w:rPr>
        <w:t>(b)</w:t>
      </w:r>
      <w:r w:rsidRPr="00FA28E9">
        <w:rPr>
          <w:sz w:val="18"/>
          <w:szCs w:val="18"/>
          <w:lang w:val="en"/>
        </w:rPr>
        <w:t xml:space="preserve"> </w:t>
      </w:r>
      <w:r w:rsidRPr="00FA28E9">
        <w:rPr>
          <w:b/>
          <w:bCs/>
          <w:sz w:val="18"/>
          <w:szCs w:val="18"/>
          <w:lang w:val="en"/>
        </w:rPr>
        <w:t xml:space="preserve">Definitions </w:t>
      </w:r>
    </w:p>
    <w:p w14:paraId="202CFF65" w14:textId="77777777" w:rsidR="00D323AE" w:rsidRPr="00FA28E9" w:rsidRDefault="00D323AE" w:rsidP="00D323AE">
      <w:pPr>
        <w:rPr>
          <w:sz w:val="18"/>
          <w:szCs w:val="18"/>
          <w:lang w:val="en"/>
        </w:rPr>
      </w:pPr>
      <w:r w:rsidRPr="00FA28E9">
        <w:rPr>
          <w:sz w:val="18"/>
          <w:szCs w:val="18"/>
          <w:lang w:val="en"/>
        </w:rPr>
        <w:t xml:space="preserve">For purposes of subsection (a)— </w:t>
      </w:r>
    </w:p>
    <w:p w14:paraId="794E7A37" w14:textId="77777777" w:rsidR="00D323AE" w:rsidRPr="00FA28E9" w:rsidRDefault="00D323AE" w:rsidP="00D323AE">
      <w:pPr>
        <w:rPr>
          <w:sz w:val="18"/>
          <w:szCs w:val="18"/>
          <w:lang w:val="en"/>
        </w:rPr>
      </w:pPr>
      <w:bookmarkStart w:id="34" w:name="b_1"/>
      <w:bookmarkEnd w:id="34"/>
      <w:r w:rsidRPr="00FA28E9">
        <w:rPr>
          <w:rStyle w:val="enumbell1"/>
          <w:sz w:val="18"/>
          <w:szCs w:val="18"/>
          <w:lang w:val="en"/>
        </w:rPr>
        <w:t>(1)</w:t>
      </w:r>
      <w:r w:rsidRPr="00FA28E9">
        <w:rPr>
          <w:sz w:val="18"/>
          <w:szCs w:val="18"/>
          <w:lang w:val="en"/>
        </w:rPr>
        <w:t xml:space="preserve"> </w:t>
      </w:r>
      <w:r w:rsidRPr="00FA28E9">
        <w:rPr>
          <w:b/>
          <w:bCs/>
          <w:sz w:val="18"/>
          <w:szCs w:val="18"/>
          <w:lang w:val="en"/>
        </w:rPr>
        <w:t xml:space="preserve">General power of appointment </w:t>
      </w:r>
    </w:p>
    <w:p w14:paraId="52B3767B" w14:textId="77777777" w:rsidR="00D323AE" w:rsidRPr="00E5680E" w:rsidRDefault="00D323AE" w:rsidP="00D323AE">
      <w:pPr>
        <w:rPr>
          <w:b/>
          <w:i/>
          <w:sz w:val="18"/>
          <w:szCs w:val="18"/>
          <w:lang w:val="en"/>
        </w:rPr>
      </w:pPr>
      <w:r w:rsidRPr="00E5680E">
        <w:rPr>
          <w:b/>
          <w:i/>
          <w:sz w:val="18"/>
          <w:szCs w:val="18"/>
          <w:lang w:val="en"/>
        </w:rPr>
        <w:t xml:space="preserve">The term “general power of appointment” means a power which is exercisable in favor of the decedent, his estate, his creditors, or the creditors of his estate; except that— </w:t>
      </w:r>
    </w:p>
    <w:p w14:paraId="49D5391B" w14:textId="77777777" w:rsidR="00D323AE" w:rsidRPr="00FA28E9" w:rsidRDefault="00D323AE" w:rsidP="00D323AE">
      <w:pPr>
        <w:rPr>
          <w:sz w:val="18"/>
          <w:szCs w:val="18"/>
          <w:lang w:val="en"/>
        </w:rPr>
      </w:pPr>
      <w:bookmarkStart w:id="35" w:name="b_1_A"/>
      <w:bookmarkEnd w:id="35"/>
      <w:r w:rsidRPr="00FA28E9">
        <w:rPr>
          <w:rStyle w:val="enumbell1"/>
          <w:sz w:val="18"/>
          <w:szCs w:val="18"/>
          <w:lang w:val="en"/>
        </w:rPr>
        <w:t>(A)</w:t>
      </w:r>
      <w:r w:rsidRPr="00FA28E9">
        <w:rPr>
          <w:sz w:val="18"/>
          <w:szCs w:val="18"/>
          <w:lang w:val="en"/>
        </w:rPr>
        <w:t xml:space="preserve"> </w:t>
      </w:r>
      <w:r w:rsidRPr="00FA28E9">
        <w:rPr>
          <w:rStyle w:val="ptext-25"/>
          <w:sz w:val="18"/>
          <w:szCs w:val="18"/>
          <w:lang w:val="en"/>
        </w:rPr>
        <w:t xml:space="preserve">A power to consume, invade, or appropriate property for the benefit of the decedent which is limited by an ascertainable standard relating to the health, education, support, or maintenance of the decedent shall not be deemed a general power of appointment. </w:t>
      </w:r>
    </w:p>
    <w:p w14:paraId="13FC9448" w14:textId="77777777" w:rsidR="00D323AE" w:rsidRPr="00FA28E9" w:rsidRDefault="00D323AE" w:rsidP="00D323AE">
      <w:pPr>
        <w:rPr>
          <w:sz w:val="18"/>
          <w:szCs w:val="18"/>
          <w:lang w:val="en"/>
        </w:rPr>
      </w:pPr>
      <w:bookmarkStart w:id="36" w:name="b_1_B"/>
      <w:bookmarkEnd w:id="36"/>
      <w:r w:rsidRPr="00FA28E9">
        <w:rPr>
          <w:rStyle w:val="enumbell1"/>
          <w:sz w:val="18"/>
          <w:szCs w:val="18"/>
          <w:lang w:val="en"/>
        </w:rPr>
        <w:t>(B)</w:t>
      </w:r>
      <w:r w:rsidRPr="00FA28E9">
        <w:rPr>
          <w:sz w:val="18"/>
          <w:szCs w:val="18"/>
          <w:lang w:val="en"/>
        </w:rPr>
        <w:t xml:space="preserve"> </w:t>
      </w:r>
      <w:r w:rsidRPr="00FA28E9">
        <w:rPr>
          <w:rStyle w:val="ptext-25"/>
          <w:sz w:val="18"/>
          <w:szCs w:val="18"/>
          <w:lang w:val="en"/>
        </w:rPr>
        <w:t xml:space="preserve">A power of appointment created on or before October 21, 1942, which is exercisable by the decedent only in conjunction with another person shall not be deemed a general power of appointment. </w:t>
      </w:r>
    </w:p>
    <w:p w14:paraId="5BD14EF8" w14:textId="77777777" w:rsidR="00D323AE" w:rsidRPr="00FA28E9" w:rsidRDefault="00D323AE" w:rsidP="00D323AE">
      <w:pPr>
        <w:rPr>
          <w:b/>
          <w:i/>
          <w:sz w:val="18"/>
          <w:szCs w:val="18"/>
          <w:lang w:val="en"/>
        </w:rPr>
      </w:pPr>
      <w:bookmarkStart w:id="37" w:name="b_1_C"/>
      <w:bookmarkEnd w:id="37"/>
      <w:r w:rsidRPr="00FA28E9">
        <w:rPr>
          <w:rStyle w:val="enumbell1"/>
          <w:sz w:val="18"/>
          <w:szCs w:val="18"/>
          <w:lang w:val="en"/>
        </w:rPr>
        <w:t>(C)</w:t>
      </w:r>
      <w:r w:rsidRPr="00FA28E9">
        <w:rPr>
          <w:sz w:val="18"/>
          <w:szCs w:val="18"/>
          <w:lang w:val="en"/>
        </w:rPr>
        <w:t xml:space="preserve"> </w:t>
      </w:r>
      <w:r w:rsidRPr="00FA28E9">
        <w:rPr>
          <w:rStyle w:val="ptext-25"/>
          <w:b/>
          <w:i/>
          <w:sz w:val="18"/>
          <w:szCs w:val="18"/>
          <w:lang w:val="en"/>
        </w:rPr>
        <w:t xml:space="preserve">In the case of a power of appointment created after October 21, 1942, which is exercisable by the decedent only in conjunction with another person— </w:t>
      </w:r>
    </w:p>
    <w:p w14:paraId="07CF5E82" w14:textId="77777777" w:rsidR="00D323AE" w:rsidRPr="00FA28E9" w:rsidRDefault="00D323AE" w:rsidP="00D323AE">
      <w:pPr>
        <w:rPr>
          <w:sz w:val="18"/>
          <w:szCs w:val="18"/>
          <w:lang w:val="en"/>
        </w:rPr>
      </w:pPr>
      <w:bookmarkStart w:id="38" w:name="b_1_C_i"/>
      <w:bookmarkEnd w:id="38"/>
      <w:r w:rsidRPr="00FA28E9">
        <w:rPr>
          <w:rStyle w:val="enumbell1"/>
          <w:sz w:val="18"/>
          <w:szCs w:val="18"/>
          <w:lang w:val="en"/>
        </w:rPr>
        <w:t>(i)</w:t>
      </w:r>
      <w:r w:rsidRPr="00FA28E9">
        <w:rPr>
          <w:sz w:val="18"/>
          <w:szCs w:val="18"/>
          <w:lang w:val="en"/>
        </w:rPr>
        <w:t xml:space="preserve"> </w:t>
      </w:r>
      <w:r w:rsidRPr="00FA28E9">
        <w:rPr>
          <w:rStyle w:val="ptext-25"/>
          <w:sz w:val="18"/>
          <w:szCs w:val="18"/>
          <w:lang w:val="en"/>
        </w:rPr>
        <w:t xml:space="preserve">If the power is not exercisable by the decedent except in conjunction with the creator of the power—such power shall not be deemed a general power of appointment. </w:t>
      </w:r>
    </w:p>
    <w:p w14:paraId="39694F9C" w14:textId="77777777" w:rsidR="00D323AE" w:rsidRPr="00FA28E9" w:rsidRDefault="00D323AE" w:rsidP="00D323AE">
      <w:pPr>
        <w:rPr>
          <w:sz w:val="18"/>
          <w:szCs w:val="18"/>
          <w:lang w:val="en"/>
        </w:rPr>
      </w:pPr>
      <w:bookmarkStart w:id="39" w:name="b_1_C_ii"/>
      <w:bookmarkEnd w:id="39"/>
      <w:r w:rsidRPr="00FA28E9">
        <w:rPr>
          <w:rStyle w:val="enumbell1"/>
          <w:sz w:val="18"/>
          <w:szCs w:val="18"/>
          <w:lang w:val="en"/>
        </w:rPr>
        <w:t>(ii)</w:t>
      </w:r>
      <w:r w:rsidRPr="00FA28E9">
        <w:rPr>
          <w:sz w:val="18"/>
          <w:szCs w:val="18"/>
          <w:lang w:val="en"/>
        </w:rPr>
        <w:t xml:space="preserve"> </w:t>
      </w:r>
      <w:r w:rsidRPr="00FA28E9">
        <w:rPr>
          <w:rStyle w:val="ptext-25"/>
          <w:b/>
          <w:i/>
          <w:sz w:val="18"/>
          <w:szCs w:val="18"/>
          <w:lang w:val="en"/>
        </w:rPr>
        <w:t>If the power is not exercisable by the decedent except in conjunction with a person having a substantial interest in the property, subject to the power, which is adverse to exercise of the power in favor of the decedent—such power shall not be deemed a general power of appointment.</w:t>
      </w:r>
      <w:r w:rsidRPr="00FA28E9">
        <w:rPr>
          <w:rStyle w:val="ptext-25"/>
          <w:sz w:val="18"/>
          <w:szCs w:val="18"/>
          <w:lang w:val="en"/>
        </w:rPr>
        <w:t xml:space="preserve"> For the purposes of this clause a person who, after the death of the decedent, may be possessed of a power of appointment (with respect to the property subject to the decedent’s power) which he may exercise in his own favor shall be deemed as having an interest in the property and such interest shall be deemed adverse to such exercise of the decedent’s power. </w:t>
      </w:r>
    </w:p>
    <w:p w14:paraId="181FD7DC" w14:textId="77777777" w:rsidR="00D323AE" w:rsidRPr="00FA28E9" w:rsidRDefault="00D323AE" w:rsidP="00D323AE">
      <w:pPr>
        <w:rPr>
          <w:sz w:val="18"/>
          <w:szCs w:val="18"/>
          <w:lang w:val="en"/>
        </w:rPr>
      </w:pPr>
      <w:bookmarkStart w:id="40" w:name="b_1_C_iii"/>
      <w:bookmarkEnd w:id="40"/>
      <w:r w:rsidRPr="00FA28E9">
        <w:rPr>
          <w:rStyle w:val="enumbell1"/>
          <w:sz w:val="18"/>
          <w:szCs w:val="18"/>
          <w:lang w:val="en"/>
        </w:rPr>
        <w:t>(iii)</w:t>
      </w:r>
      <w:r w:rsidRPr="00FA28E9">
        <w:rPr>
          <w:sz w:val="18"/>
          <w:szCs w:val="18"/>
          <w:lang w:val="en"/>
        </w:rPr>
        <w:t xml:space="preserve"> </w:t>
      </w:r>
      <w:r w:rsidRPr="00FA28E9">
        <w:rPr>
          <w:rStyle w:val="ptext-25"/>
          <w:sz w:val="18"/>
          <w:szCs w:val="18"/>
          <w:lang w:val="en"/>
        </w:rPr>
        <w:t xml:space="preserve">If (after the application of clauses (i) and (ii)) the power is a general power of appointment and is exercisable in favor of such other person—such power shall be deemed a general power of appointment only in respect of a fractional part of the property subject to such power, such part to be determined by dividing the value of such property by the number of such persons (including the decedent) in favor of whom such power is exercisable. </w:t>
      </w:r>
    </w:p>
    <w:p w14:paraId="18A8D1A4" w14:textId="77777777" w:rsidR="00D323AE" w:rsidRPr="00FA28E9" w:rsidRDefault="00D323AE" w:rsidP="00D323AE">
      <w:pPr>
        <w:rPr>
          <w:sz w:val="18"/>
          <w:szCs w:val="18"/>
          <w:lang w:val="en"/>
        </w:rPr>
      </w:pPr>
      <w:r w:rsidRPr="00FA28E9">
        <w:rPr>
          <w:sz w:val="18"/>
          <w:szCs w:val="18"/>
          <w:lang w:val="en"/>
        </w:rPr>
        <w:t xml:space="preserve">For purposes of clauses (ii) and (iii), a power shall be deemed to be exercisable in favor of a person if it is exercisable in favor of such person, his estate, his creditors, or the creditors of his estate. </w:t>
      </w:r>
    </w:p>
    <w:p w14:paraId="1F7F3554" w14:textId="77777777" w:rsidR="00D323AE" w:rsidRPr="00FA28E9" w:rsidRDefault="00D323AE" w:rsidP="00D323AE">
      <w:pPr>
        <w:rPr>
          <w:sz w:val="18"/>
          <w:szCs w:val="18"/>
          <w:lang w:val="en"/>
        </w:rPr>
      </w:pPr>
      <w:bookmarkStart w:id="41" w:name="b_2"/>
      <w:bookmarkEnd w:id="41"/>
      <w:r w:rsidRPr="00FA28E9">
        <w:rPr>
          <w:rStyle w:val="enumbell1"/>
          <w:sz w:val="18"/>
          <w:szCs w:val="18"/>
          <w:lang w:val="en"/>
        </w:rPr>
        <w:t>(2)</w:t>
      </w:r>
      <w:r w:rsidRPr="00FA28E9">
        <w:rPr>
          <w:sz w:val="18"/>
          <w:szCs w:val="18"/>
          <w:lang w:val="en"/>
        </w:rPr>
        <w:t xml:space="preserve"> </w:t>
      </w:r>
      <w:r w:rsidRPr="00FA28E9">
        <w:rPr>
          <w:b/>
          <w:bCs/>
          <w:sz w:val="18"/>
          <w:szCs w:val="18"/>
          <w:lang w:val="en"/>
        </w:rPr>
        <w:t xml:space="preserve">Lapse of power </w:t>
      </w:r>
    </w:p>
    <w:p w14:paraId="6E2DAC8F" w14:textId="77777777" w:rsidR="00D323AE" w:rsidRPr="00FA28E9" w:rsidRDefault="00D323AE" w:rsidP="00D323AE">
      <w:pPr>
        <w:rPr>
          <w:sz w:val="18"/>
          <w:szCs w:val="18"/>
          <w:lang w:val="en"/>
        </w:rPr>
      </w:pPr>
      <w:r w:rsidRPr="00FA28E9">
        <w:rPr>
          <w:sz w:val="18"/>
          <w:szCs w:val="18"/>
          <w:lang w:val="en"/>
        </w:rPr>
        <w:t xml:space="preserve">The lapse of a power of appointment created after October 21, 1942, during the life of the individual possessing the power shall be considered a release of such power. The preceding sentence shall apply with respect to the </w:t>
      </w:r>
      <w:r w:rsidRPr="00130EAC">
        <w:rPr>
          <w:b/>
          <w:sz w:val="18"/>
          <w:szCs w:val="18"/>
          <w:lang w:val="en"/>
        </w:rPr>
        <w:t xml:space="preserve">lapse </w:t>
      </w:r>
      <w:r w:rsidRPr="00FA28E9">
        <w:rPr>
          <w:sz w:val="18"/>
          <w:szCs w:val="18"/>
          <w:lang w:val="en"/>
        </w:rPr>
        <w:t xml:space="preserve">of powers during any calendar year </w:t>
      </w:r>
      <w:r w:rsidRPr="00130EAC">
        <w:rPr>
          <w:b/>
          <w:sz w:val="18"/>
          <w:szCs w:val="18"/>
          <w:lang w:val="en"/>
        </w:rPr>
        <w:t>only to the extent</w:t>
      </w:r>
      <w:r w:rsidRPr="00FA28E9">
        <w:rPr>
          <w:sz w:val="18"/>
          <w:szCs w:val="18"/>
          <w:lang w:val="en"/>
        </w:rPr>
        <w:t xml:space="preserve"> that the property, which could have been appointed by exercise of such lapsed powers, exceeded in value, at the time of such lapse, the greater of the following amounts: </w:t>
      </w:r>
    </w:p>
    <w:p w14:paraId="6941CA01" w14:textId="77777777" w:rsidR="00D323AE" w:rsidRPr="00FA28E9" w:rsidRDefault="00D323AE" w:rsidP="00D323AE">
      <w:pPr>
        <w:rPr>
          <w:sz w:val="18"/>
          <w:szCs w:val="18"/>
          <w:lang w:val="en"/>
        </w:rPr>
      </w:pPr>
      <w:bookmarkStart w:id="42" w:name="b_2_A"/>
      <w:bookmarkEnd w:id="42"/>
      <w:r w:rsidRPr="00FA28E9">
        <w:rPr>
          <w:rStyle w:val="enumbell1"/>
          <w:sz w:val="18"/>
          <w:szCs w:val="18"/>
          <w:lang w:val="en"/>
        </w:rPr>
        <w:t>(A)</w:t>
      </w:r>
      <w:r w:rsidRPr="00FA28E9">
        <w:rPr>
          <w:sz w:val="18"/>
          <w:szCs w:val="18"/>
          <w:lang w:val="en"/>
        </w:rPr>
        <w:t xml:space="preserve"> </w:t>
      </w:r>
      <w:r w:rsidRPr="00FA28E9">
        <w:rPr>
          <w:rStyle w:val="ptext-25"/>
          <w:sz w:val="18"/>
          <w:szCs w:val="18"/>
          <w:lang w:val="en"/>
        </w:rPr>
        <w:t xml:space="preserve">$5,000, or </w:t>
      </w:r>
    </w:p>
    <w:p w14:paraId="1BEF8379" w14:textId="77777777" w:rsidR="00B91666" w:rsidRDefault="00D323AE" w:rsidP="002A6CC3">
      <w:pPr>
        <w:rPr>
          <w:rStyle w:val="ptext-25"/>
          <w:sz w:val="18"/>
          <w:szCs w:val="18"/>
          <w:lang w:val="en"/>
        </w:rPr>
      </w:pPr>
      <w:bookmarkStart w:id="43" w:name="b_2_B"/>
      <w:bookmarkEnd w:id="43"/>
      <w:r w:rsidRPr="00FA28E9">
        <w:rPr>
          <w:rStyle w:val="enumbell1"/>
          <w:sz w:val="18"/>
          <w:szCs w:val="18"/>
          <w:lang w:val="en"/>
        </w:rPr>
        <w:t>(B)</w:t>
      </w:r>
      <w:r w:rsidRPr="00FA28E9">
        <w:rPr>
          <w:sz w:val="18"/>
          <w:szCs w:val="18"/>
          <w:lang w:val="en"/>
        </w:rPr>
        <w:t xml:space="preserve"> </w:t>
      </w:r>
      <w:r w:rsidRPr="00130EAC">
        <w:rPr>
          <w:rStyle w:val="ptext-25"/>
          <w:b/>
          <w:sz w:val="18"/>
          <w:szCs w:val="18"/>
          <w:lang w:val="en"/>
        </w:rPr>
        <w:t xml:space="preserve">5 percent </w:t>
      </w:r>
      <w:r w:rsidRPr="00FA28E9">
        <w:rPr>
          <w:rStyle w:val="ptext-25"/>
          <w:sz w:val="18"/>
          <w:szCs w:val="18"/>
          <w:lang w:val="en"/>
        </w:rPr>
        <w:t xml:space="preserve">of the aggregate value, at the time of such lapse, of the assets out of which, or the proceeds of which, the exercise of the lapsed powers could have been satisfied. </w:t>
      </w:r>
      <w:bookmarkStart w:id="44" w:name="b_3"/>
      <w:bookmarkEnd w:id="44"/>
      <w:r w:rsidR="00230559">
        <w:rPr>
          <w:rStyle w:val="ptext-25"/>
          <w:sz w:val="18"/>
          <w:szCs w:val="18"/>
          <w:lang w:val="en"/>
        </w:rPr>
        <w:br w:type="page"/>
      </w:r>
    </w:p>
    <w:p w14:paraId="4E937D24" w14:textId="77777777" w:rsidR="00B91666" w:rsidRPr="00B91666" w:rsidRDefault="00B91666" w:rsidP="00B91666">
      <w:pPr>
        <w:shd w:val="clear" w:color="auto" w:fill="FFFFFF"/>
        <w:spacing w:line="330" w:lineRule="atLeast"/>
        <w:jc w:val="center"/>
        <w:rPr>
          <w:rStyle w:val="ptext-25"/>
          <w:b/>
          <w:sz w:val="22"/>
          <w:szCs w:val="18"/>
          <w:lang w:val="en"/>
        </w:rPr>
      </w:pPr>
      <w:r w:rsidRPr="00B91666">
        <w:rPr>
          <w:rStyle w:val="ptext-25"/>
          <w:b/>
          <w:sz w:val="22"/>
          <w:szCs w:val="18"/>
          <w:lang w:val="en"/>
        </w:rPr>
        <w:lastRenderedPageBreak/>
        <w:t>26 U.S.C. §1014 (bold, italics and [brackets] added by author)</w:t>
      </w:r>
    </w:p>
    <w:p w14:paraId="0B34B329" w14:textId="77777777" w:rsidR="00B91666" w:rsidRPr="00B91666" w:rsidRDefault="00B91666" w:rsidP="00B91666">
      <w:pPr>
        <w:shd w:val="clear" w:color="auto" w:fill="FFFFFF"/>
        <w:spacing w:line="330" w:lineRule="atLeast"/>
        <w:rPr>
          <w:rFonts w:ascii="Verdana" w:hAnsi="Verdana"/>
          <w:color w:val="333333"/>
          <w:sz w:val="22"/>
          <w:szCs w:val="22"/>
        </w:rPr>
      </w:pPr>
      <w:r w:rsidRPr="00B91666">
        <w:rPr>
          <w:rFonts w:ascii="Verdana" w:hAnsi="Verdana"/>
          <w:b/>
          <w:bCs/>
          <w:color w:val="333333"/>
          <w:sz w:val="20"/>
          <w:szCs w:val="20"/>
        </w:rPr>
        <w:t>(a)</w:t>
      </w:r>
      <w:r w:rsidRPr="00B91666">
        <w:rPr>
          <w:rFonts w:ascii="Verdana" w:hAnsi="Verdana"/>
          <w:b/>
          <w:bCs/>
          <w:smallCaps/>
          <w:color w:val="333333"/>
          <w:sz w:val="20"/>
          <w:szCs w:val="20"/>
        </w:rPr>
        <w:t>In general</w:t>
      </w:r>
      <w:r>
        <w:rPr>
          <w:rFonts w:ascii="Verdana" w:hAnsi="Verdana"/>
          <w:b/>
          <w:bCs/>
          <w:smallCaps/>
          <w:color w:val="333333"/>
          <w:sz w:val="20"/>
          <w:szCs w:val="20"/>
        </w:rPr>
        <w:t xml:space="preserve"> </w:t>
      </w:r>
      <w:r w:rsidRPr="00B91666">
        <w:rPr>
          <w:rFonts w:ascii="Verdana" w:hAnsi="Verdana"/>
          <w:color w:val="333333"/>
          <w:sz w:val="20"/>
          <w:szCs w:val="20"/>
        </w:rPr>
        <w:t>Except as otherwise provided in this section, the basis of property in the hands of a person acquiring the property from a decedent or to whom the property passed from a decedent shall, if not sold, exchanged, or otherwise disposed of before the decedent’s death by such person, be—</w:t>
      </w:r>
    </w:p>
    <w:p w14:paraId="7FC9E0A4" w14:textId="77777777" w:rsidR="00B91666" w:rsidRPr="00B91666" w:rsidRDefault="00B91666" w:rsidP="00B91666">
      <w:pPr>
        <w:shd w:val="clear" w:color="auto" w:fill="FFFFFF"/>
        <w:spacing w:line="330" w:lineRule="atLeast"/>
        <w:rPr>
          <w:rFonts w:ascii="Verdana" w:hAnsi="Verdana"/>
          <w:color w:val="333333"/>
          <w:sz w:val="20"/>
          <w:szCs w:val="20"/>
        </w:rPr>
      </w:pPr>
      <w:r w:rsidRPr="00B91666">
        <w:rPr>
          <w:rFonts w:ascii="Verdana" w:hAnsi="Verdana"/>
          <w:b/>
          <w:bCs/>
          <w:color w:val="333333"/>
          <w:sz w:val="20"/>
          <w:szCs w:val="20"/>
        </w:rPr>
        <w:t>(1)</w:t>
      </w:r>
      <w:r>
        <w:rPr>
          <w:rFonts w:ascii="Verdana" w:hAnsi="Verdana"/>
          <w:b/>
          <w:bCs/>
          <w:color w:val="333333"/>
          <w:sz w:val="20"/>
          <w:szCs w:val="20"/>
        </w:rPr>
        <w:t xml:space="preserve"> </w:t>
      </w:r>
      <w:r w:rsidRPr="00B91666">
        <w:rPr>
          <w:rFonts w:ascii="Verdana" w:hAnsi="Verdana"/>
          <w:color w:val="333333"/>
          <w:sz w:val="20"/>
          <w:szCs w:val="20"/>
        </w:rPr>
        <w:t>the fair market value of the property at the date of the decedent’s death,</w:t>
      </w:r>
    </w:p>
    <w:p w14:paraId="7EBBEEFB" w14:textId="77777777" w:rsidR="00B91666" w:rsidRPr="00B91666" w:rsidRDefault="00B91666" w:rsidP="00B91666">
      <w:pPr>
        <w:shd w:val="clear" w:color="auto" w:fill="FFFFFF"/>
        <w:spacing w:line="330" w:lineRule="atLeast"/>
        <w:rPr>
          <w:rFonts w:ascii="Verdana" w:hAnsi="Verdana"/>
          <w:color w:val="333333"/>
          <w:sz w:val="20"/>
          <w:szCs w:val="20"/>
        </w:rPr>
      </w:pPr>
      <w:r w:rsidRPr="00B91666">
        <w:rPr>
          <w:rFonts w:ascii="Verdana" w:hAnsi="Verdana"/>
          <w:b/>
          <w:bCs/>
          <w:color w:val="333333"/>
          <w:sz w:val="20"/>
          <w:szCs w:val="20"/>
        </w:rPr>
        <w:t>(2)</w:t>
      </w:r>
      <w:r>
        <w:rPr>
          <w:rFonts w:ascii="Verdana" w:hAnsi="Verdana"/>
          <w:b/>
          <w:bCs/>
          <w:color w:val="333333"/>
          <w:sz w:val="20"/>
          <w:szCs w:val="20"/>
        </w:rPr>
        <w:t xml:space="preserve"> </w:t>
      </w:r>
      <w:r w:rsidRPr="00B91666">
        <w:rPr>
          <w:rFonts w:ascii="Verdana" w:hAnsi="Verdana"/>
          <w:color w:val="333333"/>
          <w:sz w:val="20"/>
          <w:szCs w:val="20"/>
        </w:rPr>
        <w:t>in the case of an election under section 2032, its value at the applicable valuation date prescribed by such section,</w:t>
      </w:r>
    </w:p>
    <w:p w14:paraId="0ACC19AF" w14:textId="77777777" w:rsidR="00B91666" w:rsidRPr="00B91666" w:rsidRDefault="00B91666" w:rsidP="00B91666">
      <w:pPr>
        <w:shd w:val="clear" w:color="auto" w:fill="FFFFFF"/>
        <w:spacing w:line="330" w:lineRule="atLeast"/>
        <w:rPr>
          <w:rFonts w:ascii="Verdana" w:hAnsi="Verdana"/>
          <w:color w:val="333333"/>
          <w:sz w:val="20"/>
          <w:szCs w:val="20"/>
        </w:rPr>
      </w:pPr>
      <w:r w:rsidRPr="00B91666">
        <w:rPr>
          <w:rFonts w:ascii="Verdana" w:hAnsi="Verdana"/>
          <w:b/>
          <w:bCs/>
          <w:color w:val="333333"/>
          <w:sz w:val="20"/>
          <w:szCs w:val="20"/>
        </w:rPr>
        <w:t>(3)</w:t>
      </w:r>
      <w:r>
        <w:rPr>
          <w:rFonts w:ascii="Verdana" w:hAnsi="Verdana"/>
          <w:b/>
          <w:bCs/>
          <w:color w:val="333333"/>
          <w:sz w:val="20"/>
          <w:szCs w:val="20"/>
        </w:rPr>
        <w:t xml:space="preserve"> </w:t>
      </w:r>
      <w:r w:rsidRPr="00B91666">
        <w:rPr>
          <w:rFonts w:ascii="Verdana" w:hAnsi="Verdana"/>
          <w:color w:val="333333"/>
          <w:sz w:val="20"/>
          <w:szCs w:val="20"/>
        </w:rPr>
        <w:t>in the case of an election under section 2032A, its value determined under such section, or</w:t>
      </w:r>
    </w:p>
    <w:p w14:paraId="530203D9" w14:textId="77777777" w:rsidR="00B91666" w:rsidRPr="00B91666" w:rsidRDefault="00B91666" w:rsidP="00B91666">
      <w:pPr>
        <w:shd w:val="clear" w:color="auto" w:fill="FFFFFF"/>
        <w:spacing w:line="330" w:lineRule="atLeast"/>
        <w:rPr>
          <w:rFonts w:ascii="Verdana" w:hAnsi="Verdana"/>
          <w:color w:val="333333"/>
          <w:sz w:val="20"/>
          <w:szCs w:val="20"/>
        </w:rPr>
      </w:pPr>
      <w:r w:rsidRPr="00B91666">
        <w:rPr>
          <w:rFonts w:ascii="Verdana" w:hAnsi="Verdana"/>
          <w:b/>
          <w:bCs/>
          <w:color w:val="333333"/>
          <w:sz w:val="20"/>
          <w:szCs w:val="20"/>
        </w:rPr>
        <w:t>(4)</w:t>
      </w:r>
      <w:r>
        <w:rPr>
          <w:rFonts w:ascii="Verdana" w:hAnsi="Verdana"/>
          <w:b/>
          <w:bCs/>
          <w:color w:val="333333"/>
          <w:sz w:val="20"/>
          <w:szCs w:val="20"/>
        </w:rPr>
        <w:t xml:space="preserve"> </w:t>
      </w:r>
      <w:r w:rsidRPr="00B91666">
        <w:rPr>
          <w:rFonts w:ascii="Verdana" w:hAnsi="Verdana"/>
          <w:color w:val="333333"/>
          <w:sz w:val="20"/>
          <w:szCs w:val="20"/>
        </w:rPr>
        <w:t>to the extent of the applicability of the exclusion described in section 2031(c), the basis in the hands of the decedent.</w:t>
      </w:r>
      <w:r>
        <w:rPr>
          <w:rFonts w:ascii="Verdana" w:hAnsi="Verdana"/>
          <w:color w:val="333333"/>
          <w:sz w:val="20"/>
          <w:szCs w:val="20"/>
        </w:rPr>
        <w:t xml:space="preserve"> [this is the additional exclusion provision for qualified conservation easements]</w:t>
      </w:r>
    </w:p>
    <w:p w14:paraId="0F5A7B4B" w14:textId="77777777" w:rsidR="00B91666" w:rsidRPr="00B91666" w:rsidRDefault="00B91666" w:rsidP="00B91666">
      <w:pPr>
        <w:shd w:val="clear" w:color="auto" w:fill="FFFFFF"/>
        <w:spacing w:line="330" w:lineRule="atLeast"/>
        <w:rPr>
          <w:rFonts w:ascii="Verdana" w:hAnsi="Verdana"/>
          <w:color w:val="333333"/>
          <w:sz w:val="22"/>
          <w:szCs w:val="22"/>
        </w:rPr>
      </w:pPr>
      <w:r w:rsidRPr="00B91666">
        <w:rPr>
          <w:rFonts w:ascii="Verdana" w:hAnsi="Verdana"/>
          <w:b/>
          <w:bCs/>
          <w:color w:val="333333"/>
          <w:sz w:val="20"/>
          <w:szCs w:val="20"/>
        </w:rPr>
        <w:t>(b)</w:t>
      </w:r>
      <w:r w:rsidRPr="00B91666">
        <w:rPr>
          <w:rFonts w:ascii="Verdana" w:hAnsi="Verdana"/>
          <w:b/>
          <w:bCs/>
          <w:smallCaps/>
          <w:color w:val="333333"/>
          <w:sz w:val="20"/>
          <w:szCs w:val="20"/>
        </w:rPr>
        <w:t>Property acquired from the decedent</w:t>
      </w:r>
      <w:r>
        <w:rPr>
          <w:rFonts w:ascii="Verdana" w:hAnsi="Verdana"/>
          <w:b/>
          <w:bCs/>
          <w:smallCaps/>
          <w:color w:val="333333"/>
          <w:sz w:val="20"/>
          <w:szCs w:val="20"/>
        </w:rPr>
        <w:t xml:space="preserve"> </w:t>
      </w:r>
      <w:r w:rsidRPr="00B91666">
        <w:rPr>
          <w:rFonts w:ascii="Verdana" w:hAnsi="Verdana"/>
          <w:color w:val="333333"/>
          <w:sz w:val="20"/>
          <w:szCs w:val="20"/>
        </w:rPr>
        <w:t>For purposes of subsection (a), the following property shall be considered to have been acquired from or to have passed from the decedent:</w:t>
      </w:r>
      <w:r w:rsidR="002A6CC3">
        <w:rPr>
          <w:rFonts w:ascii="Verdana" w:hAnsi="Verdana"/>
          <w:color w:val="333333"/>
          <w:sz w:val="20"/>
          <w:szCs w:val="20"/>
        </w:rPr>
        <w:t xml:space="preserve"> </w:t>
      </w:r>
      <w:r w:rsidR="002A6CC3" w:rsidRPr="002A6CC3">
        <w:rPr>
          <w:rFonts w:ascii="Verdana" w:hAnsi="Verdana"/>
          <w:color w:val="333333"/>
          <w:sz w:val="20"/>
          <w:szCs w:val="20"/>
          <w:highlight w:val="yellow"/>
        </w:rPr>
        <w:t xml:space="preserve">[NOTE: </w:t>
      </w:r>
      <w:r w:rsidR="002A6CC3">
        <w:rPr>
          <w:rFonts w:ascii="Verdana" w:hAnsi="Verdana"/>
          <w:color w:val="333333"/>
          <w:sz w:val="20"/>
          <w:szCs w:val="20"/>
          <w:highlight w:val="yellow"/>
        </w:rPr>
        <w:t xml:space="preserve">if the estate tax is repealed – </w:t>
      </w:r>
      <w:r w:rsidR="002A6CC3" w:rsidRPr="002A6CC3">
        <w:rPr>
          <w:rFonts w:ascii="Verdana" w:hAnsi="Verdana"/>
          <w:color w:val="333333"/>
          <w:sz w:val="20"/>
          <w:szCs w:val="20"/>
          <w:highlight w:val="yellow"/>
        </w:rPr>
        <w:t xml:space="preserve">paragraphs 6, 9, 10 require </w:t>
      </w:r>
      <w:r w:rsidR="002A6CC3" w:rsidRPr="002A6CC3">
        <w:rPr>
          <w:rFonts w:ascii="Verdana" w:hAnsi="Verdana"/>
          <w:i/>
          <w:color w:val="333333"/>
          <w:sz w:val="20"/>
          <w:szCs w:val="20"/>
          <w:highlight w:val="yellow"/>
        </w:rPr>
        <w:t>inclusion]</w:t>
      </w:r>
      <w:r w:rsidR="002A6CC3">
        <w:rPr>
          <w:rFonts w:ascii="Verdana" w:hAnsi="Verdana"/>
          <w:color w:val="333333"/>
          <w:sz w:val="20"/>
          <w:szCs w:val="20"/>
        </w:rPr>
        <w:t xml:space="preserve"> </w:t>
      </w:r>
    </w:p>
    <w:p w14:paraId="1D38AF76" w14:textId="77777777" w:rsidR="00B91666" w:rsidRPr="00B91666" w:rsidRDefault="00B91666" w:rsidP="00B91666">
      <w:pPr>
        <w:shd w:val="clear" w:color="auto" w:fill="FFFFFF"/>
        <w:spacing w:line="330" w:lineRule="atLeast"/>
        <w:rPr>
          <w:rFonts w:ascii="Verdana" w:hAnsi="Verdana"/>
          <w:color w:val="333333"/>
          <w:sz w:val="20"/>
          <w:szCs w:val="20"/>
        </w:rPr>
      </w:pPr>
      <w:r w:rsidRPr="00B91666">
        <w:rPr>
          <w:rFonts w:ascii="Verdana" w:hAnsi="Verdana"/>
          <w:b/>
          <w:bCs/>
          <w:color w:val="333333"/>
          <w:sz w:val="20"/>
          <w:szCs w:val="20"/>
        </w:rPr>
        <w:t>(1)</w:t>
      </w:r>
      <w:r>
        <w:rPr>
          <w:rFonts w:ascii="Verdana" w:hAnsi="Verdana"/>
          <w:b/>
          <w:bCs/>
          <w:color w:val="333333"/>
          <w:sz w:val="20"/>
          <w:szCs w:val="20"/>
        </w:rPr>
        <w:t xml:space="preserve"> </w:t>
      </w:r>
      <w:r w:rsidRPr="00B91666">
        <w:rPr>
          <w:rFonts w:ascii="Verdana" w:hAnsi="Verdana"/>
          <w:color w:val="333333"/>
          <w:sz w:val="20"/>
          <w:szCs w:val="20"/>
        </w:rPr>
        <w:t>Property acquired by bequest, devise, or inheritance, or by the decedent’s estate from the decedent;</w:t>
      </w:r>
    </w:p>
    <w:p w14:paraId="22AFF2B9" w14:textId="77777777" w:rsidR="00B91666" w:rsidRPr="00B91666" w:rsidRDefault="00B91666" w:rsidP="00B91666">
      <w:pPr>
        <w:shd w:val="clear" w:color="auto" w:fill="FFFFFF"/>
        <w:spacing w:line="330" w:lineRule="atLeast"/>
        <w:rPr>
          <w:rFonts w:ascii="Verdana" w:hAnsi="Verdana"/>
          <w:color w:val="333333"/>
          <w:sz w:val="20"/>
          <w:szCs w:val="20"/>
        </w:rPr>
      </w:pPr>
      <w:r w:rsidRPr="00B91666">
        <w:rPr>
          <w:rFonts w:ascii="Verdana" w:hAnsi="Verdana"/>
          <w:b/>
          <w:bCs/>
          <w:color w:val="333333"/>
          <w:sz w:val="20"/>
          <w:szCs w:val="20"/>
        </w:rPr>
        <w:t>(2)</w:t>
      </w:r>
      <w:r>
        <w:rPr>
          <w:rFonts w:ascii="Verdana" w:hAnsi="Verdana"/>
          <w:b/>
          <w:bCs/>
          <w:color w:val="333333"/>
          <w:sz w:val="20"/>
          <w:szCs w:val="20"/>
        </w:rPr>
        <w:t xml:space="preserve"> </w:t>
      </w:r>
      <w:r w:rsidRPr="00B91666">
        <w:rPr>
          <w:rFonts w:ascii="Verdana" w:hAnsi="Verdana"/>
          <w:color w:val="333333"/>
          <w:sz w:val="20"/>
          <w:szCs w:val="20"/>
        </w:rPr>
        <w:t>Property transferred by the decedent during his lifetime in trust to pay the income for life to or on the order or direction of the decedent, with the right reserved to the decedent at all times before his death to revoke the trust;</w:t>
      </w:r>
    </w:p>
    <w:p w14:paraId="52FF672B" w14:textId="77777777" w:rsidR="00B91666" w:rsidRPr="00B91666" w:rsidRDefault="00B91666" w:rsidP="00B91666">
      <w:pPr>
        <w:shd w:val="clear" w:color="auto" w:fill="FFFFFF"/>
        <w:spacing w:line="330" w:lineRule="atLeast"/>
        <w:rPr>
          <w:rFonts w:ascii="Verdana" w:hAnsi="Verdana"/>
          <w:color w:val="333333"/>
          <w:sz w:val="20"/>
          <w:szCs w:val="20"/>
        </w:rPr>
      </w:pPr>
      <w:r w:rsidRPr="00B91666">
        <w:rPr>
          <w:rFonts w:ascii="Verdana" w:hAnsi="Verdana"/>
          <w:b/>
          <w:bCs/>
          <w:color w:val="333333"/>
          <w:sz w:val="20"/>
          <w:szCs w:val="20"/>
        </w:rPr>
        <w:t>(3)</w:t>
      </w:r>
      <w:r>
        <w:rPr>
          <w:rFonts w:ascii="Verdana" w:hAnsi="Verdana"/>
          <w:b/>
          <w:bCs/>
          <w:color w:val="333333"/>
          <w:sz w:val="20"/>
          <w:szCs w:val="20"/>
        </w:rPr>
        <w:t xml:space="preserve"> </w:t>
      </w:r>
      <w:r w:rsidRPr="00B91666">
        <w:rPr>
          <w:rFonts w:ascii="Verdana" w:hAnsi="Verdana"/>
          <w:color w:val="333333"/>
          <w:sz w:val="20"/>
          <w:szCs w:val="20"/>
        </w:rPr>
        <w:t>In the case of decedents dying after December 31, 1951, property transferred by the decedent during his lifetime in trust to pay the income for life to or on the order or direction of the decedent with the right reserved to the decedent at all times before his death to make any change in the enjoyment thereof through the exercise of a power to alter, amend, or terminate the trust;</w:t>
      </w:r>
    </w:p>
    <w:p w14:paraId="2B25ACCC" w14:textId="77777777" w:rsidR="00B91666" w:rsidRPr="00B91666" w:rsidRDefault="00B91666" w:rsidP="00B91666">
      <w:pPr>
        <w:shd w:val="clear" w:color="auto" w:fill="FFFFFF"/>
        <w:spacing w:line="330" w:lineRule="atLeast"/>
        <w:rPr>
          <w:rFonts w:ascii="Verdana" w:hAnsi="Verdana"/>
          <w:color w:val="333333"/>
          <w:sz w:val="20"/>
          <w:szCs w:val="20"/>
        </w:rPr>
      </w:pPr>
      <w:r w:rsidRPr="00B91666">
        <w:rPr>
          <w:rFonts w:ascii="Verdana" w:hAnsi="Verdana"/>
          <w:b/>
          <w:bCs/>
          <w:color w:val="333333"/>
          <w:sz w:val="20"/>
          <w:szCs w:val="20"/>
        </w:rPr>
        <w:t>(4)</w:t>
      </w:r>
      <w:r>
        <w:rPr>
          <w:rFonts w:ascii="Verdana" w:hAnsi="Verdana"/>
          <w:b/>
          <w:bCs/>
          <w:color w:val="333333"/>
          <w:sz w:val="20"/>
          <w:szCs w:val="20"/>
        </w:rPr>
        <w:t xml:space="preserve"> </w:t>
      </w:r>
      <w:r w:rsidRPr="00B91666">
        <w:rPr>
          <w:rFonts w:ascii="Verdana" w:hAnsi="Verdana"/>
          <w:color w:val="333333"/>
          <w:sz w:val="20"/>
          <w:szCs w:val="20"/>
        </w:rPr>
        <w:t>Property passing without full and adequate consideration under a general power of appointment exercised by the decedent by will;</w:t>
      </w:r>
    </w:p>
    <w:p w14:paraId="5F62CF38" w14:textId="77777777" w:rsidR="00B91666" w:rsidRPr="00B91666" w:rsidRDefault="00B91666" w:rsidP="00B91666">
      <w:pPr>
        <w:shd w:val="clear" w:color="auto" w:fill="FFFFFF"/>
        <w:spacing w:line="330" w:lineRule="atLeast"/>
        <w:rPr>
          <w:rFonts w:ascii="Verdana" w:hAnsi="Verdana"/>
          <w:color w:val="333333"/>
          <w:sz w:val="20"/>
          <w:szCs w:val="20"/>
        </w:rPr>
      </w:pPr>
      <w:bookmarkStart w:id="45" w:name="b_5"/>
      <w:bookmarkEnd w:id="45"/>
      <w:r w:rsidRPr="00B91666">
        <w:rPr>
          <w:rFonts w:ascii="Verdana" w:hAnsi="Verdana"/>
          <w:b/>
          <w:bCs/>
          <w:color w:val="333333"/>
          <w:sz w:val="20"/>
          <w:szCs w:val="20"/>
        </w:rPr>
        <w:t>(5)</w:t>
      </w:r>
      <w:r>
        <w:rPr>
          <w:rFonts w:ascii="Verdana" w:hAnsi="Verdana"/>
          <w:b/>
          <w:bCs/>
          <w:color w:val="333333"/>
          <w:sz w:val="20"/>
          <w:szCs w:val="20"/>
        </w:rPr>
        <w:t xml:space="preserve"> </w:t>
      </w:r>
      <w:r w:rsidRPr="00B91666">
        <w:rPr>
          <w:rFonts w:ascii="Verdana" w:hAnsi="Verdana"/>
          <w:color w:val="333333"/>
          <w:sz w:val="20"/>
          <w:szCs w:val="20"/>
        </w:rPr>
        <w:t>In the case of decedents dying after August 26, 1937, and before January 1, 2005, property acquired by bequest, devise, or inheritance or by the decedent’s estate from the decedent, if the property consists of stock or securities of a foreign corporation, which with respect to its taxable year next preceding the date of the decedent’s death was, under the law applicable to such year, a foreign personal holding company. In such case, the basis shall be the fair market value of such property at the date of the decedent’s death or the basis in the hands of the decedent, whichever is lower;</w:t>
      </w:r>
    </w:p>
    <w:p w14:paraId="6CB491A0" w14:textId="77777777" w:rsidR="00B91666" w:rsidRPr="00B91666" w:rsidRDefault="00B91666" w:rsidP="00B91666">
      <w:pPr>
        <w:shd w:val="clear" w:color="auto" w:fill="FFFFFF"/>
        <w:spacing w:line="330" w:lineRule="atLeast"/>
        <w:rPr>
          <w:rFonts w:ascii="Verdana" w:hAnsi="Verdana"/>
          <w:color w:val="333333"/>
          <w:sz w:val="22"/>
          <w:szCs w:val="22"/>
        </w:rPr>
      </w:pPr>
      <w:bookmarkStart w:id="46" w:name="b_6"/>
      <w:bookmarkEnd w:id="46"/>
      <w:r w:rsidRPr="00B91666">
        <w:rPr>
          <w:rFonts w:ascii="Verdana" w:hAnsi="Verdana"/>
          <w:b/>
          <w:bCs/>
          <w:color w:val="333333"/>
          <w:sz w:val="20"/>
          <w:szCs w:val="20"/>
        </w:rPr>
        <w:t>(6)</w:t>
      </w:r>
    </w:p>
    <w:p w14:paraId="664391BF" w14:textId="77777777" w:rsidR="00B91666" w:rsidRPr="00B91666" w:rsidRDefault="00B91666" w:rsidP="00B91666">
      <w:pPr>
        <w:shd w:val="clear" w:color="auto" w:fill="FFFFFF"/>
        <w:spacing w:line="330" w:lineRule="atLeast"/>
        <w:rPr>
          <w:rFonts w:ascii="Verdana" w:hAnsi="Verdana"/>
          <w:color w:val="333333"/>
          <w:sz w:val="20"/>
          <w:szCs w:val="20"/>
        </w:rPr>
      </w:pPr>
      <w:r w:rsidRPr="00B91666">
        <w:rPr>
          <w:rFonts w:ascii="Verdana" w:hAnsi="Verdana"/>
          <w:color w:val="333333"/>
          <w:sz w:val="20"/>
          <w:szCs w:val="20"/>
        </w:rPr>
        <w:t xml:space="preserve">In the case of decedents dying after December 31, 1947, property which represents the surviving spouse’s one-half share of community property held by the decedent and the surviving spouse under the community property laws of any State, or possession of the </w:t>
      </w:r>
      <w:r w:rsidRPr="00B91666">
        <w:rPr>
          <w:rFonts w:ascii="Verdana" w:hAnsi="Verdana"/>
          <w:color w:val="333333"/>
          <w:sz w:val="20"/>
          <w:szCs w:val="20"/>
        </w:rPr>
        <w:lastRenderedPageBreak/>
        <w:t>United States or any foreign country, if at least one-half of the whole of the community interest in such property was includible in determining the value of the decedent’s gross estate under chapter 11 of subtitle B (section 2001 and following, relating to estate tax) or section 811 of the Internal Revenue Code of 1939;</w:t>
      </w:r>
    </w:p>
    <w:p w14:paraId="493B3882" w14:textId="77777777" w:rsidR="00B91666" w:rsidRPr="00B91666" w:rsidRDefault="00B91666" w:rsidP="00B91666">
      <w:pPr>
        <w:shd w:val="clear" w:color="auto" w:fill="FFFFFF"/>
        <w:spacing w:line="330" w:lineRule="atLeast"/>
        <w:rPr>
          <w:rFonts w:ascii="Verdana" w:hAnsi="Verdana"/>
          <w:color w:val="333333"/>
          <w:sz w:val="20"/>
          <w:szCs w:val="20"/>
        </w:rPr>
      </w:pPr>
      <w:bookmarkStart w:id="47" w:name="b_7"/>
      <w:bookmarkEnd w:id="47"/>
      <w:r w:rsidRPr="00B91666">
        <w:rPr>
          <w:rFonts w:ascii="Verdana" w:hAnsi="Verdana"/>
          <w:b/>
          <w:bCs/>
          <w:color w:val="333333"/>
          <w:sz w:val="20"/>
          <w:szCs w:val="20"/>
        </w:rPr>
        <w:t>[(7)</w:t>
      </w:r>
      <w:r w:rsidRPr="00B91666">
        <w:rPr>
          <w:rFonts w:ascii="Verdana" w:hAnsi="Verdana"/>
          <w:color w:val="333333"/>
          <w:sz w:val="20"/>
          <w:szCs w:val="20"/>
        </w:rPr>
        <w:t>, (8) Repealed. </w:t>
      </w:r>
      <w:hyperlink r:id="rId50" w:tooltip="Pub. L. 113–295, div. A, title II, § 221(a)(74)" w:history="1">
        <w:r w:rsidRPr="00B91666">
          <w:rPr>
            <w:rFonts w:ascii="Verdana" w:hAnsi="Verdana"/>
            <w:color w:val="005C72"/>
            <w:sz w:val="20"/>
            <w:szCs w:val="20"/>
            <w:u w:val="single"/>
          </w:rPr>
          <w:t>Pub. L. 113–295, div. A, title II, § 221(a)(74)</w:t>
        </w:r>
      </w:hyperlink>
      <w:r w:rsidRPr="00B91666">
        <w:rPr>
          <w:rFonts w:ascii="Verdana" w:hAnsi="Verdana"/>
          <w:color w:val="333333"/>
          <w:sz w:val="20"/>
          <w:szCs w:val="20"/>
        </w:rPr>
        <w:t>, Dec. 19, 2014, </w:t>
      </w:r>
      <w:hyperlink r:id="rId51" w:tooltip="128 Stat. 4049" w:history="1">
        <w:r w:rsidRPr="00B91666">
          <w:rPr>
            <w:rFonts w:ascii="Verdana" w:hAnsi="Verdana"/>
            <w:color w:val="005C72"/>
            <w:sz w:val="20"/>
            <w:szCs w:val="20"/>
            <w:u w:val="single"/>
          </w:rPr>
          <w:t>128 Stat. 4049</w:t>
        </w:r>
      </w:hyperlink>
      <w:r w:rsidRPr="00B91666">
        <w:rPr>
          <w:rFonts w:ascii="Verdana" w:hAnsi="Verdana"/>
          <w:color w:val="333333"/>
          <w:sz w:val="20"/>
          <w:szCs w:val="20"/>
        </w:rPr>
        <w:t>]</w:t>
      </w:r>
    </w:p>
    <w:p w14:paraId="7FF3B12F" w14:textId="77777777" w:rsidR="00B91666" w:rsidRPr="00B91666" w:rsidRDefault="00B91666" w:rsidP="00B91666">
      <w:pPr>
        <w:shd w:val="clear" w:color="auto" w:fill="FFFFFF"/>
        <w:spacing w:line="330" w:lineRule="atLeast"/>
        <w:rPr>
          <w:rFonts w:ascii="Verdana" w:hAnsi="Verdana"/>
          <w:color w:val="333333"/>
          <w:sz w:val="22"/>
          <w:szCs w:val="22"/>
        </w:rPr>
      </w:pPr>
      <w:bookmarkStart w:id="48" w:name="b_9"/>
      <w:bookmarkEnd w:id="48"/>
      <w:r w:rsidRPr="00B91666">
        <w:rPr>
          <w:rFonts w:ascii="Verdana" w:hAnsi="Verdana"/>
          <w:b/>
          <w:bCs/>
          <w:color w:val="333333"/>
          <w:sz w:val="20"/>
          <w:szCs w:val="20"/>
        </w:rPr>
        <w:t>(9)</w:t>
      </w:r>
      <w:r w:rsidRPr="00B91666">
        <w:rPr>
          <w:rFonts w:ascii="Verdana" w:hAnsi="Verdana"/>
          <w:color w:val="333333"/>
          <w:sz w:val="20"/>
          <w:szCs w:val="20"/>
        </w:rPr>
        <w:t>In the case of decedents dying after December 31, 1953, property acquired from the decedent by reason of death, form of ownership, or other conditions (including property acquired through the exercise or non-exercise of a power of appointment), if by reason thereof the property is required to be included in determining the value of the decedent’s gross estate under chapter 11 of subtitle B or under the Internal Revenue Code of 1939. In such case, if the property is acquired before the death of the decedent, the basis shall be the amount determined under subsection (a) reduced by the amount allowed to the taxpayer as deductions in computing taxable income under this subtitle or prior income tax laws for exhaustion, wear and tear, obsolescence, amortization, and depletion on such property before the death of the decedent. Such basis shall be applicable to the property commencing on the death of the decedent. This paragraph shall not apply to—</w:t>
      </w:r>
    </w:p>
    <w:p w14:paraId="42E14FBC" w14:textId="77777777" w:rsidR="00B91666" w:rsidRPr="00B91666" w:rsidRDefault="00B91666" w:rsidP="00B91666">
      <w:pPr>
        <w:shd w:val="clear" w:color="auto" w:fill="FFFFFF"/>
        <w:spacing w:line="330" w:lineRule="atLeast"/>
        <w:rPr>
          <w:rFonts w:ascii="Verdana" w:hAnsi="Verdana"/>
          <w:color w:val="333333"/>
          <w:sz w:val="20"/>
          <w:szCs w:val="20"/>
        </w:rPr>
      </w:pPr>
      <w:bookmarkStart w:id="49" w:name="b_9_A"/>
      <w:bookmarkEnd w:id="49"/>
      <w:r w:rsidRPr="00B91666">
        <w:rPr>
          <w:rFonts w:ascii="Verdana" w:hAnsi="Verdana"/>
          <w:b/>
          <w:bCs/>
          <w:color w:val="333333"/>
          <w:sz w:val="20"/>
          <w:szCs w:val="20"/>
        </w:rPr>
        <w:t>(A)</w:t>
      </w:r>
      <w:r>
        <w:rPr>
          <w:rFonts w:ascii="Verdana" w:hAnsi="Verdana"/>
          <w:b/>
          <w:bCs/>
          <w:color w:val="333333"/>
          <w:sz w:val="20"/>
          <w:szCs w:val="20"/>
        </w:rPr>
        <w:t xml:space="preserve"> </w:t>
      </w:r>
      <w:r w:rsidRPr="00B91666">
        <w:rPr>
          <w:rFonts w:ascii="Verdana" w:hAnsi="Verdana"/>
          <w:color w:val="333333"/>
          <w:sz w:val="20"/>
          <w:szCs w:val="20"/>
        </w:rPr>
        <w:t>annuities described in section 72;</w:t>
      </w:r>
    </w:p>
    <w:p w14:paraId="58BCBC48" w14:textId="77777777" w:rsidR="00B91666" w:rsidRPr="00B91666" w:rsidRDefault="00B91666" w:rsidP="00B91666">
      <w:pPr>
        <w:shd w:val="clear" w:color="auto" w:fill="FFFFFF"/>
        <w:spacing w:line="330" w:lineRule="atLeast"/>
        <w:rPr>
          <w:rFonts w:ascii="Verdana" w:hAnsi="Verdana"/>
          <w:color w:val="333333"/>
          <w:sz w:val="20"/>
          <w:szCs w:val="20"/>
        </w:rPr>
      </w:pPr>
      <w:bookmarkStart w:id="50" w:name="b_9_B"/>
      <w:bookmarkEnd w:id="50"/>
      <w:r w:rsidRPr="00B91666">
        <w:rPr>
          <w:rFonts w:ascii="Verdana" w:hAnsi="Verdana"/>
          <w:b/>
          <w:bCs/>
          <w:color w:val="333333"/>
          <w:sz w:val="20"/>
          <w:szCs w:val="20"/>
        </w:rPr>
        <w:t>(B)</w:t>
      </w:r>
      <w:r>
        <w:rPr>
          <w:rFonts w:ascii="Verdana" w:hAnsi="Verdana"/>
          <w:b/>
          <w:bCs/>
          <w:color w:val="333333"/>
          <w:sz w:val="20"/>
          <w:szCs w:val="20"/>
        </w:rPr>
        <w:t xml:space="preserve"> </w:t>
      </w:r>
      <w:r w:rsidRPr="00B91666">
        <w:rPr>
          <w:rFonts w:ascii="Verdana" w:hAnsi="Verdana"/>
          <w:color w:val="333333"/>
          <w:sz w:val="20"/>
          <w:szCs w:val="20"/>
        </w:rPr>
        <w:t>property to which paragraph (5) would apply if the property had been acquired by bequest; and</w:t>
      </w:r>
    </w:p>
    <w:p w14:paraId="5B8FFFF4" w14:textId="77777777" w:rsidR="00B91666" w:rsidRPr="00B91666" w:rsidRDefault="00B91666" w:rsidP="00B91666">
      <w:pPr>
        <w:shd w:val="clear" w:color="auto" w:fill="FFFFFF"/>
        <w:spacing w:line="330" w:lineRule="atLeast"/>
        <w:rPr>
          <w:rFonts w:ascii="Verdana" w:hAnsi="Verdana"/>
          <w:color w:val="333333"/>
          <w:sz w:val="20"/>
          <w:szCs w:val="20"/>
        </w:rPr>
      </w:pPr>
      <w:bookmarkStart w:id="51" w:name="b_9_C"/>
      <w:bookmarkEnd w:id="51"/>
      <w:r w:rsidRPr="00B91666">
        <w:rPr>
          <w:rFonts w:ascii="Verdana" w:hAnsi="Verdana"/>
          <w:b/>
          <w:bCs/>
          <w:color w:val="333333"/>
          <w:sz w:val="20"/>
          <w:szCs w:val="20"/>
        </w:rPr>
        <w:t>(C)</w:t>
      </w:r>
      <w:r>
        <w:rPr>
          <w:rFonts w:ascii="Verdana" w:hAnsi="Verdana"/>
          <w:b/>
          <w:bCs/>
          <w:color w:val="333333"/>
          <w:sz w:val="20"/>
          <w:szCs w:val="20"/>
        </w:rPr>
        <w:t xml:space="preserve"> </w:t>
      </w:r>
      <w:r w:rsidRPr="00B91666">
        <w:rPr>
          <w:rFonts w:ascii="Verdana" w:hAnsi="Verdana"/>
          <w:color w:val="333333"/>
          <w:sz w:val="20"/>
          <w:szCs w:val="20"/>
        </w:rPr>
        <w:t>property described in any other paragraph of this subsection.</w:t>
      </w:r>
    </w:p>
    <w:p w14:paraId="3E5B1FC3" w14:textId="77777777" w:rsidR="00B91666" w:rsidRPr="00B91666" w:rsidRDefault="00B91666" w:rsidP="00B91666">
      <w:pPr>
        <w:shd w:val="clear" w:color="auto" w:fill="FFFFFF"/>
        <w:spacing w:line="330" w:lineRule="atLeast"/>
        <w:rPr>
          <w:rFonts w:ascii="Verdana" w:hAnsi="Verdana"/>
          <w:color w:val="333333"/>
          <w:sz w:val="20"/>
          <w:szCs w:val="20"/>
        </w:rPr>
      </w:pPr>
      <w:bookmarkStart w:id="52" w:name="b_10"/>
      <w:bookmarkEnd w:id="52"/>
      <w:r w:rsidRPr="00B91666">
        <w:rPr>
          <w:rFonts w:ascii="Verdana" w:hAnsi="Verdana"/>
          <w:b/>
          <w:bCs/>
          <w:color w:val="333333"/>
          <w:sz w:val="20"/>
          <w:szCs w:val="20"/>
        </w:rPr>
        <w:t>(10)</w:t>
      </w:r>
      <w:r>
        <w:rPr>
          <w:rFonts w:ascii="Verdana" w:hAnsi="Verdana"/>
          <w:b/>
          <w:bCs/>
          <w:color w:val="333333"/>
          <w:sz w:val="20"/>
          <w:szCs w:val="20"/>
        </w:rPr>
        <w:t xml:space="preserve"> </w:t>
      </w:r>
      <w:r w:rsidRPr="00B91666">
        <w:rPr>
          <w:rFonts w:ascii="Verdana" w:hAnsi="Verdana"/>
          <w:color w:val="333333"/>
          <w:sz w:val="20"/>
          <w:szCs w:val="20"/>
        </w:rPr>
        <w:t>Property includible in the gross estate of the decedent under section 2044 (relating to certain property for which marital deduction was previously allowed). In any such case, the last 3 sentences of paragraph (9) shall apply as if such property were described in the first sentence of paragraph (9).</w:t>
      </w:r>
    </w:p>
    <w:p w14:paraId="48DE59CD" w14:textId="77777777" w:rsidR="00B91666" w:rsidRPr="00B91666" w:rsidRDefault="00B91666" w:rsidP="00B91666">
      <w:pPr>
        <w:shd w:val="clear" w:color="auto" w:fill="FFFFFF"/>
        <w:spacing w:line="330" w:lineRule="atLeast"/>
        <w:rPr>
          <w:rFonts w:ascii="Verdana" w:hAnsi="Verdana"/>
          <w:color w:val="333333"/>
          <w:sz w:val="22"/>
          <w:szCs w:val="22"/>
        </w:rPr>
      </w:pPr>
      <w:bookmarkStart w:id="53" w:name="c"/>
      <w:bookmarkEnd w:id="53"/>
      <w:r w:rsidRPr="00B91666">
        <w:rPr>
          <w:rFonts w:ascii="Verdana" w:hAnsi="Verdana"/>
          <w:b/>
          <w:bCs/>
          <w:color w:val="333333"/>
          <w:sz w:val="20"/>
          <w:szCs w:val="20"/>
        </w:rPr>
        <w:t>(c)</w:t>
      </w:r>
      <w:r w:rsidRPr="00B91666">
        <w:rPr>
          <w:rFonts w:ascii="Verdana" w:hAnsi="Verdana"/>
          <w:b/>
          <w:bCs/>
          <w:smallCaps/>
          <w:color w:val="333333"/>
          <w:sz w:val="20"/>
          <w:szCs w:val="20"/>
        </w:rPr>
        <w:t>Property representing income in respect of a decedent</w:t>
      </w:r>
    </w:p>
    <w:p w14:paraId="1527DEC6" w14:textId="77777777" w:rsidR="00B91666" w:rsidRPr="00B91666" w:rsidRDefault="00B91666" w:rsidP="00B91666">
      <w:pPr>
        <w:shd w:val="clear" w:color="auto" w:fill="FFFFFF"/>
        <w:spacing w:after="150" w:line="330" w:lineRule="atLeast"/>
        <w:rPr>
          <w:rFonts w:ascii="Verdana" w:hAnsi="Verdana"/>
          <w:color w:val="333333"/>
          <w:sz w:val="20"/>
          <w:szCs w:val="20"/>
        </w:rPr>
      </w:pPr>
      <w:r w:rsidRPr="00B91666">
        <w:rPr>
          <w:rFonts w:ascii="Verdana" w:hAnsi="Verdana"/>
          <w:color w:val="333333"/>
          <w:sz w:val="20"/>
          <w:szCs w:val="20"/>
        </w:rPr>
        <w:t>This section shall not apply to property which constitutes a right to receive an item of income in respect of a decedent under section 691.</w:t>
      </w:r>
    </w:p>
    <w:p w14:paraId="359A087A" w14:textId="77777777" w:rsidR="00B91666" w:rsidRPr="00B91666" w:rsidRDefault="00B91666" w:rsidP="00B91666">
      <w:pPr>
        <w:shd w:val="clear" w:color="auto" w:fill="FFFFFF"/>
        <w:spacing w:line="330" w:lineRule="atLeast"/>
        <w:rPr>
          <w:rFonts w:ascii="Verdana" w:hAnsi="Verdana"/>
          <w:color w:val="333333"/>
          <w:sz w:val="22"/>
          <w:szCs w:val="22"/>
        </w:rPr>
      </w:pPr>
      <w:bookmarkStart w:id="54" w:name="d"/>
      <w:bookmarkEnd w:id="54"/>
      <w:r w:rsidRPr="00B91666">
        <w:rPr>
          <w:rFonts w:ascii="Verdana" w:hAnsi="Verdana"/>
          <w:b/>
          <w:bCs/>
          <w:color w:val="333333"/>
          <w:sz w:val="20"/>
          <w:szCs w:val="20"/>
        </w:rPr>
        <w:t>(d)</w:t>
      </w:r>
      <w:r w:rsidRPr="00B91666">
        <w:rPr>
          <w:rFonts w:ascii="Verdana" w:hAnsi="Verdana"/>
          <w:b/>
          <w:bCs/>
          <w:smallCaps/>
          <w:color w:val="333333"/>
          <w:sz w:val="20"/>
          <w:szCs w:val="20"/>
        </w:rPr>
        <w:t>Special rule with respect to DISC stock</w:t>
      </w:r>
    </w:p>
    <w:p w14:paraId="71441326" w14:textId="77777777" w:rsidR="00B91666" w:rsidRPr="00B91666" w:rsidRDefault="00B91666" w:rsidP="00B91666">
      <w:pPr>
        <w:shd w:val="clear" w:color="auto" w:fill="FFFFFF"/>
        <w:spacing w:after="150" w:line="330" w:lineRule="atLeast"/>
        <w:rPr>
          <w:rFonts w:ascii="Verdana" w:hAnsi="Verdana"/>
          <w:color w:val="333333"/>
          <w:sz w:val="20"/>
          <w:szCs w:val="20"/>
        </w:rPr>
      </w:pPr>
      <w:r w:rsidRPr="00B91666">
        <w:rPr>
          <w:rFonts w:ascii="Verdana" w:hAnsi="Verdana"/>
          <w:color w:val="333333"/>
          <w:sz w:val="20"/>
          <w:szCs w:val="20"/>
        </w:rPr>
        <w:t xml:space="preserve">If stock owned by a decedent in a DISC or former DISC (as defined in section 992(a)) acquires a new basis under subsection (a), such basis (determined before the application of this subsection) shall be reduced by the amount (if any) which would have been included in gross income under section 995(c) as a dividend if the decedent had lived and sold the stock at its fair market value on the estate tax valuation date. In computing the gain the decedent would have had if he had lived and sold the stock, his basis shall be determined without regard to the last sentence of section 996(e)(2) (relating to reductions of basis of DISC stock). For purposes of this subsection, the estate tax valuation date is </w:t>
      </w:r>
      <w:r w:rsidRPr="00B91666">
        <w:rPr>
          <w:rFonts w:ascii="Verdana" w:hAnsi="Verdana"/>
          <w:color w:val="333333"/>
          <w:sz w:val="20"/>
          <w:szCs w:val="20"/>
        </w:rPr>
        <w:lastRenderedPageBreak/>
        <w:t>the date of the decedent’s death or, in the case of an election under section 2032, the applicable valuation date prescribed by that section.</w:t>
      </w:r>
    </w:p>
    <w:p w14:paraId="5B9F890C" w14:textId="77777777" w:rsidR="00B91666" w:rsidRPr="00B91666" w:rsidRDefault="00B91666" w:rsidP="00B91666">
      <w:pPr>
        <w:shd w:val="clear" w:color="auto" w:fill="FFFFFF"/>
        <w:spacing w:line="330" w:lineRule="atLeast"/>
        <w:rPr>
          <w:rFonts w:ascii="Verdana" w:hAnsi="Verdana"/>
          <w:color w:val="333333"/>
          <w:sz w:val="22"/>
          <w:szCs w:val="22"/>
        </w:rPr>
      </w:pPr>
      <w:bookmarkStart w:id="55" w:name="e"/>
      <w:bookmarkEnd w:id="55"/>
      <w:r w:rsidRPr="00B91666">
        <w:rPr>
          <w:rFonts w:ascii="Verdana" w:hAnsi="Verdana"/>
          <w:b/>
          <w:bCs/>
          <w:color w:val="333333"/>
          <w:sz w:val="20"/>
          <w:szCs w:val="20"/>
        </w:rPr>
        <w:t>(e)</w:t>
      </w:r>
      <w:r w:rsidRPr="00B91666">
        <w:rPr>
          <w:rFonts w:ascii="Verdana" w:hAnsi="Verdana"/>
          <w:b/>
          <w:bCs/>
          <w:smallCaps/>
          <w:color w:val="333333"/>
          <w:sz w:val="20"/>
          <w:szCs w:val="20"/>
        </w:rPr>
        <w:t>Appreciated property acquired by decedent by gift within 1 year of death</w:t>
      </w:r>
    </w:p>
    <w:p w14:paraId="12596F19" w14:textId="77777777" w:rsidR="00B91666" w:rsidRPr="00B91666" w:rsidRDefault="00B91666" w:rsidP="00B91666">
      <w:pPr>
        <w:shd w:val="clear" w:color="auto" w:fill="FFFFFF"/>
        <w:spacing w:line="330" w:lineRule="atLeast"/>
        <w:rPr>
          <w:rFonts w:ascii="Verdana" w:hAnsi="Verdana"/>
          <w:color w:val="333333"/>
          <w:sz w:val="22"/>
          <w:szCs w:val="22"/>
        </w:rPr>
      </w:pPr>
      <w:bookmarkStart w:id="56" w:name="e_1"/>
      <w:bookmarkEnd w:id="56"/>
      <w:r w:rsidRPr="00B91666">
        <w:rPr>
          <w:rFonts w:ascii="Verdana" w:hAnsi="Verdana"/>
          <w:b/>
          <w:bCs/>
          <w:color w:val="333333"/>
          <w:sz w:val="20"/>
          <w:szCs w:val="20"/>
        </w:rPr>
        <w:t>(1)</w:t>
      </w:r>
      <w:r w:rsidRPr="00B91666">
        <w:rPr>
          <w:rFonts w:ascii="Verdana" w:hAnsi="Verdana"/>
          <w:b/>
          <w:bCs/>
          <w:smallCaps/>
          <w:color w:val="333333"/>
          <w:sz w:val="20"/>
          <w:szCs w:val="20"/>
        </w:rPr>
        <w:t>In general</w:t>
      </w:r>
      <w:r>
        <w:rPr>
          <w:rFonts w:ascii="Verdana" w:hAnsi="Verdana"/>
          <w:b/>
          <w:bCs/>
          <w:smallCaps/>
          <w:color w:val="333333"/>
          <w:sz w:val="20"/>
          <w:szCs w:val="20"/>
        </w:rPr>
        <w:t xml:space="preserve"> </w:t>
      </w:r>
      <w:r w:rsidRPr="00B91666">
        <w:rPr>
          <w:rFonts w:ascii="Verdana" w:hAnsi="Verdana"/>
          <w:color w:val="333333"/>
          <w:sz w:val="20"/>
          <w:szCs w:val="20"/>
        </w:rPr>
        <w:t>In the case of a decedent dying after December 31, 1981, if—</w:t>
      </w:r>
    </w:p>
    <w:p w14:paraId="0C07CE7A" w14:textId="77777777" w:rsidR="00B91666" w:rsidRPr="00B91666" w:rsidRDefault="00B91666" w:rsidP="00B91666">
      <w:pPr>
        <w:shd w:val="clear" w:color="auto" w:fill="FFFFFF"/>
        <w:spacing w:line="330" w:lineRule="atLeast"/>
        <w:rPr>
          <w:rFonts w:ascii="Verdana" w:hAnsi="Verdana"/>
          <w:color w:val="333333"/>
          <w:sz w:val="20"/>
          <w:szCs w:val="20"/>
        </w:rPr>
      </w:pPr>
      <w:bookmarkStart w:id="57" w:name="e_1_A"/>
      <w:bookmarkEnd w:id="57"/>
      <w:r w:rsidRPr="00B91666">
        <w:rPr>
          <w:rFonts w:ascii="Verdana" w:hAnsi="Verdana"/>
          <w:b/>
          <w:bCs/>
          <w:color w:val="333333"/>
          <w:sz w:val="20"/>
          <w:szCs w:val="20"/>
        </w:rPr>
        <w:t>(A)</w:t>
      </w:r>
      <w:r>
        <w:rPr>
          <w:rFonts w:ascii="Verdana" w:hAnsi="Verdana"/>
          <w:b/>
          <w:bCs/>
          <w:color w:val="333333"/>
          <w:sz w:val="20"/>
          <w:szCs w:val="20"/>
        </w:rPr>
        <w:t xml:space="preserve"> </w:t>
      </w:r>
      <w:r w:rsidRPr="00145D09">
        <w:rPr>
          <w:rFonts w:ascii="Verdana" w:hAnsi="Verdana"/>
          <w:i/>
          <w:color w:val="333333"/>
          <w:sz w:val="20"/>
          <w:szCs w:val="20"/>
        </w:rPr>
        <w:t>appreciated</w:t>
      </w:r>
      <w:r w:rsidRPr="00B91666">
        <w:rPr>
          <w:rFonts w:ascii="Verdana" w:hAnsi="Verdana"/>
          <w:color w:val="333333"/>
          <w:sz w:val="20"/>
          <w:szCs w:val="20"/>
        </w:rPr>
        <w:t xml:space="preserve"> property was acquired by the decedent </w:t>
      </w:r>
      <w:r w:rsidRPr="00731432">
        <w:rPr>
          <w:rFonts w:ascii="Verdana" w:hAnsi="Verdana"/>
          <w:i/>
          <w:color w:val="333333"/>
          <w:sz w:val="20"/>
          <w:szCs w:val="20"/>
        </w:rPr>
        <w:t>by gift</w:t>
      </w:r>
      <w:r w:rsidRPr="00B91666">
        <w:rPr>
          <w:rFonts w:ascii="Verdana" w:hAnsi="Verdana"/>
          <w:color w:val="333333"/>
          <w:sz w:val="20"/>
          <w:szCs w:val="20"/>
        </w:rPr>
        <w:t xml:space="preserve"> during the 1-year period ending on the date of the decedent’s death, and</w:t>
      </w:r>
    </w:p>
    <w:p w14:paraId="2288E13C" w14:textId="77777777" w:rsidR="00B91666" w:rsidRPr="00B91666" w:rsidRDefault="00B91666" w:rsidP="00B91666">
      <w:pPr>
        <w:shd w:val="clear" w:color="auto" w:fill="FFFFFF"/>
        <w:spacing w:line="330" w:lineRule="atLeast"/>
        <w:rPr>
          <w:rFonts w:ascii="Verdana" w:hAnsi="Verdana"/>
          <w:color w:val="333333"/>
          <w:sz w:val="20"/>
          <w:szCs w:val="20"/>
        </w:rPr>
      </w:pPr>
      <w:bookmarkStart w:id="58" w:name="e_1_B"/>
      <w:bookmarkEnd w:id="58"/>
      <w:r w:rsidRPr="00B91666">
        <w:rPr>
          <w:rFonts w:ascii="Verdana" w:hAnsi="Verdana"/>
          <w:b/>
          <w:bCs/>
          <w:color w:val="333333"/>
          <w:sz w:val="20"/>
          <w:szCs w:val="20"/>
        </w:rPr>
        <w:t>(B)</w:t>
      </w:r>
      <w:r>
        <w:rPr>
          <w:rFonts w:ascii="Verdana" w:hAnsi="Verdana"/>
          <w:b/>
          <w:bCs/>
          <w:color w:val="333333"/>
          <w:sz w:val="20"/>
          <w:szCs w:val="20"/>
        </w:rPr>
        <w:t xml:space="preserve"> </w:t>
      </w:r>
      <w:r w:rsidRPr="00B91666">
        <w:rPr>
          <w:rFonts w:ascii="Verdana" w:hAnsi="Verdana"/>
          <w:color w:val="333333"/>
          <w:sz w:val="20"/>
          <w:szCs w:val="20"/>
        </w:rPr>
        <w:t>such property is acquired from the decedent by (or passes from the decedent to) the donor of such property (or the spouse of such donor),</w:t>
      </w:r>
      <w:r w:rsidR="00157574">
        <w:rPr>
          <w:rFonts w:ascii="Verdana" w:hAnsi="Verdana"/>
          <w:color w:val="333333"/>
          <w:sz w:val="20"/>
          <w:szCs w:val="20"/>
        </w:rPr>
        <w:t xml:space="preserve"> </w:t>
      </w:r>
      <w:r w:rsidRPr="00B91666">
        <w:rPr>
          <w:rFonts w:ascii="Verdana" w:hAnsi="Verdana"/>
          <w:color w:val="333333"/>
          <w:sz w:val="20"/>
          <w:szCs w:val="20"/>
        </w:rPr>
        <w:t xml:space="preserve">the basis of such property in the hands of such donor (or spouse) shall be the </w:t>
      </w:r>
      <w:r w:rsidRPr="00145D09">
        <w:rPr>
          <w:rFonts w:ascii="Verdana" w:hAnsi="Verdana"/>
          <w:i/>
          <w:color w:val="333333"/>
          <w:sz w:val="20"/>
          <w:szCs w:val="20"/>
        </w:rPr>
        <w:t>adjusted basis</w:t>
      </w:r>
      <w:r w:rsidRPr="00B91666">
        <w:rPr>
          <w:rFonts w:ascii="Verdana" w:hAnsi="Verdana"/>
          <w:color w:val="333333"/>
          <w:sz w:val="20"/>
          <w:szCs w:val="20"/>
        </w:rPr>
        <w:t xml:space="preserve"> of such property in the hands of the decedent immediately before the death of the decedent.</w:t>
      </w:r>
    </w:p>
    <w:p w14:paraId="78357623" w14:textId="77777777" w:rsidR="00B91666" w:rsidRPr="00B91666" w:rsidRDefault="00B91666" w:rsidP="00B91666">
      <w:pPr>
        <w:shd w:val="clear" w:color="auto" w:fill="FFFFFF"/>
        <w:spacing w:line="330" w:lineRule="atLeast"/>
        <w:rPr>
          <w:rFonts w:ascii="Verdana" w:hAnsi="Verdana"/>
          <w:color w:val="333333"/>
          <w:sz w:val="22"/>
          <w:szCs w:val="22"/>
        </w:rPr>
      </w:pPr>
      <w:r w:rsidRPr="00B91666">
        <w:rPr>
          <w:rFonts w:ascii="Verdana" w:hAnsi="Verdana"/>
          <w:b/>
          <w:bCs/>
          <w:color w:val="333333"/>
          <w:sz w:val="20"/>
          <w:szCs w:val="20"/>
        </w:rPr>
        <w:t>(2)</w:t>
      </w:r>
      <w:r w:rsidRPr="00B91666">
        <w:rPr>
          <w:rFonts w:ascii="Verdana" w:hAnsi="Verdana"/>
          <w:b/>
          <w:bCs/>
          <w:smallCaps/>
          <w:color w:val="333333"/>
          <w:sz w:val="20"/>
          <w:szCs w:val="20"/>
        </w:rPr>
        <w:t>Definitions</w:t>
      </w:r>
      <w:r>
        <w:rPr>
          <w:rFonts w:ascii="Verdana" w:hAnsi="Verdana"/>
          <w:b/>
          <w:bCs/>
          <w:smallCaps/>
          <w:color w:val="333333"/>
          <w:sz w:val="20"/>
          <w:szCs w:val="20"/>
        </w:rPr>
        <w:t xml:space="preserve"> </w:t>
      </w:r>
      <w:r w:rsidRPr="00B91666">
        <w:rPr>
          <w:rFonts w:ascii="Verdana" w:hAnsi="Verdana"/>
          <w:color w:val="333333"/>
          <w:sz w:val="20"/>
          <w:szCs w:val="20"/>
        </w:rPr>
        <w:t>For purposes of paragraph (1)—</w:t>
      </w:r>
    </w:p>
    <w:p w14:paraId="36021786" w14:textId="77777777" w:rsidR="00B91666" w:rsidRPr="00B91666" w:rsidRDefault="00B91666" w:rsidP="00B91666">
      <w:pPr>
        <w:shd w:val="clear" w:color="auto" w:fill="FFFFFF"/>
        <w:spacing w:line="330" w:lineRule="atLeast"/>
        <w:rPr>
          <w:rFonts w:ascii="Verdana" w:hAnsi="Verdana"/>
          <w:color w:val="333333"/>
          <w:sz w:val="22"/>
          <w:szCs w:val="22"/>
        </w:rPr>
      </w:pPr>
      <w:bookmarkStart w:id="59" w:name="e_2_A"/>
      <w:bookmarkEnd w:id="59"/>
      <w:r w:rsidRPr="00B91666">
        <w:rPr>
          <w:rFonts w:ascii="Verdana" w:hAnsi="Verdana"/>
          <w:b/>
          <w:bCs/>
          <w:color w:val="333333"/>
          <w:sz w:val="20"/>
          <w:szCs w:val="20"/>
        </w:rPr>
        <w:t>(A)Appreciated property</w:t>
      </w:r>
    </w:p>
    <w:p w14:paraId="094D3E6F" w14:textId="77777777" w:rsidR="00B91666" w:rsidRPr="00B91666" w:rsidRDefault="00B91666" w:rsidP="00B91666">
      <w:pPr>
        <w:shd w:val="clear" w:color="auto" w:fill="FFFFFF"/>
        <w:spacing w:after="150" w:line="330" w:lineRule="atLeast"/>
        <w:rPr>
          <w:rFonts w:ascii="Verdana" w:hAnsi="Verdana"/>
          <w:color w:val="333333"/>
          <w:sz w:val="20"/>
          <w:szCs w:val="20"/>
        </w:rPr>
      </w:pPr>
      <w:r w:rsidRPr="00B91666">
        <w:rPr>
          <w:rFonts w:ascii="Verdana" w:hAnsi="Verdana"/>
          <w:color w:val="333333"/>
          <w:sz w:val="20"/>
          <w:szCs w:val="20"/>
        </w:rPr>
        <w:t>The term “appreciated property” means any property if the fair market value of such property on the day it was transferred to the decedent by gift exceeds its adjusted basis.</w:t>
      </w:r>
    </w:p>
    <w:p w14:paraId="7360D820" w14:textId="77777777" w:rsidR="00B91666" w:rsidRPr="00B91666" w:rsidRDefault="00B91666" w:rsidP="00B91666">
      <w:pPr>
        <w:shd w:val="clear" w:color="auto" w:fill="FFFFFF"/>
        <w:spacing w:line="330" w:lineRule="atLeast"/>
        <w:rPr>
          <w:rFonts w:ascii="Verdana" w:hAnsi="Verdana"/>
          <w:color w:val="333333"/>
          <w:sz w:val="22"/>
          <w:szCs w:val="22"/>
        </w:rPr>
      </w:pPr>
      <w:bookmarkStart w:id="60" w:name="e_2_B"/>
      <w:bookmarkEnd w:id="60"/>
      <w:r w:rsidRPr="00B91666">
        <w:rPr>
          <w:rFonts w:ascii="Verdana" w:hAnsi="Verdana"/>
          <w:b/>
          <w:bCs/>
          <w:color w:val="333333"/>
          <w:sz w:val="20"/>
          <w:szCs w:val="20"/>
        </w:rPr>
        <w:t>(B)Treatment of certain property sold by estate</w:t>
      </w:r>
    </w:p>
    <w:p w14:paraId="65503F7B" w14:textId="77777777" w:rsidR="00B91666" w:rsidRPr="00B91666" w:rsidRDefault="00B91666" w:rsidP="00B91666">
      <w:pPr>
        <w:shd w:val="clear" w:color="auto" w:fill="FFFFFF"/>
        <w:spacing w:after="150" w:line="330" w:lineRule="atLeast"/>
        <w:rPr>
          <w:rFonts w:ascii="Verdana" w:hAnsi="Verdana"/>
          <w:color w:val="333333"/>
          <w:sz w:val="20"/>
          <w:szCs w:val="20"/>
        </w:rPr>
      </w:pPr>
      <w:r w:rsidRPr="00B91666">
        <w:rPr>
          <w:rFonts w:ascii="Verdana" w:hAnsi="Verdana"/>
          <w:color w:val="333333"/>
          <w:sz w:val="20"/>
          <w:szCs w:val="20"/>
        </w:rPr>
        <w:t xml:space="preserve">In the case of any appreciated property described in subparagraph (A) of paragraph (1) </w:t>
      </w:r>
      <w:r w:rsidRPr="00197FD1">
        <w:rPr>
          <w:rFonts w:ascii="Verdana" w:hAnsi="Verdana"/>
          <w:b/>
          <w:i/>
          <w:color w:val="333333"/>
          <w:sz w:val="20"/>
          <w:szCs w:val="20"/>
        </w:rPr>
        <w:t>sold</w:t>
      </w:r>
      <w:r w:rsidRPr="00B91666">
        <w:rPr>
          <w:rFonts w:ascii="Verdana" w:hAnsi="Verdana"/>
          <w:color w:val="333333"/>
          <w:sz w:val="20"/>
          <w:szCs w:val="20"/>
        </w:rPr>
        <w:t xml:space="preserve"> by the estate of the decedent or by a trust of which the decedent was the grantor, rules similar to the rules of paragraph (1) shall apply to the extent the donor of such property (or the spouse of such donor) </w:t>
      </w:r>
      <w:r w:rsidRPr="00145D09">
        <w:rPr>
          <w:rFonts w:ascii="Verdana" w:hAnsi="Verdana"/>
          <w:b/>
          <w:i/>
          <w:color w:val="333333"/>
          <w:sz w:val="20"/>
          <w:szCs w:val="20"/>
        </w:rPr>
        <w:t>is entitled to the proceeds from such sale</w:t>
      </w:r>
      <w:r w:rsidRPr="00B91666">
        <w:rPr>
          <w:rFonts w:ascii="Verdana" w:hAnsi="Verdana"/>
          <w:color w:val="333333"/>
          <w:sz w:val="20"/>
          <w:szCs w:val="20"/>
        </w:rPr>
        <w:t>.</w:t>
      </w:r>
    </w:p>
    <w:p w14:paraId="52A03543" w14:textId="77777777" w:rsidR="00B91666" w:rsidRPr="00B91666" w:rsidRDefault="00B91666" w:rsidP="00B91666">
      <w:pPr>
        <w:shd w:val="clear" w:color="auto" w:fill="FFFFFF"/>
        <w:spacing w:line="330" w:lineRule="atLeast"/>
        <w:rPr>
          <w:rFonts w:ascii="Verdana" w:hAnsi="Verdana"/>
          <w:color w:val="333333"/>
          <w:sz w:val="22"/>
          <w:szCs w:val="22"/>
        </w:rPr>
      </w:pPr>
      <w:bookmarkStart w:id="61" w:name="f"/>
      <w:bookmarkEnd w:id="61"/>
      <w:r w:rsidRPr="00B91666">
        <w:rPr>
          <w:rFonts w:ascii="Verdana" w:hAnsi="Verdana"/>
          <w:b/>
          <w:bCs/>
          <w:color w:val="333333"/>
          <w:sz w:val="20"/>
          <w:szCs w:val="20"/>
        </w:rPr>
        <w:t>(f)</w:t>
      </w:r>
      <w:r w:rsidR="006263F7">
        <w:rPr>
          <w:rFonts w:ascii="Verdana" w:hAnsi="Verdana"/>
          <w:b/>
          <w:bCs/>
          <w:color w:val="333333"/>
          <w:sz w:val="20"/>
          <w:szCs w:val="20"/>
        </w:rPr>
        <w:t xml:space="preserve"> </w:t>
      </w:r>
      <w:r w:rsidRPr="00B91666">
        <w:rPr>
          <w:rFonts w:ascii="Verdana" w:hAnsi="Verdana"/>
          <w:b/>
          <w:bCs/>
          <w:smallCaps/>
          <w:color w:val="333333"/>
          <w:sz w:val="20"/>
          <w:szCs w:val="20"/>
        </w:rPr>
        <w:t>Basis must be consistent with estate tax return</w:t>
      </w:r>
      <w:r w:rsidR="00157574">
        <w:rPr>
          <w:rFonts w:ascii="Verdana" w:hAnsi="Verdana"/>
          <w:b/>
          <w:bCs/>
          <w:smallCaps/>
          <w:color w:val="333333"/>
          <w:sz w:val="20"/>
          <w:szCs w:val="20"/>
        </w:rPr>
        <w:t xml:space="preserve"> </w:t>
      </w:r>
      <w:r w:rsidRPr="00B91666">
        <w:rPr>
          <w:rFonts w:ascii="Verdana" w:hAnsi="Verdana"/>
          <w:color w:val="333333"/>
          <w:sz w:val="20"/>
          <w:szCs w:val="20"/>
        </w:rPr>
        <w:t>For purposes of this section—</w:t>
      </w:r>
    </w:p>
    <w:p w14:paraId="67283489" w14:textId="77777777" w:rsidR="00B91666" w:rsidRPr="00B91666" w:rsidRDefault="00B91666" w:rsidP="00B91666">
      <w:pPr>
        <w:shd w:val="clear" w:color="auto" w:fill="FFFFFF"/>
        <w:spacing w:line="330" w:lineRule="atLeast"/>
        <w:rPr>
          <w:rFonts w:ascii="Verdana" w:hAnsi="Verdana"/>
          <w:color w:val="333333"/>
          <w:sz w:val="22"/>
          <w:szCs w:val="22"/>
        </w:rPr>
      </w:pPr>
      <w:bookmarkStart w:id="62" w:name="f_1"/>
      <w:bookmarkEnd w:id="62"/>
      <w:r w:rsidRPr="00B91666">
        <w:rPr>
          <w:rFonts w:ascii="Verdana" w:hAnsi="Verdana"/>
          <w:b/>
          <w:bCs/>
          <w:color w:val="333333"/>
          <w:sz w:val="20"/>
          <w:szCs w:val="20"/>
        </w:rPr>
        <w:t>(1)</w:t>
      </w:r>
      <w:r w:rsidR="006263F7">
        <w:rPr>
          <w:rFonts w:ascii="Verdana" w:hAnsi="Verdana"/>
          <w:b/>
          <w:bCs/>
          <w:color w:val="333333"/>
          <w:sz w:val="20"/>
          <w:szCs w:val="20"/>
        </w:rPr>
        <w:t xml:space="preserve"> </w:t>
      </w:r>
      <w:r w:rsidRPr="00B91666">
        <w:rPr>
          <w:rFonts w:ascii="Verdana" w:hAnsi="Verdana"/>
          <w:b/>
          <w:bCs/>
          <w:smallCaps/>
          <w:color w:val="333333"/>
          <w:sz w:val="20"/>
          <w:szCs w:val="20"/>
        </w:rPr>
        <w:t>In general</w:t>
      </w:r>
      <w:r>
        <w:rPr>
          <w:rFonts w:ascii="Verdana" w:hAnsi="Verdana"/>
          <w:b/>
          <w:bCs/>
          <w:smallCaps/>
          <w:color w:val="333333"/>
          <w:sz w:val="20"/>
          <w:szCs w:val="20"/>
        </w:rPr>
        <w:t xml:space="preserve"> </w:t>
      </w:r>
      <w:r w:rsidRPr="00B91666">
        <w:rPr>
          <w:rFonts w:ascii="Verdana" w:hAnsi="Verdana"/>
          <w:color w:val="333333"/>
          <w:sz w:val="20"/>
          <w:szCs w:val="20"/>
        </w:rPr>
        <w:t>The basis of any property to which subsection (a) applies shall not exceed—</w:t>
      </w:r>
    </w:p>
    <w:p w14:paraId="0C746CE0" w14:textId="77777777" w:rsidR="00B91666" w:rsidRPr="00B91666" w:rsidRDefault="00B91666" w:rsidP="00B91666">
      <w:pPr>
        <w:shd w:val="clear" w:color="auto" w:fill="FFFFFF"/>
        <w:spacing w:line="330" w:lineRule="atLeast"/>
        <w:rPr>
          <w:rFonts w:ascii="Verdana" w:hAnsi="Verdana"/>
          <w:color w:val="333333"/>
          <w:sz w:val="20"/>
          <w:szCs w:val="20"/>
        </w:rPr>
      </w:pPr>
      <w:bookmarkStart w:id="63" w:name="f_1_A"/>
      <w:bookmarkEnd w:id="63"/>
      <w:r w:rsidRPr="00B91666">
        <w:rPr>
          <w:rFonts w:ascii="Verdana" w:hAnsi="Verdana"/>
          <w:b/>
          <w:bCs/>
          <w:color w:val="333333"/>
          <w:sz w:val="20"/>
          <w:szCs w:val="20"/>
        </w:rPr>
        <w:t>(A)</w:t>
      </w:r>
      <w:r>
        <w:rPr>
          <w:rFonts w:ascii="Verdana" w:hAnsi="Verdana"/>
          <w:b/>
          <w:bCs/>
          <w:color w:val="333333"/>
          <w:sz w:val="20"/>
          <w:szCs w:val="20"/>
        </w:rPr>
        <w:t xml:space="preserve"> </w:t>
      </w:r>
      <w:r w:rsidRPr="00B91666">
        <w:rPr>
          <w:rFonts w:ascii="Verdana" w:hAnsi="Verdana"/>
          <w:color w:val="333333"/>
          <w:sz w:val="20"/>
          <w:szCs w:val="20"/>
        </w:rPr>
        <w:t>in the case of property the final value of which has been determined for purposes of the tax imposed by chapter 11 on the estate of such decedent, such value, and</w:t>
      </w:r>
    </w:p>
    <w:p w14:paraId="69817F93" w14:textId="77777777" w:rsidR="00B91666" w:rsidRPr="00197FD1" w:rsidRDefault="00B91666" w:rsidP="00B91666">
      <w:pPr>
        <w:shd w:val="clear" w:color="auto" w:fill="FFFFFF"/>
        <w:spacing w:line="330" w:lineRule="atLeast"/>
        <w:rPr>
          <w:rFonts w:ascii="Verdana" w:hAnsi="Verdana"/>
          <w:b/>
          <w:i/>
          <w:color w:val="333333"/>
          <w:sz w:val="20"/>
          <w:szCs w:val="20"/>
        </w:rPr>
      </w:pPr>
      <w:bookmarkStart w:id="64" w:name="f_1_B"/>
      <w:bookmarkEnd w:id="64"/>
      <w:r w:rsidRPr="00B91666">
        <w:rPr>
          <w:rFonts w:ascii="Verdana" w:hAnsi="Verdana"/>
          <w:b/>
          <w:bCs/>
          <w:color w:val="333333"/>
          <w:sz w:val="20"/>
          <w:szCs w:val="20"/>
        </w:rPr>
        <w:t>(B)</w:t>
      </w:r>
      <w:r>
        <w:rPr>
          <w:rFonts w:ascii="Verdana" w:hAnsi="Verdana"/>
          <w:b/>
          <w:bCs/>
          <w:color w:val="333333"/>
          <w:sz w:val="20"/>
          <w:szCs w:val="20"/>
        </w:rPr>
        <w:t xml:space="preserve"> </w:t>
      </w:r>
      <w:r w:rsidRPr="00B91666">
        <w:rPr>
          <w:rFonts w:ascii="Verdana" w:hAnsi="Verdana"/>
          <w:color w:val="333333"/>
          <w:sz w:val="20"/>
          <w:szCs w:val="20"/>
        </w:rPr>
        <w:t>in the case of property not described in subparagraph (A) and with respect to which a statement has been furnished under section 6035(a) identifying the value of such property, such value.</w:t>
      </w:r>
      <w:r>
        <w:rPr>
          <w:rFonts w:ascii="Verdana" w:hAnsi="Verdana"/>
          <w:color w:val="333333"/>
          <w:sz w:val="20"/>
          <w:szCs w:val="20"/>
        </w:rPr>
        <w:t xml:space="preserve"> </w:t>
      </w:r>
      <w:r w:rsidRPr="00197FD1">
        <w:rPr>
          <w:rFonts w:ascii="Verdana" w:hAnsi="Verdana"/>
          <w:b/>
          <w:i/>
          <w:color w:val="333333"/>
          <w:sz w:val="20"/>
          <w:szCs w:val="20"/>
        </w:rPr>
        <w:t>[this refers to the new beloved Form 8971]</w:t>
      </w:r>
    </w:p>
    <w:p w14:paraId="28081F11" w14:textId="77777777" w:rsidR="00B91666" w:rsidRPr="00B91666" w:rsidRDefault="00B91666" w:rsidP="00B91666">
      <w:pPr>
        <w:shd w:val="clear" w:color="auto" w:fill="FFFFFF"/>
        <w:spacing w:line="330" w:lineRule="atLeast"/>
        <w:rPr>
          <w:rFonts w:ascii="Verdana" w:hAnsi="Verdana"/>
          <w:color w:val="333333"/>
          <w:sz w:val="22"/>
          <w:szCs w:val="22"/>
        </w:rPr>
      </w:pPr>
      <w:bookmarkStart w:id="65" w:name="f_2"/>
      <w:bookmarkEnd w:id="65"/>
      <w:r w:rsidRPr="00B91666">
        <w:rPr>
          <w:rFonts w:ascii="Verdana" w:hAnsi="Verdana"/>
          <w:b/>
          <w:bCs/>
          <w:color w:val="333333"/>
          <w:sz w:val="20"/>
          <w:szCs w:val="20"/>
        </w:rPr>
        <w:t>(2)</w:t>
      </w:r>
      <w:r w:rsidR="006263F7">
        <w:rPr>
          <w:rFonts w:ascii="Verdana" w:hAnsi="Verdana"/>
          <w:b/>
          <w:bCs/>
          <w:color w:val="333333"/>
          <w:sz w:val="20"/>
          <w:szCs w:val="20"/>
        </w:rPr>
        <w:t xml:space="preserve"> </w:t>
      </w:r>
      <w:r w:rsidRPr="00B91666">
        <w:rPr>
          <w:rFonts w:ascii="Verdana" w:hAnsi="Verdana"/>
          <w:b/>
          <w:bCs/>
          <w:smallCaps/>
          <w:color w:val="333333"/>
          <w:sz w:val="20"/>
          <w:szCs w:val="20"/>
        </w:rPr>
        <w:t>Exception</w:t>
      </w:r>
    </w:p>
    <w:p w14:paraId="5A9CA1E5" w14:textId="77777777" w:rsidR="00B91666" w:rsidRPr="00B91666" w:rsidRDefault="00B91666" w:rsidP="00B91666">
      <w:pPr>
        <w:shd w:val="clear" w:color="auto" w:fill="FFFFFF"/>
        <w:spacing w:after="150" w:line="330" w:lineRule="atLeast"/>
        <w:rPr>
          <w:rFonts w:ascii="Verdana" w:hAnsi="Verdana"/>
          <w:color w:val="333333"/>
          <w:sz w:val="20"/>
          <w:szCs w:val="20"/>
        </w:rPr>
      </w:pPr>
      <w:r w:rsidRPr="00B91666">
        <w:rPr>
          <w:rFonts w:ascii="Verdana" w:hAnsi="Verdana"/>
          <w:color w:val="333333"/>
          <w:sz w:val="20"/>
          <w:szCs w:val="20"/>
        </w:rPr>
        <w:t>Paragraph (1) shall only apply to any property whose inclusion in the decedent’s estate increased the liability for the tax imposed by chapter 11 (reduced by credits allowable against such tax) on such estate.</w:t>
      </w:r>
    </w:p>
    <w:p w14:paraId="45FBBC69" w14:textId="77777777" w:rsidR="00B91666" w:rsidRPr="00B91666" w:rsidRDefault="00B91666" w:rsidP="00B91666">
      <w:pPr>
        <w:shd w:val="clear" w:color="auto" w:fill="FFFFFF"/>
        <w:spacing w:line="330" w:lineRule="atLeast"/>
        <w:rPr>
          <w:rFonts w:ascii="Verdana" w:hAnsi="Verdana"/>
          <w:color w:val="333333"/>
          <w:sz w:val="22"/>
          <w:szCs w:val="22"/>
        </w:rPr>
      </w:pPr>
      <w:bookmarkStart w:id="66" w:name="f_3"/>
      <w:bookmarkEnd w:id="66"/>
      <w:r w:rsidRPr="00B91666">
        <w:rPr>
          <w:rFonts w:ascii="Verdana" w:hAnsi="Verdana"/>
          <w:b/>
          <w:bCs/>
          <w:color w:val="333333"/>
          <w:sz w:val="20"/>
          <w:szCs w:val="20"/>
        </w:rPr>
        <w:t>(3)</w:t>
      </w:r>
      <w:r w:rsidR="006263F7">
        <w:rPr>
          <w:rFonts w:ascii="Verdana" w:hAnsi="Verdana"/>
          <w:b/>
          <w:bCs/>
          <w:color w:val="333333"/>
          <w:sz w:val="20"/>
          <w:szCs w:val="20"/>
        </w:rPr>
        <w:t xml:space="preserve"> </w:t>
      </w:r>
      <w:r w:rsidRPr="00B91666">
        <w:rPr>
          <w:rFonts w:ascii="Verdana" w:hAnsi="Verdana"/>
          <w:b/>
          <w:bCs/>
          <w:smallCaps/>
          <w:color w:val="333333"/>
          <w:sz w:val="20"/>
          <w:szCs w:val="20"/>
        </w:rPr>
        <w:t>Determination</w:t>
      </w:r>
      <w:r>
        <w:rPr>
          <w:rFonts w:ascii="Verdana" w:hAnsi="Verdana"/>
          <w:b/>
          <w:bCs/>
          <w:smallCaps/>
          <w:color w:val="333333"/>
          <w:sz w:val="20"/>
          <w:szCs w:val="20"/>
        </w:rPr>
        <w:t xml:space="preserve"> </w:t>
      </w:r>
      <w:r w:rsidRPr="00B91666">
        <w:rPr>
          <w:rFonts w:ascii="Verdana" w:hAnsi="Verdana"/>
          <w:color w:val="333333"/>
          <w:sz w:val="20"/>
          <w:szCs w:val="20"/>
        </w:rPr>
        <w:t>For purposes of paragraph (1), the basis of property has been determined for purposes of the tax imposed by chapter 11 if—</w:t>
      </w:r>
    </w:p>
    <w:p w14:paraId="6577E966" w14:textId="77777777" w:rsidR="00B91666" w:rsidRPr="00B91666" w:rsidRDefault="00B91666" w:rsidP="00B91666">
      <w:pPr>
        <w:shd w:val="clear" w:color="auto" w:fill="FFFFFF"/>
        <w:spacing w:line="330" w:lineRule="atLeast"/>
        <w:rPr>
          <w:rFonts w:ascii="Verdana" w:hAnsi="Verdana"/>
          <w:color w:val="333333"/>
          <w:sz w:val="20"/>
          <w:szCs w:val="20"/>
        </w:rPr>
      </w:pPr>
      <w:bookmarkStart w:id="67" w:name="f_3_A"/>
      <w:bookmarkEnd w:id="67"/>
      <w:r w:rsidRPr="00B91666">
        <w:rPr>
          <w:rFonts w:ascii="Verdana" w:hAnsi="Verdana"/>
          <w:b/>
          <w:bCs/>
          <w:color w:val="333333"/>
          <w:sz w:val="20"/>
          <w:szCs w:val="20"/>
        </w:rPr>
        <w:t>(A)</w:t>
      </w:r>
      <w:r>
        <w:rPr>
          <w:rFonts w:ascii="Verdana" w:hAnsi="Verdana"/>
          <w:b/>
          <w:bCs/>
          <w:color w:val="333333"/>
          <w:sz w:val="20"/>
          <w:szCs w:val="20"/>
        </w:rPr>
        <w:t xml:space="preserve"> </w:t>
      </w:r>
      <w:r w:rsidRPr="00B91666">
        <w:rPr>
          <w:rFonts w:ascii="Verdana" w:hAnsi="Verdana"/>
          <w:color w:val="333333"/>
          <w:sz w:val="20"/>
          <w:szCs w:val="20"/>
        </w:rPr>
        <w:t>the value of such property is shown on a return under section 6018 and such value is not contested by the Secretary before the expiration of the time for assessing a tax under chapter 11,</w:t>
      </w:r>
    </w:p>
    <w:p w14:paraId="4441E56A" w14:textId="77777777" w:rsidR="00B91666" w:rsidRPr="00B91666" w:rsidRDefault="00B91666" w:rsidP="00B91666">
      <w:pPr>
        <w:shd w:val="clear" w:color="auto" w:fill="FFFFFF"/>
        <w:spacing w:line="330" w:lineRule="atLeast"/>
        <w:rPr>
          <w:rFonts w:ascii="Verdana" w:hAnsi="Verdana"/>
          <w:color w:val="333333"/>
          <w:sz w:val="20"/>
          <w:szCs w:val="20"/>
        </w:rPr>
      </w:pPr>
      <w:bookmarkStart w:id="68" w:name="f_3_B"/>
      <w:bookmarkEnd w:id="68"/>
      <w:r w:rsidRPr="00B91666">
        <w:rPr>
          <w:rFonts w:ascii="Verdana" w:hAnsi="Verdana"/>
          <w:b/>
          <w:bCs/>
          <w:color w:val="333333"/>
          <w:sz w:val="20"/>
          <w:szCs w:val="20"/>
        </w:rPr>
        <w:lastRenderedPageBreak/>
        <w:t>(B)</w:t>
      </w:r>
      <w:r>
        <w:rPr>
          <w:rFonts w:ascii="Verdana" w:hAnsi="Verdana"/>
          <w:b/>
          <w:bCs/>
          <w:color w:val="333333"/>
          <w:sz w:val="20"/>
          <w:szCs w:val="20"/>
        </w:rPr>
        <w:t xml:space="preserve"> </w:t>
      </w:r>
      <w:r w:rsidRPr="00B91666">
        <w:rPr>
          <w:rFonts w:ascii="Verdana" w:hAnsi="Verdana"/>
          <w:color w:val="333333"/>
          <w:sz w:val="20"/>
          <w:szCs w:val="20"/>
        </w:rPr>
        <w:t>in a case not described in subparagraph (A), the value is specified by the Secretary and such value is not timely contested by the executor of the estate, or</w:t>
      </w:r>
    </w:p>
    <w:p w14:paraId="2F0AFAE9" w14:textId="77777777" w:rsidR="00B91666" w:rsidRPr="00B91666" w:rsidRDefault="00B91666" w:rsidP="00B91666">
      <w:pPr>
        <w:shd w:val="clear" w:color="auto" w:fill="FFFFFF"/>
        <w:spacing w:line="330" w:lineRule="atLeast"/>
        <w:rPr>
          <w:rFonts w:ascii="Verdana" w:hAnsi="Verdana"/>
          <w:color w:val="333333"/>
          <w:sz w:val="20"/>
          <w:szCs w:val="20"/>
        </w:rPr>
      </w:pPr>
      <w:bookmarkStart w:id="69" w:name="f_3_C"/>
      <w:bookmarkEnd w:id="69"/>
      <w:r w:rsidRPr="00B91666">
        <w:rPr>
          <w:rFonts w:ascii="Verdana" w:hAnsi="Verdana"/>
          <w:b/>
          <w:bCs/>
          <w:color w:val="333333"/>
          <w:sz w:val="20"/>
          <w:szCs w:val="20"/>
        </w:rPr>
        <w:t>(C)</w:t>
      </w:r>
      <w:r>
        <w:rPr>
          <w:rFonts w:ascii="Verdana" w:hAnsi="Verdana"/>
          <w:b/>
          <w:bCs/>
          <w:color w:val="333333"/>
          <w:sz w:val="20"/>
          <w:szCs w:val="20"/>
        </w:rPr>
        <w:t xml:space="preserve"> </w:t>
      </w:r>
      <w:r w:rsidRPr="00B91666">
        <w:rPr>
          <w:rFonts w:ascii="Verdana" w:hAnsi="Verdana"/>
          <w:color w:val="333333"/>
          <w:sz w:val="20"/>
          <w:szCs w:val="20"/>
        </w:rPr>
        <w:t>the value is determined by a court or pursuant to a settlement agreement with the Secretary.</w:t>
      </w:r>
    </w:p>
    <w:p w14:paraId="53488998" w14:textId="77777777" w:rsidR="00B91666" w:rsidRPr="00B91666" w:rsidRDefault="00B91666" w:rsidP="00B91666">
      <w:pPr>
        <w:shd w:val="clear" w:color="auto" w:fill="FFFFFF"/>
        <w:spacing w:line="330" w:lineRule="atLeast"/>
        <w:rPr>
          <w:rFonts w:ascii="Verdana" w:hAnsi="Verdana"/>
          <w:color w:val="333333"/>
          <w:sz w:val="22"/>
          <w:szCs w:val="22"/>
        </w:rPr>
      </w:pPr>
      <w:bookmarkStart w:id="70" w:name="f_4"/>
      <w:bookmarkEnd w:id="70"/>
      <w:r w:rsidRPr="00B91666">
        <w:rPr>
          <w:rFonts w:ascii="Verdana" w:hAnsi="Verdana"/>
          <w:b/>
          <w:bCs/>
          <w:color w:val="333333"/>
          <w:sz w:val="20"/>
          <w:szCs w:val="20"/>
        </w:rPr>
        <w:t>(4)</w:t>
      </w:r>
      <w:r w:rsidR="006263F7">
        <w:rPr>
          <w:rFonts w:ascii="Verdana" w:hAnsi="Verdana"/>
          <w:b/>
          <w:bCs/>
          <w:color w:val="333333"/>
          <w:sz w:val="20"/>
          <w:szCs w:val="20"/>
        </w:rPr>
        <w:t xml:space="preserve"> </w:t>
      </w:r>
      <w:r w:rsidRPr="00B91666">
        <w:rPr>
          <w:rFonts w:ascii="Verdana" w:hAnsi="Verdana"/>
          <w:b/>
          <w:bCs/>
          <w:smallCaps/>
          <w:color w:val="333333"/>
          <w:sz w:val="20"/>
          <w:szCs w:val="20"/>
        </w:rPr>
        <w:t>Regulations</w:t>
      </w:r>
    </w:p>
    <w:p w14:paraId="20D37AF7" w14:textId="77777777" w:rsidR="00B91666" w:rsidRPr="00B91666" w:rsidRDefault="00B91666" w:rsidP="00B91666">
      <w:pPr>
        <w:shd w:val="clear" w:color="auto" w:fill="FFFFFF"/>
        <w:spacing w:after="150" w:line="330" w:lineRule="atLeast"/>
        <w:rPr>
          <w:rFonts w:ascii="Verdana" w:hAnsi="Verdana"/>
          <w:color w:val="333333"/>
          <w:sz w:val="20"/>
          <w:szCs w:val="20"/>
        </w:rPr>
      </w:pPr>
      <w:r w:rsidRPr="00B91666">
        <w:rPr>
          <w:rFonts w:ascii="Verdana" w:hAnsi="Verdana"/>
          <w:color w:val="333333"/>
          <w:sz w:val="20"/>
          <w:szCs w:val="20"/>
        </w:rPr>
        <w:t>The Secretary may by regulations provide exceptions to the application of this subsection.</w:t>
      </w:r>
    </w:p>
    <w:p w14:paraId="6C211B09" w14:textId="77777777" w:rsidR="00157574" w:rsidRDefault="00157574" w:rsidP="00157574">
      <w:pPr>
        <w:rPr>
          <w:rFonts w:ascii="Verdana" w:hAnsi="Verdana"/>
          <w:color w:val="333333"/>
          <w:sz w:val="21"/>
          <w:szCs w:val="21"/>
          <w:shd w:val="clear" w:color="auto" w:fill="FFFFFF"/>
        </w:rPr>
      </w:pPr>
    </w:p>
    <w:p w14:paraId="4D172925" w14:textId="77777777" w:rsidR="00157574" w:rsidRDefault="00157574" w:rsidP="00157574">
      <w:pPr>
        <w:rPr>
          <w:rFonts w:ascii="Verdana" w:hAnsi="Verdana"/>
          <w:color w:val="333333"/>
          <w:sz w:val="21"/>
          <w:szCs w:val="21"/>
          <w:shd w:val="clear" w:color="auto" w:fill="FFFFFF"/>
        </w:rPr>
      </w:pPr>
    </w:p>
    <w:p w14:paraId="0C925A78" w14:textId="77777777" w:rsidR="00157574" w:rsidRPr="00157574" w:rsidRDefault="00157574" w:rsidP="00157574">
      <w:pPr>
        <w:rPr>
          <w:rFonts w:ascii="Verdana" w:hAnsi="Verdana"/>
          <w:b/>
          <w:color w:val="333333"/>
          <w:sz w:val="21"/>
          <w:szCs w:val="21"/>
          <w:shd w:val="clear" w:color="auto" w:fill="FFFFFF"/>
        </w:rPr>
      </w:pPr>
      <w:r w:rsidRPr="00157574">
        <w:rPr>
          <w:rFonts w:ascii="Verdana" w:hAnsi="Verdana"/>
          <w:b/>
          <w:color w:val="333333"/>
          <w:sz w:val="21"/>
          <w:szCs w:val="21"/>
          <w:shd w:val="clear" w:color="auto" w:fill="FFFFFF"/>
        </w:rPr>
        <w:t>Treasury Regulation § 1.1014-1 Basis of property acquired from a decedent.</w:t>
      </w:r>
    </w:p>
    <w:p w14:paraId="65A561E4" w14:textId="77777777" w:rsidR="00157574" w:rsidRPr="00157574" w:rsidRDefault="00157574" w:rsidP="00157574"/>
    <w:p w14:paraId="14A95FCB" w14:textId="77777777" w:rsidR="00157574" w:rsidRPr="00157574" w:rsidRDefault="00157574" w:rsidP="00157574">
      <w:pPr>
        <w:shd w:val="clear" w:color="auto" w:fill="FFFFFF"/>
        <w:spacing w:line="315" w:lineRule="atLeast"/>
        <w:rPr>
          <w:rFonts w:ascii="Verdana" w:hAnsi="Verdana"/>
          <w:color w:val="333333"/>
          <w:sz w:val="21"/>
          <w:szCs w:val="21"/>
        </w:rPr>
      </w:pPr>
      <w:r w:rsidRPr="00157574">
        <w:rPr>
          <w:rFonts w:ascii="Verdana" w:hAnsi="Verdana"/>
          <w:b/>
          <w:bCs/>
          <w:color w:val="333333"/>
          <w:sz w:val="21"/>
          <w:szCs w:val="21"/>
        </w:rPr>
        <w:t>(a)</w:t>
      </w:r>
      <w:r w:rsidRPr="00157574">
        <w:rPr>
          <w:rFonts w:ascii="Verdana" w:hAnsi="Verdana"/>
          <w:color w:val="333333"/>
          <w:sz w:val="21"/>
          <w:szCs w:val="21"/>
        </w:rPr>
        <w:t> </w:t>
      </w:r>
      <w:r w:rsidRPr="00157574">
        <w:rPr>
          <w:rFonts w:ascii="Verdana" w:hAnsi="Verdana"/>
          <w:b/>
          <w:bCs/>
          <w:i/>
          <w:iCs/>
          <w:color w:val="333333"/>
          <w:sz w:val="21"/>
          <w:szCs w:val="21"/>
        </w:rPr>
        <w:t>General rule.</w:t>
      </w:r>
      <w:r w:rsidRPr="00157574">
        <w:rPr>
          <w:rFonts w:ascii="Verdana" w:hAnsi="Verdana"/>
          <w:b/>
          <w:bCs/>
          <w:color w:val="333333"/>
          <w:sz w:val="21"/>
          <w:szCs w:val="21"/>
        </w:rPr>
        <w:t> </w:t>
      </w:r>
      <w:r w:rsidRPr="00157574">
        <w:rPr>
          <w:rFonts w:ascii="Verdana" w:hAnsi="Verdana"/>
          <w:color w:val="333333"/>
          <w:sz w:val="21"/>
          <w:szCs w:val="21"/>
        </w:rPr>
        <w:t>The purpose of section 1014 is, in general, to provide a basis for property acquired from a decedent which is equal to the value placed upon such property for purposes of the Federal estate tax. Accordingly, the general rule is that the basis of property acquired from a decedent is the fair market value of such property at the date of the decedent's death, or, if the decedent's executor so elects, at the alternate valuation date prescribed in section 2032, or in section 811(j) of the Internal Revenue Code of 1939. Property acquired from a decedent includes, principally, property acquired by bequest, devise, or inheritance, and, in the case of decedents dying after December 31, 1953, property required to be included in determining the value of the decedent's gross estate under any provision of the Internal Revenue Code of 1954 or the Internal Revenue Code of 1939. The general rule governing basis of property acquired from a decedent, as well as other rules prescribed elsewhere in this section, shall have no application if the property is sold, exchanged, or otherwise disposed of before the decedent's death by the person who acquired the property from the decedent. For general rules on the applicable valuation date where the executor of a decedent's estate elects under section 2032, or under section 811(j) of the Internal Revenue Code of 1939, to value the decedent's gross estate at the alternate valuation date prescribed in such sections, see paragraph (e) of §</w:t>
      </w:r>
      <w:hyperlink r:id="rId52" w:tooltip="1.1014-3" w:history="1">
        <w:r w:rsidRPr="00157574">
          <w:rPr>
            <w:rFonts w:ascii="Verdana" w:hAnsi="Verdana"/>
            <w:color w:val="005C72"/>
            <w:sz w:val="21"/>
            <w:szCs w:val="21"/>
            <w:u w:val="single"/>
          </w:rPr>
          <w:t>1.1014-3</w:t>
        </w:r>
      </w:hyperlink>
      <w:r w:rsidRPr="00157574">
        <w:rPr>
          <w:rFonts w:ascii="Verdana" w:hAnsi="Verdana"/>
          <w:color w:val="333333"/>
          <w:sz w:val="21"/>
          <w:szCs w:val="21"/>
        </w:rPr>
        <w:t>.</w:t>
      </w:r>
    </w:p>
    <w:p w14:paraId="40CC9ACE" w14:textId="77777777" w:rsidR="00157574" w:rsidRPr="00157574" w:rsidRDefault="00157574" w:rsidP="00157574">
      <w:pPr>
        <w:shd w:val="clear" w:color="auto" w:fill="FFFFFF"/>
        <w:spacing w:line="315" w:lineRule="atLeast"/>
        <w:rPr>
          <w:rFonts w:ascii="Verdana" w:hAnsi="Verdana"/>
          <w:color w:val="333333"/>
          <w:sz w:val="21"/>
          <w:szCs w:val="21"/>
        </w:rPr>
      </w:pPr>
      <w:r w:rsidRPr="00157574">
        <w:rPr>
          <w:rFonts w:ascii="Verdana" w:hAnsi="Verdana"/>
          <w:b/>
          <w:bCs/>
          <w:color w:val="333333"/>
          <w:sz w:val="21"/>
          <w:szCs w:val="21"/>
        </w:rPr>
        <w:t>(b)</w:t>
      </w:r>
      <w:r w:rsidRPr="00157574">
        <w:rPr>
          <w:rFonts w:ascii="Verdana" w:hAnsi="Verdana"/>
          <w:color w:val="333333"/>
          <w:sz w:val="21"/>
          <w:szCs w:val="21"/>
        </w:rPr>
        <w:t> </w:t>
      </w:r>
      <w:r w:rsidRPr="00157574">
        <w:rPr>
          <w:rFonts w:ascii="Verdana" w:hAnsi="Verdana"/>
          <w:b/>
          <w:bCs/>
          <w:i/>
          <w:iCs/>
          <w:color w:val="333333"/>
          <w:sz w:val="21"/>
          <w:szCs w:val="21"/>
        </w:rPr>
        <w:t>Scope and application.</w:t>
      </w:r>
      <w:r w:rsidRPr="00157574">
        <w:rPr>
          <w:rFonts w:ascii="Verdana" w:hAnsi="Verdana"/>
          <w:b/>
          <w:bCs/>
          <w:color w:val="333333"/>
          <w:sz w:val="21"/>
          <w:szCs w:val="21"/>
        </w:rPr>
        <w:t> </w:t>
      </w:r>
      <w:r w:rsidRPr="00157574">
        <w:rPr>
          <w:rFonts w:ascii="Verdana" w:hAnsi="Verdana"/>
          <w:color w:val="333333"/>
          <w:sz w:val="21"/>
          <w:szCs w:val="21"/>
        </w:rPr>
        <w:t>With certain limitations, the general rule described in paragraph (a) of this section is applicable to the classes of property described in paragraphs (a) and (b) of § </w:t>
      </w:r>
      <w:r w:rsidRPr="00157574">
        <w:rPr>
          <w:rFonts w:ascii="Verdana" w:hAnsi="Verdana"/>
          <w:color w:val="005C72"/>
          <w:sz w:val="21"/>
          <w:szCs w:val="21"/>
          <w:u w:val="single"/>
        </w:rPr>
        <w:t>1.1014-2</w:t>
      </w:r>
      <w:r w:rsidRPr="00157574">
        <w:rPr>
          <w:rFonts w:ascii="Verdana" w:hAnsi="Verdana"/>
          <w:color w:val="333333"/>
          <w:sz w:val="21"/>
          <w:szCs w:val="21"/>
        </w:rPr>
        <w:t>, including stock in a DISC or former DISC. In the case of stock in a DISC or former DISC, the provisions of this section and §§</w:t>
      </w:r>
      <w:r w:rsidRPr="00157574">
        <w:rPr>
          <w:rFonts w:ascii="Verdana" w:hAnsi="Verdana"/>
          <w:color w:val="005C72"/>
          <w:sz w:val="21"/>
          <w:szCs w:val="21"/>
          <w:u w:val="single"/>
        </w:rPr>
        <w:t>1.1014-2</w:t>
      </w:r>
      <w:r w:rsidRPr="00157574">
        <w:rPr>
          <w:rFonts w:ascii="Verdana" w:hAnsi="Verdana"/>
          <w:color w:val="333333"/>
          <w:sz w:val="21"/>
          <w:szCs w:val="21"/>
        </w:rPr>
        <w:t> through 1.1014-8 are applicable, except as provided in § </w:t>
      </w:r>
      <w:hyperlink r:id="rId53" w:tooltip="1.1014-9" w:history="1">
        <w:r w:rsidRPr="00157574">
          <w:rPr>
            <w:rFonts w:ascii="Verdana" w:hAnsi="Verdana"/>
            <w:color w:val="005C72"/>
            <w:sz w:val="21"/>
            <w:szCs w:val="21"/>
            <w:u w:val="single"/>
          </w:rPr>
          <w:t>1.1014-9</w:t>
        </w:r>
      </w:hyperlink>
      <w:r w:rsidRPr="00157574">
        <w:rPr>
          <w:rFonts w:ascii="Verdana" w:hAnsi="Verdana"/>
          <w:color w:val="333333"/>
          <w:sz w:val="21"/>
          <w:szCs w:val="21"/>
        </w:rPr>
        <w:t>. Special basis rules with respect to the basis of certain other property acquired from a decedent are set forth in paragraph (c) of § </w:t>
      </w:r>
      <w:hyperlink r:id="rId54" w:tooltip="1.1014-2" w:history="1">
        <w:r w:rsidRPr="00157574">
          <w:rPr>
            <w:rFonts w:ascii="Verdana" w:hAnsi="Verdana"/>
            <w:color w:val="005C72"/>
            <w:sz w:val="21"/>
            <w:szCs w:val="21"/>
            <w:u w:val="single"/>
          </w:rPr>
          <w:t>1.1014-2</w:t>
        </w:r>
      </w:hyperlink>
      <w:r w:rsidRPr="00157574">
        <w:rPr>
          <w:rFonts w:ascii="Verdana" w:hAnsi="Verdana"/>
          <w:color w:val="333333"/>
          <w:sz w:val="21"/>
          <w:szCs w:val="21"/>
        </w:rPr>
        <w:t>. These special rules concern certain stock or securities of a foreign personal holding company and the surviving spouse's one-half share of community property held with a decedent dying after October 21, 1942, and on or before December 31, 1947. In this section and §§ </w:t>
      </w:r>
      <w:r w:rsidRPr="00157574">
        <w:rPr>
          <w:rFonts w:ascii="Verdana" w:hAnsi="Verdana"/>
          <w:color w:val="005C72"/>
          <w:sz w:val="21"/>
          <w:szCs w:val="21"/>
          <w:u w:val="single"/>
        </w:rPr>
        <w:t>1.1014-</w:t>
      </w:r>
      <w:r>
        <w:rPr>
          <w:rFonts w:ascii="Verdana" w:hAnsi="Verdana"/>
          <w:color w:val="005C72"/>
          <w:sz w:val="21"/>
          <w:szCs w:val="21"/>
          <w:u w:val="single"/>
        </w:rPr>
        <w:t>2</w:t>
      </w:r>
      <w:r>
        <w:rPr>
          <w:rFonts w:ascii="Verdana" w:hAnsi="Verdana"/>
          <w:color w:val="333333"/>
          <w:sz w:val="21"/>
          <w:szCs w:val="21"/>
        </w:rPr>
        <w:t xml:space="preserve"> </w:t>
      </w:r>
      <w:r w:rsidRPr="00157574">
        <w:rPr>
          <w:rFonts w:ascii="Verdana" w:hAnsi="Verdana"/>
          <w:color w:val="333333"/>
          <w:sz w:val="21"/>
          <w:szCs w:val="21"/>
        </w:rPr>
        <w:t>to 1.1014-6, inclusive, whenever the words </w:t>
      </w:r>
      <w:r w:rsidRPr="00157574">
        <w:rPr>
          <w:rFonts w:ascii="Verdana" w:hAnsi="Verdana"/>
          <w:i/>
          <w:iCs/>
          <w:color w:val="333333"/>
          <w:sz w:val="21"/>
          <w:szCs w:val="21"/>
        </w:rPr>
        <w:t>property acquired from a decedent</w:t>
      </w:r>
      <w:r w:rsidRPr="00157574">
        <w:rPr>
          <w:rFonts w:ascii="Verdana" w:hAnsi="Verdana"/>
          <w:color w:val="333333"/>
          <w:sz w:val="21"/>
          <w:szCs w:val="21"/>
        </w:rPr>
        <w:t> are used, they shall also mean </w:t>
      </w:r>
      <w:r w:rsidRPr="00157574">
        <w:rPr>
          <w:rFonts w:ascii="Verdana" w:hAnsi="Verdana"/>
          <w:i/>
          <w:iCs/>
          <w:color w:val="333333"/>
          <w:sz w:val="21"/>
          <w:szCs w:val="21"/>
        </w:rPr>
        <w:t>property passed from a decedent,</w:t>
      </w:r>
      <w:r w:rsidRPr="00157574">
        <w:rPr>
          <w:rFonts w:ascii="Verdana" w:hAnsi="Verdana"/>
          <w:color w:val="333333"/>
          <w:sz w:val="21"/>
          <w:szCs w:val="21"/>
        </w:rPr>
        <w:t xml:space="preserve"> and the </w:t>
      </w:r>
      <w:r w:rsidRPr="00157574">
        <w:rPr>
          <w:rFonts w:ascii="Verdana" w:hAnsi="Verdana"/>
          <w:color w:val="333333"/>
          <w:sz w:val="21"/>
          <w:szCs w:val="21"/>
        </w:rPr>
        <w:lastRenderedPageBreak/>
        <w:t>phrase </w:t>
      </w:r>
      <w:r w:rsidRPr="00157574">
        <w:rPr>
          <w:rFonts w:ascii="Verdana" w:hAnsi="Verdana"/>
          <w:i/>
          <w:iCs/>
          <w:color w:val="333333"/>
          <w:sz w:val="21"/>
          <w:szCs w:val="21"/>
        </w:rPr>
        <w:t>person who acquired it from the decedent</w:t>
      </w:r>
      <w:r w:rsidRPr="00157574">
        <w:rPr>
          <w:rFonts w:ascii="Verdana" w:hAnsi="Verdana"/>
          <w:color w:val="333333"/>
          <w:sz w:val="21"/>
          <w:szCs w:val="21"/>
        </w:rPr>
        <w:t> shall include the </w:t>
      </w:r>
      <w:r w:rsidRPr="00157574">
        <w:rPr>
          <w:rFonts w:ascii="Verdana" w:hAnsi="Verdana"/>
          <w:i/>
          <w:iCs/>
          <w:color w:val="333333"/>
          <w:sz w:val="21"/>
          <w:szCs w:val="21"/>
        </w:rPr>
        <w:t>person to whom it passed from the decedent.</w:t>
      </w:r>
    </w:p>
    <w:p w14:paraId="045BA330" w14:textId="77777777" w:rsidR="00157574" w:rsidRPr="00157574" w:rsidRDefault="00157574" w:rsidP="00157574">
      <w:pPr>
        <w:shd w:val="clear" w:color="auto" w:fill="FFFFFF"/>
        <w:spacing w:line="315" w:lineRule="atLeast"/>
        <w:rPr>
          <w:rFonts w:ascii="Verdana" w:hAnsi="Verdana"/>
          <w:color w:val="333333"/>
          <w:sz w:val="21"/>
          <w:szCs w:val="21"/>
        </w:rPr>
      </w:pPr>
      <w:r w:rsidRPr="00157574">
        <w:rPr>
          <w:rFonts w:ascii="Verdana" w:hAnsi="Verdana"/>
          <w:b/>
          <w:bCs/>
          <w:color w:val="333333"/>
          <w:sz w:val="21"/>
          <w:szCs w:val="21"/>
        </w:rPr>
        <w:t>(c)</w:t>
      </w:r>
      <w:r w:rsidRPr="00157574">
        <w:rPr>
          <w:rFonts w:ascii="Verdana" w:hAnsi="Verdana"/>
          <w:color w:val="333333"/>
          <w:sz w:val="21"/>
          <w:szCs w:val="21"/>
        </w:rPr>
        <w:t> </w:t>
      </w:r>
      <w:r w:rsidRPr="00157574">
        <w:rPr>
          <w:rFonts w:ascii="Verdana" w:hAnsi="Verdana"/>
          <w:b/>
          <w:bCs/>
          <w:i/>
          <w:iCs/>
          <w:color w:val="333333"/>
          <w:sz w:val="21"/>
          <w:szCs w:val="21"/>
        </w:rPr>
        <w:t>Property to which section 1014 does not apply.</w:t>
      </w:r>
      <w:r w:rsidRPr="00157574">
        <w:rPr>
          <w:rFonts w:ascii="Verdana" w:hAnsi="Verdana"/>
          <w:b/>
          <w:bCs/>
          <w:color w:val="333333"/>
          <w:sz w:val="21"/>
          <w:szCs w:val="21"/>
        </w:rPr>
        <w:t> </w:t>
      </w:r>
      <w:r w:rsidRPr="00157574">
        <w:rPr>
          <w:rFonts w:ascii="Verdana" w:hAnsi="Verdana"/>
          <w:color w:val="333333"/>
          <w:sz w:val="21"/>
          <w:szCs w:val="21"/>
        </w:rPr>
        <w:t>Section 1014 shall have no application to the following classes of property:</w:t>
      </w:r>
    </w:p>
    <w:p w14:paraId="4A900D74" w14:textId="77777777" w:rsidR="00157574" w:rsidRPr="00157574" w:rsidRDefault="00157574" w:rsidP="00157574">
      <w:pPr>
        <w:shd w:val="clear" w:color="auto" w:fill="FFFFFF"/>
        <w:spacing w:line="315" w:lineRule="atLeast"/>
        <w:rPr>
          <w:rFonts w:ascii="Verdana" w:hAnsi="Verdana"/>
          <w:color w:val="333333"/>
          <w:sz w:val="21"/>
          <w:szCs w:val="21"/>
        </w:rPr>
      </w:pPr>
      <w:bookmarkStart w:id="71" w:name="c_1"/>
      <w:bookmarkEnd w:id="71"/>
      <w:r w:rsidRPr="00157574">
        <w:rPr>
          <w:rFonts w:ascii="Verdana" w:hAnsi="Verdana"/>
          <w:b/>
          <w:bCs/>
          <w:color w:val="333333"/>
          <w:sz w:val="21"/>
          <w:szCs w:val="21"/>
        </w:rPr>
        <w:t>(1)</w:t>
      </w:r>
      <w:r w:rsidRPr="00157574">
        <w:rPr>
          <w:rFonts w:ascii="Verdana" w:hAnsi="Verdana"/>
          <w:color w:val="333333"/>
          <w:sz w:val="21"/>
          <w:szCs w:val="21"/>
        </w:rPr>
        <w:t> Property which constitutes a right to receive an item of income in respect of a decedent under</w:t>
      </w:r>
      <w:r>
        <w:rPr>
          <w:rFonts w:ascii="Verdana" w:hAnsi="Verdana"/>
          <w:color w:val="333333"/>
          <w:sz w:val="21"/>
          <w:szCs w:val="21"/>
        </w:rPr>
        <w:t xml:space="preserve"> </w:t>
      </w:r>
      <w:r w:rsidRPr="00157574">
        <w:rPr>
          <w:rFonts w:ascii="Verdana" w:hAnsi="Verdana"/>
          <w:color w:val="333333"/>
          <w:sz w:val="21"/>
          <w:szCs w:val="21"/>
        </w:rPr>
        <w:t>section 691; and</w:t>
      </w:r>
    </w:p>
    <w:p w14:paraId="1360EAA5" w14:textId="77777777" w:rsidR="00157574" w:rsidRPr="00157574" w:rsidRDefault="00157574" w:rsidP="00157574">
      <w:pPr>
        <w:shd w:val="clear" w:color="auto" w:fill="FFFFFF"/>
        <w:spacing w:line="315" w:lineRule="atLeast"/>
        <w:rPr>
          <w:rFonts w:ascii="Verdana" w:hAnsi="Verdana"/>
          <w:color w:val="333333"/>
          <w:sz w:val="21"/>
          <w:szCs w:val="21"/>
        </w:rPr>
      </w:pPr>
      <w:bookmarkStart w:id="72" w:name="c_2"/>
      <w:bookmarkEnd w:id="72"/>
      <w:r w:rsidRPr="00157574">
        <w:rPr>
          <w:rFonts w:ascii="Verdana" w:hAnsi="Verdana"/>
          <w:b/>
          <w:bCs/>
          <w:color w:val="333333"/>
          <w:sz w:val="21"/>
          <w:szCs w:val="21"/>
        </w:rPr>
        <w:t>(2)</w:t>
      </w:r>
      <w:r w:rsidRPr="00157574">
        <w:rPr>
          <w:rFonts w:ascii="Verdana" w:hAnsi="Verdana"/>
          <w:color w:val="333333"/>
          <w:sz w:val="21"/>
          <w:szCs w:val="21"/>
        </w:rPr>
        <w:t> Restricted stock options described in</w:t>
      </w:r>
      <w:r>
        <w:rPr>
          <w:rFonts w:ascii="Verdana" w:hAnsi="Verdana"/>
          <w:color w:val="333333"/>
          <w:sz w:val="21"/>
          <w:szCs w:val="21"/>
        </w:rPr>
        <w:t xml:space="preserve"> </w:t>
      </w:r>
      <w:r w:rsidRPr="00157574">
        <w:rPr>
          <w:rFonts w:ascii="Verdana" w:hAnsi="Verdana"/>
          <w:color w:val="333333"/>
          <w:sz w:val="21"/>
          <w:szCs w:val="21"/>
        </w:rPr>
        <w:t>section 421 which the employee has not exercised at death if the employee died before January 1, 1957. In the case of employees dying after December 31, 1956, see paragraph (d)(4) of § </w:t>
      </w:r>
      <w:hyperlink r:id="rId55" w:tooltip="1.421-5" w:history="1">
        <w:r w:rsidRPr="00157574">
          <w:rPr>
            <w:rFonts w:ascii="Verdana" w:hAnsi="Verdana"/>
            <w:color w:val="005C72"/>
            <w:sz w:val="21"/>
            <w:szCs w:val="21"/>
            <w:u w:val="single"/>
          </w:rPr>
          <w:t>1.421-5</w:t>
        </w:r>
      </w:hyperlink>
      <w:r w:rsidRPr="00157574">
        <w:rPr>
          <w:rFonts w:ascii="Verdana" w:hAnsi="Verdana"/>
          <w:color w:val="333333"/>
          <w:sz w:val="21"/>
          <w:szCs w:val="21"/>
        </w:rPr>
        <w:t>. In the case of employees dying in a taxable year ending after December 31, 1963, see paragraph (c)(4) of § </w:t>
      </w:r>
      <w:hyperlink r:id="rId56" w:tooltip="1.421-8" w:history="1">
        <w:r w:rsidRPr="00157574">
          <w:rPr>
            <w:rFonts w:ascii="Verdana" w:hAnsi="Verdana"/>
            <w:color w:val="005C72"/>
            <w:sz w:val="21"/>
            <w:szCs w:val="21"/>
            <w:u w:val="single"/>
          </w:rPr>
          <w:t>1.421-8</w:t>
        </w:r>
      </w:hyperlink>
      <w:r w:rsidRPr="00157574">
        <w:rPr>
          <w:rFonts w:ascii="Verdana" w:hAnsi="Verdana"/>
          <w:color w:val="333333"/>
          <w:sz w:val="21"/>
          <w:szCs w:val="21"/>
        </w:rPr>
        <w:t> with respect to an option described in part II of subchapter D.</w:t>
      </w:r>
    </w:p>
    <w:p w14:paraId="081664B5" w14:textId="77777777" w:rsidR="00021D47" w:rsidRDefault="00021D47">
      <w:pPr>
        <w:rPr>
          <w:rStyle w:val="ptext-25"/>
          <w:sz w:val="18"/>
          <w:szCs w:val="18"/>
          <w:lang w:val="en"/>
        </w:rPr>
      </w:pPr>
    </w:p>
    <w:p w14:paraId="5E222009" w14:textId="77777777" w:rsidR="00021D47" w:rsidRPr="00021D47" w:rsidRDefault="00021D47" w:rsidP="00021D47">
      <w:pPr>
        <w:rPr>
          <w:rStyle w:val="ptext-25"/>
          <w:rFonts w:asciiTheme="minorHAnsi" w:hAnsiTheme="minorHAnsi"/>
          <w:b/>
          <w:szCs w:val="18"/>
          <w:lang w:val="en"/>
        </w:rPr>
      </w:pPr>
      <w:r w:rsidRPr="00021D47">
        <w:rPr>
          <w:rStyle w:val="ptext-25"/>
          <w:rFonts w:asciiTheme="minorHAnsi" w:hAnsiTheme="minorHAnsi"/>
          <w:b/>
          <w:szCs w:val="18"/>
          <w:lang w:val="en"/>
        </w:rPr>
        <w:t>§ 1.1014-3 Other basis rules.</w:t>
      </w:r>
    </w:p>
    <w:p w14:paraId="5E33E085" w14:textId="77777777" w:rsidR="00021D47" w:rsidRPr="00021D47" w:rsidRDefault="00021D47" w:rsidP="00021D47">
      <w:pPr>
        <w:rPr>
          <w:rStyle w:val="ptext-25"/>
          <w:rFonts w:asciiTheme="minorHAnsi" w:hAnsiTheme="minorHAnsi"/>
          <w:szCs w:val="18"/>
          <w:lang w:val="en"/>
        </w:rPr>
      </w:pPr>
    </w:p>
    <w:p w14:paraId="073933B3" w14:textId="77777777" w:rsidR="00021D47" w:rsidRPr="00021D47" w:rsidRDefault="00021D47" w:rsidP="00021D47">
      <w:pPr>
        <w:rPr>
          <w:rStyle w:val="ptext-25"/>
          <w:rFonts w:asciiTheme="minorHAnsi" w:hAnsiTheme="minorHAnsi"/>
          <w:szCs w:val="18"/>
          <w:lang w:val="en"/>
        </w:rPr>
      </w:pPr>
      <w:r w:rsidRPr="00021D47">
        <w:rPr>
          <w:rStyle w:val="ptext-25"/>
          <w:rFonts w:asciiTheme="minorHAnsi" w:hAnsiTheme="minorHAnsi"/>
          <w:szCs w:val="18"/>
          <w:lang w:val="en"/>
        </w:rPr>
        <w:t xml:space="preserve">(a) Fair market value. For purposes of this section and § 1.1014-1, the value of property as of the date of the decedent's death as appraised for the purpose of the Federal estate tax or the alternate value as appraised for such purpose, whichever is applicable, shall be deemed to be its fair market value. If no estate tax return is required to be filed under section 6018 (or under section 821 or 864 of the Internal Revenue Code of 1939), the value of the property appraised as of the date of the decedent's death for the purpose of State inheritance or transmission taxes shall be deemed to be its fair market value and no alternate valuation date shall be applicable. </w:t>
      </w:r>
    </w:p>
    <w:p w14:paraId="3881044A" w14:textId="77777777" w:rsidR="00021D47" w:rsidRPr="00021D47" w:rsidRDefault="00021D47" w:rsidP="00021D47">
      <w:pPr>
        <w:rPr>
          <w:rStyle w:val="ptext-25"/>
          <w:sz w:val="18"/>
          <w:szCs w:val="18"/>
          <w:lang w:val="en"/>
        </w:rPr>
      </w:pPr>
    </w:p>
    <w:p w14:paraId="488E4F71" w14:textId="77777777" w:rsidR="00B91666" w:rsidRDefault="00B91666">
      <w:pPr>
        <w:rPr>
          <w:rStyle w:val="ptext-25"/>
          <w:sz w:val="18"/>
          <w:szCs w:val="18"/>
          <w:lang w:val="en"/>
        </w:rPr>
      </w:pPr>
      <w:r>
        <w:rPr>
          <w:rStyle w:val="ptext-25"/>
          <w:sz w:val="18"/>
          <w:szCs w:val="18"/>
          <w:lang w:val="en"/>
        </w:rPr>
        <w:br w:type="page"/>
      </w:r>
    </w:p>
    <w:p w14:paraId="168A839C" w14:textId="77777777" w:rsidR="00183ABF" w:rsidRPr="00183ABF" w:rsidRDefault="00183ABF" w:rsidP="00B91666">
      <w:pPr>
        <w:spacing w:line="360" w:lineRule="auto"/>
        <w:jc w:val="center"/>
        <w:rPr>
          <w:rFonts w:ascii="Calibri" w:hAnsi="Calibri"/>
          <w:b/>
          <w:lang w:val="en"/>
        </w:rPr>
      </w:pPr>
      <w:r w:rsidRPr="006263F7">
        <w:rPr>
          <w:rStyle w:val="ptext-25"/>
          <w:rFonts w:ascii="Calibri" w:hAnsi="Calibri"/>
          <w:b/>
          <w:sz w:val="28"/>
          <w:lang w:val="en"/>
        </w:rPr>
        <w:lastRenderedPageBreak/>
        <w:t>Glossary of Terms</w:t>
      </w:r>
      <w:r>
        <w:rPr>
          <w:rStyle w:val="FootnoteReference"/>
          <w:rFonts w:ascii="Arial" w:hAnsi="Arial" w:cs="Arial"/>
          <w:b/>
        </w:rPr>
        <w:footnoteReference w:id="521"/>
      </w:r>
    </w:p>
    <w:p w14:paraId="0777C1A2" w14:textId="77777777" w:rsidR="00183ABF" w:rsidRPr="00183ABF" w:rsidRDefault="00183ABF" w:rsidP="00183ABF">
      <w:pPr>
        <w:spacing w:line="360" w:lineRule="auto"/>
        <w:ind w:firstLine="720"/>
        <w:rPr>
          <w:rFonts w:ascii="Calibri" w:hAnsi="Calibri" w:cs="Arial"/>
        </w:rPr>
      </w:pPr>
      <w:r w:rsidRPr="00183ABF">
        <w:rPr>
          <w:rFonts w:ascii="Calibri" w:hAnsi="Calibri" w:cs="Arial"/>
          <w:b/>
        </w:rPr>
        <w:t xml:space="preserve">“Power of appointment” – </w:t>
      </w:r>
      <w:r w:rsidRPr="00183ABF">
        <w:rPr>
          <w:rFonts w:ascii="Calibri" w:hAnsi="Calibri" w:cs="Arial"/>
        </w:rPr>
        <w:t>a power that enables the donee of the power (powerholder), acting in a non-fiduciary capacity, to designate recipients of beneficial ownership interests in the appointive property.</w:t>
      </w:r>
    </w:p>
    <w:p w14:paraId="184C0BF1" w14:textId="77777777" w:rsidR="00183ABF" w:rsidRPr="00183ABF" w:rsidRDefault="00183ABF" w:rsidP="00183ABF">
      <w:pPr>
        <w:spacing w:line="360" w:lineRule="auto"/>
        <w:ind w:firstLine="720"/>
        <w:rPr>
          <w:rFonts w:ascii="Calibri" w:hAnsi="Calibri" w:cs="Arial"/>
          <w:b/>
        </w:rPr>
      </w:pPr>
      <w:r w:rsidRPr="00183ABF">
        <w:rPr>
          <w:rFonts w:ascii="Calibri" w:hAnsi="Calibri" w:cs="Arial"/>
          <w:b/>
        </w:rPr>
        <w:t xml:space="preserve">“Donor” – </w:t>
      </w:r>
      <w:r w:rsidRPr="00183ABF">
        <w:rPr>
          <w:rFonts w:ascii="Calibri" w:hAnsi="Calibri" w:cs="Arial"/>
        </w:rPr>
        <w:t>the person who created the power of appointment.</w:t>
      </w:r>
      <w:r w:rsidRPr="00183ABF">
        <w:rPr>
          <w:rFonts w:ascii="Calibri" w:hAnsi="Calibri" w:cs="Arial"/>
          <w:b/>
        </w:rPr>
        <w:t xml:space="preserve">  </w:t>
      </w:r>
    </w:p>
    <w:p w14:paraId="3872D6D9" w14:textId="77777777" w:rsidR="00183ABF" w:rsidRPr="00183ABF" w:rsidRDefault="00183ABF" w:rsidP="00183ABF">
      <w:pPr>
        <w:spacing w:line="360" w:lineRule="auto"/>
        <w:ind w:firstLine="720"/>
        <w:rPr>
          <w:rFonts w:ascii="Calibri" w:hAnsi="Calibri" w:cs="Arial"/>
        </w:rPr>
      </w:pPr>
      <w:r w:rsidRPr="00183ABF">
        <w:rPr>
          <w:rFonts w:ascii="Calibri" w:hAnsi="Calibri" w:cs="Arial"/>
          <w:b/>
        </w:rPr>
        <w:t xml:space="preserve">“Donee” – </w:t>
      </w:r>
      <w:r w:rsidRPr="00183ABF">
        <w:rPr>
          <w:rFonts w:ascii="Calibri" w:hAnsi="Calibri" w:cs="Arial"/>
        </w:rPr>
        <w:t>the person on whom the power is conferred and who may exercise the power.  However, I prefer to use the term “Powerholder” to avoid confusion.</w:t>
      </w:r>
    </w:p>
    <w:p w14:paraId="28A90273" w14:textId="77777777" w:rsidR="00183ABF" w:rsidRPr="00183ABF" w:rsidRDefault="00183ABF" w:rsidP="00183ABF">
      <w:pPr>
        <w:spacing w:line="360" w:lineRule="auto"/>
        <w:ind w:firstLine="720"/>
        <w:rPr>
          <w:rFonts w:ascii="Calibri" w:hAnsi="Calibri" w:cs="Arial"/>
        </w:rPr>
      </w:pPr>
      <w:r w:rsidRPr="00183ABF">
        <w:rPr>
          <w:rFonts w:ascii="Calibri" w:hAnsi="Calibri" w:cs="Arial"/>
          <w:b/>
        </w:rPr>
        <w:t xml:space="preserve">“Permissible appointees” – </w:t>
      </w:r>
      <w:r w:rsidRPr="00183ABF">
        <w:rPr>
          <w:rFonts w:ascii="Calibri" w:hAnsi="Calibri" w:cs="Arial"/>
        </w:rPr>
        <w:t>the persons for whom the power may be exercised to benefit</w:t>
      </w:r>
    </w:p>
    <w:p w14:paraId="76CFB16B" w14:textId="77777777" w:rsidR="00183ABF" w:rsidRPr="00183ABF" w:rsidRDefault="00183ABF" w:rsidP="00183ABF">
      <w:pPr>
        <w:spacing w:line="360" w:lineRule="auto"/>
        <w:ind w:firstLine="720"/>
        <w:rPr>
          <w:rFonts w:ascii="Calibri" w:hAnsi="Calibri" w:cs="Arial"/>
        </w:rPr>
      </w:pPr>
      <w:r w:rsidRPr="00183ABF">
        <w:rPr>
          <w:rFonts w:ascii="Calibri" w:hAnsi="Calibri" w:cs="Arial"/>
          <w:b/>
        </w:rPr>
        <w:t xml:space="preserve">“Appointee” – </w:t>
      </w:r>
      <w:r w:rsidRPr="00183ABF">
        <w:rPr>
          <w:rFonts w:ascii="Calibri" w:hAnsi="Calibri" w:cs="Arial"/>
        </w:rPr>
        <w:t xml:space="preserve">a person </w:t>
      </w:r>
      <w:r>
        <w:rPr>
          <w:rFonts w:ascii="Calibri" w:hAnsi="Calibri" w:cs="Arial"/>
        </w:rPr>
        <w:t xml:space="preserve">(or entity/trust) </w:t>
      </w:r>
      <w:r w:rsidRPr="00183ABF">
        <w:rPr>
          <w:rFonts w:ascii="Calibri" w:hAnsi="Calibri" w:cs="Arial"/>
        </w:rPr>
        <w:t>to whom an appointment has been made.</w:t>
      </w:r>
    </w:p>
    <w:p w14:paraId="18D64631" w14:textId="77777777" w:rsidR="00183ABF" w:rsidRPr="00183ABF" w:rsidRDefault="00183ABF" w:rsidP="00183ABF">
      <w:pPr>
        <w:spacing w:line="360" w:lineRule="auto"/>
        <w:ind w:firstLine="720"/>
        <w:rPr>
          <w:rFonts w:ascii="Calibri" w:hAnsi="Calibri" w:cs="Arial"/>
        </w:rPr>
      </w:pPr>
      <w:r w:rsidRPr="00183ABF">
        <w:rPr>
          <w:rFonts w:ascii="Calibri" w:hAnsi="Calibri" w:cs="Arial"/>
          <w:b/>
        </w:rPr>
        <w:t xml:space="preserve">“Taker in default”- </w:t>
      </w:r>
      <w:r w:rsidRPr="00183ABF">
        <w:rPr>
          <w:rFonts w:ascii="Calibri" w:hAnsi="Calibri" w:cs="Arial"/>
        </w:rPr>
        <w:t>person(s) who would receive property if power is not exercised.</w:t>
      </w:r>
    </w:p>
    <w:p w14:paraId="6F4F8410" w14:textId="77777777" w:rsidR="00183ABF" w:rsidRPr="00183ABF" w:rsidRDefault="00183ABF" w:rsidP="00183ABF">
      <w:pPr>
        <w:spacing w:line="360" w:lineRule="auto"/>
        <w:ind w:firstLine="720"/>
        <w:rPr>
          <w:rFonts w:ascii="Calibri" w:hAnsi="Calibri" w:cs="Arial"/>
        </w:rPr>
      </w:pPr>
      <w:r w:rsidRPr="00183ABF">
        <w:rPr>
          <w:rFonts w:ascii="Calibri" w:hAnsi="Calibri" w:cs="Arial"/>
          <w:b/>
        </w:rPr>
        <w:t xml:space="preserve">“General Power of Appointment” (“GPOA”) – </w:t>
      </w:r>
      <w:r w:rsidRPr="00183ABF">
        <w:rPr>
          <w:rFonts w:ascii="Calibri" w:hAnsi="Calibri" w:cs="Arial"/>
        </w:rPr>
        <w:t>a power exercisable in favor of the donee (powerholder), the powerholder’s estate, the powerholder’s creditors or the powerholder’s estate.</w:t>
      </w:r>
      <w:r>
        <w:rPr>
          <w:rFonts w:ascii="Calibri" w:hAnsi="Calibri" w:cs="Arial"/>
        </w:rPr>
        <w:t xml:space="preserve">  For tax definition, see IRC §2041/2514.</w:t>
      </w:r>
    </w:p>
    <w:p w14:paraId="588A57D7" w14:textId="77777777" w:rsidR="00183ABF" w:rsidRPr="00183ABF" w:rsidRDefault="00183ABF" w:rsidP="00183ABF">
      <w:pPr>
        <w:spacing w:line="360" w:lineRule="auto"/>
        <w:ind w:firstLine="720"/>
        <w:rPr>
          <w:rFonts w:ascii="Calibri" w:hAnsi="Calibri" w:cs="Arial"/>
          <w:b/>
        </w:rPr>
      </w:pPr>
      <w:r w:rsidRPr="00183ABF">
        <w:rPr>
          <w:rFonts w:ascii="Calibri" w:hAnsi="Calibri" w:cs="Arial"/>
          <w:b/>
        </w:rPr>
        <w:t xml:space="preserve">“Limited, </w:t>
      </w:r>
      <w:r w:rsidR="00A55079">
        <w:rPr>
          <w:rFonts w:ascii="Calibri" w:hAnsi="Calibri" w:cs="Arial"/>
          <w:b/>
        </w:rPr>
        <w:t>(aka</w:t>
      </w:r>
      <w:r w:rsidRPr="00183ABF">
        <w:rPr>
          <w:rFonts w:ascii="Calibri" w:hAnsi="Calibri" w:cs="Arial"/>
          <w:b/>
        </w:rPr>
        <w:t xml:space="preserve"> Non</w:t>
      </w:r>
      <w:r w:rsidR="00A55079">
        <w:rPr>
          <w:rFonts w:ascii="Calibri" w:hAnsi="Calibri" w:cs="Arial"/>
          <w:b/>
        </w:rPr>
        <w:t>-</w:t>
      </w:r>
      <w:r w:rsidRPr="00183ABF">
        <w:rPr>
          <w:rFonts w:ascii="Calibri" w:hAnsi="Calibri" w:cs="Arial"/>
          <w:b/>
        </w:rPr>
        <w:t>general</w:t>
      </w:r>
      <w:r w:rsidR="00A55079">
        <w:rPr>
          <w:rFonts w:ascii="Calibri" w:hAnsi="Calibri" w:cs="Arial"/>
          <w:b/>
        </w:rPr>
        <w:t>)</w:t>
      </w:r>
      <w:r w:rsidRPr="00183ABF">
        <w:rPr>
          <w:rFonts w:ascii="Calibri" w:hAnsi="Calibri" w:cs="Arial"/>
          <w:b/>
        </w:rPr>
        <w:t xml:space="preserve"> Power of Appointment” (“LPOA”) – </w:t>
      </w:r>
      <w:r w:rsidRPr="00183ABF">
        <w:rPr>
          <w:rFonts w:ascii="Calibri" w:hAnsi="Calibri" w:cs="Arial"/>
        </w:rPr>
        <w:t>any power that is not a general power of appointment.  Some also use the term “special power of appointment</w:t>
      </w:r>
      <w:r>
        <w:rPr>
          <w:rFonts w:ascii="Calibri" w:hAnsi="Calibri" w:cs="Arial"/>
        </w:rPr>
        <w:t>”</w:t>
      </w:r>
      <w:r w:rsidR="00A55079">
        <w:rPr>
          <w:rFonts w:ascii="Calibri" w:hAnsi="Calibri" w:cs="Arial"/>
        </w:rPr>
        <w:t>, a narrower subset of LPOAs</w:t>
      </w:r>
      <w:r w:rsidRPr="00183ABF">
        <w:rPr>
          <w:rFonts w:ascii="Calibri" w:hAnsi="Calibri" w:cs="Arial"/>
        </w:rPr>
        <w:t xml:space="preserve"> – I will use “limited power of appointment” throughout this outline.</w:t>
      </w:r>
    </w:p>
    <w:p w14:paraId="4E58C106" w14:textId="77777777" w:rsidR="00183ABF" w:rsidRPr="00183ABF" w:rsidRDefault="00183ABF" w:rsidP="00183ABF">
      <w:pPr>
        <w:spacing w:line="360" w:lineRule="auto"/>
        <w:ind w:firstLine="720"/>
        <w:rPr>
          <w:rFonts w:ascii="Calibri" w:hAnsi="Calibri" w:cs="Arial"/>
        </w:rPr>
      </w:pPr>
      <w:r w:rsidRPr="00183ABF">
        <w:rPr>
          <w:rFonts w:ascii="Calibri" w:hAnsi="Calibri" w:cs="Arial"/>
          <w:b/>
        </w:rPr>
        <w:t xml:space="preserve">“Presently exercisable general power of appointment” – </w:t>
      </w:r>
      <w:r w:rsidRPr="00183ABF">
        <w:rPr>
          <w:rFonts w:ascii="Calibri" w:hAnsi="Calibri" w:cs="Arial"/>
        </w:rPr>
        <w:t xml:space="preserve">sometimes referred to as a </w:t>
      </w:r>
      <w:r w:rsidR="00A55079">
        <w:rPr>
          <w:rFonts w:ascii="Calibri" w:hAnsi="Calibri" w:cs="Arial"/>
        </w:rPr>
        <w:t>“</w:t>
      </w:r>
      <w:r w:rsidRPr="00183ABF">
        <w:rPr>
          <w:rFonts w:ascii="Calibri" w:hAnsi="Calibri" w:cs="Arial"/>
        </w:rPr>
        <w:t>PEG power</w:t>
      </w:r>
      <w:r w:rsidR="00A55079">
        <w:rPr>
          <w:rFonts w:ascii="Calibri" w:hAnsi="Calibri" w:cs="Arial"/>
        </w:rPr>
        <w:t>”</w:t>
      </w:r>
      <w:r w:rsidRPr="00183ABF">
        <w:rPr>
          <w:rFonts w:ascii="Calibri" w:hAnsi="Calibri" w:cs="Arial"/>
        </w:rPr>
        <w:t xml:space="preserve">, </w:t>
      </w:r>
      <w:r>
        <w:rPr>
          <w:rFonts w:ascii="Calibri" w:hAnsi="Calibri" w:cs="Arial"/>
        </w:rPr>
        <w:t>is a power</w:t>
      </w:r>
      <w:r w:rsidRPr="00183ABF">
        <w:rPr>
          <w:rFonts w:ascii="Calibri" w:hAnsi="Calibri" w:cs="Arial"/>
        </w:rPr>
        <w:t xml:space="preserve"> that permits the powerholder to exercise it </w:t>
      </w:r>
      <w:r>
        <w:rPr>
          <w:rFonts w:ascii="Calibri" w:hAnsi="Calibri" w:cs="Arial"/>
        </w:rPr>
        <w:t xml:space="preserve">with effect </w:t>
      </w:r>
      <w:r w:rsidRPr="00183ABF">
        <w:rPr>
          <w:rFonts w:ascii="Calibri" w:hAnsi="Calibri" w:cs="Arial"/>
        </w:rPr>
        <w:t xml:space="preserve">during their lifetime, as opposed to a testamentary power, exercisable </w:t>
      </w:r>
      <w:r>
        <w:rPr>
          <w:rFonts w:ascii="Calibri" w:hAnsi="Calibri" w:cs="Arial"/>
        </w:rPr>
        <w:t xml:space="preserve">and effective only </w:t>
      </w:r>
      <w:r w:rsidRPr="00183ABF">
        <w:rPr>
          <w:rFonts w:ascii="Calibri" w:hAnsi="Calibri" w:cs="Arial"/>
        </w:rPr>
        <w:t>at death.</w:t>
      </w:r>
    </w:p>
    <w:p w14:paraId="3DF1EEED" w14:textId="77777777" w:rsidR="00183ABF" w:rsidRPr="00183ABF" w:rsidRDefault="00183ABF" w:rsidP="00183ABF">
      <w:pPr>
        <w:spacing w:line="360" w:lineRule="auto"/>
        <w:ind w:firstLine="720"/>
        <w:rPr>
          <w:rFonts w:ascii="Calibri" w:hAnsi="Calibri" w:cs="Arial"/>
        </w:rPr>
      </w:pPr>
      <w:r w:rsidRPr="00183ABF">
        <w:rPr>
          <w:rFonts w:ascii="Calibri" w:hAnsi="Calibri" w:cs="Arial"/>
          <w:b/>
        </w:rPr>
        <w:t xml:space="preserve">“Testamentary LPOA or GPOA” – </w:t>
      </w:r>
      <w:r w:rsidRPr="00183ABF">
        <w:rPr>
          <w:rFonts w:ascii="Calibri" w:hAnsi="Calibri" w:cs="Arial"/>
        </w:rPr>
        <w:t>a power that is exercisable only at death, whether by will, trust or other writing (often referred to as by “deed”</w:t>
      </w:r>
      <w:r>
        <w:rPr>
          <w:rFonts w:ascii="Calibri" w:hAnsi="Calibri" w:cs="Arial"/>
        </w:rPr>
        <w:t>, even though not recorded</w:t>
      </w:r>
      <w:r w:rsidRPr="00183ABF">
        <w:rPr>
          <w:rFonts w:ascii="Calibri" w:hAnsi="Calibri" w:cs="Arial"/>
        </w:rPr>
        <w:t>)</w:t>
      </w:r>
    </w:p>
    <w:p w14:paraId="0567DB95" w14:textId="77777777" w:rsidR="00183ABF" w:rsidRPr="00183ABF" w:rsidRDefault="00183ABF" w:rsidP="00183ABF">
      <w:pPr>
        <w:spacing w:line="360" w:lineRule="auto"/>
        <w:ind w:firstLine="720"/>
        <w:rPr>
          <w:rFonts w:ascii="Calibri" w:hAnsi="Calibri" w:cs="Arial"/>
          <w:b/>
        </w:rPr>
      </w:pPr>
      <w:r w:rsidRPr="00183ABF">
        <w:rPr>
          <w:rFonts w:ascii="Calibri" w:hAnsi="Calibri" w:cs="Arial"/>
          <w:b/>
        </w:rPr>
        <w:t xml:space="preserve">“Power Trust” – </w:t>
      </w:r>
      <w:r w:rsidRPr="00183ABF">
        <w:rPr>
          <w:rFonts w:ascii="Calibri" w:hAnsi="Calibri" w:cs="Arial"/>
        </w:rPr>
        <w:t>a trust in which the settlor grants a lifetime limited power of appointment in someone other than themselves, and the permissible appointees of the power include the settlor.  This is not a universally accepted term, but I could not think of a better acronym or abbreviation for it.</w:t>
      </w:r>
      <w:r w:rsidR="00F723D1">
        <w:rPr>
          <w:rFonts w:ascii="Calibri" w:hAnsi="Calibri" w:cs="Arial"/>
        </w:rPr>
        <w:t xml:space="preserve">  See other asset protection CLE materials by author on this topic.</w:t>
      </w:r>
    </w:p>
    <w:p w14:paraId="7C5FA2AA" w14:textId="77777777" w:rsidR="005C61F2" w:rsidRDefault="005C61F2" w:rsidP="0021038D">
      <w:pPr>
        <w:jc w:val="center"/>
        <w:rPr>
          <w:rFonts w:ascii="Calibri" w:hAnsi="Calibri"/>
          <w:b/>
        </w:rPr>
        <w:sectPr w:rsidR="005C61F2" w:rsidSect="00D6794C">
          <w:endnotePr>
            <w:numFmt w:val="decimal"/>
          </w:endnotePr>
          <w:type w:val="continuous"/>
          <w:pgSz w:w="12240" w:h="15840"/>
          <w:pgMar w:top="1440" w:right="1440" w:bottom="1440" w:left="1584" w:header="720" w:footer="720" w:gutter="0"/>
          <w:pgNumType w:start="1"/>
          <w:cols w:space="720"/>
          <w:docGrid w:linePitch="360"/>
        </w:sectPr>
      </w:pPr>
    </w:p>
    <w:p w14:paraId="7BF05528" w14:textId="77777777" w:rsidR="0021038D" w:rsidRPr="00287AD1" w:rsidRDefault="0021038D" w:rsidP="00E55718">
      <w:pPr>
        <w:jc w:val="center"/>
        <w:rPr>
          <w:rFonts w:ascii="Calibri" w:hAnsi="Calibri"/>
          <w:b/>
          <w:sz w:val="28"/>
          <w:szCs w:val="28"/>
        </w:rPr>
      </w:pPr>
      <w:r w:rsidRPr="00287AD1">
        <w:rPr>
          <w:rFonts w:ascii="Calibri" w:hAnsi="Calibri"/>
          <w:b/>
          <w:sz w:val="28"/>
          <w:szCs w:val="28"/>
        </w:rPr>
        <w:lastRenderedPageBreak/>
        <w:t>Appendix of Sample Clauses, Letters, Chart</w:t>
      </w:r>
      <w:r w:rsidR="008B2B08">
        <w:rPr>
          <w:rFonts w:ascii="Calibri" w:hAnsi="Calibri"/>
          <w:b/>
          <w:sz w:val="28"/>
          <w:szCs w:val="28"/>
        </w:rPr>
        <w:t>s, Infographics</w:t>
      </w:r>
    </w:p>
    <w:p w14:paraId="4DFFD40B" w14:textId="77777777" w:rsidR="00314F83" w:rsidRPr="001C135C" w:rsidRDefault="0030612C" w:rsidP="00E55718">
      <w:pPr>
        <w:rPr>
          <w:rFonts w:ascii="Calibri" w:hAnsi="Calibri"/>
          <w:sz w:val="22"/>
        </w:rPr>
      </w:pPr>
      <w:r w:rsidRPr="001C135C">
        <w:rPr>
          <w:rFonts w:ascii="Calibri" w:hAnsi="Calibri"/>
          <w:sz w:val="22"/>
        </w:rPr>
        <w:t>“</w:t>
      </w:r>
      <w:r w:rsidR="00314F83" w:rsidRPr="001C135C">
        <w:rPr>
          <w:rFonts w:ascii="Calibri" w:hAnsi="Calibri"/>
          <w:sz w:val="22"/>
        </w:rPr>
        <w:t>With regard to excellence, it is not enough to know, but we must try to have and use it.</w:t>
      </w:r>
      <w:r w:rsidRPr="001C135C">
        <w:rPr>
          <w:rFonts w:ascii="Calibri" w:hAnsi="Calibri"/>
          <w:sz w:val="22"/>
        </w:rPr>
        <w:t>”</w:t>
      </w:r>
      <w:r w:rsidR="00314F83" w:rsidRPr="001C135C">
        <w:rPr>
          <w:rFonts w:ascii="Calibri" w:hAnsi="Calibri"/>
          <w:sz w:val="22"/>
        </w:rPr>
        <w:t xml:space="preserve"> </w:t>
      </w:r>
    </w:p>
    <w:p w14:paraId="6A769537" w14:textId="77777777" w:rsidR="00314F83" w:rsidRPr="001C135C" w:rsidRDefault="00314F83" w:rsidP="00E55718">
      <w:pPr>
        <w:pStyle w:val="ListParagraph"/>
        <w:numPr>
          <w:ilvl w:val="0"/>
          <w:numId w:val="8"/>
        </w:numPr>
        <w:rPr>
          <w:rFonts w:ascii="Calibri" w:hAnsi="Calibri"/>
          <w:sz w:val="22"/>
        </w:rPr>
      </w:pPr>
      <w:r w:rsidRPr="001C135C">
        <w:rPr>
          <w:rFonts w:ascii="Calibri" w:hAnsi="Calibri"/>
          <w:b/>
          <w:bCs/>
          <w:sz w:val="22"/>
        </w:rPr>
        <w:t>Aristotle</w:t>
      </w:r>
      <w:r w:rsidRPr="001C135C">
        <w:rPr>
          <w:rFonts w:ascii="Calibri" w:hAnsi="Calibri"/>
          <w:sz w:val="22"/>
        </w:rPr>
        <w:t xml:space="preserve">, </w:t>
      </w:r>
      <w:r w:rsidRPr="001C135C">
        <w:rPr>
          <w:rFonts w:ascii="Calibri" w:hAnsi="Calibri"/>
          <w:i/>
          <w:iCs/>
          <w:sz w:val="22"/>
        </w:rPr>
        <w:t>Nichomachean Ethics</w:t>
      </w:r>
    </w:p>
    <w:p w14:paraId="62475C69" w14:textId="77777777" w:rsidR="0021038D" w:rsidRPr="00287AD1" w:rsidRDefault="00042647" w:rsidP="00E55718">
      <w:pPr>
        <w:rPr>
          <w:rFonts w:ascii="Calibri" w:hAnsi="Calibri"/>
          <w:b/>
        </w:rPr>
      </w:pPr>
      <w:r w:rsidRPr="001C135C">
        <w:rPr>
          <w:rFonts w:ascii="Calibri" w:hAnsi="Calibri"/>
          <w:sz w:val="22"/>
        </w:rPr>
        <w:t xml:space="preserve">“It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who comes short again and again, because there is no effort without error and shortcoming; but who does actually strive to do the deeds; who knows great enthusiasms, the great devotions; who spends himself in a worthy cause; who at the best knows in the end the triumph of high achievement, and who at the worst, if he fails, at least fails while daring greatly, so that his place shall never be with those cold and timid souls who neither know victory nor defeat.” ― </w:t>
      </w:r>
      <w:r w:rsidRPr="001C135C">
        <w:rPr>
          <w:rFonts w:ascii="Calibri" w:hAnsi="Calibri"/>
          <w:b/>
          <w:sz w:val="22"/>
        </w:rPr>
        <w:t>Theodore Roosevelt</w:t>
      </w:r>
      <w:r w:rsidR="0021038D" w:rsidRPr="001C135C">
        <w:rPr>
          <w:rFonts w:ascii="Calibri" w:hAnsi="Calibri"/>
          <w:sz w:val="22"/>
        </w:rPr>
        <w:tab/>
      </w:r>
      <w:r w:rsidR="0021038D" w:rsidRPr="00287AD1">
        <w:rPr>
          <w:rFonts w:ascii="Calibri" w:hAnsi="Calibri"/>
        </w:rPr>
        <w:tab/>
      </w:r>
      <w:r w:rsidR="0021038D" w:rsidRPr="00287AD1">
        <w:rPr>
          <w:rFonts w:ascii="Calibri" w:hAnsi="Calibri"/>
        </w:rPr>
        <w:tab/>
      </w:r>
      <w:r w:rsidR="0021038D" w:rsidRPr="00287AD1">
        <w:rPr>
          <w:rFonts w:ascii="Calibri" w:hAnsi="Calibri"/>
        </w:rPr>
        <w:tab/>
      </w:r>
      <w:r w:rsidR="0021038D" w:rsidRPr="00287AD1">
        <w:rPr>
          <w:rFonts w:ascii="Calibri" w:hAnsi="Calibri"/>
        </w:rPr>
        <w:tab/>
      </w:r>
      <w:r w:rsidR="0021038D" w:rsidRPr="00287AD1">
        <w:rPr>
          <w:rFonts w:ascii="Calibri" w:hAnsi="Calibri"/>
        </w:rPr>
        <w:tab/>
      </w:r>
      <w:r w:rsidR="0021038D" w:rsidRPr="00287AD1">
        <w:rPr>
          <w:rFonts w:ascii="Calibri" w:hAnsi="Calibri"/>
        </w:rPr>
        <w:tab/>
      </w:r>
      <w:r w:rsidR="0021038D">
        <w:rPr>
          <w:rFonts w:ascii="Calibri" w:hAnsi="Calibri"/>
        </w:rPr>
        <w:tab/>
      </w:r>
      <w:r w:rsidR="0030612C">
        <w:rPr>
          <w:rFonts w:ascii="Calibri" w:hAnsi="Calibri"/>
        </w:rPr>
        <w:tab/>
      </w:r>
      <w:r w:rsidR="0030612C">
        <w:rPr>
          <w:rFonts w:ascii="Calibri" w:hAnsi="Calibri"/>
        </w:rPr>
        <w:tab/>
      </w:r>
      <w:r w:rsidR="0030612C">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21038D" w:rsidRPr="00287AD1">
        <w:rPr>
          <w:rFonts w:ascii="Calibri" w:hAnsi="Calibri"/>
          <w:b/>
        </w:rPr>
        <w:t>Page</w:t>
      </w:r>
    </w:p>
    <w:p w14:paraId="66B10487" w14:textId="77777777" w:rsidR="0021038D" w:rsidRPr="00287AD1" w:rsidRDefault="0021038D" w:rsidP="00E55718">
      <w:pPr>
        <w:numPr>
          <w:ilvl w:val="0"/>
          <w:numId w:val="12"/>
        </w:numPr>
        <w:ind w:hanging="720"/>
        <w:rPr>
          <w:rFonts w:ascii="Calibri" w:hAnsi="Calibri"/>
        </w:rPr>
      </w:pPr>
      <w:r w:rsidRPr="00287AD1">
        <w:rPr>
          <w:rFonts w:ascii="Calibri" w:hAnsi="Calibri"/>
        </w:rPr>
        <w:t>Formula testamentary GPOA with ordering rule</w:t>
      </w:r>
      <w:r w:rsidR="00AA3902">
        <w:rPr>
          <w:rFonts w:ascii="Calibri" w:hAnsi="Calibri"/>
        </w:rPr>
        <w:t>s</w:t>
      </w:r>
      <w:r w:rsidR="00920773">
        <w:rPr>
          <w:rFonts w:ascii="Calibri" w:hAnsi="Calibri"/>
        </w:rPr>
        <w:t>, non-adverse party consent</w:t>
      </w:r>
      <w:r>
        <w:rPr>
          <w:rFonts w:ascii="Calibri" w:hAnsi="Calibri"/>
        </w:rPr>
        <w:tab/>
      </w:r>
      <w:r w:rsidRPr="00287AD1">
        <w:rPr>
          <w:rFonts w:ascii="Calibri" w:hAnsi="Calibri"/>
        </w:rPr>
        <w:t>A-1</w:t>
      </w:r>
    </w:p>
    <w:p w14:paraId="3007ADD3" w14:textId="77777777" w:rsidR="00820CAC" w:rsidRDefault="00820CAC" w:rsidP="00E55718">
      <w:pPr>
        <w:numPr>
          <w:ilvl w:val="0"/>
          <w:numId w:val="12"/>
        </w:numPr>
        <w:ind w:hanging="720"/>
        <w:rPr>
          <w:rFonts w:ascii="Calibri" w:hAnsi="Calibri"/>
        </w:rPr>
      </w:pPr>
      <w:r>
        <w:rPr>
          <w:rFonts w:ascii="Calibri" w:hAnsi="Calibri"/>
        </w:rPr>
        <w:t xml:space="preserve">Formula testamentary GPOA </w:t>
      </w:r>
      <w:r w:rsidRPr="00A7015B">
        <w:rPr>
          <w:rFonts w:ascii="Calibri" w:hAnsi="Calibri"/>
          <w:i/>
        </w:rPr>
        <w:t>tracking GST exclusion available</w:t>
      </w:r>
      <w:r>
        <w:rPr>
          <w:rFonts w:ascii="Calibri" w:hAnsi="Calibri"/>
        </w:rPr>
        <w:tab/>
      </w:r>
      <w:r>
        <w:rPr>
          <w:rFonts w:ascii="Calibri" w:hAnsi="Calibri"/>
        </w:rPr>
        <w:tab/>
      </w:r>
      <w:r>
        <w:rPr>
          <w:rFonts w:ascii="Calibri" w:hAnsi="Calibri"/>
        </w:rPr>
        <w:tab/>
        <w:t>A-</w:t>
      </w:r>
      <w:r w:rsidR="00A7015B">
        <w:rPr>
          <w:rFonts w:ascii="Calibri" w:hAnsi="Calibri"/>
        </w:rPr>
        <w:t>10</w:t>
      </w:r>
    </w:p>
    <w:p w14:paraId="31A43804" w14:textId="77777777" w:rsidR="0021038D" w:rsidRPr="00A7015B" w:rsidRDefault="0021038D" w:rsidP="00E55718">
      <w:pPr>
        <w:numPr>
          <w:ilvl w:val="0"/>
          <w:numId w:val="12"/>
        </w:numPr>
        <w:ind w:hanging="720"/>
        <w:rPr>
          <w:rFonts w:ascii="Calibri" w:hAnsi="Calibri"/>
        </w:rPr>
      </w:pPr>
      <w:r w:rsidRPr="00287AD1">
        <w:rPr>
          <w:rFonts w:ascii="Calibri" w:hAnsi="Calibri"/>
        </w:rPr>
        <w:t>Simple formula GPOA</w:t>
      </w:r>
      <w:r w:rsidR="00A7015B">
        <w:rPr>
          <w:rFonts w:ascii="Calibri" w:hAnsi="Calibri"/>
        </w:rPr>
        <w:t>s</w:t>
      </w:r>
      <w:r w:rsidRPr="00287AD1">
        <w:rPr>
          <w:rFonts w:ascii="Calibri" w:hAnsi="Calibri"/>
        </w:rPr>
        <w:t xml:space="preserve"> without ordering rule</w:t>
      </w:r>
      <w:r w:rsidRPr="00287AD1">
        <w:rPr>
          <w:rFonts w:ascii="Calibri" w:hAnsi="Calibri"/>
        </w:rPr>
        <w:tab/>
      </w:r>
      <w:r w:rsidRPr="00287AD1">
        <w:rPr>
          <w:rFonts w:ascii="Calibri" w:hAnsi="Calibri"/>
        </w:rPr>
        <w:tab/>
      </w:r>
      <w:r w:rsidRPr="00287AD1">
        <w:rPr>
          <w:rFonts w:ascii="Calibri" w:hAnsi="Calibri"/>
        </w:rPr>
        <w:tab/>
      </w:r>
      <w:r w:rsidRPr="00287AD1">
        <w:rPr>
          <w:rFonts w:ascii="Calibri" w:hAnsi="Calibri"/>
        </w:rPr>
        <w:tab/>
      </w:r>
      <w:r>
        <w:rPr>
          <w:rFonts w:ascii="Calibri" w:hAnsi="Calibri"/>
        </w:rPr>
        <w:tab/>
      </w:r>
      <w:r w:rsidR="00427079">
        <w:rPr>
          <w:rFonts w:ascii="Calibri" w:hAnsi="Calibri"/>
        </w:rPr>
        <w:t>A-1</w:t>
      </w:r>
      <w:r w:rsidR="00A7015B">
        <w:rPr>
          <w:rFonts w:ascii="Calibri" w:hAnsi="Calibri"/>
        </w:rPr>
        <w:t>3</w:t>
      </w:r>
    </w:p>
    <w:p w14:paraId="0405CC6C" w14:textId="77777777" w:rsidR="009B3B4A" w:rsidRDefault="009B3B4A" w:rsidP="00E55718">
      <w:pPr>
        <w:pStyle w:val="ListParagraph"/>
        <w:numPr>
          <w:ilvl w:val="0"/>
          <w:numId w:val="12"/>
        </w:numPr>
        <w:ind w:hanging="720"/>
        <w:rPr>
          <w:rFonts w:ascii="Calibri" w:hAnsi="Calibri"/>
        </w:rPr>
      </w:pPr>
      <w:r w:rsidRPr="009B3B4A">
        <w:rPr>
          <w:rFonts w:ascii="Calibri" w:hAnsi="Calibri"/>
        </w:rPr>
        <w:t xml:space="preserve">Additional Language to </w:t>
      </w:r>
      <w:r>
        <w:rPr>
          <w:rFonts w:ascii="Calibri" w:hAnsi="Calibri"/>
        </w:rPr>
        <w:t>cap</w:t>
      </w:r>
      <w:r w:rsidRPr="009B3B4A">
        <w:rPr>
          <w:rFonts w:ascii="Calibri" w:hAnsi="Calibri"/>
        </w:rPr>
        <w:t xml:space="preserve"> a testamentary GPOA in the event a </w:t>
      </w:r>
    </w:p>
    <w:p w14:paraId="6D7FEBFA" w14:textId="77777777" w:rsidR="009B3B4A" w:rsidRPr="009B3B4A" w:rsidRDefault="009B3B4A" w:rsidP="00E55718">
      <w:pPr>
        <w:pStyle w:val="ListParagraph"/>
        <w:rPr>
          <w:rFonts w:ascii="Calibri" w:hAnsi="Calibri"/>
        </w:rPr>
      </w:pPr>
      <w:r w:rsidRPr="009B3B4A">
        <w:rPr>
          <w:rFonts w:ascii="Calibri" w:hAnsi="Calibri"/>
        </w:rPr>
        <w:t xml:space="preserve">Power Holder’s </w:t>
      </w:r>
      <w:r w:rsidR="00A7015B">
        <w:rPr>
          <w:rFonts w:ascii="Calibri" w:hAnsi="Calibri"/>
        </w:rPr>
        <w:t>e</w:t>
      </w:r>
      <w:r w:rsidRPr="009B3B4A">
        <w:rPr>
          <w:rFonts w:ascii="Calibri" w:hAnsi="Calibri"/>
        </w:rPr>
        <w:t xml:space="preserve">state is </w:t>
      </w:r>
      <w:r w:rsidR="00A7015B">
        <w:rPr>
          <w:rFonts w:ascii="Calibri" w:hAnsi="Calibri"/>
        </w:rPr>
        <w:t>s</w:t>
      </w:r>
      <w:r w:rsidRPr="009B3B4A">
        <w:rPr>
          <w:rFonts w:ascii="Calibri" w:hAnsi="Calibri"/>
        </w:rPr>
        <w:t xml:space="preserve">ubstantially </w:t>
      </w:r>
      <w:r w:rsidR="00A7015B">
        <w:rPr>
          <w:rFonts w:ascii="Calibri" w:hAnsi="Calibri"/>
        </w:rPr>
        <w:t>i</w:t>
      </w:r>
      <w:r w:rsidRPr="009B3B4A">
        <w:rPr>
          <w:rFonts w:ascii="Calibri" w:hAnsi="Calibri"/>
        </w:rPr>
        <w:t>nsolvent</w:t>
      </w:r>
      <w:r w:rsidR="00A7015B">
        <w:rPr>
          <w:rFonts w:ascii="Calibri" w:hAnsi="Calibri"/>
        </w:rPr>
        <w:tab/>
      </w:r>
      <w:r w:rsidR="00A7015B">
        <w:rPr>
          <w:rFonts w:ascii="Calibri" w:hAnsi="Calibri"/>
        </w:rPr>
        <w:tab/>
      </w:r>
      <w:r w:rsidR="00A7015B">
        <w:rPr>
          <w:rFonts w:ascii="Calibri" w:hAnsi="Calibri"/>
        </w:rPr>
        <w:tab/>
      </w:r>
      <w:r w:rsidR="00A7015B">
        <w:rPr>
          <w:rFonts w:ascii="Calibri" w:hAnsi="Calibri"/>
        </w:rPr>
        <w:tab/>
      </w:r>
      <w:r w:rsidR="00A7015B">
        <w:rPr>
          <w:rFonts w:ascii="Calibri" w:hAnsi="Calibri"/>
        </w:rPr>
        <w:tab/>
        <w:t>A-14</w:t>
      </w:r>
    </w:p>
    <w:p w14:paraId="5F8CBE1E" w14:textId="77777777" w:rsidR="0021038D" w:rsidRPr="009B3B4A" w:rsidRDefault="0021038D" w:rsidP="00E55718">
      <w:pPr>
        <w:pStyle w:val="ListParagraph"/>
        <w:numPr>
          <w:ilvl w:val="0"/>
          <w:numId w:val="12"/>
        </w:numPr>
        <w:tabs>
          <w:tab w:val="clear" w:pos="720"/>
          <w:tab w:val="num" w:pos="0"/>
        </w:tabs>
        <w:ind w:hanging="720"/>
        <w:rPr>
          <w:rFonts w:ascii="Calibri" w:hAnsi="Calibri"/>
        </w:rPr>
      </w:pPr>
      <w:r w:rsidRPr="009B3B4A">
        <w:rPr>
          <w:rFonts w:ascii="Calibri" w:hAnsi="Calibri"/>
        </w:rPr>
        <w:t xml:space="preserve">Exercise of testamentary LPOA to </w:t>
      </w:r>
      <w:r w:rsidR="00A7015B">
        <w:rPr>
          <w:rFonts w:ascii="Calibri" w:hAnsi="Calibri"/>
        </w:rPr>
        <w:t>trigger Delaware Tax Trap</w:t>
      </w:r>
      <w:r w:rsidR="00A7015B">
        <w:rPr>
          <w:rFonts w:ascii="Calibri" w:hAnsi="Calibri"/>
        </w:rPr>
        <w:tab/>
      </w:r>
      <w:r w:rsidR="00A7015B">
        <w:rPr>
          <w:rFonts w:ascii="Calibri" w:hAnsi="Calibri"/>
        </w:rPr>
        <w:tab/>
      </w:r>
      <w:r w:rsidR="00A7015B">
        <w:rPr>
          <w:rFonts w:ascii="Calibri" w:hAnsi="Calibri"/>
        </w:rPr>
        <w:tab/>
        <w:t>A-15</w:t>
      </w:r>
    </w:p>
    <w:p w14:paraId="35667F1C" w14:textId="77777777" w:rsidR="00001812" w:rsidRDefault="00001812" w:rsidP="00E55718">
      <w:pPr>
        <w:rPr>
          <w:rFonts w:ascii="Calibri" w:hAnsi="Calibri"/>
        </w:rPr>
      </w:pPr>
      <w:r>
        <w:rPr>
          <w:rFonts w:ascii="Calibri" w:hAnsi="Calibri"/>
        </w:rPr>
        <w:t>6)</w:t>
      </w:r>
      <w:r>
        <w:rPr>
          <w:rFonts w:ascii="Calibri" w:hAnsi="Calibri"/>
        </w:rPr>
        <w:tab/>
        <w:t>Sample language to retain LPOA in</w:t>
      </w:r>
      <w:r w:rsidR="00A7015B">
        <w:rPr>
          <w:rFonts w:ascii="Calibri" w:hAnsi="Calibri"/>
        </w:rPr>
        <w:t xml:space="preserve"> disclaimer funded trust</w:t>
      </w:r>
      <w:r w:rsidR="00A7015B">
        <w:rPr>
          <w:rFonts w:ascii="Calibri" w:hAnsi="Calibri"/>
        </w:rPr>
        <w:tab/>
      </w:r>
      <w:r w:rsidR="00A7015B">
        <w:rPr>
          <w:rFonts w:ascii="Calibri" w:hAnsi="Calibri"/>
        </w:rPr>
        <w:tab/>
      </w:r>
      <w:r w:rsidR="00A7015B">
        <w:rPr>
          <w:rFonts w:ascii="Calibri" w:hAnsi="Calibri"/>
        </w:rPr>
        <w:tab/>
      </w:r>
      <w:r w:rsidR="00A7015B">
        <w:rPr>
          <w:rFonts w:ascii="Calibri" w:hAnsi="Calibri"/>
        </w:rPr>
        <w:tab/>
        <w:t>A-16</w:t>
      </w:r>
    </w:p>
    <w:p w14:paraId="38271277" w14:textId="77777777" w:rsidR="001B5245" w:rsidRPr="001B5245" w:rsidRDefault="001B5245" w:rsidP="00E55718">
      <w:pPr>
        <w:rPr>
          <w:rFonts w:ascii="Calibri" w:hAnsi="Calibri"/>
        </w:rPr>
      </w:pPr>
      <w:r>
        <w:rPr>
          <w:rFonts w:ascii="Calibri" w:hAnsi="Calibri"/>
        </w:rPr>
        <w:t xml:space="preserve">7) </w:t>
      </w:r>
      <w:r>
        <w:rPr>
          <w:rFonts w:ascii="Calibri" w:hAnsi="Calibri"/>
        </w:rPr>
        <w:tab/>
        <w:t>Infographic and language</w:t>
      </w:r>
      <w:r w:rsidRPr="001B5245">
        <w:rPr>
          <w:rFonts w:ascii="Calibri" w:hAnsi="Calibri"/>
        </w:rPr>
        <w:t xml:space="preserve"> </w:t>
      </w:r>
      <w:r>
        <w:rPr>
          <w:rFonts w:ascii="Calibri" w:hAnsi="Calibri"/>
        </w:rPr>
        <w:t>T</w:t>
      </w:r>
      <w:r w:rsidRPr="001B5245">
        <w:rPr>
          <w:rFonts w:ascii="Calibri" w:hAnsi="Calibri"/>
        </w:rPr>
        <w:t>ax Shifting of Inherited Retirement Plan Distributions</w:t>
      </w:r>
      <w:r>
        <w:rPr>
          <w:rFonts w:ascii="Calibri" w:hAnsi="Calibri"/>
        </w:rPr>
        <w:t xml:space="preserve">  A-17</w:t>
      </w:r>
    </w:p>
    <w:p w14:paraId="4DFC2909" w14:textId="77777777" w:rsidR="001B2162" w:rsidRPr="00287AD1" w:rsidRDefault="001B2162" w:rsidP="00E55718">
      <w:pPr>
        <w:rPr>
          <w:rFonts w:ascii="Calibri" w:hAnsi="Calibri"/>
        </w:rPr>
      </w:pPr>
      <w:r>
        <w:rPr>
          <w:rFonts w:ascii="Calibri" w:hAnsi="Calibri"/>
        </w:rPr>
        <w:t>7)</w:t>
      </w:r>
      <w:r>
        <w:rPr>
          <w:rFonts w:ascii="Calibri" w:hAnsi="Calibri"/>
        </w:rPr>
        <w:tab/>
        <w:t xml:space="preserve">Sample partial release where LPOA retained </w:t>
      </w:r>
      <w:r w:rsidR="001B5245">
        <w:rPr>
          <w:rFonts w:ascii="Calibri" w:hAnsi="Calibri"/>
        </w:rPr>
        <w:t>in disclaimer funded trust</w:t>
      </w:r>
      <w:r w:rsidR="001B5245">
        <w:rPr>
          <w:rFonts w:ascii="Calibri" w:hAnsi="Calibri"/>
        </w:rPr>
        <w:tab/>
      </w:r>
      <w:r w:rsidR="001B5245">
        <w:rPr>
          <w:rFonts w:ascii="Calibri" w:hAnsi="Calibri"/>
        </w:rPr>
        <w:tab/>
        <w:t>A-19</w:t>
      </w:r>
    </w:p>
    <w:p w14:paraId="5DBF14E3" w14:textId="77777777" w:rsidR="001B2162" w:rsidRDefault="00AA3902" w:rsidP="00E55718">
      <w:pPr>
        <w:rPr>
          <w:rFonts w:ascii="Calibri" w:hAnsi="Calibri"/>
        </w:rPr>
      </w:pPr>
      <w:r>
        <w:rPr>
          <w:rFonts w:ascii="Calibri" w:hAnsi="Calibri"/>
        </w:rPr>
        <w:t>8</w:t>
      </w:r>
      <w:r w:rsidR="0021038D" w:rsidRPr="00287AD1">
        <w:rPr>
          <w:rFonts w:ascii="Calibri" w:hAnsi="Calibri"/>
        </w:rPr>
        <w:t>)</w:t>
      </w:r>
      <w:r w:rsidR="0021038D" w:rsidRPr="00287AD1">
        <w:rPr>
          <w:rFonts w:ascii="Calibri" w:hAnsi="Calibri"/>
        </w:rPr>
        <w:tab/>
      </w:r>
      <w:r w:rsidR="001B2162">
        <w:rPr>
          <w:rFonts w:ascii="Calibri" w:hAnsi="Calibri"/>
        </w:rPr>
        <w:t>Sample lifetime limited power of appointment (incl</w:t>
      </w:r>
      <w:r w:rsidR="00F7361D">
        <w:rPr>
          <w:rFonts w:ascii="Calibri" w:hAnsi="Calibri"/>
        </w:rPr>
        <w:t>uding</w:t>
      </w:r>
      <w:r w:rsidR="001B2162">
        <w:rPr>
          <w:rFonts w:ascii="Calibri" w:hAnsi="Calibri"/>
        </w:rPr>
        <w:t xml:space="preserve"> charities</w:t>
      </w:r>
      <w:r w:rsidR="001B5245">
        <w:rPr>
          <w:rFonts w:ascii="Calibri" w:hAnsi="Calibri"/>
        </w:rPr>
        <w:t xml:space="preserve"> w/limit</w:t>
      </w:r>
      <w:r w:rsidR="001B2162">
        <w:rPr>
          <w:rFonts w:ascii="Calibri" w:hAnsi="Calibri"/>
        </w:rPr>
        <w:t>)</w:t>
      </w:r>
      <w:r w:rsidR="001B2162">
        <w:rPr>
          <w:rFonts w:ascii="Calibri" w:hAnsi="Calibri"/>
        </w:rPr>
        <w:tab/>
      </w:r>
      <w:r w:rsidR="001B5245">
        <w:rPr>
          <w:rFonts w:ascii="Calibri" w:hAnsi="Calibri"/>
        </w:rPr>
        <w:t>A-21</w:t>
      </w:r>
    </w:p>
    <w:p w14:paraId="06912169" w14:textId="77777777" w:rsidR="00FC40C4" w:rsidRDefault="001B2162" w:rsidP="00E55718">
      <w:pPr>
        <w:rPr>
          <w:rFonts w:ascii="Calibri" w:hAnsi="Calibri"/>
          <w:lang w:val="en"/>
        </w:rPr>
      </w:pPr>
      <w:r>
        <w:rPr>
          <w:rFonts w:ascii="Calibri" w:hAnsi="Calibri"/>
        </w:rPr>
        <w:t xml:space="preserve">9) </w:t>
      </w:r>
      <w:r>
        <w:rPr>
          <w:rFonts w:ascii="Calibri" w:hAnsi="Calibri"/>
        </w:rPr>
        <w:tab/>
      </w:r>
      <w:r w:rsidRPr="001B2162">
        <w:rPr>
          <w:rFonts w:ascii="Calibri" w:hAnsi="Calibri"/>
          <w:lang w:val="en"/>
        </w:rPr>
        <w:t xml:space="preserve">Sample collateral lifetime limited power of appointment </w:t>
      </w:r>
      <w:r w:rsidR="001B5245">
        <w:rPr>
          <w:rFonts w:ascii="Calibri" w:hAnsi="Calibri"/>
          <w:lang w:val="en"/>
        </w:rPr>
        <w:tab/>
      </w:r>
      <w:r w:rsidR="001B5245">
        <w:rPr>
          <w:rFonts w:ascii="Calibri" w:hAnsi="Calibri"/>
          <w:lang w:val="en"/>
        </w:rPr>
        <w:tab/>
      </w:r>
      <w:r w:rsidR="001B5245">
        <w:rPr>
          <w:rFonts w:ascii="Calibri" w:hAnsi="Calibri"/>
          <w:lang w:val="en"/>
        </w:rPr>
        <w:tab/>
      </w:r>
      <w:r w:rsidR="001B5245">
        <w:rPr>
          <w:rFonts w:ascii="Calibri" w:hAnsi="Calibri"/>
          <w:lang w:val="en"/>
        </w:rPr>
        <w:tab/>
        <w:t>A-24</w:t>
      </w:r>
    </w:p>
    <w:p w14:paraId="08BB5D90" w14:textId="77777777" w:rsidR="0021038D" w:rsidRPr="00287AD1" w:rsidRDefault="00FC40C4" w:rsidP="00E55718">
      <w:pPr>
        <w:rPr>
          <w:rFonts w:ascii="Calibri" w:hAnsi="Calibri"/>
        </w:rPr>
      </w:pPr>
      <w:r>
        <w:rPr>
          <w:rFonts w:ascii="Calibri" w:hAnsi="Calibri"/>
        </w:rPr>
        <w:t>10</w:t>
      </w:r>
      <w:r w:rsidR="0021038D" w:rsidRPr="00287AD1">
        <w:rPr>
          <w:rFonts w:ascii="Calibri" w:hAnsi="Calibri"/>
        </w:rPr>
        <w:t xml:space="preserve">) </w:t>
      </w:r>
      <w:r w:rsidR="0021038D" w:rsidRPr="00287AD1">
        <w:rPr>
          <w:rFonts w:ascii="Calibri" w:hAnsi="Calibri"/>
        </w:rPr>
        <w:tab/>
      </w:r>
      <w:r w:rsidR="001B5245">
        <w:rPr>
          <w:rFonts w:ascii="Calibri" w:hAnsi="Calibri"/>
        </w:rPr>
        <w:t>Sample language</w:t>
      </w:r>
      <w:r w:rsidR="0021038D" w:rsidRPr="00287AD1">
        <w:rPr>
          <w:rFonts w:ascii="Calibri" w:hAnsi="Calibri"/>
        </w:rPr>
        <w:t xml:space="preserve"> for including various capital gains as part of </w:t>
      </w:r>
      <w:r w:rsidR="001B5245">
        <w:rPr>
          <w:rFonts w:ascii="Calibri" w:hAnsi="Calibri"/>
        </w:rPr>
        <w:t xml:space="preserve">DNI </w:t>
      </w:r>
      <w:r w:rsidR="0021038D" w:rsidRPr="00287AD1">
        <w:rPr>
          <w:rFonts w:ascii="Calibri" w:hAnsi="Calibri"/>
        </w:rPr>
        <w:t>distribution</w:t>
      </w:r>
      <w:r w:rsidR="0021038D">
        <w:rPr>
          <w:rFonts w:ascii="Calibri" w:hAnsi="Calibri"/>
        </w:rPr>
        <w:tab/>
      </w:r>
      <w:r w:rsidR="001B5245">
        <w:rPr>
          <w:rFonts w:ascii="Calibri" w:hAnsi="Calibri"/>
        </w:rPr>
        <w:t>A-25</w:t>
      </w:r>
    </w:p>
    <w:p w14:paraId="17011B6E" w14:textId="77777777" w:rsidR="00375B72" w:rsidRDefault="0021038D" w:rsidP="00E55718">
      <w:pPr>
        <w:rPr>
          <w:rFonts w:ascii="Calibri" w:hAnsi="Calibri"/>
        </w:rPr>
      </w:pPr>
      <w:r w:rsidRPr="00287AD1">
        <w:rPr>
          <w:rFonts w:ascii="Calibri" w:hAnsi="Calibri"/>
        </w:rPr>
        <w:t>1</w:t>
      </w:r>
      <w:r w:rsidR="00FC40C4">
        <w:rPr>
          <w:rFonts w:ascii="Calibri" w:hAnsi="Calibri"/>
        </w:rPr>
        <w:t>1</w:t>
      </w:r>
      <w:r w:rsidRPr="00287AD1">
        <w:rPr>
          <w:rFonts w:ascii="Calibri" w:hAnsi="Calibri"/>
        </w:rPr>
        <w:t xml:space="preserve">) </w:t>
      </w:r>
      <w:r w:rsidRPr="00287AD1">
        <w:rPr>
          <w:rFonts w:ascii="Calibri" w:hAnsi="Calibri"/>
        </w:rPr>
        <w:tab/>
      </w:r>
      <w:r w:rsidR="00FC40C4" w:rsidRPr="00287AD1">
        <w:rPr>
          <w:rFonts w:ascii="Calibri" w:hAnsi="Calibri"/>
        </w:rPr>
        <w:t xml:space="preserve">Proposed statute for </w:t>
      </w:r>
      <w:r w:rsidR="00FC40C4">
        <w:rPr>
          <w:rFonts w:ascii="Calibri" w:hAnsi="Calibri"/>
        </w:rPr>
        <w:t>o</w:t>
      </w:r>
      <w:r w:rsidR="00FC40C4" w:rsidRPr="00287AD1">
        <w:rPr>
          <w:rFonts w:ascii="Calibri" w:hAnsi="Calibri"/>
        </w:rPr>
        <w:t>pt-in Delaware Tax Trap triggering for broad LPOAs</w:t>
      </w:r>
      <w:r w:rsidR="00FC40C4" w:rsidRPr="00287AD1">
        <w:rPr>
          <w:rFonts w:ascii="Calibri" w:hAnsi="Calibri"/>
        </w:rPr>
        <w:tab/>
      </w:r>
      <w:r w:rsidR="00FC40C4">
        <w:rPr>
          <w:rFonts w:ascii="Calibri" w:hAnsi="Calibri"/>
        </w:rPr>
        <w:tab/>
      </w:r>
      <w:r w:rsidR="00FC40C4" w:rsidRPr="00287AD1">
        <w:rPr>
          <w:rFonts w:ascii="Calibri" w:hAnsi="Calibri"/>
        </w:rPr>
        <w:t>A-</w:t>
      </w:r>
      <w:r w:rsidR="001B5245">
        <w:rPr>
          <w:rFonts w:ascii="Calibri" w:hAnsi="Calibri"/>
        </w:rPr>
        <w:t>26</w:t>
      </w:r>
    </w:p>
    <w:p w14:paraId="208614B1" w14:textId="77777777" w:rsidR="00375B72" w:rsidRDefault="00FC40C4" w:rsidP="00E55718">
      <w:pPr>
        <w:tabs>
          <w:tab w:val="left" w:pos="100"/>
        </w:tabs>
        <w:autoSpaceDE w:val="0"/>
        <w:autoSpaceDN w:val="0"/>
        <w:adjustRightInd w:val="0"/>
        <w:rPr>
          <w:rFonts w:ascii="Calibri" w:hAnsi="Calibri"/>
        </w:rPr>
      </w:pPr>
      <w:r>
        <w:rPr>
          <w:rFonts w:ascii="Calibri" w:hAnsi="Calibri"/>
        </w:rPr>
        <w:t>12</w:t>
      </w:r>
      <w:r w:rsidR="00375B72">
        <w:rPr>
          <w:rFonts w:ascii="Calibri" w:hAnsi="Calibri"/>
        </w:rPr>
        <w:t xml:space="preserve">) </w:t>
      </w:r>
      <w:r w:rsidR="00375B72">
        <w:rPr>
          <w:rFonts w:ascii="Calibri" w:hAnsi="Calibri"/>
        </w:rPr>
        <w:tab/>
        <w:t xml:space="preserve">Decanting </w:t>
      </w:r>
      <w:r w:rsidR="00F7361D">
        <w:rPr>
          <w:rFonts w:ascii="Calibri" w:hAnsi="Calibri"/>
        </w:rPr>
        <w:t>a discretionary trust to add a</w:t>
      </w:r>
      <w:r w:rsidR="00375B72">
        <w:rPr>
          <w:rFonts w:ascii="Calibri" w:hAnsi="Calibri"/>
        </w:rPr>
        <w:t xml:space="preserve"> </w:t>
      </w:r>
      <w:r w:rsidR="00654B9F">
        <w:rPr>
          <w:rFonts w:ascii="Calibri" w:hAnsi="Calibri"/>
        </w:rPr>
        <w:t xml:space="preserve">narrow </w:t>
      </w:r>
      <w:r w:rsidR="00375B72">
        <w:rPr>
          <w:rFonts w:ascii="Calibri" w:hAnsi="Calibri"/>
        </w:rPr>
        <w:t>GPOA</w:t>
      </w:r>
      <w:r w:rsidR="00654B9F">
        <w:rPr>
          <w:rFonts w:ascii="Calibri" w:hAnsi="Calibri"/>
        </w:rPr>
        <w:t xml:space="preserve"> or LPOA</w:t>
      </w:r>
      <w:r w:rsidR="001B5245">
        <w:rPr>
          <w:rFonts w:ascii="Calibri" w:hAnsi="Calibri"/>
        </w:rPr>
        <w:tab/>
      </w:r>
      <w:r w:rsidR="001B5245">
        <w:rPr>
          <w:rFonts w:ascii="Calibri" w:hAnsi="Calibri"/>
        </w:rPr>
        <w:tab/>
      </w:r>
      <w:r w:rsidR="001B5245">
        <w:rPr>
          <w:rFonts w:ascii="Calibri" w:hAnsi="Calibri"/>
        </w:rPr>
        <w:tab/>
        <w:t>A-27</w:t>
      </w:r>
    </w:p>
    <w:p w14:paraId="52D499F3" w14:textId="77777777" w:rsidR="00A30DC3" w:rsidRDefault="00FC40C4" w:rsidP="00E55718">
      <w:pPr>
        <w:tabs>
          <w:tab w:val="left" w:pos="100"/>
        </w:tabs>
        <w:autoSpaceDE w:val="0"/>
        <w:autoSpaceDN w:val="0"/>
        <w:adjustRightInd w:val="0"/>
        <w:rPr>
          <w:rFonts w:ascii="Calibri" w:hAnsi="Calibri"/>
        </w:rPr>
      </w:pPr>
      <w:r>
        <w:rPr>
          <w:rFonts w:ascii="Calibri" w:hAnsi="Calibri"/>
        </w:rPr>
        <w:t>13</w:t>
      </w:r>
      <w:r w:rsidR="00375B72">
        <w:rPr>
          <w:rFonts w:ascii="Calibri" w:hAnsi="Calibri"/>
        </w:rPr>
        <w:t xml:space="preserve">) </w:t>
      </w:r>
      <w:r w:rsidR="00375B72">
        <w:rPr>
          <w:rFonts w:ascii="Calibri" w:hAnsi="Calibri"/>
        </w:rPr>
        <w:tab/>
      </w:r>
      <w:r w:rsidR="00654B9F">
        <w:rPr>
          <w:rFonts w:ascii="Calibri" w:hAnsi="Calibri"/>
        </w:rPr>
        <w:t>Notice to beneficiaries of d</w:t>
      </w:r>
      <w:r w:rsidR="00375B72">
        <w:rPr>
          <w:rFonts w:ascii="Calibri" w:hAnsi="Calibri"/>
        </w:rPr>
        <w:t>ecanting to trust with LPOA</w:t>
      </w:r>
      <w:r w:rsidR="00654B9F">
        <w:rPr>
          <w:rFonts w:ascii="Calibri" w:hAnsi="Calibri"/>
        </w:rPr>
        <w:t>/GPOA</w:t>
      </w:r>
      <w:r w:rsidR="00F7361D">
        <w:rPr>
          <w:rFonts w:ascii="Calibri" w:hAnsi="Calibri"/>
        </w:rPr>
        <w:t xml:space="preserve"> (Ohio)</w:t>
      </w:r>
      <w:r w:rsidR="001B5245">
        <w:rPr>
          <w:rFonts w:ascii="Calibri" w:hAnsi="Calibri"/>
        </w:rPr>
        <w:tab/>
      </w:r>
      <w:r w:rsidR="001B5245">
        <w:rPr>
          <w:rFonts w:ascii="Calibri" w:hAnsi="Calibri"/>
        </w:rPr>
        <w:tab/>
        <w:t>A-30</w:t>
      </w:r>
    </w:p>
    <w:p w14:paraId="4122DC57" w14:textId="77777777" w:rsidR="00F7361D" w:rsidRDefault="00FC40C4" w:rsidP="00E55718">
      <w:pPr>
        <w:rPr>
          <w:rFonts w:ascii="Calibri" w:hAnsi="Calibri"/>
        </w:rPr>
      </w:pPr>
      <w:r>
        <w:rPr>
          <w:rFonts w:ascii="Calibri" w:hAnsi="Calibri"/>
        </w:rPr>
        <w:t>14</w:t>
      </w:r>
      <w:r w:rsidR="00A30DC3">
        <w:rPr>
          <w:rFonts w:ascii="Calibri" w:hAnsi="Calibri"/>
        </w:rPr>
        <w:t>)</w:t>
      </w:r>
      <w:r w:rsidR="00A30DC3">
        <w:rPr>
          <w:rFonts w:ascii="Calibri" w:hAnsi="Calibri"/>
        </w:rPr>
        <w:tab/>
      </w:r>
      <w:r w:rsidR="00F7361D">
        <w:rPr>
          <w:rFonts w:ascii="Calibri" w:hAnsi="Calibri"/>
        </w:rPr>
        <w:t xml:space="preserve">Decanting a </w:t>
      </w:r>
      <w:r w:rsidR="00F7361D" w:rsidRPr="00F7361D">
        <w:rPr>
          <w:rFonts w:ascii="Calibri" w:hAnsi="Calibri"/>
          <w:i/>
        </w:rPr>
        <w:t>non-discretionary trust (HEMS)</w:t>
      </w:r>
      <w:r w:rsidR="001B5245">
        <w:rPr>
          <w:rFonts w:ascii="Calibri" w:hAnsi="Calibri"/>
        </w:rPr>
        <w:t xml:space="preserve"> to add a narrow LPOA/GPOA</w:t>
      </w:r>
      <w:r w:rsidR="001B5245">
        <w:rPr>
          <w:rFonts w:ascii="Calibri" w:hAnsi="Calibri"/>
        </w:rPr>
        <w:tab/>
      </w:r>
      <w:r w:rsidR="001B5245">
        <w:rPr>
          <w:rFonts w:ascii="Calibri" w:hAnsi="Calibri"/>
        </w:rPr>
        <w:tab/>
        <w:t>A-31</w:t>
      </w:r>
      <w:r w:rsidR="00F7361D">
        <w:rPr>
          <w:rFonts w:ascii="Calibri" w:hAnsi="Calibri"/>
        </w:rPr>
        <w:t xml:space="preserve"> </w:t>
      </w:r>
    </w:p>
    <w:p w14:paraId="716BC002" w14:textId="77777777" w:rsidR="00A30DC3" w:rsidRDefault="00F7361D" w:rsidP="00E55718">
      <w:pPr>
        <w:rPr>
          <w:rFonts w:ascii="Calibri" w:hAnsi="Calibri"/>
        </w:rPr>
      </w:pPr>
      <w:r>
        <w:rPr>
          <w:rFonts w:ascii="Calibri" w:hAnsi="Calibri"/>
        </w:rPr>
        <w:t>15)</w:t>
      </w:r>
      <w:r>
        <w:rPr>
          <w:rFonts w:ascii="Calibri" w:hAnsi="Calibri"/>
        </w:rPr>
        <w:tab/>
      </w:r>
      <w:r w:rsidR="00A30DC3">
        <w:rPr>
          <w:rFonts w:ascii="Calibri" w:hAnsi="Calibri"/>
        </w:rPr>
        <w:t>Checklist for Existing</w:t>
      </w:r>
      <w:r w:rsidR="00A30DC3" w:rsidRPr="00A30DC3">
        <w:rPr>
          <w:rFonts w:ascii="Calibri" w:hAnsi="Calibri"/>
        </w:rPr>
        <w:t xml:space="preserve"> Irrev</w:t>
      </w:r>
      <w:r w:rsidR="00AA3902">
        <w:rPr>
          <w:rFonts w:ascii="Calibri" w:hAnsi="Calibri"/>
        </w:rPr>
        <w:t>ocable</w:t>
      </w:r>
      <w:r w:rsidR="00A30DC3" w:rsidRPr="00A30DC3">
        <w:rPr>
          <w:rFonts w:ascii="Calibri" w:hAnsi="Calibri"/>
        </w:rPr>
        <w:t xml:space="preserve"> Trusts for Opportunities to Step Up Basis </w:t>
      </w:r>
      <w:r w:rsidR="008533E6">
        <w:rPr>
          <w:rFonts w:ascii="Calibri" w:hAnsi="Calibri"/>
        </w:rPr>
        <w:tab/>
        <w:t>A-34</w:t>
      </w:r>
    </w:p>
    <w:p w14:paraId="4DB1F4BA" w14:textId="77777777" w:rsidR="00C201C5" w:rsidRDefault="008533E6" w:rsidP="00E55718">
      <w:pPr>
        <w:rPr>
          <w:rFonts w:ascii="Calibri" w:hAnsi="Calibri"/>
        </w:rPr>
      </w:pPr>
      <w:r>
        <w:rPr>
          <w:rFonts w:ascii="Calibri" w:hAnsi="Calibri"/>
        </w:rPr>
        <w:t>16</w:t>
      </w:r>
      <w:r w:rsidR="00C201C5">
        <w:rPr>
          <w:rFonts w:ascii="Calibri" w:hAnsi="Calibri"/>
        </w:rPr>
        <w:t xml:space="preserve">) </w:t>
      </w:r>
      <w:r w:rsidR="00C201C5">
        <w:rPr>
          <w:rFonts w:ascii="Calibri" w:hAnsi="Calibri"/>
        </w:rPr>
        <w:tab/>
        <w:t>Forfeiture provision added to spendthrift, with c</w:t>
      </w:r>
      <w:r>
        <w:rPr>
          <w:rFonts w:ascii="Calibri" w:hAnsi="Calibri"/>
        </w:rPr>
        <w:t>arve out for QSST, IRA/678a</w:t>
      </w:r>
      <w:r>
        <w:rPr>
          <w:rFonts w:ascii="Calibri" w:hAnsi="Calibri"/>
        </w:rPr>
        <w:tab/>
        <w:t>A-36</w:t>
      </w:r>
    </w:p>
    <w:p w14:paraId="3F0661E8" w14:textId="77777777" w:rsidR="00B21DDE" w:rsidRDefault="008533E6" w:rsidP="00E55718">
      <w:pPr>
        <w:rPr>
          <w:rFonts w:ascii="Calibri" w:hAnsi="Calibri"/>
        </w:rPr>
      </w:pPr>
      <w:r>
        <w:rPr>
          <w:rFonts w:ascii="Calibri" w:hAnsi="Calibri"/>
        </w:rPr>
        <w:t>17</w:t>
      </w:r>
      <w:r w:rsidR="00DA2CAD">
        <w:rPr>
          <w:rFonts w:ascii="Calibri" w:hAnsi="Calibri"/>
        </w:rPr>
        <w:t xml:space="preserve">) </w:t>
      </w:r>
      <w:r w:rsidR="00DA2CAD">
        <w:rPr>
          <w:rFonts w:ascii="Calibri" w:hAnsi="Calibri"/>
        </w:rPr>
        <w:tab/>
        <w:t>Sample alternate disposition clause to save exc</w:t>
      </w:r>
      <w:r>
        <w:rPr>
          <w:rFonts w:ascii="Calibri" w:hAnsi="Calibri"/>
        </w:rPr>
        <w:t xml:space="preserve">lusion if DSUE/706 botched </w:t>
      </w:r>
      <w:r>
        <w:rPr>
          <w:rFonts w:ascii="Calibri" w:hAnsi="Calibri"/>
        </w:rPr>
        <w:tab/>
        <w:t>A-37</w:t>
      </w:r>
    </w:p>
    <w:p w14:paraId="72E6CF0E" w14:textId="77777777" w:rsidR="00B21DDE" w:rsidRDefault="008533E6" w:rsidP="00E55718">
      <w:pPr>
        <w:rPr>
          <w:rFonts w:ascii="Calibri" w:hAnsi="Calibri"/>
        </w:rPr>
      </w:pPr>
      <w:r>
        <w:rPr>
          <w:rFonts w:ascii="Calibri" w:hAnsi="Calibri"/>
        </w:rPr>
        <w:t>18</w:t>
      </w:r>
      <w:r w:rsidR="00B21DDE">
        <w:rPr>
          <w:rFonts w:ascii="Calibri" w:hAnsi="Calibri"/>
        </w:rPr>
        <w:t xml:space="preserve">) </w:t>
      </w:r>
      <w:r w:rsidR="00B21DDE">
        <w:rPr>
          <w:rFonts w:ascii="Calibri" w:hAnsi="Calibri"/>
        </w:rPr>
        <w:tab/>
        <w:t>Formula GPOA for GST Non-Exempt Trust for GS</w:t>
      </w:r>
      <w:r>
        <w:rPr>
          <w:rFonts w:ascii="Calibri" w:hAnsi="Calibri"/>
        </w:rPr>
        <w:t>T v. Estate tax efficiency</w:t>
      </w:r>
      <w:r>
        <w:rPr>
          <w:rFonts w:ascii="Calibri" w:hAnsi="Calibri"/>
        </w:rPr>
        <w:tab/>
      </w:r>
      <w:r>
        <w:rPr>
          <w:rFonts w:ascii="Calibri" w:hAnsi="Calibri"/>
        </w:rPr>
        <w:tab/>
        <w:t>A-38</w:t>
      </w:r>
    </w:p>
    <w:p w14:paraId="1BA23AC2" w14:textId="77777777" w:rsidR="008533E6" w:rsidRDefault="008533E6" w:rsidP="00E55718">
      <w:pPr>
        <w:rPr>
          <w:rFonts w:ascii="Calibri" w:hAnsi="Calibri"/>
        </w:rPr>
      </w:pPr>
      <w:r>
        <w:rPr>
          <w:rFonts w:ascii="Calibri" w:hAnsi="Calibri"/>
        </w:rPr>
        <w:t>19)</w:t>
      </w:r>
      <w:r>
        <w:rPr>
          <w:rFonts w:ascii="Calibri" w:hAnsi="Calibri"/>
        </w:rPr>
        <w:tab/>
        <w:t>Spousal Waiver for certain irrevocable trusts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A-39</w:t>
      </w:r>
    </w:p>
    <w:p w14:paraId="39B4E2E4" w14:textId="77777777" w:rsidR="008533E6" w:rsidRDefault="008533E6" w:rsidP="00E55718">
      <w:pPr>
        <w:rPr>
          <w:rFonts w:ascii="Calibri" w:hAnsi="Calibri"/>
        </w:rPr>
      </w:pPr>
      <w:r>
        <w:rPr>
          <w:rFonts w:ascii="Calibri" w:hAnsi="Calibri"/>
        </w:rPr>
        <w:t xml:space="preserve">20) </w:t>
      </w:r>
      <w:r>
        <w:rPr>
          <w:rFonts w:ascii="Calibri" w:hAnsi="Calibri"/>
        </w:rPr>
        <w:tab/>
        <w:t>Sample provision in Will to Exercise POA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A-40</w:t>
      </w:r>
    </w:p>
    <w:p w14:paraId="6B712A6E" w14:textId="77777777" w:rsidR="008533E6" w:rsidRDefault="008533E6" w:rsidP="00E55718">
      <w:pPr>
        <w:rPr>
          <w:rFonts w:ascii="Calibri" w:hAnsi="Calibri"/>
        </w:rPr>
      </w:pPr>
      <w:r>
        <w:rPr>
          <w:rFonts w:ascii="Calibri" w:hAnsi="Calibri"/>
        </w:rPr>
        <w:t>21</w:t>
      </w:r>
      <w:r w:rsidR="00B252B2">
        <w:rPr>
          <w:rFonts w:ascii="Calibri" w:hAnsi="Calibri"/>
        </w:rPr>
        <w:t xml:space="preserve">) </w:t>
      </w:r>
      <w:r w:rsidR="00B252B2">
        <w:rPr>
          <w:rFonts w:ascii="Calibri" w:hAnsi="Calibri"/>
        </w:rPr>
        <w:tab/>
      </w:r>
      <w:r>
        <w:rPr>
          <w:rFonts w:ascii="Calibri" w:hAnsi="Calibri"/>
        </w:rPr>
        <w:t xml:space="preserve">Infographic one-pager – </w:t>
      </w:r>
      <w:r w:rsidRPr="00CD0A99">
        <w:rPr>
          <w:rFonts w:ascii="Calibri" w:hAnsi="Calibri"/>
          <w:i/>
        </w:rPr>
        <w:t>Will Your Old AB Trust Cost You Income Tax?</w:t>
      </w:r>
      <w:r>
        <w:rPr>
          <w:rFonts w:ascii="Calibri" w:hAnsi="Calibri"/>
        </w:rPr>
        <w:tab/>
      </w:r>
      <w:r>
        <w:rPr>
          <w:rFonts w:ascii="Calibri" w:hAnsi="Calibri"/>
        </w:rPr>
        <w:tab/>
      </w:r>
    </w:p>
    <w:p w14:paraId="6F75A37C" w14:textId="77777777" w:rsidR="008533E6" w:rsidRDefault="008533E6" w:rsidP="00E55718">
      <w:pPr>
        <w:rPr>
          <w:rFonts w:ascii="Calibri" w:hAnsi="Calibri"/>
          <w:i/>
        </w:rPr>
      </w:pPr>
      <w:r>
        <w:rPr>
          <w:rFonts w:ascii="Calibri" w:hAnsi="Calibri"/>
        </w:rPr>
        <w:t xml:space="preserve">22) </w:t>
      </w:r>
      <w:r>
        <w:rPr>
          <w:rFonts w:ascii="Calibri" w:hAnsi="Calibri"/>
        </w:rPr>
        <w:tab/>
        <w:t xml:space="preserve">Infographic one-pager – </w:t>
      </w:r>
      <w:r w:rsidRPr="00B575E4">
        <w:rPr>
          <w:rFonts w:ascii="Calibri" w:hAnsi="Calibri"/>
          <w:i/>
        </w:rPr>
        <w:t>Will Your Old LLC Cost your Family Income Tax</w:t>
      </w:r>
      <w:r>
        <w:rPr>
          <w:rFonts w:ascii="Calibri" w:hAnsi="Calibri"/>
          <w:i/>
        </w:rPr>
        <w:t>?</w:t>
      </w:r>
      <w:r>
        <w:rPr>
          <w:rFonts w:ascii="Calibri" w:hAnsi="Calibri"/>
          <w:i/>
        </w:rPr>
        <w:tab/>
      </w:r>
      <w:r>
        <w:rPr>
          <w:rFonts w:ascii="Calibri" w:hAnsi="Calibri"/>
          <w:i/>
        </w:rPr>
        <w:tab/>
      </w:r>
    </w:p>
    <w:p w14:paraId="0F0DD10C" w14:textId="77777777" w:rsidR="008533E6" w:rsidRDefault="008533E6" w:rsidP="00E55718">
      <w:pPr>
        <w:rPr>
          <w:rFonts w:ascii="Calibri" w:hAnsi="Calibri"/>
        </w:rPr>
      </w:pPr>
      <w:r w:rsidRPr="008533E6">
        <w:rPr>
          <w:rFonts w:ascii="Calibri" w:hAnsi="Calibri"/>
        </w:rPr>
        <w:t>23)</w:t>
      </w:r>
      <w:r>
        <w:rPr>
          <w:rFonts w:ascii="Calibri" w:hAnsi="Calibri"/>
        </w:rPr>
        <w:tab/>
        <w:t>Comparison Chart –</w:t>
      </w:r>
      <w:r w:rsidR="00A06439">
        <w:rPr>
          <w:rFonts w:ascii="Calibri" w:hAnsi="Calibri"/>
        </w:rPr>
        <w:t xml:space="preserve"> </w:t>
      </w:r>
      <w:r w:rsidR="00A06439" w:rsidRPr="00A06439">
        <w:rPr>
          <w:rFonts w:ascii="Calibri" w:hAnsi="Calibri"/>
        </w:rPr>
        <w:t>V</w:t>
      </w:r>
      <w:r w:rsidR="00A06439">
        <w:rPr>
          <w:rFonts w:ascii="Calibri" w:hAnsi="Calibri"/>
        </w:rPr>
        <w:t>arious Trust</w:t>
      </w:r>
      <w:r w:rsidR="00A06439" w:rsidRPr="00A06439">
        <w:rPr>
          <w:rFonts w:ascii="Calibri" w:hAnsi="Calibri"/>
        </w:rPr>
        <w:t xml:space="preserve"> Options to Avoid Trapping Income in Trust</w:t>
      </w:r>
    </w:p>
    <w:p w14:paraId="20197CB9" w14:textId="77777777" w:rsidR="008533E6" w:rsidRDefault="008533E6" w:rsidP="00E55718">
      <w:pPr>
        <w:rPr>
          <w:rFonts w:ascii="Calibri" w:hAnsi="Calibri"/>
        </w:rPr>
      </w:pPr>
      <w:r>
        <w:rPr>
          <w:rFonts w:ascii="Calibri" w:hAnsi="Calibri"/>
        </w:rPr>
        <w:t xml:space="preserve">24) </w:t>
      </w:r>
      <w:r>
        <w:rPr>
          <w:rFonts w:ascii="Calibri" w:hAnsi="Calibri"/>
        </w:rPr>
        <w:tab/>
        <w:t>Comparison Chart –</w:t>
      </w:r>
      <w:r w:rsidR="00A06439">
        <w:rPr>
          <w:rFonts w:ascii="Calibri" w:hAnsi="Calibri"/>
        </w:rPr>
        <w:t xml:space="preserve"> </w:t>
      </w:r>
      <w:r w:rsidR="00A06439" w:rsidRPr="00A06439">
        <w:rPr>
          <w:rFonts w:ascii="Calibri" w:hAnsi="Calibri"/>
        </w:rPr>
        <w:t>DAPT v. Lifetime (LLPOA) Trust Design Options</w:t>
      </w:r>
    </w:p>
    <w:p w14:paraId="0CD28400" w14:textId="77777777" w:rsidR="008533E6" w:rsidRDefault="008533E6" w:rsidP="00E55718">
      <w:pPr>
        <w:rPr>
          <w:rFonts w:ascii="Calibri" w:hAnsi="Calibri"/>
        </w:rPr>
      </w:pPr>
      <w:r>
        <w:rPr>
          <w:rFonts w:ascii="Calibri" w:hAnsi="Calibri"/>
        </w:rPr>
        <w:t xml:space="preserve">25) </w:t>
      </w:r>
      <w:r>
        <w:rPr>
          <w:rFonts w:ascii="Calibri" w:hAnsi="Calibri"/>
        </w:rPr>
        <w:tab/>
        <w:t>Comparison Chart –</w:t>
      </w:r>
      <w:r w:rsidR="00A06439">
        <w:rPr>
          <w:rFonts w:ascii="Calibri" w:hAnsi="Calibri"/>
        </w:rPr>
        <w:t xml:space="preserve"> </w:t>
      </w:r>
      <w:r w:rsidR="00A06439" w:rsidRPr="00A06439">
        <w:rPr>
          <w:rFonts w:ascii="Calibri" w:hAnsi="Calibri"/>
        </w:rPr>
        <w:t xml:space="preserve">Strategies for Step Up at </w:t>
      </w:r>
      <w:r w:rsidR="00A06439" w:rsidRPr="00E55718">
        <w:rPr>
          <w:rFonts w:ascii="Calibri" w:hAnsi="Calibri"/>
          <w:i/>
        </w:rPr>
        <w:t>First Death</w:t>
      </w:r>
      <w:r w:rsidR="00A06439" w:rsidRPr="00A06439">
        <w:rPr>
          <w:rFonts w:ascii="Calibri" w:hAnsi="Calibri"/>
        </w:rPr>
        <w:t xml:space="preserve"> for Couples</w:t>
      </w:r>
    </w:p>
    <w:p w14:paraId="031EAFB9" w14:textId="77777777" w:rsidR="008533E6" w:rsidRDefault="008533E6" w:rsidP="00E55718">
      <w:pPr>
        <w:rPr>
          <w:rFonts w:ascii="Calibri" w:hAnsi="Calibri"/>
        </w:rPr>
      </w:pPr>
      <w:r>
        <w:rPr>
          <w:rFonts w:ascii="Calibri" w:hAnsi="Calibri"/>
        </w:rPr>
        <w:t xml:space="preserve">26) </w:t>
      </w:r>
      <w:r>
        <w:rPr>
          <w:rFonts w:ascii="Calibri" w:hAnsi="Calibri"/>
        </w:rPr>
        <w:tab/>
        <w:t>Comparison Chart –</w:t>
      </w:r>
      <w:r w:rsidR="00A06439">
        <w:rPr>
          <w:rFonts w:ascii="Calibri" w:hAnsi="Calibri"/>
        </w:rPr>
        <w:t xml:space="preserve"> </w:t>
      </w:r>
      <w:r w:rsidR="00A06439" w:rsidRPr="00A06439">
        <w:rPr>
          <w:rFonts w:ascii="Calibri" w:hAnsi="Calibri"/>
        </w:rPr>
        <w:t xml:space="preserve">Strategies to Achieve Step Up at 2nd Spouse's Death for </w:t>
      </w:r>
      <w:r w:rsidR="00A06439">
        <w:rPr>
          <w:rFonts w:ascii="Calibri" w:hAnsi="Calibri"/>
        </w:rPr>
        <w:t xml:space="preserve">Pre-Existing </w:t>
      </w:r>
      <w:r w:rsidR="00A06439" w:rsidRPr="00A06439">
        <w:rPr>
          <w:rFonts w:ascii="Calibri" w:hAnsi="Calibri"/>
        </w:rPr>
        <w:t>Bypass Trusts</w:t>
      </w:r>
      <w:r w:rsidR="00E55718">
        <w:rPr>
          <w:rFonts w:ascii="Calibri" w:hAnsi="Calibri"/>
        </w:rPr>
        <w:t xml:space="preserve"> (Comparing Termination v. Modification)</w:t>
      </w:r>
    </w:p>
    <w:p w14:paraId="4B47F6C4" w14:textId="77777777" w:rsidR="008533E6" w:rsidRPr="00287AD1" w:rsidRDefault="008533E6" w:rsidP="00E55718">
      <w:pPr>
        <w:rPr>
          <w:rFonts w:ascii="Calibri" w:hAnsi="Calibri"/>
        </w:rPr>
      </w:pPr>
      <w:r>
        <w:rPr>
          <w:rFonts w:ascii="Calibri" w:hAnsi="Calibri"/>
        </w:rPr>
        <w:t xml:space="preserve">27) </w:t>
      </w:r>
      <w:r>
        <w:rPr>
          <w:rFonts w:ascii="Calibri" w:hAnsi="Calibri"/>
        </w:rPr>
        <w:tab/>
        <w:t xml:space="preserve">Comparison Chart - </w:t>
      </w:r>
      <w:r w:rsidR="00A06439" w:rsidRPr="00A06439">
        <w:rPr>
          <w:rFonts w:ascii="Calibri" w:hAnsi="Calibri"/>
        </w:rPr>
        <w:t>Various Basic Trust Design Options for Married Couples</w:t>
      </w:r>
      <w:r w:rsidRPr="00287AD1">
        <w:rPr>
          <w:rFonts w:ascii="Calibri" w:hAnsi="Calibri"/>
        </w:rPr>
        <w:t xml:space="preserve"> </w:t>
      </w:r>
    </w:p>
    <w:p w14:paraId="22D29DA4" w14:textId="77777777" w:rsidR="00B252B2" w:rsidRPr="0001141A" w:rsidRDefault="00E55718" w:rsidP="00042647">
      <w:pPr>
        <w:spacing w:line="280" w:lineRule="atLeast"/>
        <w:rPr>
          <w:rFonts w:ascii="Calibri" w:hAnsi="Calibri"/>
        </w:rPr>
      </w:pPr>
      <w:r>
        <w:rPr>
          <w:rFonts w:ascii="Calibri" w:hAnsi="Calibri"/>
        </w:rPr>
        <w:t xml:space="preserve">Note: Above sample clauses are not in the publicly available version of this outline, see </w:t>
      </w:r>
      <w:hyperlink r:id="rId57" w:history="1">
        <w:r w:rsidRPr="00E36574">
          <w:rPr>
            <w:rStyle w:val="Hyperlink"/>
            <w:rFonts w:ascii="Calibri" w:hAnsi="Calibri"/>
          </w:rPr>
          <w:t>www.ultimateestateplanner.com</w:t>
        </w:r>
      </w:hyperlink>
      <w:r>
        <w:rPr>
          <w:rFonts w:ascii="Calibri" w:hAnsi="Calibri"/>
        </w:rPr>
        <w:t xml:space="preserve"> for these, with updates and additional material. </w:t>
      </w:r>
    </w:p>
    <w:p w14:paraId="04F65E4B" w14:textId="77777777" w:rsidR="00E1183C" w:rsidRPr="00E1183C" w:rsidRDefault="00375B72" w:rsidP="00FC40C4">
      <w:pPr>
        <w:tabs>
          <w:tab w:val="left" w:pos="100"/>
        </w:tabs>
        <w:autoSpaceDE w:val="0"/>
        <w:autoSpaceDN w:val="0"/>
        <w:adjustRightInd w:val="0"/>
        <w:spacing w:line="360" w:lineRule="exact"/>
        <w:rPr>
          <w:rFonts w:ascii="Calibri" w:hAnsi="Calibri"/>
          <w:b/>
          <w:color w:val="993300"/>
        </w:rPr>
      </w:pPr>
      <w:r>
        <w:rPr>
          <w:rFonts w:ascii="Calibri" w:hAnsi="Calibri"/>
          <w:b/>
          <w:color w:val="993300"/>
        </w:rPr>
        <w:br w:type="page"/>
      </w:r>
      <w:r w:rsidR="00E1183C" w:rsidRPr="00E1183C">
        <w:rPr>
          <w:rFonts w:ascii="Calibri" w:hAnsi="Calibri"/>
          <w:b/>
          <w:color w:val="993300"/>
        </w:rPr>
        <w:lastRenderedPageBreak/>
        <w:t xml:space="preserve">[Note, throughout </w:t>
      </w:r>
      <w:r w:rsidR="000A3CA7">
        <w:rPr>
          <w:rFonts w:ascii="Calibri" w:hAnsi="Calibri"/>
          <w:b/>
          <w:color w:val="993300"/>
        </w:rPr>
        <w:t xml:space="preserve">the sample </w:t>
      </w:r>
      <w:r w:rsidR="00E1183C" w:rsidRPr="00E1183C">
        <w:rPr>
          <w:rFonts w:ascii="Calibri" w:hAnsi="Calibri"/>
          <w:b/>
          <w:color w:val="993300"/>
        </w:rPr>
        <w:t xml:space="preserve">language you will note my preference for single rather than joint trusts.  For those in community property states or who otherwise use joint trusts, some language </w:t>
      </w:r>
      <w:r w:rsidR="002F32A7">
        <w:rPr>
          <w:rFonts w:ascii="Calibri" w:hAnsi="Calibri"/>
          <w:b/>
          <w:color w:val="993300"/>
        </w:rPr>
        <w:t>might</w:t>
      </w:r>
      <w:r w:rsidR="000A3CA7">
        <w:rPr>
          <w:rFonts w:ascii="Calibri" w:hAnsi="Calibri"/>
          <w:b/>
          <w:color w:val="993300"/>
        </w:rPr>
        <w:t xml:space="preserve"> be</w:t>
      </w:r>
      <w:r w:rsidR="00E1183C" w:rsidRPr="00E1183C">
        <w:rPr>
          <w:rFonts w:ascii="Calibri" w:hAnsi="Calibri"/>
          <w:b/>
          <w:color w:val="993300"/>
        </w:rPr>
        <w:t xml:space="preserve"> adapted for joint trusts.</w:t>
      </w:r>
      <w:r w:rsidR="00E1183C">
        <w:rPr>
          <w:rFonts w:ascii="Calibri" w:hAnsi="Calibri"/>
          <w:b/>
          <w:color w:val="993300"/>
        </w:rPr>
        <w:t>]</w:t>
      </w:r>
    </w:p>
    <w:p w14:paraId="7A8C222F" w14:textId="77777777" w:rsidR="00230559" w:rsidRPr="00230559" w:rsidRDefault="00230559" w:rsidP="00230559">
      <w:pPr>
        <w:tabs>
          <w:tab w:val="left" w:pos="100"/>
        </w:tabs>
        <w:autoSpaceDE w:val="0"/>
        <w:autoSpaceDN w:val="0"/>
        <w:adjustRightInd w:val="0"/>
        <w:spacing w:before="120" w:after="120"/>
        <w:jc w:val="center"/>
        <w:rPr>
          <w:rFonts w:ascii="Calibri" w:hAnsi="Calibri"/>
          <w:b/>
        </w:rPr>
      </w:pPr>
      <w:r w:rsidRPr="00230559">
        <w:rPr>
          <w:rFonts w:ascii="Calibri" w:hAnsi="Calibri"/>
          <w:b/>
        </w:rPr>
        <w:t>Sample Language for Formula GPOA for Bypass (Family</w:t>
      </w:r>
      <w:r w:rsidR="002F32A7">
        <w:rPr>
          <w:rFonts w:ascii="Calibri" w:hAnsi="Calibri"/>
          <w:b/>
        </w:rPr>
        <w:t>, Credit Shelter</w:t>
      </w:r>
      <w:r w:rsidRPr="00230559">
        <w:rPr>
          <w:rFonts w:ascii="Calibri" w:hAnsi="Calibri"/>
          <w:b/>
        </w:rPr>
        <w:t>) Trust</w:t>
      </w:r>
    </w:p>
    <w:p w14:paraId="6D085517" w14:textId="77777777" w:rsidR="00230559" w:rsidRPr="00230559" w:rsidRDefault="00230559" w:rsidP="00230559">
      <w:pPr>
        <w:tabs>
          <w:tab w:val="left" w:pos="100"/>
        </w:tabs>
        <w:autoSpaceDE w:val="0"/>
        <w:autoSpaceDN w:val="0"/>
        <w:adjustRightInd w:val="0"/>
        <w:spacing w:before="120" w:after="120"/>
        <w:rPr>
          <w:rFonts w:ascii="Calibri" w:hAnsi="Calibri"/>
          <w:color w:val="000000"/>
        </w:rPr>
      </w:pPr>
      <w:r w:rsidRPr="00230559">
        <w:rPr>
          <w:rFonts w:ascii="Calibri" w:hAnsi="Calibri"/>
        </w:rPr>
        <w:t xml:space="preserve">Subject to the remaining provisions of this Section, my spouse has the testamentary power to appoint </w:t>
      </w:r>
      <w:r w:rsidR="00820CAC">
        <w:rPr>
          <w:rFonts w:ascii="Calibri" w:hAnsi="Calibri"/>
        </w:rPr>
        <w:t>a</w:t>
      </w:r>
      <w:r w:rsidRPr="00230559">
        <w:rPr>
          <w:rFonts w:ascii="Calibri" w:hAnsi="Calibri"/>
        </w:rPr>
        <w:t xml:space="preserve"> </w:t>
      </w:r>
      <w:r w:rsidR="00820CAC">
        <w:rPr>
          <w:rFonts w:ascii="Calibri" w:hAnsi="Calibri"/>
        </w:rPr>
        <w:t xml:space="preserve">certain </w:t>
      </w:r>
      <w:r w:rsidRPr="00230559">
        <w:rPr>
          <w:rFonts w:ascii="Calibri" w:hAnsi="Calibri"/>
        </w:rPr>
        <w:t>portion of assets, be they allocable to principal or undistributed income, remaining in the Family Trust at my spouse’s death</w:t>
      </w:r>
      <w:bookmarkStart w:id="73" w:name="HDSTE31b"/>
      <w:bookmarkStart w:id="74" w:name="HDNDE31b"/>
      <w:bookmarkEnd w:id="73"/>
      <w:bookmarkEnd w:id="74"/>
      <w:r w:rsidRPr="00230559">
        <w:rPr>
          <w:rFonts w:ascii="Calibri" w:hAnsi="Calibri"/>
          <w:color w:val="000000"/>
        </w:rPr>
        <w:t xml:space="preserve">. </w:t>
      </w:r>
      <w:r w:rsidR="00820CAC">
        <w:rPr>
          <w:rFonts w:ascii="Calibri" w:hAnsi="Calibri"/>
          <w:color w:val="000000"/>
        </w:rPr>
        <w:t>This</w:t>
      </w:r>
      <w:r w:rsidRPr="00230559">
        <w:rPr>
          <w:rFonts w:ascii="Calibri" w:hAnsi="Calibri"/>
          <w:color w:val="000000"/>
        </w:rPr>
        <w:t xml:space="preserve"> power shall apply differently</w:t>
      </w:r>
      <w:r w:rsidR="00820CAC">
        <w:rPr>
          <w:rFonts w:ascii="Calibri" w:hAnsi="Calibri"/>
          <w:color w:val="000000"/>
        </w:rPr>
        <w:t xml:space="preserve"> or not at all to different assets.  The potentially appointive assets </w:t>
      </w:r>
      <w:r w:rsidRPr="00230559">
        <w:rPr>
          <w:rFonts w:ascii="Calibri" w:hAnsi="Calibri"/>
          <w:color w:val="000000"/>
        </w:rPr>
        <w:t xml:space="preserve">shall be constrained and limited as follows: </w:t>
      </w:r>
    </w:p>
    <w:p w14:paraId="73B54279" w14:textId="77777777" w:rsidR="0081098E" w:rsidRDefault="00230559" w:rsidP="00180FD1">
      <w:pPr>
        <w:numPr>
          <w:ilvl w:val="0"/>
          <w:numId w:val="4"/>
        </w:numPr>
        <w:tabs>
          <w:tab w:val="num" w:pos="300"/>
        </w:tabs>
        <w:autoSpaceDE w:val="0"/>
        <w:autoSpaceDN w:val="0"/>
        <w:adjustRightInd w:val="0"/>
        <w:spacing w:before="120" w:after="120"/>
        <w:ind w:left="300" w:hanging="300"/>
        <w:jc w:val="both"/>
        <w:rPr>
          <w:rFonts w:ascii="Calibri" w:hAnsi="Calibri"/>
          <w:color w:val="000000"/>
        </w:rPr>
      </w:pPr>
      <w:r w:rsidRPr="00230559">
        <w:rPr>
          <w:rFonts w:ascii="Calibri" w:hAnsi="Calibri"/>
          <w:b/>
          <w:color w:val="000000"/>
        </w:rPr>
        <w:t>General Power of Appointment</w:t>
      </w:r>
      <w:r w:rsidRPr="00230559">
        <w:rPr>
          <w:rFonts w:ascii="Calibri" w:hAnsi="Calibri"/>
          <w:color w:val="000000"/>
        </w:rPr>
        <w:t xml:space="preserve"> – My spouse may appoint certain assets of </w:t>
      </w:r>
      <w:r w:rsidRPr="00230559">
        <w:rPr>
          <w:rFonts w:ascii="Calibri" w:hAnsi="Calibri"/>
        </w:rPr>
        <w:t xml:space="preserve">the Family Trust to </w:t>
      </w:r>
      <w:r w:rsidR="00C62C1C">
        <w:rPr>
          <w:rFonts w:ascii="Calibri" w:hAnsi="Calibri"/>
        </w:rPr>
        <w:t>my spouse’s</w:t>
      </w:r>
      <w:r w:rsidRPr="00230559">
        <w:rPr>
          <w:rFonts w:ascii="Calibri" w:hAnsi="Calibri"/>
        </w:rPr>
        <w:t xml:space="preserve"> creditors</w:t>
      </w:r>
      <w:r w:rsidRPr="00230559">
        <w:rPr>
          <w:rFonts w:ascii="Calibri" w:hAnsi="Calibri"/>
          <w:color w:val="000000"/>
        </w:rPr>
        <w:t xml:space="preserve"> </w:t>
      </w:r>
      <w:r w:rsidR="00E1183C" w:rsidRPr="00E1183C">
        <w:rPr>
          <w:rFonts w:ascii="Calibri" w:hAnsi="Calibri"/>
          <w:color w:val="993300"/>
        </w:rPr>
        <w:t xml:space="preserve">[you could alternatively say “my spouse’s probate estate” to the same effect, but my preference would be to say </w:t>
      </w:r>
      <w:r w:rsidR="005D063A">
        <w:rPr>
          <w:rFonts w:ascii="Calibri" w:hAnsi="Calibri"/>
          <w:color w:val="993300"/>
        </w:rPr>
        <w:t>“</w:t>
      </w:r>
      <w:r w:rsidR="00E1183C" w:rsidRPr="00E1183C">
        <w:rPr>
          <w:rFonts w:ascii="Calibri" w:hAnsi="Calibri"/>
          <w:color w:val="993300"/>
        </w:rPr>
        <w:t>creditors</w:t>
      </w:r>
      <w:r w:rsidR="005D063A">
        <w:rPr>
          <w:rFonts w:ascii="Calibri" w:hAnsi="Calibri"/>
          <w:color w:val="993300"/>
        </w:rPr>
        <w:t>”</w:t>
      </w:r>
      <w:r w:rsidR="00E1183C" w:rsidRPr="00E1183C">
        <w:rPr>
          <w:rFonts w:ascii="Calibri" w:hAnsi="Calibri"/>
          <w:color w:val="993300"/>
        </w:rPr>
        <w:t xml:space="preserve"> to better exclude </w:t>
      </w:r>
      <w:r w:rsidR="009865E1">
        <w:rPr>
          <w:rFonts w:ascii="Calibri" w:hAnsi="Calibri"/>
          <w:color w:val="993300"/>
        </w:rPr>
        <w:t>a</w:t>
      </w:r>
      <w:r w:rsidR="00E1183C" w:rsidRPr="00E1183C">
        <w:rPr>
          <w:rFonts w:ascii="Calibri" w:hAnsi="Calibri"/>
          <w:color w:val="993300"/>
        </w:rPr>
        <w:t xml:space="preserve"> new wife/husband </w:t>
      </w:r>
      <w:r w:rsidR="009865E1">
        <w:rPr>
          <w:rFonts w:ascii="Calibri" w:hAnsi="Calibri"/>
          <w:color w:val="993300"/>
        </w:rPr>
        <w:t xml:space="preserve">or others “undesirable” to the settlor as potential beneficiary </w:t>
      </w:r>
      <w:r w:rsidR="005D063A">
        <w:rPr>
          <w:rFonts w:ascii="Calibri" w:hAnsi="Calibri"/>
          <w:color w:val="993300"/>
        </w:rPr>
        <w:t xml:space="preserve">– if a power holder can appoint to a power holder or a power holder’s estate, this </w:t>
      </w:r>
      <w:r w:rsidR="009865E1">
        <w:rPr>
          <w:rFonts w:ascii="Calibri" w:hAnsi="Calibri"/>
          <w:color w:val="993300"/>
        </w:rPr>
        <w:t>is</w:t>
      </w:r>
      <w:r w:rsidR="005D063A">
        <w:rPr>
          <w:rFonts w:ascii="Calibri" w:hAnsi="Calibri"/>
          <w:color w:val="993300"/>
        </w:rPr>
        <w:t xml:space="preserve"> construed to include ANYONE, including new spouse, charity, etc</w:t>
      </w:r>
      <w:r w:rsidR="009865E1">
        <w:rPr>
          <w:rFonts w:ascii="Calibri" w:hAnsi="Calibri"/>
          <w:color w:val="993300"/>
        </w:rPr>
        <w:t>,</w:t>
      </w:r>
      <w:r w:rsidR="005D063A">
        <w:rPr>
          <w:rFonts w:ascii="Calibri" w:hAnsi="Calibri"/>
          <w:color w:val="993300"/>
        </w:rPr>
        <w:t xml:space="preserve"> whereas if a power holder can appoint to creditors only, the </w:t>
      </w:r>
      <w:r w:rsidR="009865E1">
        <w:rPr>
          <w:rFonts w:ascii="Calibri" w:hAnsi="Calibri"/>
          <w:color w:val="993300"/>
        </w:rPr>
        <w:t xml:space="preserve">permissible </w:t>
      </w:r>
      <w:r w:rsidR="005D063A">
        <w:rPr>
          <w:rFonts w:ascii="Calibri" w:hAnsi="Calibri"/>
          <w:color w:val="993300"/>
        </w:rPr>
        <w:t>appointees are only bona fide creditors</w:t>
      </w:r>
      <w:r w:rsidR="00E1183C" w:rsidRPr="00E1183C">
        <w:rPr>
          <w:rFonts w:ascii="Calibri" w:hAnsi="Calibri"/>
          <w:color w:val="993300"/>
        </w:rPr>
        <w:t>]</w:t>
      </w:r>
      <w:r w:rsidR="005D063A">
        <w:rPr>
          <w:rStyle w:val="FootnoteReference"/>
          <w:rFonts w:ascii="Calibri" w:hAnsi="Calibri"/>
          <w:color w:val="993300"/>
        </w:rPr>
        <w:footnoteReference w:id="522"/>
      </w:r>
      <w:r w:rsidR="00E1183C">
        <w:rPr>
          <w:rFonts w:ascii="Calibri" w:hAnsi="Calibri"/>
          <w:color w:val="000000"/>
        </w:rPr>
        <w:t xml:space="preserve"> </w:t>
      </w:r>
      <w:r w:rsidRPr="00230559">
        <w:rPr>
          <w:rFonts w:ascii="Calibri" w:hAnsi="Calibri"/>
          <w:color w:val="000000"/>
        </w:rPr>
        <w:t xml:space="preserve">or to my descendants in such amounts and subject to such terms, including trusts, as my spouse directs.  </w:t>
      </w:r>
      <w:r w:rsidRPr="00230559">
        <w:rPr>
          <w:rFonts w:ascii="Calibri" w:hAnsi="Calibri"/>
          <w:color w:val="FF6600"/>
        </w:rPr>
        <w:t xml:space="preserve">[alternatively, this may be broader and include other uncles, cousins, friends, charities, etc] [it is </w:t>
      </w:r>
      <w:r w:rsidRPr="000A3CA7">
        <w:rPr>
          <w:rFonts w:ascii="Calibri" w:hAnsi="Calibri"/>
          <w:b/>
          <w:color w:val="FF6600"/>
        </w:rPr>
        <w:t>highly recommended</w:t>
      </w:r>
      <w:r w:rsidRPr="00230559">
        <w:rPr>
          <w:rFonts w:ascii="Calibri" w:hAnsi="Calibri"/>
          <w:color w:val="FF6600"/>
        </w:rPr>
        <w:t xml:space="preserve"> that you require a </w:t>
      </w:r>
      <w:r w:rsidRPr="000A3CA7">
        <w:rPr>
          <w:rFonts w:ascii="Calibri" w:hAnsi="Calibri"/>
          <w:b/>
          <w:color w:val="FF6600"/>
        </w:rPr>
        <w:t>non-adverse party consent</w:t>
      </w:r>
      <w:r w:rsidRPr="00230559">
        <w:rPr>
          <w:rFonts w:ascii="Calibri" w:hAnsi="Calibri"/>
          <w:color w:val="FF6600"/>
        </w:rPr>
        <w:t xml:space="preserve">, which might apply only to appointment to creditors, or, some clients may also wish it to apply to other non-equal appointments as well – e.g. </w:t>
      </w:r>
      <w:r w:rsidR="001A487B">
        <w:rPr>
          <w:rFonts w:ascii="Calibri" w:hAnsi="Calibri"/>
          <w:color w:val="FF6600"/>
        </w:rPr>
        <w:t>“</w:t>
      </w:r>
      <w:r w:rsidRPr="000A3CA7">
        <w:rPr>
          <w:rFonts w:ascii="Calibri" w:hAnsi="Calibri"/>
          <w:b/>
          <w:color w:val="FF6600"/>
        </w:rPr>
        <w:t>my spouse may only appoint to his or her creditors with the consent of ___________ or __________</w:t>
      </w:r>
      <w:r w:rsidR="001A487B" w:rsidRPr="000A3CA7">
        <w:rPr>
          <w:rFonts w:ascii="Calibri" w:hAnsi="Calibri"/>
          <w:b/>
          <w:color w:val="FF6600"/>
        </w:rPr>
        <w:t>”</w:t>
      </w:r>
      <w:r w:rsidR="001A487B">
        <w:rPr>
          <w:rFonts w:ascii="Calibri" w:hAnsi="Calibri"/>
          <w:color w:val="FF6600"/>
        </w:rPr>
        <w:t xml:space="preserve"> </w:t>
      </w:r>
      <w:r w:rsidRPr="00230559">
        <w:rPr>
          <w:rFonts w:ascii="Calibri" w:hAnsi="Calibri"/>
          <w:color w:val="FF6600"/>
        </w:rPr>
        <w:t xml:space="preserve">(these persons or entities cannot be a beneficiary or “adverse party” – an independent trust company for instance, may be non-adverse), or </w:t>
      </w:r>
      <w:r w:rsidR="001A487B">
        <w:rPr>
          <w:rFonts w:ascii="Calibri" w:hAnsi="Calibri"/>
          <w:color w:val="FF6600"/>
        </w:rPr>
        <w:t>“</w:t>
      </w:r>
      <w:r w:rsidRPr="00230559">
        <w:rPr>
          <w:rFonts w:ascii="Calibri" w:hAnsi="Calibri"/>
          <w:color w:val="FF6600"/>
        </w:rPr>
        <w:t>Any appointment that is other than equal to my children or to trusts for my children</w:t>
      </w:r>
      <w:r w:rsidR="0081098E">
        <w:rPr>
          <w:rFonts w:ascii="Calibri" w:hAnsi="Calibri"/>
          <w:color w:val="FF6600"/>
        </w:rPr>
        <w:t xml:space="preserve"> (or should one or more predecease the power holder to that child’s issue or trusts therefore</w:t>
      </w:r>
      <w:r w:rsidRPr="00230559">
        <w:rPr>
          <w:rFonts w:ascii="Calibri" w:hAnsi="Calibri"/>
          <w:color w:val="FF6600"/>
        </w:rPr>
        <w:t xml:space="preserve"> per stirpes</w:t>
      </w:r>
      <w:r w:rsidR="0081098E">
        <w:rPr>
          <w:rFonts w:ascii="Calibri" w:hAnsi="Calibri"/>
          <w:color w:val="FF6600"/>
        </w:rPr>
        <w:t>)</w:t>
      </w:r>
      <w:r w:rsidRPr="00230559">
        <w:rPr>
          <w:rFonts w:ascii="Calibri" w:hAnsi="Calibri"/>
          <w:color w:val="FF6600"/>
        </w:rPr>
        <w:t>, may only be made with the consent of _____________</w:t>
      </w:r>
      <w:r w:rsidR="000A53B6">
        <w:rPr>
          <w:rFonts w:ascii="Calibri" w:hAnsi="Calibri"/>
          <w:color w:val="FF6600"/>
        </w:rPr>
        <w:t>_____</w:t>
      </w:r>
      <w:r w:rsidR="0081098E">
        <w:rPr>
          <w:rFonts w:ascii="Calibri" w:hAnsi="Calibri"/>
          <w:color w:val="FF6600"/>
        </w:rPr>
        <w:t xml:space="preserve"> </w:t>
      </w:r>
      <w:r w:rsidR="00DD406C">
        <w:rPr>
          <w:rFonts w:ascii="Calibri" w:hAnsi="Calibri"/>
          <w:color w:val="FF6600"/>
        </w:rPr>
        <w:t>or alternatively, with the unanimous consent of my children.  Should one or more of my children predecease</w:t>
      </w:r>
      <w:r w:rsidR="0081098E">
        <w:rPr>
          <w:rFonts w:ascii="Calibri" w:hAnsi="Calibri"/>
          <w:color w:val="FF6600"/>
        </w:rPr>
        <w:t xml:space="preserve"> the power holder</w:t>
      </w:r>
      <w:r w:rsidR="00DD406C">
        <w:rPr>
          <w:rFonts w:ascii="Calibri" w:hAnsi="Calibri"/>
          <w:color w:val="FF6600"/>
        </w:rPr>
        <w:t xml:space="preserve"> leaving issue, consent </w:t>
      </w:r>
      <w:r w:rsidR="00894FB3">
        <w:rPr>
          <w:rFonts w:ascii="Calibri" w:hAnsi="Calibri"/>
          <w:color w:val="FF6600"/>
        </w:rPr>
        <w:t>may</w:t>
      </w:r>
      <w:r w:rsidR="00DD406C">
        <w:rPr>
          <w:rFonts w:ascii="Calibri" w:hAnsi="Calibri"/>
          <w:color w:val="FF6600"/>
        </w:rPr>
        <w:t xml:space="preserve"> be obtained from their issue per stirpes, which may be obtained by virtual representation pursuant to </w:t>
      </w:r>
      <w:r w:rsidR="0081098E">
        <w:rPr>
          <w:rFonts w:ascii="Calibri" w:hAnsi="Calibri"/>
          <w:color w:val="FF6600"/>
        </w:rPr>
        <w:t>Ohio R.C. §5803.01 et seq (Uniform Trust Code §§301-305)</w:t>
      </w:r>
      <w:r w:rsidR="001A487B">
        <w:rPr>
          <w:rFonts w:ascii="Calibri" w:hAnsi="Calibri"/>
          <w:color w:val="FF6600"/>
        </w:rPr>
        <w:t>”</w:t>
      </w:r>
      <w:r w:rsidRPr="00230559">
        <w:rPr>
          <w:rFonts w:ascii="Calibri" w:hAnsi="Calibri"/>
          <w:color w:val="FF6600"/>
        </w:rPr>
        <w:t>.</w:t>
      </w:r>
      <w:r w:rsidR="007A17EE">
        <w:rPr>
          <w:rStyle w:val="FootnoteReference"/>
          <w:rFonts w:ascii="Calibri" w:hAnsi="Calibri"/>
          <w:color w:val="FF6600"/>
        </w:rPr>
        <w:footnoteReference w:id="523"/>
      </w:r>
      <w:r w:rsidRPr="00230559">
        <w:rPr>
          <w:rFonts w:ascii="Calibri" w:hAnsi="Calibri"/>
          <w:color w:val="000000"/>
        </w:rPr>
        <w:t xml:space="preserve">  </w:t>
      </w:r>
    </w:p>
    <w:p w14:paraId="532E70EC" w14:textId="77777777" w:rsidR="00230559" w:rsidRPr="00506D67" w:rsidRDefault="00506D67" w:rsidP="0081098E">
      <w:pPr>
        <w:autoSpaceDE w:val="0"/>
        <w:autoSpaceDN w:val="0"/>
        <w:adjustRightInd w:val="0"/>
        <w:spacing w:before="120" w:after="120"/>
        <w:ind w:left="300"/>
        <w:jc w:val="both"/>
        <w:rPr>
          <w:rFonts w:ascii="Calibri" w:hAnsi="Calibri"/>
          <w:color w:val="000000"/>
        </w:rPr>
      </w:pPr>
      <w:r w:rsidRPr="00506D67">
        <w:rPr>
          <w:rFonts w:ascii="Calibri" w:hAnsi="Calibri"/>
          <w:color w:val="984806" w:themeColor="accent6" w:themeShade="80"/>
        </w:rPr>
        <w:lastRenderedPageBreak/>
        <w:t xml:space="preserve">[Alternate #1 definition of potentially appointive assets] </w:t>
      </w:r>
      <w:r w:rsidR="00230559" w:rsidRPr="00506D67">
        <w:rPr>
          <w:rFonts w:ascii="Calibri" w:hAnsi="Calibri"/>
          <w:color w:val="000000"/>
        </w:rPr>
        <w:t xml:space="preserve">The assets subject to this general power of appointment shall be all assets of the Family Trust, </w:t>
      </w:r>
      <w:r w:rsidR="00230559" w:rsidRPr="00506D67">
        <w:rPr>
          <w:rFonts w:ascii="Calibri" w:hAnsi="Calibri"/>
          <w:b/>
          <w:color w:val="000000"/>
        </w:rPr>
        <w:t>excluding</w:t>
      </w:r>
      <w:r w:rsidR="00230559" w:rsidRPr="00506D67">
        <w:rPr>
          <w:rFonts w:ascii="Calibri" w:hAnsi="Calibri"/>
          <w:color w:val="000000"/>
        </w:rPr>
        <w:t xml:space="preserve">: </w:t>
      </w:r>
    </w:p>
    <w:p w14:paraId="37AEF98F" w14:textId="77777777" w:rsidR="005719F3" w:rsidRDefault="00230559" w:rsidP="00180FD1">
      <w:pPr>
        <w:numPr>
          <w:ilvl w:val="1"/>
          <w:numId w:val="4"/>
        </w:numPr>
        <w:tabs>
          <w:tab w:val="num" w:pos="700"/>
          <w:tab w:val="num" w:pos="1100"/>
        </w:tabs>
        <w:autoSpaceDE w:val="0"/>
        <w:autoSpaceDN w:val="0"/>
        <w:adjustRightInd w:val="0"/>
        <w:spacing w:before="120" w:after="120"/>
        <w:ind w:left="700" w:firstLine="0"/>
        <w:jc w:val="both"/>
        <w:rPr>
          <w:rFonts w:ascii="Calibri" w:hAnsi="Calibri"/>
          <w:color w:val="000000"/>
        </w:rPr>
      </w:pPr>
      <w:r w:rsidRPr="00230559">
        <w:rPr>
          <w:rFonts w:ascii="Calibri" w:hAnsi="Calibri"/>
          <w:color w:val="000000"/>
        </w:rPr>
        <w:t xml:space="preserve">all property that constitutes </w:t>
      </w:r>
      <w:r w:rsidRPr="00230559">
        <w:rPr>
          <w:rFonts w:ascii="Calibri" w:hAnsi="Calibri"/>
          <w:i/>
          <w:color w:val="000000"/>
        </w:rPr>
        <w:t>income in respect of a decedent</w:t>
      </w:r>
      <w:r w:rsidR="00FB1866">
        <w:rPr>
          <w:rFonts w:ascii="Calibri" w:hAnsi="Calibri"/>
          <w:color w:val="000000"/>
        </w:rPr>
        <w:t xml:space="preserve"> (IRD),</w:t>
      </w:r>
      <w:r w:rsidRPr="00230559">
        <w:rPr>
          <w:rFonts w:ascii="Calibri" w:hAnsi="Calibri"/>
          <w:color w:val="000000"/>
        </w:rPr>
        <w:t xml:space="preserve"> </w:t>
      </w:r>
      <w:r w:rsidR="006960B8">
        <w:rPr>
          <w:rFonts w:ascii="Calibri" w:hAnsi="Calibri"/>
          <w:color w:val="000000"/>
        </w:rPr>
        <w:t xml:space="preserve">except employer securities </w:t>
      </w:r>
      <w:r w:rsidR="00543D94">
        <w:rPr>
          <w:rFonts w:ascii="Calibri" w:hAnsi="Calibri"/>
          <w:color w:val="000000"/>
        </w:rPr>
        <w:t xml:space="preserve">previously received in a lump sum distribution from a qualified plan </w:t>
      </w:r>
      <w:r w:rsidR="00FB1866">
        <w:rPr>
          <w:rFonts w:ascii="Calibri" w:hAnsi="Calibri"/>
          <w:color w:val="000000"/>
        </w:rPr>
        <w:t xml:space="preserve">containing net unrealized appreciation (NUA) that would also be IRD pursuant to IRC §402 and §1014(c).  Only such employer securities that have unrealized gains post-lump sum distribution are eligible to be an appointive asset pursuant to this paragraph, those without unrealized gains post-distribution </w:t>
      </w:r>
      <w:r w:rsidR="00B30D29">
        <w:rPr>
          <w:rFonts w:ascii="Calibri" w:hAnsi="Calibri"/>
          <w:color w:val="000000"/>
        </w:rPr>
        <w:t>are not eligible</w:t>
      </w:r>
      <w:r w:rsidR="00FB1866">
        <w:rPr>
          <w:rFonts w:ascii="Calibri" w:hAnsi="Calibri"/>
          <w:color w:val="000000"/>
        </w:rPr>
        <w:t>;</w:t>
      </w:r>
    </w:p>
    <w:p w14:paraId="4EA8A509" w14:textId="77777777" w:rsidR="00230559" w:rsidRDefault="005719F3" w:rsidP="00180FD1">
      <w:pPr>
        <w:numPr>
          <w:ilvl w:val="1"/>
          <w:numId w:val="4"/>
        </w:numPr>
        <w:tabs>
          <w:tab w:val="num" w:pos="700"/>
          <w:tab w:val="num" w:pos="1100"/>
        </w:tabs>
        <w:autoSpaceDE w:val="0"/>
        <w:autoSpaceDN w:val="0"/>
        <w:adjustRightInd w:val="0"/>
        <w:spacing w:before="120" w:after="120"/>
        <w:ind w:left="700" w:firstLine="0"/>
        <w:jc w:val="both"/>
        <w:rPr>
          <w:rFonts w:ascii="Calibri" w:hAnsi="Calibri"/>
          <w:color w:val="000000"/>
        </w:rPr>
      </w:pPr>
      <w:r>
        <w:rPr>
          <w:rFonts w:ascii="Calibri" w:hAnsi="Calibri"/>
          <w:color w:val="000000"/>
        </w:rPr>
        <w:t>Roth IRA accounts or Roth variants of other retirement plans such as 403(b), 457(b), or 401(k)</w:t>
      </w:r>
      <w:r w:rsidR="001D6940">
        <w:rPr>
          <w:rFonts w:ascii="Calibri" w:hAnsi="Calibri"/>
          <w:color w:val="000000"/>
        </w:rPr>
        <w:t xml:space="preserve"> plan account</w:t>
      </w:r>
      <w:r>
        <w:rPr>
          <w:rFonts w:ascii="Calibri" w:hAnsi="Calibri"/>
          <w:color w:val="000000"/>
        </w:rPr>
        <w:t>s</w:t>
      </w:r>
      <w:r w:rsidR="00FB1866">
        <w:rPr>
          <w:rFonts w:ascii="Calibri" w:hAnsi="Calibri"/>
          <w:color w:val="000000"/>
        </w:rPr>
        <w:t>;</w:t>
      </w:r>
    </w:p>
    <w:p w14:paraId="36D02C0D" w14:textId="77777777" w:rsidR="005719F3" w:rsidRPr="00230559" w:rsidRDefault="00770055" w:rsidP="00180FD1">
      <w:pPr>
        <w:numPr>
          <w:ilvl w:val="1"/>
          <w:numId w:val="4"/>
        </w:numPr>
        <w:tabs>
          <w:tab w:val="num" w:pos="700"/>
          <w:tab w:val="num" w:pos="1100"/>
        </w:tabs>
        <w:autoSpaceDE w:val="0"/>
        <w:autoSpaceDN w:val="0"/>
        <w:adjustRightInd w:val="0"/>
        <w:spacing w:before="120" w:after="120"/>
        <w:ind w:left="700" w:firstLine="0"/>
        <w:jc w:val="both"/>
        <w:rPr>
          <w:rFonts w:ascii="Calibri" w:hAnsi="Calibri"/>
          <w:color w:val="000000"/>
        </w:rPr>
      </w:pPr>
      <w:r>
        <w:rPr>
          <w:rFonts w:ascii="Calibri" w:hAnsi="Calibri"/>
          <w:color w:val="000000"/>
        </w:rPr>
        <w:t>529 Plan Accounts</w:t>
      </w:r>
      <w:r w:rsidR="005719F3">
        <w:rPr>
          <w:rFonts w:ascii="Calibri" w:hAnsi="Calibri"/>
          <w:color w:val="000000"/>
        </w:rPr>
        <w:t xml:space="preserve"> or Coverdell Education Savings Accounts</w:t>
      </w:r>
      <w:r w:rsidR="0099029B">
        <w:rPr>
          <w:rFonts w:ascii="Calibri" w:hAnsi="Calibri"/>
          <w:color w:val="000000"/>
        </w:rPr>
        <w:t xml:space="preserve"> (ESAs)</w:t>
      </w:r>
      <w:r w:rsidR="00FB1866">
        <w:rPr>
          <w:rFonts w:ascii="Calibri" w:hAnsi="Calibri"/>
          <w:color w:val="000000"/>
        </w:rPr>
        <w:t>;</w:t>
      </w:r>
    </w:p>
    <w:p w14:paraId="6B36CA22" w14:textId="77777777" w:rsidR="00230559" w:rsidRDefault="00230559" w:rsidP="00180FD1">
      <w:pPr>
        <w:numPr>
          <w:ilvl w:val="1"/>
          <w:numId w:val="4"/>
        </w:numPr>
        <w:tabs>
          <w:tab w:val="num" w:pos="700"/>
          <w:tab w:val="num" w:pos="1100"/>
        </w:tabs>
        <w:autoSpaceDE w:val="0"/>
        <w:autoSpaceDN w:val="0"/>
        <w:adjustRightInd w:val="0"/>
        <w:spacing w:before="120" w:after="120"/>
        <w:ind w:left="700" w:firstLine="0"/>
        <w:jc w:val="both"/>
        <w:rPr>
          <w:rFonts w:ascii="Calibri" w:hAnsi="Calibri"/>
          <w:color w:val="000000"/>
        </w:rPr>
      </w:pPr>
      <w:r w:rsidRPr="00230559">
        <w:rPr>
          <w:rFonts w:ascii="Calibri" w:hAnsi="Calibri"/>
          <w:color w:val="000000"/>
        </w:rPr>
        <w:t>all property that has a cost basis for federal income tax purposes that is greater than or equal to the fair market value of the property at the time of my s</w:t>
      </w:r>
      <w:r w:rsidR="00FB1866">
        <w:rPr>
          <w:rFonts w:ascii="Calibri" w:hAnsi="Calibri"/>
          <w:color w:val="000000"/>
        </w:rPr>
        <w:t>pouse’s death;</w:t>
      </w:r>
    </w:p>
    <w:p w14:paraId="2FF56B45" w14:textId="77777777" w:rsidR="005719F3" w:rsidRPr="00230559" w:rsidRDefault="005719F3" w:rsidP="00180FD1">
      <w:pPr>
        <w:numPr>
          <w:ilvl w:val="1"/>
          <w:numId w:val="4"/>
        </w:numPr>
        <w:tabs>
          <w:tab w:val="num" w:pos="700"/>
          <w:tab w:val="num" w:pos="1100"/>
        </w:tabs>
        <w:autoSpaceDE w:val="0"/>
        <w:autoSpaceDN w:val="0"/>
        <w:adjustRightInd w:val="0"/>
        <w:spacing w:before="120" w:after="120"/>
        <w:ind w:left="700" w:firstLine="0"/>
        <w:jc w:val="both"/>
        <w:rPr>
          <w:rFonts w:ascii="Calibri" w:hAnsi="Calibri"/>
          <w:color w:val="000000"/>
        </w:rPr>
      </w:pPr>
      <w:r>
        <w:rPr>
          <w:rFonts w:ascii="Calibri" w:hAnsi="Calibri"/>
          <w:color w:val="000000"/>
        </w:rPr>
        <w:t xml:space="preserve">all life insurance policy </w:t>
      </w:r>
      <w:r w:rsidR="00211078">
        <w:rPr>
          <w:rFonts w:ascii="Calibri" w:hAnsi="Calibri"/>
          <w:color w:val="000000"/>
        </w:rPr>
        <w:t xml:space="preserve">or annuity death benefit </w:t>
      </w:r>
      <w:r>
        <w:rPr>
          <w:rFonts w:ascii="Calibri" w:hAnsi="Calibri"/>
          <w:color w:val="000000"/>
        </w:rPr>
        <w:t xml:space="preserve">proceeds </w:t>
      </w:r>
      <w:r w:rsidR="00211078">
        <w:rPr>
          <w:rFonts w:ascii="Calibri" w:hAnsi="Calibri"/>
          <w:color w:val="000000"/>
        </w:rPr>
        <w:t xml:space="preserve">owned by and payable to the trust as a result of </w:t>
      </w:r>
      <w:r>
        <w:rPr>
          <w:rFonts w:ascii="Calibri" w:hAnsi="Calibri"/>
          <w:color w:val="000000"/>
        </w:rPr>
        <w:t>my spouse</w:t>
      </w:r>
      <w:r w:rsidR="00211078">
        <w:rPr>
          <w:rFonts w:ascii="Calibri" w:hAnsi="Calibri"/>
          <w:color w:val="000000"/>
        </w:rPr>
        <w:t>’s death</w:t>
      </w:r>
      <w:r w:rsidR="00FB1866">
        <w:rPr>
          <w:rFonts w:ascii="Calibri" w:hAnsi="Calibri"/>
          <w:color w:val="000000"/>
        </w:rPr>
        <w:t>.</w:t>
      </w:r>
    </w:p>
    <w:p w14:paraId="752105B6" w14:textId="77777777" w:rsidR="001A6546" w:rsidRDefault="00230559" w:rsidP="00230559">
      <w:pPr>
        <w:tabs>
          <w:tab w:val="num" w:pos="300"/>
        </w:tabs>
        <w:autoSpaceDE w:val="0"/>
        <w:autoSpaceDN w:val="0"/>
        <w:adjustRightInd w:val="0"/>
        <w:spacing w:before="120" w:after="120"/>
        <w:ind w:left="300" w:hanging="300"/>
        <w:rPr>
          <w:rFonts w:ascii="Calibri" w:hAnsi="Calibri"/>
          <w:color w:val="000000"/>
        </w:rPr>
      </w:pPr>
      <w:r w:rsidRPr="00230559">
        <w:rPr>
          <w:rFonts w:ascii="Calibri" w:hAnsi="Calibri"/>
          <w:color w:val="000000"/>
        </w:rPr>
        <w:tab/>
      </w:r>
      <w:r w:rsidR="00894FB3" w:rsidRPr="001A6546">
        <w:rPr>
          <w:rFonts w:ascii="Calibri" w:hAnsi="Calibri"/>
          <w:color w:val="984806" w:themeColor="accent6" w:themeShade="80"/>
        </w:rPr>
        <w:t xml:space="preserve">[Rather than starting with all assets and then excluding certain assets, as above, it is probably preferable and simpler to do the opposite – start with no assets and then define the potential assets eligible to be appointive assets, since new tax categories of assets may be created in the future, or frankly, I may have just omitted one that should have been excluded.  Here </w:t>
      </w:r>
      <w:r w:rsidR="001A6546">
        <w:rPr>
          <w:rFonts w:ascii="Calibri" w:hAnsi="Calibri"/>
          <w:color w:val="984806" w:themeColor="accent6" w:themeShade="80"/>
        </w:rPr>
        <w:t>my preferred</w:t>
      </w:r>
      <w:r w:rsidR="00894FB3" w:rsidRPr="001A6546">
        <w:rPr>
          <w:rFonts w:ascii="Calibri" w:hAnsi="Calibri"/>
          <w:color w:val="984806" w:themeColor="accent6" w:themeShade="80"/>
        </w:rPr>
        <w:t xml:space="preserve"> variation:</w:t>
      </w:r>
      <w:r w:rsidR="00894FB3" w:rsidRPr="00894FB3">
        <w:rPr>
          <w:rFonts w:ascii="Calibri" w:hAnsi="Calibri"/>
          <w:color w:val="000000"/>
        </w:rPr>
        <w:t xml:space="preserve"> </w:t>
      </w:r>
    </w:p>
    <w:p w14:paraId="0EE51A8B" w14:textId="4B41D1BF" w:rsidR="00894FB3" w:rsidRPr="00894FB3" w:rsidRDefault="001A6546" w:rsidP="00230559">
      <w:pPr>
        <w:tabs>
          <w:tab w:val="num" w:pos="300"/>
        </w:tabs>
        <w:autoSpaceDE w:val="0"/>
        <w:autoSpaceDN w:val="0"/>
        <w:adjustRightInd w:val="0"/>
        <w:spacing w:before="120" w:after="120"/>
        <w:ind w:left="300" w:hanging="300"/>
        <w:rPr>
          <w:rFonts w:ascii="Calibri" w:hAnsi="Calibri"/>
          <w:color w:val="984806" w:themeColor="accent6" w:themeShade="80"/>
        </w:rPr>
      </w:pPr>
      <w:r>
        <w:rPr>
          <w:rFonts w:ascii="Calibri" w:hAnsi="Calibri"/>
          <w:color w:val="000000"/>
        </w:rPr>
        <w:tab/>
      </w:r>
      <w:r w:rsidR="00894FB3" w:rsidRPr="00894FB3">
        <w:rPr>
          <w:rFonts w:ascii="Calibri" w:hAnsi="Calibri"/>
          <w:color w:val="984806" w:themeColor="accent6" w:themeShade="80"/>
        </w:rPr>
        <w:t xml:space="preserve">[Alternate #2 preferred definition of potentially appointive assets] </w:t>
      </w:r>
      <w:r w:rsidR="00894FB3" w:rsidRPr="00894FB3">
        <w:rPr>
          <w:rFonts w:ascii="Calibri" w:hAnsi="Calibri"/>
          <w:color w:val="000000"/>
        </w:rPr>
        <w:t xml:space="preserve">The assets potentially subject to this general power of appointment shall only be those assets of the Family Trust whose tax basis would increase in value without triggering income tax if included in the powerholder’s estate. </w:t>
      </w:r>
      <w:r w:rsidR="00894FB3" w:rsidRPr="00894FB3">
        <w:rPr>
          <w:rFonts w:ascii="Calibri" w:hAnsi="Calibri"/>
          <w:color w:val="984806" w:themeColor="accent6" w:themeShade="80"/>
        </w:rPr>
        <w:t xml:space="preserve">[note, the phrase “without triggering income tax” was added to this language in 2015 as a result of the Obama Administration Greenbook proposals to use “mark to market” income tax scheme, triggering capital gains on the fair market value of assets minus basis at the death of the owner.  See </w:t>
      </w:r>
      <w:r w:rsidR="00894FB3" w:rsidRPr="00894FB3">
        <w:rPr>
          <w:rFonts w:ascii="Calibri" w:hAnsi="Calibri"/>
          <w:color w:val="984806" w:themeColor="accent6" w:themeShade="80"/>
        </w:rPr>
        <w:tab/>
        <w:t xml:space="preserve"> http://www.treasury.gov/resource-center/tax-policy/Documents/General-Explanations-FY2016.pdf, pages 156-157.  While it’s unlikely to pass, it cannot hurt to add this language.</w:t>
      </w:r>
      <w:r w:rsidR="00CA39D7">
        <w:rPr>
          <w:rFonts w:ascii="Calibri" w:hAnsi="Calibri"/>
          <w:color w:val="984806" w:themeColor="accent6" w:themeShade="80"/>
        </w:rPr>
        <w:t xml:space="preserve"> New post-election note: President Trump proposed a similar scheme on his website, in lieu of an estate tax, </w:t>
      </w:r>
      <w:r w:rsidR="00260DE3">
        <w:rPr>
          <w:rFonts w:ascii="Calibri" w:hAnsi="Calibri"/>
          <w:color w:val="984806" w:themeColor="accent6" w:themeShade="80"/>
        </w:rPr>
        <w:t xml:space="preserve">but never tried to introduce any such legislation.  </w:t>
      </w:r>
      <w:r w:rsidR="00947A12">
        <w:rPr>
          <w:rFonts w:ascii="Calibri" w:hAnsi="Calibri"/>
          <w:color w:val="984806" w:themeColor="accent6" w:themeShade="80"/>
        </w:rPr>
        <w:t xml:space="preserve">Several proposals have </w:t>
      </w:r>
      <w:r w:rsidR="006C230A">
        <w:rPr>
          <w:rFonts w:ascii="Calibri" w:hAnsi="Calibri"/>
          <w:color w:val="984806" w:themeColor="accent6" w:themeShade="80"/>
        </w:rPr>
        <w:t>re</w:t>
      </w:r>
      <w:r w:rsidR="00947A12">
        <w:rPr>
          <w:rFonts w:ascii="Calibri" w:hAnsi="Calibri"/>
          <w:color w:val="984806" w:themeColor="accent6" w:themeShade="80"/>
        </w:rPr>
        <w:t>surfaced under the Biden administration</w:t>
      </w:r>
      <w:r w:rsidR="006F0D2C">
        <w:rPr>
          <w:rFonts w:ascii="Calibri" w:hAnsi="Calibri"/>
          <w:color w:val="984806" w:themeColor="accent6" w:themeShade="80"/>
        </w:rPr>
        <w:t>, so it’s still possible that the “step up” in basis may be limited in the future at some point</w:t>
      </w:r>
      <w:r w:rsidR="00A81739">
        <w:rPr>
          <w:rFonts w:ascii="Calibri" w:hAnsi="Calibri"/>
          <w:color w:val="984806" w:themeColor="accent6" w:themeShade="80"/>
        </w:rPr>
        <w:t xml:space="preserve">.  If there is ever a cap on the mark-to-market scheme, such as </w:t>
      </w:r>
      <w:r w:rsidR="00EE464E">
        <w:rPr>
          <w:rFonts w:ascii="Calibri" w:hAnsi="Calibri"/>
          <w:color w:val="984806" w:themeColor="accent6" w:themeShade="80"/>
        </w:rPr>
        <w:t>excluding home or $2 million of gain, etc., this can</w:t>
      </w:r>
      <w:r w:rsidR="002B7316">
        <w:rPr>
          <w:rFonts w:ascii="Calibri" w:hAnsi="Calibri"/>
          <w:color w:val="984806" w:themeColor="accent6" w:themeShade="80"/>
        </w:rPr>
        <w:t xml:space="preserve"> probably best be addressed via the amendment power</w:t>
      </w:r>
      <w:r w:rsidR="006B1F2B">
        <w:rPr>
          <w:rFonts w:ascii="Calibri" w:hAnsi="Calibri"/>
          <w:color w:val="984806" w:themeColor="accent6" w:themeShade="80"/>
        </w:rPr>
        <w:t>, but I add such clauses to cover cases where, pursuant to Murphy’s law, someone dies before being able to amend the provision</w:t>
      </w:r>
      <w:r w:rsidR="00894FB3" w:rsidRPr="00894FB3">
        <w:rPr>
          <w:rFonts w:ascii="Calibri" w:hAnsi="Calibri"/>
          <w:color w:val="984806" w:themeColor="accent6" w:themeShade="80"/>
        </w:rPr>
        <w:t>]</w:t>
      </w:r>
    </w:p>
    <w:p w14:paraId="0638110E" w14:textId="77777777" w:rsidR="00507FA8" w:rsidRPr="00230559" w:rsidRDefault="00894FB3" w:rsidP="00230559">
      <w:pPr>
        <w:tabs>
          <w:tab w:val="num" w:pos="300"/>
        </w:tabs>
        <w:autoSpaceDE w:val="0"/>
        <w:autoSpaceDN w:val="0"/>
        <w:adjustRightInd w:val="0"/>
        <w:spacing w:before="120" w:after="120"/>
        <w:ind w:left="300" w:hanging="300"/>
        <w:rPr>
          <w:rFonts w:ascii="Calibri" w:hAnsi="Calibri"/>
          <w:color w:val="000000"/>
        </w:rPr>
      </w:pPr>
      <w:r>
        <w:rPr>
          <w:rFonts w:ascii="Calibri" w:hAnsi="Calibri"/>
          <w:color w:val="000000"/>
        </w:rPr>
        <w:tab/>
      </w:r>
      <w:r w:rsidRPr="00894FB3">
        <w:rPr>
          <w:rFonts w:ascii="Calibri" w:hAnsi="Calibri"/>
          <w:color w:val="984806" w:themeColor="accent6" w:themeShade="80"/>
        </w:rPr>
        <w:t xml:space="preserve">[Alternate cap #1 with the charitable/marital reduction] </w:t>
      </w:r>
      <w:r w:rsidR="00931902" w:rsidRPr="00230559">
        <w:rPr>
          <w:rFonts w:ascii="Calibri" w:hAnsi="Calibri"/>
          <w:color w:val="000000"/>
        </w:rPr>
        <w:t xml:space="preserve">After eliminating the above described assets from the appointive assets subject to this general power of appointment, </w:t>
      </w:r>
      <w:r w:rsidR="00507FA8">
        <w:rPr>
          <w:rFonts w:ascii="Calibri" w:hAnsi="Calibri"/>
          <w:color w:val="000000"/>
        </w:rPr>
        <w:t xml:space="preserve">if such remaining assets’ inclusion in my spouse’s taxable estate for federal and/or state </w:t>
      </w:r>
      <w:r w:rsidR="00507FA8">
        <w:rPr>
          <w:rFonts w:ascii="Calibri" w:hAnsi="Calibri"/>
          <w:color w:val="000000"/>
        </w:rPr>
        <w:lastRenderedPageBreak/>
        <w:t xml:space="preserve">estate tax purposes </w:t>
      </w:r>
      <w:r w:rsidR="00E94B84" w:rsidRPr="00230559">
        <w:rPr>
          <w:rFonts w:ascii="Calibri" w:hAnsi="Calibri"/>
          <w:color w:val="000000"/>
        </w:rPr>
        <w:t xml:space="preserve">would not increase my spouse’s federal or state estate </w:t>
      </w:r>
      <w:r w:rsidR="00C558CC">
        <w:rPr>
          <w:rFonts w:ascii="Calibri" w:hAnsi="Calibri"/>
          <w:color w:val="000000"/>
        </w:rPr>
        <w:t xml:space="preserve">or generation skipping transfer </w:t>
      </w:r>
      <w:r w:rsidR="00E94B84" w:rsidRPr="00230559">
        <w:rPr>
          <w:rFonts w:ascii="Calibri" w:hAnsi="Calibri"/>
          <w:color w:val="000000"/>
        </w:rPr>
        <w:t xml:space="preserve">tax liability, </w:t>
      </w:r>
      <w:r w:rsidR="00C558CC">
        <w:rPr>
          <w:rFonts w:ascii="Calibri" w:hAnsi="Calibri"/>
          <w:b/>
          <w:color w:val="000000"/>
        </w:rPr>
        <w:t xml:space="preserve">assuming </w:t>
      </w:r>
      <w:r w:rsidR="00E94B84" w:rsidRPr="00E94B84">
        <w:rPr>
          <w:rFonts w:ascii="Calibri" w:hAnsi="Calibri"/>
          <w:b/>
          <w:color w:val="000000"/>
        </w:rPr>
        <w:t xml:space="preserve">any marital or charitable deduction </w:t>
      </w:r>
      <w:r w:rsidR="00C558CC">
        <w:rPr>
          <w:rFonts w:ascii="Calibri" w:hAnsi="Calibri"/>
          <w:b/>
          <w:color w:val="000000"/>
        </w:rPr>
        <w:t xml:space="preserve">is </w:t>
      </w:r>
      <w:r w:rsidR="00E94B84" w:rsidRPr="00E94B84">
        <w:rPr>
          <w:rFonts w:ascii="Calibri" w:hAnsi="Calibri"/>
          <w:b/>
          <w:color w:val="000000"/>
        </w:rPr>
        <w:t>denied to my spouse’s estate</w:t>
      </w:r>
      <w:r w:rsidR="00E94B84">
        <w:rPr>
          <w:rFonts w:ascii="Calibri" w:hAnsi="Calibri"/>
          <w:color w:val="000000"/>
        </w:rPr>
        <w:t xml:space="preserve">, </w:t>
      </w:r>
      <w:r w:rsidR="00E94B84" w:rsidRPr="00230559">
        <w:rPr>
          <w:rFonts w:ascii="Calibri" w:hAnsi="Calibri"/>
          <w:color w:val="000000"/>
        </w:rPr>
        <w:t>the general power described above shall apply to all remaining assets</w:t>
      </w:r>
      <w:r w:rsidR="00E94B84">
        <w:rPr>
          <w:rFonts w:ascii="Calibri" w:hAnsi="Calibri"/>
          <w:color w:val="000000"/>
        </w:rPr>
        <w:t xml:space="preserve"> of the Family Trust</w:t>
      </w:r>
      <w:r w:rsidR="00D451F6">
        <w:rPr>
          <w:rFonts w:ascii="Calibri" w:hAnsi="Calibri"/>
          <w:color w:val="000000"/>
        </w:rPr>
        <w:t>.</w:t>
      </w:r>
      <w:r w:rsidR="001E300F">
        <w:rPr>
          <w:rFonts w:ascii="Calibri" w:hAnsi="Calibri"/>
          <w:color w:val="000000"/>
        </w:rPr>
        <w:t xml:space="preserve">  </w:t>
      </w:r>
    </w:p>
    <w:p w14:paraId="2FF2EF4C" w14:textId="77777777" w:rsidR="00E96E55" w:rsidRPr="00B4354F" w:rsidRDefault="00E96E55" w:rsidP="006639D1">
      <w:pPr>
        <w:tabs>
          <w:tab w:val="num" w:pos="300"/>
        </w:tabs>
        <w:autoSpaceDE w:val="0"/>
        <w:autoSpaceDN w:val="0"/>
        <w:adjustRightInd w:val="0"/>
        <w:spacing w:before="120" w:after="120"/>
        <w:ind w:left="300" w:hanging="300"/>
        <w:rPr>
          <w:rFonts w:ascii="Calibri" w:hAnsi="Calibri"/>
        </w:rPr>
      </w:pPr>
      <w:r>
        <w:rPr>
          <w:rFonts w:ascii="Calibri" w:hAnsi="Calibri"/>
          <w:color w:val="000000"/>
        </w:rPr>
        <w:tab/>
        <w:t>[</w:t>
      </w:r>
      <w:r w:rsidRPr="00E96E55">
        <w:rPr>
          <w:rFonts w:ascii="Calibri" w:hAnsi="Calibri"/>
          <w:color w:val="993300"/>
        </w:rPr>
        <w:t xml:space="preserve">Alternate </w:t>
      </w:r>
      <w:r w:rsidR="00894FB3">
        <w:rPr>
          <w:rFonts w:ascii="Calibri" w:hAnsi="Calibri"/>
          <w:color w:val="993300"/>
        </w:rPr>
        <w:t xml:space="preserve">cap #2 </w:t>
      </w:r>
      <w:r w:rsidRPr="00E96E55">
        <w:rPr>
          <w:rFonts w:ascii="Calibri" w:hAnsi="Calibri"/>
          <w:color w:val="993300"/>
        </w:rPr>
        <w:t>version of above without the charitable/marital reduction</w:t>
      </w:r>
      <w:r w:rsidR="00B4354F">
        <w:rPr>
          <w:rFonts w:ascii="Calibri" w:hAnsi="Calibri"/>
          <w:color w:val="993300"/>
        </w:rPr>
        <w:t>]</w:t>
      </w:r>
      <w:r w:rsidRPr="00E96E55">
        <w:rPr>
          <w:rFonts w:ascii="Calibri" w:hAnsi="Calibri"/>
          <w:color w:val="993300"/>
        </w:rPr>
        <w:t xml:space="preserve"> - </w:t>
      </w:r>
      <w:r w:rsidRPr="00B4354F">
        <w:rPr>
          <w:rFonts w:ascii="Calibri" w:hAnsi="Calibri"/>
        </w:rPr>
        <w:t xml:space="preserve">After eliminating the above described assets from the appointive assets subject to this general power of appointment, if such remaining assets’ inclusion in my spouse’s taxable estate for federal and/or state estate tax purposes would not increase my spouse’s federal or state estate </w:t>
      </w:r>
      <w:r w:rsidR="00C558CC">
        <w:rPr>
          <w:rFonts w:ascii="Calibri" w:hAnsi="Calibri"/>
        </w:rPr>
        <w:t xml:space="preserve">or generation skipping transfer </w:t>
      </w:r>
      <w:r w:rsidRPr="00B4354F">
        <w:rPr>
          <w:rFonts w:ascii="Calibri" w:hAnsi="Calibri"/>
        </w:rPr>
        <w:t xml:space="preserve">tax liability, the general power described above shall apply to all remaining assets of the Family Trust]  </w:t>
      </w:r>
      <w:r w:rsidR="00230559" w:rsidRPr="00B4354F">
        <w:rPr>
          <w:rFonts w:ascii="Calibri" w:hAnsi="Calibri"/>
        </w:rPr>
        <w:tab/>
      </w:r>
    </w:p>
    <w:p w14:paraId="15D30CB4" w14:textId="77777777" w:rsidR="00D01462" w:rsidRDefault="00B4354F" w:rsidP="006639D1">
      <w:pPr>
        <w:tabs>
          <w:tab w:val="num" w:pos="300"/>
        </w:tabs>
        <w:autoSpaceDE w:val="0"/>
        <w:autoSpaceDN w:val="0"/>
        <w:adjustRightInd w:val="0"/>
        <w:spacing w:before="120" w:after="120"/>
        <w:ind w:left="300" w:hanging="300"/>
        <w:rPr>
          <w:rFonts w:ascii="Calibri" w:hAnsi="Calibri"/>
          <w:color w:val="000000"/>
        </w:rPr>
      </w:pPr>
      <w:r>
        <w:rPr>
          <w:rFonts w:ascii="Calibri" w:hAnsi="Calibri"/>
          <w:color w:val="993300"/>
        </w:rPr>
        <w:tab/>
      </w:r>
      <w:r w:rsidR="00230559" w:rsidRPr="00230559">
        <w:rPr>
          <w:rFonts w:ascii="Calibri" w:hAnsi="Calibri"/>
          <w:color w:val="000000"/>
        </w:rPr>
        <w:t>However, should such inclusion otherwise result in federal or state estate</w:t>
      </w:r>
      <w:r w:rsidR="00C558CC">
        <w:rPr>
          <w:rFonts w:ascii="Calibri" w:hAnsi="Calibri"/>
          <w:color w:val="000000"/>
        </w:rPr>
        <w:t xml:space="preserve"> or generation skipping transfer</w:t>
      </w:r>
      <w:r w:rsidR="00230559" w:rsidRPr="00230559">
        <w:rPr>
          <w:rFonts w:ascii="Calibri" w:hAnsi="Calibri"/>
          <w:color w:val="000000"/>
        </w:rPr>
        <w:t xml:space="preserve"> tax liability</w:t>
      </w:r>
      <w:r>
        <w:rPr>
          <w:rFonts w:ascii="Calibri" w:hAnsi="Calibri"/>
          <w:color w:val="000000"/>
        </w:rPr>
        <w:t xml:space="preserve"> (even if any marital/charitable deduction were also denied)</w:t>
      </w:r>
      <w:r w:rsidR="00230559" w:rsidRPr="00230559">
        <w:rPr>
          <w:rFonts w:ascii="Calibri" w:hAnsi="Calibri"/>
          <w:color w:val="000000"/>
        </w:rPr>
        <w:t>, the appointive assets subject to this general power</w:t>
      </w:r>
      <w:r w:rsidR="001A487B">
        <w:rPr>
          <w:rFonts w:ascii="Calibri" w:hAnsi="Calibri"/>
          <w:color w:val="000000"/>
        </w:rPr>
        <w:t xml:space="preserve"> of appointment </w:t>
      </w:r>
      <w:r w:rsidR="00230559" w:rsidRPr="00230559">
        <w:rPr>
          <w:rFonts w:ascii="Calibri" w:hAnsi="Calibri"/>
          <w:color w:val="000000"/>
        </w:rPr>
        <w:t xml:space="preserve">shall be further limited, and apply or not apply to each remaining asset of the trust </w:t>
      </w:r>
      <w:r>
        <w:rPr>
          <w:rFonts w:ascii="Calibri" w:hAnsi="Calibri"/>
          <w:color w:val="000000"/>
        </w:rPr>
        <w:t xml:space="preserve">not previously excluded as a potential appointive asset above </w:t>
      </w:r>
      <w:r w:rsidR="00230559" w:rsidRPr="00230559">
        <w:rPr>
          <w:rFonts w:ascii="Calibri" w:hAnsi="Calibri"/>
          <w:color w:val="000000"/>
        </w:rPr>
        <w:t>in the following order</w:t>
      </w:r>
      <w:r w:rsidR="00F524CB">
        <w:rPr>
          <w:rFonts w:ascii="Calibri" w:hAnsi="Calibri"/>
          <w:color w:val="000000"/>
        </w:rPr>
        <w:t xml:space="preserve"> such that the total appointive assets do not rise to a level to generate any federal or state estate or generation skipping transfer tax liability</w:t>
      </w:r>
      <w:r w:rsidR="00230559" w:rsidRPr="00230559">
        <w:rPr>
          <w:rFonts w:ascii="Calibri" w:hAnsi="Calibri"/>
          <w:color w:val="000000"/>
        </w:rPr>
        <w:t xml:space="preserve">.  </w:t>
      </w:r>
    </w:p>
    <w:p w14:paraId="5C9B23EA" w14:textId="77777777" w:rsidR="00F524CB" w:rsidRPr="00BE11EB" w:rsidRDefault="00F524CB" w:rsidP="00F524CB">
      <w:pPr>
        <w:tabs>
          <w:tab w:val="num" w:pos="300"/>
        </w:tabs>
        <w:autoSpaceDE w:val="0"/>
        <w:autoSpaceDN w:val="0"/>
        <w:adjustRightInd w:val="0"/>
        <w:spacing w:before="120" w:after="120"/>
        <w:ind w:left="300" w:hanging="300"/>
        <w:rPr>
          <w:rFonts w:ascii="Calibri" w:hAnsi="Calibri"/>
          <w:color w:val="993300"/>
        </w:rPr>
      </w:pPr>
      <w:r w:rsidRPr="001A6546">
        <w:rPr>
          <w:rFonts w:ascii="Calibri" w:hAnsi="Calibri"/>
          <w:color w:val="993300"/>
        </w:rPr>
        <w:t xml:space="preserve">[Alternate </w:t>
      </w:r>
      <w:r>
        <w:rPr>
          <w:rFonts w:ascii="Calibri" w:hAnsi="Calibri"/>
          <w:color w:val="993300"/>
        </w:rPr>
        <w:t xml:space="preserve">to modify either of the above to cause a minimal amount of estate tax – add </w:t>
      </w:r>
      <w:r w:rsidRPr="00F524CB">
        <w:rPr>
          <w:rFonts w:ascii="Calibri" w:hAnsi="Calibri"/>
        </w:rPr>
        <w:t>“of more than $10”</w:t>
      </w:r>
      <w:r>
        <w:rPr>
          <w:rFonts w:ascii="Calibri" w:hAnsi="Calibri"/>
          <w:color w:val="993300"/>
        </w:rPr>
        <w:t xml:space="preserve">.  Why do this?  To enable an alternate valuation date, which in some rare instances may yield superior basis results.  You can only </w:t>
      </w:r>
      <w:r w:rsidRPr="001A6546">
        <w:rPr>
          <w:rFonts w:ascii="Calibri" w:hAnsi="Calibri"/>
          <w:color w:val="993300"/>
        </w:rPr>
        <w:t xml:space="preserve">elect </w:t>
      </w:r>
      <w:r>
        <w:rPr>
          <w:rFonts w:ascii="Calibri" w:hAnsi="Calibri"/>
          <w:color w:val="993300"/>
        </w:rPr>
        <w:t>alternate valuation date (</w:t>
      </w:r>
      <w:r w:rsidRPr="001A6546">
        <w:rPr>
          <w:rFonts w:ascii="Calibri" w:hAnsi="Calibri"/>
          <w:color w:val="993300"/>
        </w:rPr>
        <w:t>AVD</w:t>
      </w:r>
      <w:r>
        <w:rPr>
          <w:rFonts w:ascii="Calibri" w:hAnsi="Calibri"/>
          <w:color w:val="993300"/>
        </w:rPr>
        <w:t>)</w:t>
      </w:r>
      <w:r w:rsidRPr="001A6546">
        <w:rPr>
          <w:rFonts w:ascii="Calibri" w:hAnsi="Calibri"/>
          <w:color w:val="993300"/>
        </w:rPr>
        <w:t xml:space="preserve"> as long as your estate tax is redu</w:t>
      </w:r>
      <w:r>
        <w:rPr>
          <w:rFonts w:ascii="Calibri" w:hAnsi="Calibri"/>
          <w:color w:val="993300"/>
        </w:rPr>
        <w:t>ced</w:t>
      </w:r>
      <w:r w:rsidRPr="001A6546">
        <w:rPr>
          <w:rFonts w:ascii="Calibri" w:hAnsi="Calibri"/>
          <w:color w:val="993300"/>
        </w:rPr>
        <w:t xml:space="preserve">. </w:t>
      </w:r>
      <w:r>
        <w:rPr>
          <w:rFonts w:ascii="Calibri" w:hAnsi="Calibri"/>
          <w:color w:val="993300"/>
        </w:rPr>
        <w:t>E.g.</w:t>
      </w:r>
      <w:r w:rsidRPr="001A6546">
        <w:rPr>
          <w:rFonts w:ascii="Calibri" w:hAnsi="Calibri"/>
          <w:color w:val="993300"/>
        </w:rPr>
        <w:t xml:space="preserve">  I die sing</w:t>
      </w:r>
      <w:r>
        <w:rPr>
          <w:rFonts w:ascii="Calibri" w:hAnsi="Calibri"/>
          <w:color w:val="993300"/>
        </w:rPr>
        <w:t>le with $5 million estate, $5.43</w:t>
      </w:r>
      <w:r w:rsidRPr="001A6546">
        <w:rPr>
          <w:rFonts w:ascii="Calibri" w:hAnsi="Calibri"/>
          <w:color w:val="993300"/>
        </w:rPr>
        <w:t xml:space="preserve"> million AEA.  I have a trust from my sister over which I have a formula GP</w:t>
      </w:r>
      <w:r>
        <w:rPr>
          <w:rFonts w:ascii="Calibri" w:hAnsi="Calibri"/>
          <w:color w:val="993300"/>
        </w:rPr>
        <w:t>O</w:t>
      </w:r>
      <w:r w:rsidRPr="001A6546">
        <w:rPr>
          <w:rFonts w:ascii="Calibri" w:hAnsi="Calibri"/>
          <w:color w:val="993300"/>
        </w:rPr>
        <w:t>A with $1 million of appreciated assets</w:t>
      </w:r>
      <w:r>
        <w:rPr>
          <w:rFonts w:ascii="Calibri" w:hAnsi="Calibri"/>
          <w:color w:val="993300"/>
        </w:rPr>
        <w:t xml:space="preserve"> </w:t>
      </w:r>
      <w:r w:rsidRPr="001A6546">
        <w:rPr>
          <w:rFonts w:ascii="Calibri" w:hAnsi="Calibri"/>
          <w:color w:val="993300"/>
        </w:rPr>
        <w:t xml:space="preserve">- the appointive assets subject to the </w:t>
      </w:r>
      <w:r>
        <w:rPr>
          <w:rFonts w:ascii="Calibri" w:hAnsi="Calibri"/>
          <w:color w:val="993300"/>
        </w:rPr>
        <w:t>GPA is by formula limited to $43</w:t>
      </w:r>
      <w:r w:rsidRPr="001A6546">
        <w:rPr>
          <w:rFonts w:ascii="Calibri" w:hAnsi="Calibri"/>
          <w:color w:val="993300"/>
        </w:rPr>
        <w:t>0,000 (or slightly more, if there are debts, expenses, potentially charitable bequests depe</w:t>
      </w:r>
      <w:r>
        <w:rPr>
          <w:rFonts w:ascii="Calibri" w:hAnsi="Calibri"/>
          <w:color w:val="993300"/>
        </w:rPr>
        <w:t xml:space="preserve">nding on how it’s written).  </w:t>
      </w:r>
      <w:r w:rsidRPr="001A6546">
        <w:rPr>
          <w:rFonts w:ascii="Calibri" w:hAnsi="Calibri"/>
          <w:color w:val="993300"/>
        </w:rPr>
        <w:t>6 months</w:t>
      </w:r>
      <w:r>
        <w:rPr>
          <w:rFonts w:ascii="Calibri" w:hAnsi="Calibri"/>
          <w:color w:val="993300"/>
        </w:rPr>
        <w:t xml:space="preserve"> later</w:t>
      </w:r>
      <w:r w:rsidRPr="001A6546">
        <w:rPr>
          <w:rFonts w:ascii="Calibri" w:hAnsi="Calibri"/>
          <w:color w:val="993300"/>
        </w:rPr>
        <w:t>, the markets take a dip – now my est</w:t>
      </w:r>
      <w:r>
        <w:rPr>
          <w:rFonts w:ascii="Calibri" w:hAnsi="Calibri"/>
          <w:color w:val="993300"/>
        </w:rPr>
        <w:t>ate is $4 million, the trust $800,000.  My estate</w:t>
      </w:r>
      <w:r w:rsidRPr="001A6546">
        <w:rPr>
          <w:rFonts w:ascii="Calibri" w:hAnsi="Calibri"/>
          <w:color w:val="993300"/>
        </w:rPr>
        <w:t xml:space="preserve"> cannot elect AVD </w:t>
      </w:r>
      <w:r>
        <w:rPr>
          <w:rFonts w:ascii="Calibri" w:hAnsi="Calibri"/>
          <w:color w:val="993300"/>
        </w:rPr>
        <w:t xml:space="preserve">with the above formulas </w:t>
      </w:r>
      <w:r w:rsidRPr="001A6546">
        <w:rPr>
          <w:rFonts w:ascii="Calibri" w:hAnsi="Calibri"/>
          <w:color w:val="993300"/>
        </w:rPr>
        <w:t xml:space="preserve">because it would not reduce </w:t>
      </w:r>
      <w:r>
        <w:rPr>
          <w:rFonts w:ascii="Calibri" w:hAnsi="Calibri"/>
          <w:color w:val="993300"/>
        </w:rPr>
        <w:t xml:space="preserve">the </w:t>
      </w:r>
      <w:r w:rsidRPr="001A6546">
        <w:rPr>
          <w:rFonts w:ascii="Calibri" w:hAnsi="Calibri"/>
          <w:color w:val="993300"/>
        </w:rPr>
        <w:t xml:space="preserve">estate tax.  However, usually I would not want to – in my example, the basis would be reduced to $4 million and $800,000, rather than $5 million and something shy of $1 million.  In most cases, it would be a losing proposition.  However, there could be rare cases where you would want to, depending on the basis and make up </w:t>
      </w:r>
      <w:r>
        <w:rPr>
          <w:rFonts w:ascii="Calibri" w:hAnsi="Calibri"/>
          <w:color w:val="993300"/>
        </w:rPr>
        <w:t xml:space="preserve">and correlation in return </w:t>
      </w:r>
      <w:r w:rsidRPr="001A6546">
        <w:rPr>
          <w:rFonts w:ascii="Calibri" w:hAnsi="Calibri"/>
          <w:color w:val="993300"/>
        </w:rPr>
        <w:t xml:space="preserve">between the pools of assets, and how the change in value between the pools post-mortem may differ.  For instance, if I have a $5 million IRA that reduces to $4 million by </w:t>
      </w:r>
      <w:r>
        <w:rPr>
          <w:rFonts w:ascii="Calibri" w:hAnsi="Calibri"/>
          <w:color w:val="993300"/>
        </w:rPr>
        <w:t xml:space="preserve">the </w:t>
      </w:r>
      <w:r w:rsidRPr="001A6546">
        <w:rPr>
          <w:rFonts w:ascii="Calibri" w:hAnsi="Calibri"/>
          <w:color w:val="993300"/>
        </w:rPr>
        <w:t xml:space="preserve">AVD, I could care less about reduction in that basis – in that scenario I would want a taxable estate, and to elect AVD to save a dollar of tax, because now my GPA is soaking up $800,000 new basis, not just $450,000.  That all gets fairly complicated </w:t>
      </w:r>
      <w:r>
        <w:rPr>
          <w:rFonts w:ascii="Calibri" w:hAnsi="Calibri"/>
          <w:color w:val="993300"/>
        </w:rPr>
        <w:t xml:space="preserve">to predict, </w:t>
      </w:r>
      <w:r w:rsidRPr="001A6546">
        <w:rPr>
          <w:rFonts w:ascii="Calibri" w:hAnsi="Calibri"/>
          <w:color w:val="993300"/>
        </w:rPr>
        <w:t>of course.</w:t>
      </w:r>
      <w:r>
        <w:rPr>
          <w:rFonts w:ascii="Calibri" w:hAnsi="Calibri"/>
          <w:color w:val="993300"/>
        </w:rPr>
        <w:t xml:space="preserve"> However, a formula that caps at $10 rather than $0 of tax has very little risk, and potential for significant upside in some situations</w:t>
      </w:r>
      <w:r w:rsidRPr="001A6546">
        <w:rPr>
          <w:rFonts w:ascii="Calibri" w:hAnsi="Calibri"/>
          <w:color w:val="993300"/>
        </w:rPr>
        <w:t>]</w:t>
      </w:r>
      <w:r>
        <w:rPr>
          <w:rFonts w:ascii="Calibri" w:hAnsi="Calibri"/>
          <w:color w:val="993300"/>
        </w:rPr>
        <w:t xml:space="preserve">.  </w:t>
      </w:r>
    </w:p>
    <w:p w14:paraId="46BDAFA2" w14:textId="77777777" w:rsidR="00F524CB" w:rsidRDefault="00F524CB" w:rsidP="006639D1">
      <w:pPr>
        <w:tabs>
          <w:tab w:val="num" w:pos="300"/>
        </w:tabs>
        <w:autoSpaceDE w:val="0"/>
        <w:autoSpaceDN w:val="0"/>
        <w:adjustRightInd w:val="0"/>
        <w:spacing w:before="120" w:after="120"/>
        <w:ind w:left="300" w:hanging="300"/>
        <w:rPr>
          <w:rFonts w:ascii="Calibri" w:hAnsi="Calibri"/>
          <w:color w:val="000000"/>
        </w:rPr>
      </w:pPr>
    </w:p>
    <w:p w14:paraId="7607BBB4" w14:textId="77777777" w:rsidR="00BC29E7" w:rsidRDefault="00D01462" w:rsidP="006639D1">
      <w:pPr>
        <w:tabs>
          <w:tab w:val="num" w:pos="300"/>
        </w:tabs>
        <w:autoSpaceDE w:val="0"/>
        <w:autoSpaceDN w:val="0"/>
        <w:adjustRightInd w:val="0"/>
        <w:spacing w:before="120" w:after="120"/>
        <w:ind w:left="300" w:hanging="300"/>
        <w:rPr>
          <w:rFonts w:ascii="Calibri" w:hAnsi="Calibri"/>
          <w:color w:val="000000"/>
        </w:rPr>
      </w:pPr>
      <w:r>
        <w:rPr>
          <w:rFonts w:ascii="Calibri" w:hAnsi="Calibri"/>
          <w:color w:val="000000"/>
        </w:rPr>
        <w:tab/>
      </w:r>
      <w:r w:rsidR="00230559" w:rsidRPr="00230559">
        <w:rPr>
          <w:rFonts w:ascii="Calibri" w:hAnsi="Calibri"/>
          <w:color w:val="000000"/>
        </w:rPr>
        <w:t xml:space="preserve">The power shall apply to the asset with the largest percentage of difference between </w:t>
      </w:r>
      <w:r w:rsidR="001A487B" w:rsidRPr="00230559">
        <w:rPr>
          <w:rFonts w:ascii="Calibri" w:hAnsi="Calibri"/>
          <w:color w:val="000000"/>
        </w:rPr>
        <w:t xml:space="preserve">fair market value </w:t>
      </w:r>
      <w:r w:rsidR="001A487B">
        <w:rPr>
          <w:rFonts w:ascii="Calibri" w:hAnsi="Calibri"/>
          <w:color w:val="000000"/>
        </w:rPr>
        <w:t xml:space="preserve">at the time of </w:t>
      </w:r>
      <w:r w:rsidR="008C5836">
        <w:rPr>
          <w:rFonts w:ascii="Calibri" w:hAnsi="Calibri"/>
          <w:color w:val="000000"/>
        </w:rPr>
        <w:t xml:space="preserve">the powerholder’s </w:t>
      </w:r>
      <w:r w:rsidR="001A487B">
        <w:rPr>
          <w:rFonts w:ascii="Calibri" w:hAnsi="Calibri"/>
          <w:color w:val="000000"/>
        </w:rPr>
        <w:t xml:space="preserve">death and </w:t>
      </w:r>
      <w:r w:rsidR="009770FA">
        <w:rPr>
          <w:rFonts w:ascii="Calibri" w:hAnsi="Calibri"/>
          <w:color w:val="000000"/>
        </w:rPr>
        <w:t xml:space="preserve">the </w:t>
      </w:r>
      <w:r w:rsidR="00230559" w:rsidRPr="00230559">
        <w:rPr>
          <w:rFonts w:ascii="Calibri" w:hAnsi="Calibri"/>
          <w:color w:val="000000"/>
        </w:rPr>
        <w:t xml:space="preserve">cost basis </w:t>
      </w:r>
      <w:r w:rsidR="009770FA">
        <w:rPr>
          <w:rFonts w:ascii="Calibri" w:hAnsi="Calibri"/>
          <w:color w:val="000000"/>
        </w:rPr>
        <w:t xml:space="preserve">immediately prior to the powerholder’s death </w:t>
      </w:r>
      <w:r w:rsidR="001A487B">
        <w:rPr>
          <w:rFonts w:ascii="Calibri" w:hAnsi="Calibri"/>
          <w:color w:val="000000"/>
        </w:rPr>
        <w:t>first</w:t>
      </w:r>
      <w:r w:rsidR="00230559" w:rsidRPr="00230559">
        <w:rPr>
          <w:rFonts w:ascii="Calibri" w:hAnsi="Calibri"/>
          <w:color w:val="000000"/>
        </w:rPr>
        <w:t>, cascading in turn to each subsequent asset</w:t>
      </w:r>
      <w:r w:rsidR="009770FA">
        <w:rPr>
          <w:rFonts w:ascii="Calibri" w:hAnsi="Calibri"/>
          <w:color w:val="000000"/>
        </w:rPr>
        <w:t xml:space="preserve"> </w:t>
      </w:r>
      <w:r w:rsidR="00ED67B3">
        <w:rPr>
          <w:rFonts w:ascii="Calibri" w:hAnsi="Calibri"/>
          <w:color w:val="000000"/>
        </w:rPr>
        <w:t xml:space="preserve">with the next </w:t>
      </w:r>
      <w:r w:rsidR="00ED67B3">
        <w:rPr>
          <w:rFonts w:ascii="Calibri" w:hAnsi="Calibri"/>
          <w:color w:val="000000"/>
        </w:rPr>
        <w:lastRenderedPageBreak/>
        <w:t xml:space="preserve">largest percentage difference between fair market value and cost basis </w:t>
      </w:r>
      <w:r w:rsidR="009770FA">
        <w:rPr>
          <w:rFonts w:ascii="Calibri" w:hAnsi="Calibri"/>
          <w:color w:val="000000"/>
        </w:rPr>
        <w:t>(e.g. an asset with basis of $10, FMV of $100 would have a “percentage of difference” of 90/100, or 90%)</w:t>
      </w:r>
      <w:r w:rsidR="00230559" w:rsidRPr="00230559">
        <w:rPr>
          <w:rFonts w:ascii="Calibri" w:hAnsi="Calibri"/>
          <w:color w:val="000000"/>
        </w:rPr>
        <w:t xml:space="preserve">.  </w:t>
      </w:r>
    </w:p>
    <w:p w14:paraId="21B8F123" w14:textId="77777777" w:rsidR="008A3CB0" w:rsidRPr="008A3CB0" w:rsidRDefault="00BC29E7" w:rsidP="006639D1">
      <w:pPr>
        <w:tabs>
          <w:tab w:val="num" w:pos="300"/>
        </w:tabs>
        <w:autoSpaceDE w:val="0"/>
        <w:autoSpaceDN w:val="0"/>
        <w:adjustRightInd w:val="0"/>
        <w:spacing w:before="120" w:after="120"/>
        <w:ind w:left="300" w:hanging="300"/>
        <w:rPr>
          <w:rFonts w:ascii="Calibri" w:hAnsi="Calibri"/>
          <w:color w:val="993300"/>
        </w:rPr>
      </w:pPr>
      <w:r>
        <w:rPr>
          <w:rFonts w:ascii="Calibri" w:hAnsi="Calibri"/>
          <w:color w:val="000000"/>
        </w:rPr>
        <w:tab/>
      </w:r>
      <w:r w:rsidR="008A3CB0" w:rsidRPr="008A3CB0">
        <w:rPr>
          <w:rFonts w:ascii="Calibri" w:hAnsi="Calibri"/>
          <w:color w:val="993300"/>
        </w:rPr>
        <w:t>[Here is a clause that would give a preference to depreciable property</w:t>
      </w:r>
      <w:r w:rsidR="00B4354F">
        <w:rPr>
          <w:rFonts w:ascii="Calibri" w:hAnsi="Calibri"/>
          <w:color w:val="993300"/>
        </w:rPr>
        <w:t xml:space="preserve"> and</w:t>
      </w:r>
      <w:r w:rsidR="008A3CB0" w:rsidRPr="008A3CB0">
        <w:rPr>
          <w:rFonts w:ascii="Calibri" w:hAnsi="Calibri"/>
          <w:color w:val="993300"/>
        </w:rPr>
        <w:t xml:space="preserve"> collectibles, which would generally be more valuable for beneficiaries</w:t>
      </w:r>
      <w:r w:rsidR="00B4354F">
        <w:rPr>
          <w:rFonts w:ascii="Calibri" w:hAnsi="Calibri"/>
          <w:color w:val="993300"/>
        </w:rPr>
        <w:t xml:space="preserve"> – I did not differentiate between 5 year, 27.5 year, 39 year property, etc, someone more detailed than I might craft a version that does</w:t>
      </w:r>
      <w:r w:rsidR="008A3CB0" w:rsidRPr="008A3CB0">
        <w:rPr>
          <w:rFonts w:ascii="Calibri" w:hAnsi="Calibri"/>
          <w:color w:val="993300"/>
        </w:rPr>
        <w:t xml:space="preserve">:  </w:t>
      </w:r>
    </w:p>
    <w:p w14:paraId="4F079239" w14:textId="77777777" w:rsidR="00DD31AE" w:rsidRPr="00B4354F" w:rsidRDefault="008A3CB0" w:rsidP="006639D1">
      <w:pPr>
        <w:tabs>
          <w:tab w:val="num" w:pos="300"/>
        </w:tabs>
        <w:autoSpaceDE w:val="0"/>
        <w:autoSpaceDN w:val="0"/>
        <w:adjustRightInd w:val="0"/>
        <w:spacing w:before="120" w:after="120"/>
        <w:ind w:left="300" w:hanging="300"/>
        <w:rPr>
          <w:rFonts w:ascii="Calibri" w:hAnsi="Calibri"/>
        </w:rPr>
      </w:pPr>
      <w:r w:rsidRPr="008A3CB0">
        <w:rPr>
          <w:rFonts w:ascii="Calibri" w:hAnsi="Calibri"/>
          <w:color w:val="993300"/>
        </w:rPr>
        <w:tab/>
      </w:r>
      <w:r w:rsidR="008C5836">
        <w:rPr>
          <w:rFonts w:ascii="Calibri" w:hAnsi="Calibri"/>
          <w:color w:val="993300"/>
        </w:rPr>
        <w:t xml:space="preserve">[Alternate] </w:t>
      </w:r>
      <w:r w:rsidRPr="00B4354F">
        <w:rPr>
          <w:rFonts w:ascii="Calibri" w:hAnsi="Calibri"/>
        </w:rPr>
        <w:t>In ordering these trust assets, and purely for the purpose of ordering which assets are appointive assets, depreciable assets shall be deemed to have a percentage of difference 50% higher</w:t>
      </w:r>
      <w:r w:rsidR="00BC29E7" w:rsidRPr="00B4354F">
        <w:rPr>
          <w:rFonts w:ascii="Calibri" w:hAnsi="Calibri"/>
        </w:rPr>
        <w:t xml:space="preserve"> </w:t>
      </w:r>
      <w:r w:rsidRPr="00B4354F">
        <w:rPr>
          <w:rFonts w:ascii="Calibri" w:hAnsi="Calibri"/>
        </w:rPr>
        <w:t>and collectible assets 30% higher.  To illustrate, if the trust owns a building</w:t>
      </w:r>
      <w:r w:rsidR="00860281" w:rsidRPr="00B4354F">
        <w:rPr>
          <w:rFonts w:ascii="Calibri" w:hAnsi="Calibri"/>
        </w:rPr>
        <w:t xml:space="preserve"> </w:t>
      </w:r>
      <w:r w:rsidRPr="00B4354F">
        <w:rPr>
          <w:rFonts w:ascii="Calibri" w:hAnsi="Calibri"/>
        </w:rPr>
        <w:t xml:space="preserve">with a basis of $100,000 and FMV </w:t>
      </w:r>
      <w:r w:rsidR="000A53B6">
        <w:rPr>
          <w:rFonts w:ascii="Calibri" w:hAnsi="Calibri"/>
        </w:rPr>
        <w:t>at date of death of</w:t>
      </w:r>
      <w:r w:rsidR="008C5836">
        <w:rPr>
          <w:rFonts w:ascii="Calibri" w:hAnsi="Calibri"/>
        </w:rPr>
        <w:t xml:space="preserve"> </w:t>
      </w:r>
      <w:r w:rsidRPr="00B4354F">
        <w:rPr>
          <w:rFonts w:ascii="Calibri" w:hAnsi="Calibri"/>
        </w:rPr>
        <w:t xml:space="preserve">$200,000, stock with a basis of $90,000 and FMV $200,000 and art with a basis of $110,000 and FMV $200,000, the percentage of difference for purposes of this paragraph shall be </w:t>
      </w:r>
      <w:r w:rsidR="00DD31AE" w:rsidRPr="00B4354F">
        <w:rPr>
          <w:rFonts w:ascii="Calibri" w:hAnsi="Calibri"/>
        </w:rPr>
        <w:t xml:space="preserve">(50% times 1.5) </w:t>
      </w:r>
      <w:r w:rsidRPr="00B4354F">
        <w:rPr>
          <w:rFonts w:ascii="Calibri" w:hAnsi="Calibri"/>
        </w:rPr>
        <w:t xml:space="preserve">75%, </w:t>
      </w:r>
      <w:r w:rsidR="00DD31AE" w:rsidRPr="00B4354F">
        <w:rPr>
          <w:rFonts w:ascii="Calibri" w:hAnsi="Calibri"/>
        </w:rPr>
        <w:t>55% and (45% times 1.3) 58.5% respectively, thus the power of appointment shall apply first to the building, then to the artwork and finally to the stock.]</w:t>
      </w:r>
      <w:r w:rsidR="00FD576A">
        <w:rPr>
          <w:rFonts w:ascii="Calibri" w:hAnsi="Calibri"/>
        </w:rPr>
        <w:t xml:space="preserve">  For purposes of this paragraph, entities taxed as a partnership that hold depreciable assets shall be considered depreciable assets, regardless of whether </w:t>
      </w:r>
      <w:r w:rsidR="00DD5C9F">
        <w:rPr>
          <w:rFonts w:ascii="Calibri" w:hAnsi="Calibri"/>
        </w:rPr>
        <w:t xml:space="preserve">the partnership has </w:t>
      </w:r>
      <w:r w:rsidR="000A53B6">
        <w:rPr>
          <w:rFonts w:ascii="Calibri" w:hAnsi="Calibri"/>
        </w:rPr>
        <w:t xml:space="preserve">yet </w:t>
      </w:r>
      <w:r w:rsidR="00DD5C9F">
        <w:rPr>
          <w:rFonts w:ascii="Calibri" w:hAnsi="Calibri"/>
        </w:rPr>
        <w:t xml:space="preserve">made </w:t>
      </w:r>
      <w:r w:rsidR="00FD576A">
        <w:rPr>
          <w:rFonts w:ascii="Calibri" w:hAnsi="Calibri"/>
        </w:rPr>
        <w:t>an election under IRC §754.</w:t>
      </w:r>
      <w:r w:rsidR="00DD5C9F">
        <w:rPr>
          <w:rFonts w:ascii="Calibri" w:hAnsi="Calibri"/>
        </w:rPr>
        <w:t xml:space="preserve"> </w:t>
      </w:r>
      <w:r w:rsidR="00DD5C9F" w:rsidRPr="00DD5C9F">
        <w:rPr>
          <w:rFonts w:ascii="Calibri" w:hAnsi="Calibri"/>
          <w:color w:val="984806" w:themeColor="accent6" w:themeShade="80"/>
        </w:rPr>
        <w:t xml:space="preserve">[Note, you might even choose to </w:t>
      </w:r>
      <w:r w:rsidR="00DD5C9F">
        <w:rPr>
          <w:rFonts w:ascii="Calibri" w:hAnsi="Calibri"/>
          <w:color w:val="984806" w:themeColor="accent6" w:themeShade="80"/>
        </w:rPr>
        <w:t>carve out</w:t>
      </w:r>
      <w:r w:rsidR="00DD5C9F" w:rsidRPr="00DD5C9F">
        <w:rPr>
          <w:rFonts w:ascii="Calibri" w:hAnsi="Calibri"/>
          <w:color w:val="984806" w:themeColor="accent6" w:themeShade="80"/>
        </w:rPr>
        <w:t xml:space="preserve"> publicly traded partnerships or other partnerships in which it is known that a Section 754 election will not be made</w:t>
      </w:r>
      <w:r w:rsidR="00DD5C9F">
        <w:rPr>
          <w:rFonts w:ascii="Calibri" w:hAnsi="Calibri"/>
          <w:color w:val="984806" w:themeColor="accent6" w:themeShade="80"/>
        </w:rPr>
        <w:t>, but again, trying to eke out every last optimal advantage yields less and less benefit, so most would value simplicity</w:t>
      </w:r>
      <w:r w:rsidR="000A53B6">
        <w:rPr>
          <w:rFonts w:ascii="Calibri" w:hAnsi="Calibri"/>
          <w:color w:val="984806" w:themeColor="accent6" w:themeShade="80"/>
        </w:rPr>
        <w:t>.  Similarly, S corporations may benefit from outside basis increase, but in most cases less than LLC/LPs taxed as partnerships because the inside basis cannot be stepped up – the difference largely depends on whether the property would be sold immediately – selling the S corporation stock may unlock the additional outside basis</w:t>
      </w:r>
      <w:r w:rsidR="00DD5C9F" w:rsidRPr="00DD5C9F">
        <w:rPr>
          <w:rFonts w:ascii="Calibri" w:hAnsi="Calibri"/>
          <w:color w:val="984806" w:themeColor="accent6" w:themeShade="80"/>
        </w:rPr>
        <w:t>]</w:t>
      </w:r>
      <w:r w:rsidR="00DD5C9F">
        <w:rPr>
          <w:rFonts w:ascii="Calibri" w:hAnsi="Calibri"/>
        </w:rPr>
        <w:t>.</w:t>
      </w:r>
    </w:p>
    <w:p w14:paraId="70816B9F" w14:textId="77777777" w:rsidR="00D01462" w:rsidRDefault="00DD31AE" w:rsidP="006639D1">
      <w:pPr>
        <w:tabs>
          <w:tab w:val="num" w:pos="300"/>
        </w:tabs>
        <w:autoSpaceDE w:val="0"/>
        <w:autoSpaceDN w:val="0"/>
        <w:adjustRightInd w:val="0"/>
        <w:spacing w:before="120" w:after="120"/>
        <w:ind w:left="300" w:hanging="300"/>
        <w:rPr>
          <w:rFonts w:ascii="Calibri" w:hAnsi="Calibri"/>
          <w:color w:val="993300"/>
        </w:rPr>
      </w:pPr>
      <w:r>
        <w:rPr>
          <w:rFonts w:ascii="Calibri" w:hAnsi="Calibri"/>
          <w:color w:val="993300"/>
        </w:rPr>
        <w:tab/>
      </w:r>
      <w:r w:rsidR="008C5836">
        <w:rPr>
          <w:rFonts w:ascii="Calibri" w:hAnsi="Calibri"/>
          <w:color w:val="993300"/>
        </w:rPr>
        <w:t>[</w:t>
      </w:r>
      <w:r>
        <w:rPr>
          <w:rFonts w:ascii="Calibri" w:hAnsi="Calibri"/>
          <w:color w:val="993300"/>
        </w:rPr>
        <w:t>Alternatively, and this gets even more complex, you could try something that</w:t>
      </w:r>
      <w:r w:rsidR="00D01462">
        <w:rPr>
          <w:rFonts w:ascii="Calibri" w:hAnsi="Calibri"/>
          <w:color w:val="993300"/>
        </w:rPr>
        <w:t xml:space="preserve"> tries to be even more targeted to the tax effect by looking to the tax effect upon the trustee or even the beneficiaries (more accurate</w:t>
      </w:r>
      <w:r w:rsidR="00B90AF2">
        <w:rPr>
          <w:rFonts w:ascii="Calibri" w:hAnsi="Calibri"/>
          <w:color w:val="993300"/>
        </w:rPr>
        <w:t xml:space="preserve"> in some narrow cases</w:t>
      </w:r>
      <w:r w:rsidR="00D01462">
        <w:rPr>
          <w:rFonts w:ascii="Calibri" w:hAnsi="Calibri"/>
          <w:color w:val="993300"/>
        </w:rPr>
        <w:t xml:space="preserve">, but much more complicated).  </w:t>
      </w:r>
    </w:p>
    <w:p w14:paraId="300AA794" w14:textId="77777777" w:rsidR="00860281" w:rsidRPr="008C5836" w:rsidRDefault="00D01462" w:rsidP="006639D1">
      <w:pPr>
        <w:tabs>
          <w:tab w:val="num" w:pos="300"/>
        </w:tabs>
        <w:autoSpaceDE w:val="0"/>
        <w:autoSpaceDN w:val="0"/>
        <w:adjustRightInd w:val="0"/>
        <w:spacing w:before="120" w:after="120"/>
        <w:ind w:left="300" w:hanging="300"/>
        <w:rPr>
          <w:rFonts w:ascii="Calibri" w:hAnsi="Calibri"/>
        </w:rPr>
      </w:pPr>
      <w:r>
        <w:rPr>
          <w:rFonts w:ascii="Calibri" w:hAnsi="Calibri"/>
          <w:color w:val="993300"/>
        </w:rPr>
        <w:tab/>
      </w:r>
      <w:r w:rsidR="00060421" w:rsidRPr="008C5836">
        <w:rPr>
          <w:rFonts w:ascii="Calibri" w:hAnsi="Calibri"/>
          <w:color w:val="993300"/>
        </w:rPr>
        <w:t>[</w:t>
      </w:r>
      <w:r w:rsidR="008C5836" w:rsidRPr="008C5836">
        <w:rPr>
          <w:rFonts w:ascii="Calibri" w:hAnsi="Calibri"/>
          <w:color w:val="993300"/>
        </w:rPr>
        <w:t xml:space="preserve">Alternate] </w:t>
      </w:r>
      <w:r w:rsidRPr="008C5836">
        <w:rPr>
          <w:rFonts w:ascii="Calibri" w:hAnsi="Calibri"/>
        </w:rPr>
        <w:t xml:space="preserve">The power shall first apply to the asset </w:t>
      </w:r>
      <w:r w:rsidR="00DD31AE" w:rsidRPr="008C5836">
        <w:rPr>
          <w:rFonts w:ascii="Calibri" w:hAnsi="Calibri"/>
        </w:rPr>
        <w:t>which</w:t>
      </w:r>
      <w:r w:rsidRPr="008C5836">
        <w:rPr>
          <w:rFonts w:ascii="Calibri" w:hAnsi="Calibri"/>
        </w:rPr>
        <w:t xml:space="preserve">, if the basis were increased to the powerholder’s date of death value, </w:t>
      </w:r>
      <w:r w:rsidR="00DD31AE" w:rsidRPr="008C5836">
        <w:rPr>
          <w:rFonts w:ascii="Calibri" w:hAnsi="Calibri"/>
        </w:rPr>
        <w:t xml:space="preserve">would reduce the </w:t>
      </w:r>
      <w:r w:rsidRPr="008C5836">
        <w:rPr>
          <w:rFonts w:ascii="Calibri" w:hAnsi="Calibri"/>
        </w:rPr>
        <w:t xml:space="preserve">hypothetical </w:t>
      </w:r>
      <w:r w:rsidR="00DD31AE" w:rsidRPr="008C5836">
        <w:rPr>
          <w:rFonts w:ascii="Calibri" w:hAnsi="Calibri"/>
        </w:rPr>
        <w:t xml:space="preserve">federal </w:t>
      </w:r>
      <w:r w:rsidR="001E664F" w:rsidRPr="008C5836">
        <w:rPr>
          <w:rFonts w:ascii="Calibri" w:hAnsi="Calibri"/>
        </w:rPr>
        <w:t>[</w:t>
      </w:r>
      <w:r w:rsidR="00E147CA" w:rsidRPr="008C5836">
        <w:rPr>
          <w:rFonts w:ascii="Calibri" w:hAnsi="Calibri"/>
        </w:rPr>
        <w:t>I would omit</w:t>
      </w:r>
      <w:r w:rsidRPr="008C5836">
        <w:rPr>
          <w:rFonts w:ascii="Calibri" w:hAnsi="Calibri"/>
        </w:rPr>
        <w:t xml:space="preserve"> state</w:t>
      </w:r>
      <w:r w:rsidR="00E147CA" w:rsidRPr="008C5836">
        <w:rPr>
          <w:rFonts w:ascii="Calibri" w:hAnsi="Calibri"/>
        </w:rPr>
        <w:t xml:space="preserve"> for ease of calculation</w:t>
      </w:r>
      <w:r w:rsidR="008C5836">
        <w:rPr>
          <w:rFonts w:ascii="Calibri" w:hAnsi="Calibri"/>
        </w:rPr>
        <w:t>, but some might want to include it</w:t>
      </w:r>
      <w:r w:rsidR="001E664F" w:rsidRPr="008C5836">
        <w:rPr>
          <w:rFonts w:ascii="Calibri" w:hAnsi="Calibri"/>
        </w:rPr>
        <w:t>]</w:t>
      </w:r>
      <w:r w:rsidRPr="008C5836">
        <w:rPr>
          <w:rFonts w:ascii="Calibri" w:hAnsi="Calibri"/>
        </w:rPr>
        <w:t xml:space="preserve"> </w:t>
      </w:r>
      <w:r w:rsidR="00DD31AE" w:rsidRPr="008C5836">
        <w:rPr>
          <w:rFonts w:ascii="Calibri" w:hAnsi="Calibri"/>
        </w:rPr>
        <w:t>income tax</w:t>
      </w:r>
      <w:r w:rsidR="00E147CA" w:rsidRPr="008C5836">
        <w:rPr>
          <w:rFonts w:ascii="Calibri" w:hAnsi="Calibri"/>
        </w:rPr>
        <w:t xml:space="preserve">, </w:t>
      </w:r>
      <w:r w:rsidR="00060421" w:rsidRPr="008C5836">
        <w:rPr>
          <w:rFonts w:ascii="Calibri" w:hAnsi="Calibri"/>
        </w:rPr>
        <w:t xml:space="preserve">including </w:t>
      </w:r>
      <w:r w:rsidR="00E147CA" w:rsidRPr="008C5836">
        <w:rPr>
          <w:rFonts w:ascii="Calibri" w:hAnsi="Calibri"/>
        </w:rPr>
        <w:t xml:space="preserve">the </w:t>
      </w:r>
      <w:r w:rsidR="00FD576A">
        <w:rPr>
          <w:rFonts w:ascii="Calibri" w:hAnsi="Calibri"/>
        </w:rPr>
        <w:t>net investment income M</w:t>
      </w:r>
      <w:r w:rsidR="00060421" w:rsidRPr="008C5836">
        <w:rPr>
          <w:rFonts w:ascii="Calibri" w:hAnsi="Calibri"/>
        </w:rPr>
        <w:t>edicare surtax</w:t>
      </w:r>
      <w:r w:rsidR="00E147CA" w:rsidRPr="008C5836">
        <w:rPr>
          <w:rFonts w:ascii="Calibri" w:hAnsi="Calibri"/>
        </w:rPr>
        <w:t>,</w:t>
      </w:r>
      <w:r w:rsidR="00060421" w:rsidRPr="008C5836">
        <w:rPr>
          <w:rFonts w:ascii="Calibri" w:hAnsi="Calibri"/>
        </w:rPr>
        <w:t xml:space="preserve"> </w:t>
      </w:r>
      <w:r w:rsidRPr="008C5836">
        <w:rPr>
          <w:rFonts w:ascii="Calibri" w:hAnsi="Calibri"/>
        </w:rPr>
        <w:t>the most</w:t>
      </w:r>
      <w:r w:rsidR="00DD31AE" w:rsidRPr="008C5836">
        <w:rPr>
          <w:rFonts w:ascii="Calibri" w:hAnsi="Calibri"/>
        </w:rPr>
        <w:t xml:space="preserve"> </w:t>
      </w:r>
      <w:r w:rsidR="0059506B" w:rsidRPr="008C5836">
        <w:rPr>
          <w:rFonts w:ascii="Calibri" w:hAnsi="Calibri"/>
        </w:rPr>
        <w:t xml:space="preserve">as a percentage of overall value </w:t>
      </w:r>
      <w:r w:rsidR="00DD31AE" w:rsidRPr="008C5836">
        <w:rPr>
          <w:rFonts w:ascii="Calibri" w:hAnsi="Calibri"/>
        </w:rPr>
        <w:t xml:space="preserve">if all of the </w:t>
      </w:r>
      <w:r w:rsidRPr="008C5836">
        <w:rPr>
          <w:rFonts w:ascii="Calibri" w:hAnsi="Calibri"/>
        </w:rPr>
        <w:t xml:space="preserve">potentially appointable </w:t>
      </w:r>
      <w:r w:rsidR="00DD31AE" w:rsidRPr="008C5836">
        <w:rPr>
          <w:rFonts w:ascii="Calibri" w:hAnsi="Calibri"/>
        </w:rPr>
        <w:t xml:space="preserve">assets of </w:t>
      </w:r>
      <w:r w:rsidRPr="008C5836">
        <w:rPr>
          <w:rFonts w:ascii="Calibri" w:hAnsi="Calibri"/>
        </w:rPr>
        <w:t>this trust were</w:t>
      </w:r>
      <w:r w:rsidR="00DD31AE" w:rsidRPr="008C5836">
        <w:rPr>
          <w:rFonts w:ascii="Calibri" w:hAnsi="Calibri"/>
        </w:rPr>
        <w:t xml:space="preserve"> sold immediately </w:t>
      </w:r>
      <w:r w:rsidR="001E664F" w:rsidRPr="008C5836">
        <w:rPr>
          <w:rFonts w:ascii="Calibri" w:hAnsi="Calibri"/>
        </w:rPr>
        <w:t>after</w:t>
      </w:r>
      <w:r w:rsidR="00DD31AE" w:rsidRPr="008C5836">
        <w:rPr>
          <w:rFonts w:ascii="Calibri" w:hAnsi="Calibri"/>
        </w:rPr>
        <w:t xml:space="preserve"> </w:t>
      </w:r>
      <w:r w:rsidRPr="008C5836">
        <w:rPr>
          <w:rFonts w:ascii="Calibri" w:hAnsi="Calibri"/>
        </w:rPr>
        <w:t>my spouse’s</w:t>
      </w:r>
      <w:r w:rsidR="00DD31AE" w:rsidRPr="008C5836">
        <w:rPr>
          <w:rFonts w:ascii="Calibri" w:hAnsi="Calibri"/>
        </w:rPr>
        <w:t xml:space="preserve"> death. The calculation of such </w:t>
      </w:r>
      <w:r w:rsidR="001E664F" w:rsidRPr="008C5836">
        <w:rPr>
          <w:rFonts w:ascii="Calibri" w:hAnsi="Calibri"/>
        </w:rPr>
        <w:t xml:space="preserve">hypothetical </w:t>
      </w:r>
      <w:r w:rsidR="00DD31AE" w:rsidRPr="008C5836">
        <w:rPr>
          <w:rFonts w:ascii="Calibri" w:hAnsi="Calibri"/>
        </w:rPr>
        <w:t xml:space="preserve">federal income tax which would be recognized shall be determined </w:t>
      </w:r>
      <w:r w:rsidR="001E664F" w:rsidRPr="008C5836">
        <w:rPr>
          <w:rFonts w:ascii="Calibri" w:hAnsi="Calibri"/>
        </w:rPr>
        <w:t xml:space="preserve">under the highest bracket </w:t>
      </w:r>
      <w:r w:rsidR="00DD31AE" w:rsidRPr="008C5836">
        <w:rPr>
          <w:rFonts w:ascii="Calibri" w:hAnsi="Calibri"/>
        </w:rPr>
        <w:t xml:space="preserve">without consideration of any other income </w:t>
      </w:r>
      <w:r w:rsidR="001E664F" w:rsidRPr="008C5836">
        <w:rPr>
          <w:rFonts w:ascii="Calibri" w:hAnsi="Calibri"/>
        </w:rPr>
        <w:t xml:space="preserve">tax </w:t>
      </w:r>
      <w:r w:rsidR="00DD31AE" w:rsidRPr="008C5836">
        <w:rPr>
          <w:rFonts w:ascii="Calibri" w:hAnsi="Calibri"/>
        </w:rPr>
        <w:t>deductions</w:t>
      </w:r>
      <w:r w:rsidR="001E664F" w:rsidRPr="008C5836">
        <w:rPr>
          <w:rFonts w:ascii="Calibri" w:hAnsi="Calibri"/>
        </w:rPr>
        <w:t>, credits, exemptions,</w:t>
      </w:r>
      <w:r w:rsidR="00DD31AE" w:rsidRPr="008C5836">
        <w:rPr>
          <w:rFonts w:ascii="Calibri" w:hAnsi="Calibri"/>
        </w:rPr>
        <w:t xml:space="preserve"> loss carry forwards or carry backs, which would otherwise be recognized on the filing of a fiduciary income tax return</w:t>
      </w:r>
      <w:r w:rsidR="001E664F" w:rsidRPr="008C5836">
        <w:rPr>
          <w:rFonts w:ascii="Calibri" w:hAnsi="Calibri"/>
        </w:rPr>
        <w:t xml:space="preserve">.  For illustration, </w:t>
      </w:r>
      <w:r w:rsidR="00E147CA" w:rsidRPr="008C5836">
        <w:rPr>
          <w:rFonts w:ascii="Calibri" w:hAnsi="Calibri"/>
        </w:rPr>
        <w:t>assume the trust had</w:t>
      </w:r>
      <w:r w:rsidR="001E664F" w:rsidRPr="008C5836">
        <w:rPr>
          <w:rFonts w:ascii="Calibri" w:hAnsi="Calibri"/>
        </w:rPr>
        <w:t xml:space="preserve"> </w:t>
      </w:r>
      <w:r w:rsidR="00E147CA" w:rsidRPr="008C5836">
        <w:rPr>
          <w:rFonts w:ascii="Calibri" w:hAnsi="Calibri"/>
        </w:rPr>
        <w:t xml:space="preserve">an IRA, an annuity, cash, stock with a basis of $100,000, FMV $90,000, a </w:t>
      </w:r>
      <w:r w:rsidR="001E664F" w:rsidRPr="008C5836">
        <w:rPr>
          <w:rFonts w:ascii="Calibri" w:hAnsi="Calibri"/>
        </w:rPr>
        <w:t xml:space="preserve">building with basis $100,000, FMV $200,000 ($70,000 </w:t>
      </w:r>
      <w:r w:rsidR="008C5836">
        <w:rPr>
          <w:rFonts w:ascii="Calibri" w:hAnsi="Calibri"/>
        </w:rPr>
        <w:t xml:space="preserve">basis reduced </w:t>
      </w:r>
      <w:r w:rsidR="001E664F" w:rsidRPr="008C5836">
        <w:rPr>
          <w:rFonts w:ascii="Calibri" w:hAnsi="Calibri"/>
        </w:rPr>
        <w:t>due to depreciation)</w:t>
      </w:r>
      <w:r w:rsidR="0059506B" w:rsidRPr="008C5836">
        <w:rPr>
          <w:rFonts w:ascii="Calibri" w:hAnsi="Calibri"/>
        </w:rPr>
        <w:t>, P&amp;G stock basis $12</w:t>
      </w:r>
      <w:r w:rsidR="001E664F" w:rsidRPr="008C5836">
        <w:rPr>
          <w:rFonts w:ascii="Calibri" w:hAnsi="Calibri"/>
        </w:rPr>
        <w:t>0</w:t>
      </w:r>
      <w:r w:rsidR="0059506B" w:rsidRPr="008C5836">
        <w:rPr>
          <w:rFonts w:ascii="Calibri" w:hAnsi="Calibri"/>
        </w:rPr>
        <w:t>,000, FMV $230,000 and artwork with basis $1</w:t>
      </w:r>
      <w:r w:rsidR="00DA2A94" w:rsidRPr="008C5836">
        <w:rPr>
          <w:rFonts w:ascii="Calibri" w:hAnsi="Calibri"/>
        </w:rPr>
        <w:t>3</w:t>
      </w:r>
      <w:r w:rsidR="0059506B" w:rsidRPr="008C5836">
        <w:rPr>
          <w:rFonts w:ascii="Calibri" w:hAnsi="Calibri"/>
        </w:rPr>
        <w:t>0,000, FMV $2</w:t>
      </w:r>
      <w:r w:rsidR="00DA2A94" w:rsidRPr="008C5836">
        <w:rPr>
          <w:rFonts w:ascii="Calibri" w:hAnsi="Calibri"/>
        </w:rPr>
        <w:t>2</w:t>
      </w:r>
      <w:r w:rsidR="001E664F" w:rsidRPr="008C5836">
        <w:rPr>
          <w:rFonts w:ascii="Calibri" w:hAnsi="Calibri"/>
        </w:rPr>
        <w:t xml:space="preserve">0,000.  </w:t>
      </w:r>
      <w:r w:rsidR="00E147CA" w:rsidRPr="008C5836">
        <w:rPr>
          <w:rFonts w:ascii="Calibri" w:hAnsi="Calibri"/>
        </w:rPr>
        <w:t xml:space="preserve">The first four categories of assets would be disregarded as not </w:t>
      </w:r>
      <w:r w:rsidR="008C5836">
        <w:rPr>
          <w:rFonts w:ascii="Calibri" w:hAnsi="Calibri"/>
        </w:rPr>
        <w:t xml:space="preserve">even </w:t>
      </w:r>
      <w:r w:rsidR="00E147CA" w:rsidRPr="008C5836">
        <w:rPr>
          <w:rFonts w:ascii="Calibri" w:hAnsi="Calibri"/>
        </w:rPr>
        <w:t xml:space="preserve">potentially appointable.  </w:t>
      </w:r>
      <w:r w:rsidR="001E664F" w:rsidRPr="008C5836">
        <w:rPr>
          <w:rFonts w:ascii="Calibri" w:hAnsi="Calibri"/>
        </w:rPr>
        <w:t xml:space="preserve">The trustee would calculate the hypothetical tax </w:t>
      </w:r>
      <w:r w:rsidR="00E147CA" w:rsidRPr="008C5836">
        <w:rPr>
          <w:rFonts w:ascii="Calibri" w:hAnsi="Calibri"/>
        </w:rPr>
        <w:t xml:space="preserve">on the remaining three assets </w:t>
      </w:r>
      <w:r w:rsidR="001E664F" w:rsidRPr="008C5836">
        <w:rPr>
          <w:rFonts w:ascii="Calibri" w:hAnsi="Calibri"/>
        </w:rPr>
        <w:t>as follows: building ($6</w:t>
      </w:r>
      <w:r w:rsidR="00060421" w:rsidRPr="008C5836">
        <w:rPr>
          <w:rFonts w:ascii="Calibri" w:hAnsi="Calibri"/>
        </w:rPr>
        <w:t>0,000 times 28.8</w:t>
      </w:r>
      <w:r w:rsidR="001E664F" w:rsidRPr="008C5836">
        <w:rPr>
          <w:rFonts w:ascii="Calibri" w:hAnsi="Calibri"/>
        </w:rPr>
        <w:t xml:space="preserve">% </w:t>
      </w:r>
      <w:r w:rsidR="00E147CA" w:rsidRPr="008C5836">
        <w:rPr>
          <w:rFonts w:ascii="Calibri" w:hAnsi="Calibri"/>
        </w:rPr>
        <w:t xml:space="preserve">(25% </w:t>
      </w:r>
      <w:r w:rsidR="00B044CB">
        <w:rPr>
          <w:rFonts w:ascii="Calibri" w:hAnsi="Calibri"/>
        </w:rPr>
        <w:t>Section 1250</w:t>
      </w:r>
      <w:r w:rsidR="00E147CA" w:rsidRPr="008C5836">
        <w:rPr>
          <w:rFonts w:ascii="Calibri" w:hAnsi="Calibri"/>
        </w:rPr>
        <w:t xml:space="preserve"> recapture </w:t>
      </w:r>
      <w:r w:rsidR="00B044CB">
        <w:rPr>
          <w:rFonts w:ascii="Calibri" w:hAnsi="Calibri"/>
        </w:rPr>
        <w:t xml:space="preserve">rate </w:t>
      </w:r>
      <w:r w:rsidR="00E147CA" w:rsidRPr="008C5836">
        <w:rPr>
          <w:rFonts w:ascii="Calibri" w:hAnsi="Calibri"/>
        </w:rPr>
        <w:t xml:space="preserve">+ surtax) </w:t>
      </w:r>
      <w:r w:rsidR="001E664F" w:rsidRPr="008C5836">
        <w:rPr>
          <w:rFonts w:ascii="Calibri" w:hAnsi="Calibri"/>
        </w:rPr>
        <w:t>plus $4</w:t>
      </w:r>
      <w:r w:rsidR="00060421" w:rsidRPr="008C5836">
        <w:rPr>
          <w:rFonts w:ascii="Calibri" w:hAnsi="Calibri"/>
        </w:rPr>
        <w:t>0,000 times 23.8</w:t>
      </w:r>
      <w:r w:rsidR="001E664F" w:rsidRPr="008C5836">
        <w:rPr>
          <w:rFonts w:ascii="Calibri" w:hAnsi="Calibri"/>
        </w:rPr>
        <w:t>% = $1</w:t>
      </w:r>
      <w:r w:rsidR="00060421" w:rsidRPr="008C5836">
        <w:rPr>
          <w:rFonts w:ascii="Calibri" w:hAnsi="Calibri"/>
        </w:rPr>
        <w:t xml:space="preserve">7,280 + $9,520= </w:t>
      </w:r>
      <w:r w:rsidR="00060421" w:rsidRPr="008C5836">
        <w:rPr>
          <w:rFonts w:ascii="Calibri" w:hAnsi="Calibri"/>
          <w:b/>
        </w:rPr>
        <w:t>$26,8</w:t>
      </w:r>
      <w:r w:rsidR="001E664F" w:rsidRPr="008C5836">
        <w:rPr>
          <w:rFonts w:ascii="Calibri" w:hAnsi="Calibri"/>
          <w:b/>
        </w:rPr>
        <w:t>00</w:t>
      </w:r>
      <w:r w:rsidR="001E664F" w:rsidRPr="008C5836">
        <w:rPr>
          <w:rFonts w:ascii="Calibri" w:hAnsi="Calibri"/>
        </w:rPr>
        <w:t xml:space="preserve"> hypothetical tax</w:t>
      </w:r>
      <w:r w:rsidR="00060421" w:rsidRPr="008C5836">
        <w:rPr>
          <w:rFonts w:ascii="Calibri" w:hAnsi="Calibri"/>
        </w:rPr>
        <w:t xml:space="preserve">; P&amp;G stock </w:t>
      </w:r>
      <w:r w:rsidR="00060421" w:rsidRPr="008C5836">
        <w:rPr>
          <w:rFonts w:ascii="Calibri" w:hAnsi="Calibri"/>
        </w:rPr>
        <w:lastRenderedPageBreak/>
        <w:t>$110,000 times 23.8%</w:t>
      </w:r>
      <w:r w:rsidR="00E147CA" w:rsidRPr="008C5836">
        <w:rPr>
          <w:rFonts w:ascii="Calibri" w:hAnsi="Calibri"/>
        </w:rPr>
        <w:t xml:space="preserve"> (20% LTCG rate plus 3.8% surtax</w:t>
      </w:r>
      <w:r w:rsidR="00060421" w:rsidRPr="008C5836">
        <w:rPr>
          <w:rFonts w:ascii="Calibri" w:hAnsi="Calibri"/>
        </w:rPr>
        <w:t xml:space="preserve"> = </w:t>
      </w:r>
      <w:r w:rsidR="00060421" w:rsidRPr="008C5836">
        <w:rPr>
          <w:rFonts w:ascii="Calibri" w:hAnsi="Calibri"/>
          <w:b/>
        </w:rPr>
        <w:t xml:space="preserve">$26,180; </w:t>
      </w:r>
      <w:r w:rsidR="00060421" w:rsidRPr="008C5836">
        <w:rPr>
          <w:rFonts w:ascii="Calibri" w:hAnsi="Calibri"/>
        </w:rPr>
        <w:t>artwork ($90,000 times 31.8%</w:t>
      </w:r>
      <w:r w:rsidR="00E147CA" w:rsidRPr="008C5836">
        <w:rPr>
          <w:rFonts w:ascii="Calibri" w:hAnsi="Calibri"/>
        </w:rPr>
        <w:t xml:space="preserve"> (28% collectibles rate plus surtax)</w:t>
      </w:r>
      <w:r w:rsidR="00060421" w:rsidRPr="008C5836">
        <w:rPr>
          <w:rFonts w:ascii="Calibri" w:hAnsi="Calibri"/>
        </w:rPr>
        <w:t xml:space="preserve"> = </w:t>
      </w:r>
      <w:r w:rsidR="00060421" w:rsidRPr="008C5836">
        <w:rPr>
          <w:rFonts w:ascii="Calibri" w:hAnsi="Calibri"/>
          <w:b/>
        </w:rPr>
        <w:t xml:space="preserve">$28,620.  </w:t>
      </w:r>
      <w:r w:rsidR="0059506B" w:rsidRPr="008C5836">
        <w:rPr>
          <w:rFonts w:ascii="Calibri" w:hAnsi="Calibri"/>
        </w:rPr>
        <w:t xml:space="preserve">These hypothetical tax numbers would then be divided by the FMV to determine which asset would hypothetically benefit the most from a basis increase: $26,800/$200,000 = </w:t>
      </w:r>
      <w:r w:rsidR="0059506B" w:rsidRPr="008C5836">
        <w:rPr>
          <w:rFonts w:ascii="Calibri" w:hAnsi="Calibri"/>
          <w:b/>
        </w:rPr>
        <w:t>13.4%</w:t>
      </w:r>
      <w:r w:rsidR="0059506B" w:rsidRPr="008C5836">
        <w:rPr>
          <w:rFonts w:ascii="Calibri" w:hAnsi="Calibri"/>
        </w:rPr>
        <w:t xml:space="preserve">; $26,180/$230,000 = </w:t>
      </w:r>
      <w:r w:rsidR="0059506B" w:rsidRPr="008C5836">
        <w:rPr>
          <w:rFonts w:ascii="Calibri" w:hAnsi="Calibri"/>
          <w:b/>
        </w:rPr>
        <w:t>11.38%</w:t>
      </w:r>
      <w:r w:rsidR="0059506B" w:rsidRPr="008C5836">
        <w:rPr>
          <w:rFonts w:ascii="Calibri" w:hAnsi="Calibri"/>
        </w:rPr>
        <w:t xml:space="preserve">; </w:t>
      </w:r>
      <w:r w:rsidR="00DA2A94" w:rsidRPr="008C5836">
        <w:rPr>
          <w:rFonts w:ascii="Calibri" w:hAnsi="Calibri"/>
        </w:rPr>
        <w:t xml:space="preserve">$28,620/$220,000 = </w:t>
      </w:r>
      <w:r w:rsidR="00DA2A94" w:rsidRPr="008C5836">
        <w:rPr>
          <w:rFonts w:ascii="Calibri" w:hAnsi="Calibri"/>
          <w:b/>
        </w:rPr>
        <w:t>13.01%</w:t>
      </w:r>
      <w:r w:rsidR="008C5836">
        <w:rPr>
          <w:rFonts w:ascii="Calibri" w:hAnsi="Calibri"/>
          <w:b/>
        </w:rPr>
        <w:t xml:space="preserve">. </w:t>
      </w:r>
      <w:r w:rsidR="0059506B" w:rsidRPr="008C5836">
        <w:rPr>
          <w:rFonts w:ascii="Calibri" w:hAnsi="Calibri"/>
          <w:b/>
        </w:rPr>
        <w:t xml:space="preserve"> </w:t>
      </w:r>
      <w:r w:rsidR="00060421" w:rsidRPr="008C5836">
        <w:rPr>
          <w:rFonts w:ascii="Calibri" w:hAnsi="Calibri"/>
        </w:rPr>
        <w:t>Accordingly, the</w:t>
      </w:r>
      <w:r w:rsidR="00060421" w:rsidRPr="008C5836">
        <w:rPr>
          <w:rFonts w:ascii="Calibri" w:hAnsi="Calibri"/>
          <w:b/>
        </w:rPr>
        <w:t xml:space="preserve"> </w:t>
      </w:r>
      <w:r w:rsidR="00060421" w:rsidRPr="008C5836">
        <w:rPr>
          <w:rFonts w:ascii="Calibri" w:hAnsi="Calibri"/>
        </w:rPr>
        <w:t xml:space="preserve">power shall apply to the </w:t>
      </w:r>
      <w:r w:rsidR="00DA2A94" w:rsidRPr="008C5836">
        <w:rPr>
          <w:rFonts w:ascii="Calibri" w:hAnsi="Calibri"/>
        </w:rPr>
        <w:t xml:space="preserve">building </w:t>
      </w:r>
      <w:r w:rsidR="00E147CA" w:rsidRPr="008C5836">
        <w:rPr>
          <w:rFonts w:ascii="Calibri" w:hAnsi="Calibri"/>
        </w:rPr>
        <w:t>first</w:t>
      </w:r>
      <w:r w:rsidR="00060421" w:rsidRPr="008C5836">
        <w:rPr>
          <w:rFonts w:ascii="Calibri" w:hAnsi="Calibri"/>
        </w:rPr>
        <w:t xml:space="preserve">, then </w:t>
      </w:r>
      <w:r w:rsidR="00E147CA" w:rsidRPr="008C5836">
        <w:rPr>
          <w:rFonts w:ascii="Calibri" w:hAnsi="Calibri"/>
        </w:rPr>
        <w:t>the</w:t>
      </w:r>
      <w:r w:rsidR="00DA2A94" w:rsidRPr="008C5836">
        <w:rPr>
          <w:rFonts w:ascii="Calibri" w:hAnsi="Calibri"/>
        </w:rPr>
        <w:t xml:space="preserve"> artwork</w:t>
      </w:r>
      <w:r w:rsidR="00E147CA" w:rsidRPr="008C5836">
        <w:rPr>
          <w:rFonts w:ascii="Calibri" w:hAnsi="Calibri"/>
        </w:rPr>
        <w:t xml:space="preserve">, </w:t>
      </w:r>
      <w:r w:rsidR="00060421" w:rsidRPr="008C5836">
        <w:rPr>
          <w:rFonts w:ascii="Calibri" w:hAnsi="Calibri"/>
        </w:rPr>
        <w:t xml:space="preserve">then </w:t>
      </w:r>
      <w:r w:rsidR="00E147CA" w:rsidRPr="008C5836">
        <w:rPr>
          <w:rFonts w:ascii="Calibri" w:hAnsi="Calibri"/>
        </w:rPr>
        <w:t xml:space="preserve">the </w:t>
      </w:r>
      <w:r w:rsidR="00060421" w:rsidRPr="008C5836">
        <w:rPr>
          <w:rFonts w:ascii="Calibri" w:hAnsi="Calibri"/>
        </w:rPr>
        <w:t>stock.]</w:t>
      </w:r>
    </w:p>
    <w:p w14:paraId="23CB9323" w14:textId="77777777" w:rsidR="00DA2A94" w:rsidRPr="00060421" w:rsidRDefault="00DA2A94" w:rsidP="006639D1">
      <w:pPr>
        <w:tabs>
          <w:tab w:val="num" w:pos="300"/>
        </w:tabs>
        <w:autoSpaceDE w:val="0"/>
        <w:autoSpaceDN w:val="0"/>
        <w:adjustRightInd w:val="0"/>
        <w:spacing w:before="120" w:after="120"/>
        <w:ind w:left="300" w:hanging="300"/>
        <w:rPr>
          <w:rFonts w:ascii="Calibri" w:hAnsi="Calibri"/>
          <w:color w:val="993300"/>
        </w:rPr>
      </w:pPr>
      <w:r>
        <w:rPr>
          <w:rFonts w:ascii="Calibri" w:hAnsi="Calibri"/>
          <w:color w:val="993300"/>
        </w:rPr>
        <w:tab/>
        <w:t xml:space="preserve">[note: my own preference would be to use </w:t>
      </w:r>
      <w:r w:rsidR="00BF4002">
        <w:rPr>
          <w:rFonts w:ascii="Calibri" w:hAnsi="Calibri"/>
          <w:color w:val="993300"/>
        </w:rPr>
        <w:t>a</w:t>
      </w:r>
      <w:r>
        <w:rPr>
          <w:rFonts w:ascii="Calibri" w:hAnsi="Calibri"/>
          <w:color w:val="993300"/>
        </w:rPr>
        <w:t xml:space="preserve"> </w:t>
      </w:r>
      <w:r w:rsidR="00F96C9C">
        <w:rPr>
          <w:rFonts w:ascii="Calibri" w:hAnsi="Calibri"/>
          <w:color w:val="993300"/>
        </w:rPr>
        <w:t xml:space="preserve">simple </w:t>
      </w:r>
      <w:r>
        <w:rPr>
          <w:rFonts w:ascii="Calibri" w:hAnsi="Calibri"/>
          <w:color w:val="993300"/>
        </w:rPr>
        <w:t>artificial grossing up of the difference for depreciable property</w:t>
      </w:r>
      <w:r w:rsidR="00F96C9C">
        <w:rPr>
          <w:rFonts w:ascii="Calibri" w:hAnsi="Calibri"/>
          <w:color w:val="993300"/>
        </w:rPr>
        <w:t xml:space="preserve"> (less so collectibles)</w:t>
      </w:r>
      <w:r>
        <w:rPr>
          <w:rFonts w:ascii="Calibri" w:hAnsi="Calibri"/>
          <w:color w:val="993300"/>
        </w:rPr>
        <w:t xml:space="preserve">, because </w:t>
      </w:r>
      <w:r w:rsidR="00F96C9C">
        <w:rPr>
          <w:rFonts w:ascii="Calibri" w:hAnsi="Calibri"/>
          <w:color w:val="993300"/>
        </w:rPr>
        <w:t xml:space="preserve">unlike other assets, </w:t>
      </w:r>
      <w:r>
        <w:rPr>
          <w:rFonts w:ascii="Calibri" w:hAnsi="Calibri"/>
          <w:color w:val="993300"/>
        </w:rPr>
        <w:t xml:space="preserve">added basis </w:t>
      </w:r>
      <w:r w:rsidR="00F96C9C">
        <w:rPr>
          <w:rFonts w:ascii="Calibri" w:hAnsi="Calibri"/>
          <w:color w:val="993300"/>
        </w:rPr>
        <w:t xml:space="preserve">to depreciable property </w:t>
      </w:r>
      <w:r>
        <w:rPr>
          <w:rFonts w:ascii="Calibri" w:hAnsi="Calibri"/>
          <w:color w:val="993300"/>
        </w:rPr>
        <w:t>benefits taxpayers whether the property is sold or not</w:t>
      </w:r>
      <w:r w:rsidR="00F524CB">
        <w:rPr>
          <w:rFonts w:ascii="Calibri" w:hAnsi="Calibri"/>
          <w:color w:val="993300"/>
        </w:rPr>
        <w:t xml:space="preserve"> (unless, for instance, it is a personal use vacation home etc. in hands of heirs that would not be depreciable</w:t>
      </w:r>
      <w:r w:rsidR="00F96C9C">
        <w:rPr>
          <w:rFonts w:ascii="Calibri" w:hAnsi="Calibri"/>
          <w:color w:val="993300"/>
        </w:rPr>
        <w:t>.</w:t>
      </w:r>
      <w:r>
        <w:rPr>
          <w:rFonts w:ascii="Calibri" w:hAnsi="Calibri"/>
          <w:color w:val="993300"/>
        </w:rPr>
        <w:t>]</w:t>
      </w:r>
    </w:p>
    <w:p w14:paraId="53D86C4C" w14:textId="77777777" w:rsidR="006639D1" w:rsidRPr="00230559" w:rsidRDefault="00860281" w:rsidP="006639D1">
      <w:pPr>
        <w:tabs>
          <w:tab w:val="num" w:pos="300"/>
        </w:tabs>
        <w:autoSpaceDE w:val="0"/>
        <w:autoSpaceDN w:val="0"/>
        <w:adjustRightInd w:val="0"/>
        <w:spacing w:before="120" w:after="120"/>
        <w:ind w:left="300" w:hanging="300"/>
        <w:rPr>
          <w:rFonts w:ascii="Calibri" w:hAnsi="Calibri"/>
          <w:color w:val="000000"/>
        </w:rPr>
      </w:pPr>
      <w:r>
        <w:rPr>
          <w:rFonts w:ascii="Calibri" w:hAnsi="Calibri"/>
          <w:color w:val="000000"/>
        </w:rPr>
        <w:tab/>
      </w:r>
      <w:r w:rsidR="00230559" w:rsidRPr="00230559">
        <w:rPr>
          <w:rFonts w:ascii="Calibri" w:hAnsi="Calibri"/>
          <w:color w:val="000000"/>
        </w:rPr>
        <w:t>Onc</w:t>
      </w:r>
      <w:r w:rsidR="009770FA">
        <w:rPr>
          <w:rFonts w:ascii="Calibri" w:hAnsi="Calibri"/>
          <w:color w:val="000000"/>
        </w:rPr>
        <w:t>e an asset’s (or group of asset</w:t>
      </w:r>
      <w:r w:rsidR="00230559" w:rsidRPr="00230559">
        <w:rPr>
          <w:rFonts w:ascii="Calibri" w:hAnsi="Calibri"/>
          <w:color w:val="000000"/>
        </w:rPr>
        <w:t>s</w:t>
      </w:r>
      <w:r w:rsidR="009770FA">
        <w:rPr>
          <w:rFonts w:ascii="Calibri" w:hAnsi="Calibri"/>
          <w:color w:val="000000"/>
        </w:rPr>
        <w:t>’</w:t>
      </w:r>
      <w:r w:rsidR="00230559" w:rsidRPr="00230559">
        <w:rPr>
          <w:rFonts w:ascii="Calibri" w:hAnsi="Calibri"/>
          <w:color w:val="000000"/>
        </w:rPr>
        <w:t xml:space="preserve">) inclusion as appointive assets would otherwise cause an increase in my spouse’s </w:t>
      </w:r>
      <w:r w:rsidR="00ED67B3">
        <w:rPr>
          <w:rFonts w:ascii="Calibri" w:hAnsi="Calibri"/>
          <w:color w:val="000000"/>
        </w:rPr>
        <w:t xml:space="preserve">federal or state </w:t>
      </w:r>
      <w:r w:rsidR="00230559" w:rsidRPr="00230559">
        <w:rPr>
          <w:rFonts w:ascii="Calibri" w:hAnsi="Calibri"/>
          <w:color w:val="000000"/>
        </w:rPr>
        <w:t>estate tax liability</w:t>
      </w:r>
      <w:r w:rsidR="001E300F">
        <w:rPr>
          <w:rFonts w:ascii="Calibri" w:hAnsi="Calibri"/>
          <w:color w:val="000000"/>
        </w:rPr>
        <w:t xml:space="preserve"> </w:t>
      </w:r>
      <w:r w:rsidR="001E300F" w:rsidRPr="001E300F">
        <w:rPr>
          <w:rFonts w:ascii="Calibri" w:hAnsi="Calibri"/>
          <w:color w:val="993300"/>
        </w:rPr>
        <w:t>[</w:t>
      </w:r>
      <w:r w:rsidR="00F96C9C">
        <w:rPr>
          <w:rFonts w:ascii="Calibri" w:hAnsi="Calibri"/>
          <w:color w:val="993300"/>
        </w:rPr>
        <w:t>assuming</w:t>
      </w:r>
      <w:r w:rsidR="001E300F" w:rsidRPr="001E300F">
        <w:rPr>
          <w:rFonts w:ascii="Calibri" w:hAnsi="Calibri"/>
          <w:color w:val="993300"/>
        </w:rPr>
        <w:t xml:space="preserve"> the marital or charitable deduction were denied the estate]</w:t>
      </w:r>
      <w:r w:rsidR="000422A2">
        <w:rPr>
          <w:rFonts w:ascii="Calibri" w:hAnsi="Calibri"/>
          <w:color w:val="993300"/>
        </w:rPr>
        <w:t>[alternative, “to greater than $10”]</w:t>
      </w:r>
      <w:r w:rsidR="00230559" w:rsidRPr="00230559">
        <w:rPr>
          <w:rFonts w:ascii="Calibri" w:hAnsi="Calibri"/>
          <w:color w:val="000000"/>
        </w:rPr>
        <w:t xml:space="preserve">, the power to appoint them shall be limited to that </w:t>
      </w:r>
      <w:r w:rsidR="009770FA">
        <w:rPr>
          <w:rFonts w:ascii="Calibri" w:hAnsi="Calibri"/>
          <w:color w:val="000000"/>
        </w:rPr>
        <w:t>fraction</w:t>
      </w:r>
      <w:r w:rsidR="00230559" w:rsidRPr="00230559">
        <w:rPr>
          <w:rFonts w:ascii="Calibri" w:hAnsi="Calibri"/>
          <w:color w:val="000000"/>
        </w:rPr>
        <w:t xml:space="preserve"> or percentage that </w:t>
      </w:r>
      <w:r w:rsidR="00F96C9C">
        <w:rPr>
          <w:rFonts w:ascii="Calibri" w:hAnsi="Calibri"/>
          <w:color w:val="000000"/>
        </w:rPr>
        <w:t>would</w:t>
      </w:r>
      <w:r w:rsidR="00230559" w:rsidRPr="00230559">
        <w:rPr>
          <w:rFonts w:ascii="Calibri" w:hAnsi="Calibri"/>
          <w:color w:val="000000"/>
        </w:rPr>
        <w:t xml:space="preserve"> not cause any estate tax liability</w:t>
      </w:r>
      <w:r w:rsidR="006639D1">
        <w:rPr>
          <w:rFonts w:ascii="Calibri" w:hAnsi="Calibri"/>
          <w:color w:val="000000"/>
        </w:rPr>
        <w:t>.</w:t>
      </w:r>
      <w:r w:rsidR="00230559" w:rsidRPr="00230559">
        <w:rPr>
          <w:rFonts w:ascii="Calibri" w:hAnsi="Calibri"/>
          <w:color w:val="000000"/>
        </w:rPr>
        <w:t xml:space="preserve"> </w:t>
      </w:r>
      <w:r w:rsidR="006639D1" w:rsidRPr="00230559">
        <w:rPr>
          <w:rFonts w:ascii="Calibri" w:hAnsi="Calibri"/>
          <w:color w:val="000000"/>
        </w:rPr>
        <w:t xml:space="preserve">Upon reaching this limit, all other assets are excluded from this general power </w:t>
      </w:r>
      <w:r w:rsidR="00166010">
        <w:rPr>
          <w:rFonts w:ascii="Calibri" w:hAnsi="Calibri"/>
          <w:color w:val="000000"/>
        </w:rPr>
        <w:t xml:space="preserve">of appointment </w:t>
      </w:r>
      <w:r w:rsidR="001205AE">
        <w:rPr>
          <w:rFonts w:ascii="Calibri" w:hAnsi="Calibri"/>
          <w:color w:val="000000"/>
        </w:rPr>
        <w:t>[</w:t>
      </w:r>
      <w:r w:rsidR="006639D1" w:rsidRPr="00230559">
        <w:rPr>
          <w:rFonts w:ascii="Calibri" w:hAnsi="Calibri"/>
          <w:color w:val="000000"/>
        </w:rPr>
        <w:t xml:space="preserve">and shall be subject to </w:t>
      </w:r>
      <w:r w:rsidR="006639D1">
        <w:rPr>
          <w:rFonts w:ascii="Calibri" w:hAnsi="Calibri"/>
          <w:color w:val="000000"/>
        </w:rPr>
        <w:t xml:space="preserve">the limited power of appointment described in </w:t>
      </w:r>
      <w:r w:rsidR="006639D1" w:rsidRPr="00230559">
        <w:rPr>
          <w:rFonts w:ascii="Calibri" w:hAnsi="Calibri"/>
          <w:color w:val="000000"/>
        </w:rPr>
        <w:t>paragraph 2 below</w:t>
      </w:r>
      <w:r w:rsidR="001205AE">
        <w:rPr>
          <w:rFonts w:ascii="Calibri" w:hAnsi="Calibri"/>
          <w:color w:val="000000"/>
        </w:rPr>
        <w:t>]</w:t>
      </w:r>
      <w:r w:rsidR="006639D1" w:rsidRPr="00230559">
        <w:rPr>
          <w:rFonts w:ascii="Calibri" w:hAnsi="Calibri"/>
          <w:color w:val="000000"/>
        </w:rPr>
        <w:t xml:space="preserve">. </w:t>
      </w:r>
    </w:p>
    <w:p w14:paraId="30BF7D7F" w14:textId="77777777" w:rsidR="00EC7130" w:rsidRDefault="006639D1" w:rsidP="00230559">
      <w:pPr>
        <w:tabs>
          <w:tab w:val="num" w:pos="300"/>
        </w:tabs>
        <w:autoSpaceDE w:val="0"/>
        <w:autoSpaceDN w:val="0"/>
        <w:adjustRightInd w:val="0"/>
        <w:spacing w:before="120" w:after="120"/>
        <w:ind w:left="300" w:hanging="300"/>
        <w:rPr>
          <w:rFonts w:ascii="Calibri" w:hAnsi="Calibri"/>
          <w:color w:val="000000"/>
        </w:rPr>
      </w:pPr>
      <w:r>
        <w:rPr>
          <w:rFonts w:ascii="Calibri" w:hAnsi="Calibri"/>
          <w:color w:val="000000"/>
        </w:rPr>
        <w:tab/>
      </w:r>
      <w:r w:rsidRPr="00230559">
        <w:rPr>
          <w:rFonts w:ascii="Calibri" w:hAnsi="Calibri"/>
          <w:color w:val="000000"/>
        </w:rPr>
        <w:t xml:space="preserve">Property with different cost basis for different lots or purchases shall be considered completely separate property for this purpose (e.g. 100 shares of </w:t>
      </w:r>
      <w:r>
        <w:rPr>
          <w:rFonts w:ascii="Calibri" w:hAnsi="Calibri"/>
          <w:color w:val="000000"/>
        </w:rPr>
        <w:t>ABC stock</w:t>
      </w:r>
      <w:r w:rsidRPr="00230559">
        <w:rPr>
          <w:rFonts w:ascii="Calibri" w:hAnsi="Calibri"/>
          <w:color w:val="000000"/>
        </w:rPr>
        <w:t xml:space="preserve"> bought at $350/sh shall be considered different from 100 shares bought at $500/sh a year later)</w:t>
      </w:r>
      <w:r>
        <w:rPr>
          <w:rFonts w:ascii="Calibri" w:hAnsi="Calibri"/>
          <w:color w:val="000000"/>
        </w:rPr>
        <w:t>, and may be divided or fractionalized accordingly</w:t>
      </w:r>
      <w:r w:rsidRPr="00230559">
        <w:rPr>
          <w:rFonts w:ascii="Calibri" w:hAnsi="Calibri"/>
          <w:color w:val="000000"/>
        </w:rPr>
        <w:t>.</w:t>
      </w:r>
    </w:p>
    <w:p w14:paraId="3D3E3B77" w14:textId="77777777" w:rsidR="00EC7130" w:rsidRDefault="00EC7130" w:rsidP="00230559">
      <w:pPr>
        <w:tabs>
          <w:tab w:val="num" w:pos="300"/>
        </w:tabs>
        <w:autoSpaceDE w:val="0"/>
        <w:autoSpaceDN w:val="0"/>
        <w:adjustRightInd w:val="0"/>
        <w:spacing w:before="120" w:after="120"/>
        <w:ind w:left="300" w:hanging="300"/>
        <w:rPr>
          <w:rFonts w:ascii="Calibri" w:hAnsi="Calibri"/>
          <w:color w:val="000000"/>
        </w:rPr>
      </w:pPr>
      <w:r>
        <w:rPr>
          <w:rFonts w:ascii="Calibri" w:hAnsi="Calibri"/>
          <w:color w:val="000000"/>
        </w:rPr>
        <w:tab/>
        <w:t xml:space="preserve">Property that is employer securities received as a lump sum distribution from a retirement plan with net unrealized appreciation shall consider said net unrealized appreciation for this purpose (e.g. 1000 shares of P&amp;G stock with a tax basis of $50,000, net unrealized appreciation of $20,000 and fair market value of $85,000 shall consider the basis to be $70,000 for purposes of application of this paragraph.  If the </w:t>
      </w:r>
      <w:r w:rsidR="00770055">
        <w:rPr>
          <w:rFonts w:ascii="Calibri" w:hAnsi="Calibri"/>
          <w:color w:val="000000"/>
        </w:rPr>
        <w:t>stock’s</w:t>
      </w:r>
      <w:r>
        <w:rPr>
          <w:rFonts w:ascii="Calibri" w:hAnsi="Calibri"/>
          <w:color w:val="000000"/>
        </w:rPr>
        <w:t xml:space="preserve"> value were </w:t>
      </w:r>
      <w:r w:rsidR="00770055">
        <w:rPr>
          <w:rFonts w:ascii="Calibri" w:hAnsi="Calibri"/>
          <w:color w:val="000000"/>
        </w:rPr>
        <w:t>equal to or less than $70</w:t>
      </w:r>
      <w:r>
        <w:rPr>
          <w:rFonts w:ascii="Calibri" w:hAnsi="Calibri"/>
          <w:color w:val="000000"/>
        </w:rPr>
        <w:t>,000, it would accordingly not be an appointive</w:t>
      </w:r>
      <w:r w:rsidR="00770055">
        <w:rPr>
          <w:rFonts w:ascii="Calibri" w:hAnsi="Calibri"/>
          <w:color w:val="000000"/>
        </w:rPr>
        <w:t xml:space="preserve"> asset subject to this GPOA</w:t>
      </w:r>
      <w:r>
        <w:rPr>
          <w:rFonts w:ascii="Calibri" w:hAnsi="Calibri"/>
          <w:color w:val="000000"/>
        </w:rPr>
        <w:t>).</w:t>
      </w:r>
    </w:p>
    <w:p w14:paraId="177C2544" w14:textId="77777777" w:rsidR="00230559" w:rsidRPr="00230559" w:rsidRDefault="006639D1" w:rsidP="00230559">
      <w:pPr>
        <w:tabs>
          <w:tab w:val="num" w:pos="300"/>
        </w:tabs>
        <w:autoSpaceDE w:val="0"/>
        <w:autoSpaceDN w:val="0"/>
        <w:adjustRightInd w:val="0"/>
        <w:spacing w:before="120" w:after="120"/>
        <w:ind w:left="300" w:hanging="300"/>
        <w:rPr>
          <w:rFonts w:ascii="Calibri" w:hAnsi="Calibri"/>
          <w:color w:val="000000"/>
        </w:rPr>
      </w:pPr>
      <w:r w:rsidRPr="00230559">
        <w:rPr>
          <w:rFonts w:ascii="Calibri" w:hAnsi="Calibri"/>
          <w:color w:val="000000"/>
        </w:rPr>
        <w:t xml:space="preserve"> </w:t>
      </w:r>
      <w:r>
        <w:rPr>
          <w:rFonts w:ascii="Calibri" w:hAnsi="Calibri"/>
          <w:color w:val="000000"/>
        </w:rPr>
        <w:tab/>
        <w:t xml:space="preserve">For purposes of illustrating the intent of this Paragraph 1, </w:t>
      </w:r>
      <w:r w:rsidR="00230559" w:rsidRPr="00230559">
        <w:rPr>
          <w:rFonts w:ascii="Calibri" w:hAnsi="Calibri"/>
          <w:color w:val="000000"/>
        </w:rPr>
        <w:t>if $50,000 cou</w:t>
      </w:r>
      <w:r>
        <w:rPr>
          <w:rFonts w:ascii="Calibri" w:hAnsi="Calibri"/>
          <w:color w:val="000000"/>
        </w:rPr>
        <w:t>ld be added to my spouse’s</w:t>
      </w:r>
      <w:r w:rsidR="00230559" w:rsidRPr="00230559">
        <w:rPr>
          <w:rFonts w:ascii="Calibri" w:hAnsi="Calibri"/>
          <w:color w:val="000000"/>
        </w:rPr>
        <w:t xml:space="preserve"> estate </w:t>
      </w:r>
      <w:r>
        <w:rPr>
          <w:rFonts w:ascii="Calibri" w:hAnsi="Calibri"/>
          <w:color w:val="000000"/>
        </w:rPr>
        <w:t xml:space="preserve">prior to application of this Paragraph 1 </w:t>
      </w:r>
      <w:r w:rsidR="00230559" w:rsidRPr="00230559">
        <w:rPr>
          <w:rFonts w:ascii="Calibri" w:hAnsi="Calibri"/>
          <w:color w:val="000000"/>
        </w:rPr>
        <w:t xml:space="preserve">without </w:t>
      </w:r>
      <w:r>
        <w:rPr>
          <w:rFonts w:ascii="Calibri" w:hAnsi="Calibri"/>
          <w:color w:val="000000"/>
        </w:rPr>
        <w:t xml:space="preserve">causing </w:t>
      </w:r>
      <w:r w:rsidR="00230559" w:rsidRPr="00230559">
        <w:rPr>
          <w:rFonts w:ascii="Calibri" w:hAnsi="Calibri"/>
          <w:color w:val="000000"/>
        </w:rPr>
        <w:t xml:space="preserve">state or federal estate </w:t>
      </w:r>
      <w:r w:rsidR="00C558CC">
        <w:rPr>
          <w:rFonts w:ascii="Calibri" w:hAnsi="Calibri"/>
          <w:color w:val="000000"/>
        </w:rPr>
        <w:t xml:space="preserve">or generation skipping transfer </w:t>
      </w:r>
      <w:r w:rsidR="00230559" w:rsidRPr="00230559">
        <w:rPr>
          <w:rFonts w:ascii="Calibri" w:hAnsi="Calibri"/>
          <w:color w:val="000000"/>
        </w:rPr>
        <w:t xml:space="preserve">tax, and the asset with the largest percentage difference between cost basis and fair market value is 100 shares of </w:t>
      </w:r>
      <w:r>
        <w:rPr>
          <w:rFonts w:ascii="Calibri" w:hAnsi="Calibri"/>
          <w:color w:val="000000"/>
        </w:rPr>
        <w:t>ABC</w:t>
      </w:r>
      <w:r w:rsidR="00230559" w:rsidRPr="00230559">
        <w:rPr>
          <w:rFonts w:ascii="Calibri" w:hAnsi="Calibri"/>
          <w:color w:val="000000"/>
        </w:rPr>
        <w:t xml:space="preserve"> stock with a basis of $35,000 and </w:t>
      </w:r>
      <w:r w:rsidR="005916CE">
        <w:rPr>
          <w:rFonts w:ascii="Calibri" w:hAnsi="Calibri"/>
          <w:color w:val="000000"/>
        </w:rPr>
        <w:t>fair market value of $100,000, then this</w:t>
      </w:r>
      <w:r w:rsidR="00230559" w:rsidRPr="00230559">
        <w:rPr>
          <w:rFonts w:ascii="Calibri" w:hAnsi="Calibri"/>
          <w:color w:val="000000"/>
        </w:rPr>
        <w:t xml:space="preserve"> general power </w:t>
      </w:r>
      <w:r w:rsidR="005916CE">
        <w:rPr>
          <w:rFonts w:ascii="Calibri" w:hAnsi="Calibri"/>
          <w:color w:val="000000"/>
        </w:rPr>
        <w:t xml:space="preserve">of appointment </w:t>
      </w:r>
      <w:r w:rsidR="00230559" w:rsidRPr="00230559">
        <w:rPr>
          <w:rFonts w:ascii="Calibri" w:hAnsi="Calibri"/>
          <w:color w:val="000000"/>
        </w:rPr>
        <w:t xml:space="preserve">shall extend to only 50 shares from that lot of stock.  </w:t>
      </w:r>
    </w:p>
    <w:p w14:paraId="10AE5DCD" w14:textId="0D2B0F14" w:rsidR="00CA69E3" w:rsidRDefault="00230559" w:rsidP="00230559">
      <w:pPr>
        <w:tabs>
          <w:tab w:val="num" w:pos="300"/>
        </w:tabs>
        <w:ind w:left="300" w:hanging="300"/>
        <w:rPr>
          <w:rFonts w:ascii="Calibri" w:hAnsi="Calibri"/>
          <w:color w:val="000000"/>
        </w:rPr>
      </w:pPr>
      <w:r w:rsidRPr="00230559">
        <w:rPr>
          <w:rFonts w:ascii="Calibri" w:hAnsi="Calibri"/>
          <w:color w:val="000000"/>
        </w:rPr>
        <w:tab/>
        <w:t xml:space="preserve">A material purpose of </w:t>
      </w:r>
      <w:r w:rsidR="00C62C1C">
        <w:rPr>
          <w:rFonts w:ascii="Calibri" w:hAnsi="Calibri"/>
          <w:color w:val="000000"/>
        </w:rPr>
        <w:t>this</w:t>
      </w:r>
      <w:r w:rsidR="00BE1D54">
        <w:rPr>
          <w:rFonts w:ascii="Calibri" w:hAnsi="Calibri"/>
          <w:color w:val="000000"/>
        </w:rPr>
        <w:t xml:space="preserve"> paragraph [section  XX.X]</w:t>
      </w:r>
      <w:r w:rsidR="00C62C1C">
        <w:rPr>
          <w:rFonts w:ascii="Calibri" w:hAnsi="Calibri"/>
          <w:color w:val="000000"/>
        </w:rPr>
        <w:t xml:space="preserve"> </w:t>
      </w:r>
      <w:r w:rsidRPr="00230559">
        <w:rPr>
          <w:rFonts w:ascii="Calibri" w:hAnsi="Calibri"/>
          <w:color w:val="000000"/>
        </w:rPr>
        <w:t xml:space="preserve">is to </w:t>
      </w:r>
      <w:r w:rsidR="00B00711">
        <w:rPr>
          <w:rFonts w:ascii="Calibri" w:hAnsi="Calibri"/>
          <w:color w:val="000000"/>
        </w:rPr>
        <w:t>grant</w:t>
      </w:r>
      <w:r w:rsidR="00C62C1C">
        <w:rPr>
          <w:rFonts w:ascii="Calibri" w:hAnsi="Calibri"/>
          <w:color w:val="000000"/>
        </w:rPr>
        <w:t xml:space="preserve"> my spouse a general power of appointment as defined under IRC §2041 </w:t>
      </w:r>
      <w:r w:rsidR="000B6F69">
        <w:rPr>
          <w:rFonts w:ascii="Calibri" w:hAnsi="Calibri"/>
          <w:color w:val="000000"/>
        </w:rPr>
        <w:t xml:space="preserve">limited in such a way as to </w:t>
      </w:r>
      <w:r w:rsidR="00C62C1C">
        <w:rPr>
          <w:rFonts w:ascii="Calibri" w:hAnsi="Calibri"/>
          <w:color w:val="000000"/>
        </w:rPr>
        <w:t xml:space="preserve"> </w:t>
      </w:r>
      <w:r w:rsidRPr="00230559">
        <w:rPr>
          <w:rFonts w:ascii="Calibri" w:hAnsi="Calibri"/>
          <w:color w:val="000000"/>
        </w:rPr>
        <w:t>maximize the income tax basis increase under IRC §1014</w:t>
      </w:r>
      <w:r w:rsidR="00B6503A">
        <w:rPr>
          <w:rFonts w:ascii="Calibri" w:hAnsi="Calibri"/>
          <w:color w:val="000000"/>
        </w:rPr>
        <w:t xml:space="preserve"> or any successor tax provision</w:t>
      </w:r>
      <w:r w:rsidRPr="00230559">
        <w:rPr>
          <w:rFonts w:ascii="Calibri" w:hAnsi="Calibri"/>
          <w:color w:val="000000"/>
        </w:rPr>
        <w:t xml:space="preserve"> of the property held in the Family Trust without increasing my spouse’s federal or state estate </w:t>
      </w:r>
      <w:r w:rsidR="00C558CC">
        <w:rPr>
          <w:rFonts w:ascii="Calibri" w:hAnsi="Calibri"/>
          <w:color w:val="000000"/>
        </w:rPr>
        <w:t xml:space="preserve">or generation skipping transfer </w:t>
      </w:r>
      <w:r w:rsidRPr="00230559">
        <w:rPr>
          <w:rFonts w:ascii="Calibri" w:hAnsi="Calibri"/>
          <w:color w:val="000000"/>
        </w:rPr>
        <w:t>tax</w:t>
      </w:r>
      <w:r w:rsidR="000422A2">
        <w:rPr>
          <w:rFonts w:ascii="Calibri" w:hAnsi="Calibri"/>
          <w:color w:val="000000"/>
        </w:rPr>
        <w:t xml:space="preserve"> </w:t>
      </w:r>
      <w:r w:rsidR="000422A2" w:rsidRPr="000422A2">
        <w:rPr>
          <w:rFonts w:ascii="Calibri" w:hAnsi="Calibri"/>
          <w:color w:val="984806" w:themeColor="accent6" w:themeShade="80"/>
        </w:rPr>
        <w:t>[to greater than $10]</w:t>
      </w:r>
      <w:r w:rsidRPr="00230559">
        <w:rPr>
          <w:rFonts w:ascii="Calibri" w:hAnsi="Calibri"/>
          <w:color w:val="000000"/>
        </w:rPr>
        <w:t xml:space="preserve">, </w:t>
      </w:r>
      <w:r w:rsidR="00137BE1">
        <w:rPr>
          <w:rFonts w:ascii="Calibri" w:hAnsi="Calibri"/>
          <w:color w:val="000000"/>
        </w:rPr>
        <w:t xml:space="preserve">without triggering any substantial income tax realization event (if current law should change, </w:t>
      </w:r>
      <w:r w:rsidR="00BF4002">
        <w:rPr>
          <w:rFonts w:ascii="Calibri" w:hAnsi="Calibri"/>
          <w:color w:val="000000"/>
        </w:rPr>
        <w:t xml:space="preserve">and without subjecting substantial trust assets to my spouse’s creditors should my spouse’s estate be insolvent, </w:t>
      </w:r>
      <w:r w:rsidRPr="00230559">
        <w:rPr>
          <w:rFonts w:ascii="Calibri" w:hAnsi="Calibri"/>
          <w:color w:val="000000"/>
        </w:rPr>
        <w:t xml:space="preserve">so </w:t>
      </w:r>
      <w:r w:rsidRPr="00230559">
        <w:rPr>
          <w:rFonts w:ascii="Calibri" w:hAnsi="Calibri"/>
          <w:color w:val="000000"/>
        </w:rPr>
        <w:lastRenderedPageBreak/>
        <w:t xml:space="preserve">as to provide the maximum benefit to our ultimate beneficiaries.  This trust may accordingly be amended or decanted pursuant to applicable state law </w:t>
      </w:r>
      <w:r w:rsidR="006639D1" w:rsidRPr="006639D1">
        <w:rPr>
          <w:rFonts w:ascii="Calibri" w:hAnsi="Calibri"/>
          <w:color w:val="993300"/>
        </w:rPr>
        <w:t xml:space="preserve">[or, </w:t>
      </w:r>
      <w:r w:rsidR="00166010">
        <w:rPr>
          <w:rFonts w:ascii="Calibri" w:hAnsi="Calibri"/>
          <w:color w:val="993300"/>
        </w:rPr>
        <w:t xml:space="preserve">reference a </w:t>
      </w:r>
      <w:r w:rsidR="006639D1" w:rsidRPr="006639D1">
        <w:rPr>
          <w:rFonts w:ascii="Calibri" w:hAnsi="Calibri"/>
          <w:color w:val="993300"/>
        </w:rPr>
        <w:t xml:space="preserve">trust protector </w:t>
      </w:r>
      <w:r w:rsidR="00CA69E3">
        <w:rPr>
          <w:rFonts w:ascii="Calibri" w:hAnsi="Calibri"/>
          <w:color w:val="993300"/>
        </w:rPr>
        <w:t xml:space="preserve">or independent trustee amendment </w:t>
      </w:r>
      <w:r w:rsidR="006639D1" w:rsidRPr="006639D1">
        <w:rPr>
          <w:rFonts w:ascii="Calibri" w:hAnsi="Calibri"/>
          <w:color w:val="993300"/>
        </w:rPr>
        <w:t>clause if there is one</w:t>
      </w:r>
      <w:r w:rsidR="00CA69E3">
        <w:rPr>
          <w:rFonts w:ascii="Calibri" w:hAnsi="Calibri"/>
          <w:color w:val="993300"/>
        </w:rPr>
        <w:t xml:space="preserve"> already</w:t>
      </w:r>
      <w:r w:rsidR="006639D1" w:rsidRPr="006639D1">
        <w:rPr>
          <w:rFonts w:ascii="Calibri" w:hAnsi="Calibri"/>
          <w:color w:val="993300"/>
        </w:rPr>
        <w:t xml:space="preserve"> in the trust to permit amendments]</w:t>
      </w:r>
      <w:r w:rsidR="006639D1">
        <w:rPr>
          <w:rFonts w:ascii="Calibri" w:hAnsi="Calibri"/>
          <w:color w:val="000000"/>
        </w:rPr>
        <w:t xml:space="preserve"> </w:t>
      </w:r>
      <w:r w:rsidRPr="00230559">
        <w:rPr>
          <w:rFonts w:ascii="Calibri" w:hAnsi="Calibri"/>
          <w:color w:val="000000"/>
        </w:rPr>
        <w:t xml:space="preserve">to comply with this </w:t>
      </w:r>
      <w:r w:rsidR="00166010">
        <w:rPr>
          <w:rFonts w:ascii="Calibri" w:hAnsi="Calibri"/>
          <w:color w:val="000000"/>
        </w:rPr>
        <w:t xml:space="preserve">intended </w:t>
      </w:r>
      <w:r w:rsidRPr="00230559">
        <w:rPr>
          <w:rFonts w:ascii="Calibri" w:hAnsi="Calibri"/>
          <w:color w:val="000000"/>
        </w:rPr>
        <w:t>purpose should</w:t>
      </w:r>
      <w:r w:rsidR="00CA69E3">
        <w:rPr>
          <w:rFonts w:ascii="Calibri" w:hAnsi="Calibri"/>
          <w:color w:val="000000"/>
        </w:rPr>
        <w:t>:</w:t>
      </w:r>
    </w:p>
    <w:p w14:paraId="0C512884" w14:textId="77777777" w:rsidR="00CA69E3" w:rsidRDefault="00CA69E3" w:rsidP="00230559">
      <w:pPr>
        <w:tabs>
          <w:tab w:val="num" w:pos="300"/>
        </w:tabs>
        <w:ind w:left="300" w:hanging="300"/>
        <w:rPr>
          <w:rFonts w:ascii="Calibri" w:hAnsi="Calibri"/>
          <w:color w:val="000000"/>
        </w:rPr>
      </w:pPr>
      <w:r>
        <w:rPr>
          <w:rFonts w:ascii="Calibri" w:hAnsi="Calibri"/>
          <w:color w:val="000000"/>
        </w:rPr>
        <w:tab/>
      </w:r>
      <w:r>
        <w:rPr>
          <w:rFonts w:ascii="Calibri" w:hAnsi="Calibri"/>
          <w:color w:val="000000"/>
        </w:rPr>
        <w:tab/>
        <w:t>a)</w:t>
      </w:r>
      <w:r w:rsidR="00BF4002">
        <w:rPr>
          <w:rFonts w:ascii="Calibri" w:hAnsi="Calibri"/>
          <w:color w:val="000000"/>
        </w:rPr>
        <w:t xml:space="preserve"> IRC §1014,</w:t>
      </w:r>
      <w:r w:rsidR="00230559" w:rsidRPr="00230559">
        <w:rPr>
          <w:rFonts w:ascii="Calibri" w:hAnsi="Calibri"/>
          <w:color w:val="000000"/>
        </w:rPr>
        <w:t xml:space="preserve"> §2041 or other applicable</w:t>
      </w:r>
      <w:r>
        <w:rPr>
          <w:rFonts w:ascii="Calibri" w:hAnsi="Calibri"/>
          <w:color w:val="000000"/>
        </w:rPr>
        <w:t xml:space="preserve"> tax</w:t>
      </w:r>
      <w:r w:rsidR="00230559" w:rsidRPr="00230559">
        <w:rPr>
          <w:rFonts w:ascii="Calibri" w:hAnsi="Calibri"/>
          <w:color w:val="000000"/>
        </w:rPr>
        <w:t xml:space="preserve"> law be </w:t>
      </w:r>
      <w:r w:rsidR="006639D1">
        <w:rPr>
          <w:rFonts w:ascii="Calibri" w:hAnsi="Calibri"/>
          <w:color w:val="000000"/>
        </w:rPr>
        <w:t xml:space="preserve">materially </w:t>
      </w:r>
      <w:r w:rsidR="00230559" w:rsidRPr="00230559">
        <w:rPr>
          <w:rFonts w:ascii="Calibri" w:hAnsi="Calibri"/>
          <w:color w:val="000000"/>
        </w:rPr>
        <w:t>changed</w:t>
      </w:r>
      <w:r w:rsidR="00B044CB">
        <w:rPr>
          <w:rFonts w:ascii="Calibri" w:hAnsi="Calibri"/>
          <w:color w:val="000000"/>
        </w:rPr>
        <w:t>, such as 2016 fiscal year Obama Administration Greenbook proposals</w:t>
      </w:r>
      <w:r w:rsidR="00F96C9C">
        <w:rPr>
          <w:rFonts w:ascii="Calibri" w:hAnsi="Calibri"/>
          <w:color w:val="000000"/>
        </w:rPr>
        <w:t>;</w:t>
      </w:r>
    </w:p>
    <w:p w14:paraId="208BF56B" w14:textId="77777777" w:rsidR="00CA69E3" w:rsidRDefault="00CA69E3" w:rsidP="00230559">
      <w:pPr>
        <w:tabs>
          <w:tab w:val="num" w:pos="300"/>
        </w:tabs>
        <w:ind w:left="300" w:hanging="300"/>
        <w:rPr>
          <w:rFonts w:ascii="Calibri" w:hAnsi="Calibri"/>
          <w:color w:val="000000"/>
        </w:rPr>
      </w:pPr>
      <w:r>
        <w:rPr>
          <w:rFonts w:ascii="Calibri" w:hAnsi="Calibri"/>
          <w:color w:val="000000"/>
        </w:rPr>
        <w:tab/>
      </w:r>
      <w:r>
        <w:rPr>
          <w:rFonts w:ascii="Calibri" w:hAnsi="Calibri"/>
          <w:color w:val="000000"/>
        </w:rPr>
        <w:tab/>
        <w:t>b)</w:t>
      </w:r>
      <w:r w:rsidR="00BF4002">
        <w:rPr>
          <w:rFonts w:ascii="Calibri" w:hAnsi="Calibri"/>
          <w:color w:val="000000"/>
        </w:rPr>
        <w:t xml:space="preserve"> t</w:t>
      </w:r>
      <w:r w:rsidR="00230559" w:rsidRPr="00230559">
        <w:rPr>
          <w:rFonts w:ascii="Calibri" w:hAnsi="Calibri"/>
          <w:color w:val="000000"/>
        </w:rPr>
        <w:t>he state</w:t>
      </w:r>
      <w:r w:rsidR="00B25ABD">
        <w:rPr>
          <w:rFonts w:ascii="Calibri" w:hAnsi="Calibri"/>
          <w:color w:val="000000"/>
        </w:rPr>
        <w:t>, federal</w:t>
      </w:r>
      <w:r w:rsidR="00230559" w:rsidRPr="00230559">
        <w:rPr>
          <w:rFonts w:ascii="Calibri" w:hAnsi="Calibri"/>
          <w:color w:val="000000"/>
        </w:rPr>
        <w:t xml:space="preserve"> or foreign estate</w:t>
      </w:r>
      <w:r>
        <w:rPr>
          <w:rFonts w:ascii="Calibri" w:hAnsi="Calibri"/>
          <w:color w:val="000000"/>
        </w:rPr>
        <w:t xml:space="preserve"> or inheritance</w:t>
      </w:r>
      <w:r w:rsidR="00230559" w:rsidRPr="00230559">
        <w:rPr>
          <w:rFonts w:ascii="Calibri" w:hAnsi="Calibri"/>
          <w:color w:val="000000"/>
        </w:rPr>
        <w:t xml:space="preserve"> tax applicable to my spouse’s estate </w:t>
      </w:r>
      <w:r w:rsidR="006639D1" w:rsidRPr="00230559">
        <w:rPr>
          <w:rFonts w:ascii="Calibri" w:hAnsi="Calibri"/>
          <w:color w:val="000000"/>
        </w:rPr>
        <w:t xml:space="preserve">be </w:t>
      </w:r>
      <w:r w:rsidR="00230559" w:rsidRPr="00230559">
        <w:rPr>
          <w:rFonts w:ascii="Calibri" w:hAnsi="Calibri"/>
          <w:color w:val="000000"/>
        </w:rPr>
        <w:t>materially changed</w:t>
      </w:r>
      <w:r w:rsidR="00F96C9C">
        <w:rPr>
          <w:rFonts w:ascii="Calibri" w:hAnsi="Calibri"/>
          <w:color w:val="000000"/>
        </w:rPr>
        <w:t>;</w:t>
      </w:r>
    </w:p>
    <w:p w14:paraId="3452DCD1" w14:textId="77777777" w:rsidR="00BE1D54" w:rsidRDefault="00BF4002" w:rsidP="00230559">
      <w:pPr>
        <w:tabs>
          <w:tab w:val="num" w:pos="300"/>
        </w:tabs>
        <w:ind w:left="300" w:hanging="300"/>
        <w:rPr>
          <w:rFonts w:ascii="Calibri" w:hAnsi="Calibri"/>
          <w:color w:val="000000"/>
        </w:rPr>
      </w:pPr>
      <w:r>
        <w:rPr>
          <w:rFonts w:ascii="Calibri" w:hAnsi="Calibri"/>
          <w:color w:val="000000"/>
        </w:rPr>
        <w:tab/>
      </w:r>
      <w:r>
        <w:rPr>
          <w:rFonts w:ascii="Calibri" w:hAnsi="Calibri"/>
          <w:color w:val="000000"/>
        </w:rPr>
        <w:tab/>
        <w:t>c) m</w:t>
      </w:r>
      <w:r w:rsidR="00BE1D54">
        <w:rPr>
          <w:rFonts w:ascii="Calibri" w:hAnsi="Calibri"/>
          <w:color w:val="000000"/>
        </w:rPr>
        <w:t>y spouse remarry and reside in a jurisdiction with a spousal elective share definition that woul</w:t>
      </w:r>
      <w:r>
        <w:rPr>
          <w:rFonts w:ascii="Calibri" w:hAnsi="Calibri"/>
          <w:color w:val="000000"/>
        </w:rPr>
        <w:t xml:space="preserve">d otherwise include appointive assets subject to a third party created testamentary general power of appointment, </w:t>
      </w:r>
      <w:r w:rsidR="00BE1D54">
        <w:rPr>
          <w:rFonts w:ascii="Calibri" w:hAnsi="Calibri"/>
          <w:color w:val="000000"/>
        </w:rPr>
        <w:t xml:space="preserve">without </w:t>
      </w:r>
      <w:r>
        <w:rPr>
          <w:rFonts w:ascii="Calibri" w:hAnsi="Calibri"/>
          <w:color w:val="000000"/>
        </w:rPr>
        <w:t xml:space="preserve">having </w:t>
      </w:r>
      <w:r w:rsidR="00BE1D54">
        <w:rPr>
          <w:rFonts w:ascii="Calibri" w:hAnsi="Calibri"/>
          <w:color w:val="000000"/>
        </w:rPr>
        <w:t>a valid pre or post nuptial agreement that would otherwise exclude these trust assets</w:t>
      </w:r>
    </w:p>
    <w:p w14:paraId="69EE1AAF" w14:textId="77777777" w:rsidR="00CA69E3" w:rsidRDefault="00CA69E3" w:rsidP="00230559">
      <w:pPr>
        <w:tabs>
          <w:tab w:val="num" w:pos="300"/>
        </w:tabs>
        <w:ind w:left="300" w:hanging="300"/>
        <w:rPr>
          <w:rFonts w:ascii="Calibri" w:hAnsi="Calibri"/>
          <w:color w:val="000000"/>
        </w:rPr>
      </w:pPr>
      <w:r>
        <w:rPr>
          <w:rFonts w:ascii="Calibri" w:hAnsi="Calibri"/>
          <w:color w:val="000000"/>
        </w:rPr>
        <w:tab/>
      </w:r>
      <w:r>
        <w:rPr>
          <w:rFonts w:ascii="Calibri" w:hAnsi="Calibri"/>
          <w:color w:val="000000"/>
        </w:rPr>
        <w:tab/>
        <w:t xml:space="preserve">c) </w:t>
      </w:r>
      <w:r w:rsidR="00230559" w:rsidRPr="00230559">
        <w:rPr>
          <w:rFonts w:ascii="Calibri" w:hAnsi="Calibri"/>
          <w:color w:val="000000"/>
        </w:rPr>
        <w:t xml:space="preserve">my spouse’s </w:t>
      </w:r>
      <w:r w:rsidR="00BF4002">
        <w:rPr>
          <w:rFonts w:ascii="Calibri" w:hAnsi="Calibri"/>
          <w:color w:val="000000"/>
        </w:rPr>
        <w:t xml:space="preserve">projected </w:t>
      </w:r>
      <w:r w:rsidR="00230559" w:rsidRPr="00230559">
        <w:rPr>
          <w:rFonts w:ascii="Calibri" w:hAnsi="Calibri"/>
          <w:color w:val="000000"/>
        </w:rPr>
        <w:t xml:space="preserve">estate </w:t>
      </w:r>
      <w:r w:rsidR="00B00711">
        <w:rPr>
          <w:rFonts w:ascii="Calibri" w:hAnsi="Calibri"/>
          <w:color w:val="000000"/>
        </w:rPr>
        <w:t>appear likely</w:t>
      </w:r>
      <w:r w:rsidR="00230559" w:rsidRPr="00230559">
        <w:rPr>
          <w:rFonts w:ascii="Calibri" w:hAnsi="Calibri"/>
          <w:color w:val="000000"/>
        </w:rPr>
        <w:t xml:space="preserve"> to be insolvent and my spouse resides in a state which does not protect assets subject to a </w:t>
      </w:r>
      <w:r w:rsidR="00B00711">
        <w:rPr>
          <w:rFonts w:ascii="Calibri" w:hAnsi="Calibri"/>
          <w:color w:val="000000"/>
        </w:rPr>
        <w:t xml:space="preserve">testamentary </w:t>
      </w:r>
      <w:r w:rsidR="00230559" w:rsidRPr="00230559">
        <w:rPr>
          <w:rFonts w:ascii="Calibri" w:hAnsi="Calibri"/>
          <w:color w:val="000000"/>
        </w:rPr>
        <w:t xml:space="preserve">general power of </w:t>
      </w:r>
      <w:r w:rsidR="00B00711">
        <w:rPr>
          <w:rFonts w:ascii="Calibri" w:hAnsi="Calibri"/>
          <w:color w:val="000000"/>
        </w:rPr>
        <w:t xml:space="preserve">appointment </w:t>
      </w:r>
      <w:r w:rsidR="00230559" w:rsidRPr="00230559">
        <w:rPr>
          <w:rFonts w:ascii="Calibri" w:hAnsi="Calibri"/>
          <w:color w:val="000000"/>
        </w:rPr>
        <w:t xml:space="preserve">from a </w:t>
      </w:r>
      <w:r w:rsidR="00B00711">
        <w:rPr>
          <w:rFonts w:ascii="Calibri" w:hAnsi="Calibri"/>
          <w:color w:val="000000"/>
        </w:rPr>
        <w:t xml:space="preserve">decedent’s or decedent’s </w:t>
      </w:r>
      <w:r w:rsidR="00230559" w:rsidRPr="00230559">
        <w:rPr>
          <w:rFonts w:ascii="Calibri" w:hAnsi="Calibri"/>
          <w:color w:val="000000"/>
        </w:rPr>
        <w:t>estate’s creditors</w:t>
      </w:r>
      <w:r w:rsidR="00F96C9C">
        <w:rPr>
          <w:rFonts w:ascii="Calibri" w:hAnsi="Calibri"/>
          <w:color w:val="000000"/>
        </w:rPr>
        <w:t>;</w:t>
      </w:r>
    </w:p>
    <w:p w14:paraId="6E82A6D4" w14:textId="77777777" w:rsidR="00BF4002" w:rsidRDefault="00CA69E3" w:rsidP="00230559">
      <w:pPr>
        <w:tabs>
          <w:tab w:val="num" w:pos="300"/>
        </w:tabs>
        <w:ind w:left="300" w:hanging="300"/>
        <w:rPr>
          <w:rFonts w:ascii="Calibri" w:hAnsi="Calibri"/>
          <w:color w:val="000000"/>
        </w:rPr>
      </w:pPr>
      <w:r>
        <w:rPr>
          <w:rFonts w:ascii="Calibri" w:hAnsi="Calibri"/>
          <w:color w:val="000000"/>
        </w:rPr>
        <w:tab/>
      </w:r>
      <w:r>
        <w:rPr>
          <w:rFonts w:ascii="Calibri" w:hAnsi="Calibri"/>
          <w:color w:val="000000"/>
        </w:rPr>
        <w:tab/>
        <w:t>d)</w:t>
      </w:r>
      <w:r w:rsidR="00230559" w:rsidRPr="00230559">
        <w:rPr>
          <w:rFonts w:ascii="Calibri" w:hAnsi="Calibri"/>
          <w:color w:val="000000"/>
        </w:rPr>
        <w:t xml:space="preserve"> </w:t>
      </w:r>
      <w:r w:rsidR="00F96C9C">
        <w:rPr>
          <w:rFonts w:ascii="Calibri" w:hAnsi="Calibri"/>
          <w:color w:val="000000"/>
        </w:rPr>
        <w:t>an improved formula yield superior tax results for the beneficiaries; or</w:t>
      </w:r>
      <w:r w:rsidR="00BF4002">
        <w:rPr>
          <w:rFonts w:ascii="Calibri" w:hAnsi="Calibri"/>
          <w:color w:val="000000"/>
        </w:rPr>
        <w:t xml:space="preserve"> </w:t>
      </w:r>
    </w:p>
    <w:p w14:paraId="25470B81" w14:textId="77777777" w:rsidR="00230559" w:rsidRPr="00230559" w:rsidRDefault="00F96C9C" w:rsidP="00230559">
      <w:pPr>
        <w:tabs>
          <w:tab w:val="num" w:pos="300"/>
        </w:tabs>
        <w:ind w:left="300" w:hanging="300"/>
        <w:rPr>
          <w:rFonts w:ascii="Calibri" w:hAnsi="Calibri"/>
          <w:color w:val="000000"/>
        </w:rPr>
      </w:pPr>
      <w:r>
        <w:rPr>
          <w:rFonts w:ascii="Calibri" w:hAnsi="Calibri"/>
          <w:color w:val="000000"/>
        </w:rPr>
        <w:tab/>
      </w:r>
      <w:r>
        <w:rPr>
          <w:rFonts w:ascii="Calibri" w:hAnsi="Calibri"/>
          <w:color w:val="000000"/>
        </w:rPr>
        <w:tab/>
        <w:t xml:space="preserve">e) </w:t>
      </w:r>
      <w:r w:rsidR="00230559" w:rsidRPr="00230559">
        <w:rPr>
          <w:rFonts w:ascii="Calibri" w:hAnsi="Calibri"/>
          <w:color w:val="000000"/>
        </w:rPr>
        <w:t xml:space="preserve">any other situation </w:t>
      </w:r>
      <w:r>
        <w:rPr>
          <w:rFonts w:ascii="Calibri" w:hAnsi="Calibri"/>
          <w:color w:val="000000"/>
        </w:rPr>
        <w:t xml:space="preserve">arise </w:t>
      </w:r>
      <w:r w:rsidR="00230559" w:rsidRPr="00230559">
        <w:rPr>
          <w:rFonts w:ascii="Calibri" w:hAnsi="Calibri"/>
          <w:color w:val="000000"/>
        </w:rPr>
        <w:t>which would frustrate the intention of this paragraph.</w:t>
      </w:r>
      <w:r w:rsidR="000B6F69">
        <w:rPr>
          <w:rStyle w:val="FootnoteReference"/>
          <w:rFonts w:ascii="Calibri" w:hAnsi="Calibri"/>
          <w:color w:val="000000"/>
        </w:rPr>
        <w:footnoteReference w:id="524"/>
      </w:r>
    </w:p>
    <w:p w14:paraId="2446611B" w14:textId="25D1F9A0" w:rsidR="00230559" w:rsidRPr="00230559" w:rsidRDefault="00230559" w:rsidP="00230559">
      <w:pPr>
        <w:autoSpaceDE w:val="0"/>
        <w:autoSpaceDN w:val="0"/>
        <w:adjustRightInd w:val="0"/>
        <w:spacing w:before="120" w:after="120"/>
        <w:rPr>
          <w:rFonts w:ascii="Calibri" w:hAnsi="Calibri"/>
          <w:color w:val="008080"/>
        </w:rPr>
      </w:pPr>
    </w:p>
    <w:p w14:paraId="3B0816CF" w14:textId="77777777" w:rsidR="00230559" w:rsidRDefault="00230559" w:rsidP="00180FD1">
      <w:pPr>
        <w:numPr>
          <w:ilvl w:val="0"/>
          <w:numId w:val="4"/>
        </w:numPr>
        <w:tabs>
          <w:tab w:val="num" w:pos="300"/>
        </w:tabs>
        <w:autoSpaceDE w:val="0"/>
        <w:autoSpaceDN w:val="0"/>
        <w:adjustRightInd w:val="0"/>
        <w:spacing w:before="120" w:after="120"/>
        <w:ind w:left="300" w:hanging="300"/>
        <w:jc w:val="both"/>
        <w:rPr>
          <w:rFonts w:ascii="Calibri" w:hAnsi="Calibri"/>
          <w:color w:val="FF6600"/>
        </w:rPr>
      </w:pPr>
      <w:r w:rsidRPr="00230559">
        <w:rPr>
          <w:rFonts w:ascii="Calibri" w:hAnsi="Calibri"/>
          <w:b/>
          <w:color w:val="000000"/>
        </w:rPr>
        <w:t>Limited Power of Appointment</w:t>
      </w:r>
      <w:r w:rsidR="001205AE">
        <w:rPr>
          <w:rFonts w:ascii="Calibri" w:hAnsi="Calibri"/>
          <w:b/>
          <w:color w:val="000000"/>
        </w:rPr>
        <w:t xml:space="preserve"> </w:t>
      </w:r>
      <w:r w:rsidR="001205AE" w:rsidRPr="004D6925">
        <w:rPr>
          <w:rFonts w:ascii="Calibri" w:hAnsi="Calibri"/>
          <w:b/>
          <w:color w:val="FF9900"/>
        </w:rPr>
        <w:t>[no</w:t>
      </w:r>
      <w:r w:rsidR="00C558CC">
        <w:rPr>
          <w:rFonts w:ascii="Calibri" w:hAnsi="Calibri"/>
          <w:b/>
          <w:color w:val="FF9900"/>
        </w:rPr>
        <w:t>te, there is no tax need for an</w:t>
      </w:r>
      <w:r w:rsidR="001205AE" w:rsidRPr="004D6925">
        <w:rPr>
          <w:rFonts w:ascii="Calibri" w:hAnsi="Calibri"/>
          <w:b/>
          <w:color w:val="FF9900"/>
        </w:rPr>
        <w:t xml:space="preserve"> LPOA, it is entirely dependent on whether a settlor wants to g</w:t>
      </w:r>
      <w:r w:rsidR="004D6925" w:rsidRPr="004D6925">
        <w:rPr>
          <w:rFonts w:ascii="Calibri" w:hAnsi="Calibri"/>
          <w:b/>
          <w:color w:val="FF9900"/>
        </w:rPr>
        <w:t>rant flexibility of distribution]</w:t>
      </w:r>
      <w:r w:rsidR="00C558CC">
        <w:rPr>
          <w:rFonts w:ascii="Calibri" w:hAnsi="Calibri"/>
          <w:b/>
          <w:color w:val="FF9900"/>
        </w:rPr>
        <w:t xml:space="preserve"> </w:t>
      </w:r>
      <w:r w:rsidRPr="00230559">
        <w:rPr>
          <w:rFonts w:ascii="Calibri" w:hAnsi="Calibri"/>
          <w:color w:val="000000"/>
        </w:rPr>
        <w:t>- My spouse may appoint all other assets not subject to the general power of appointment in paragraph 1</w:t>
      </w:r>
      <w:r w:rsidR="00DC6FF9">
        <w:rPr>
          <w:rFonts w:ascii="Calibri" w:hAnsi="Calibri"/>
          <w:color w:val="000000"/>
        </w:rPr>
        <w:t xml:space="preserve"> </w:t>
      </w:r>
      <w:r w:rsidRPr="00230559">
        <w:rPr>
          <w:rFonts w:ascii="Calibri" w:hAnsi="Calibri"/>
          <w:color w:val="000000"/>
        </w:rPr>
        <w:t xml:space="preserve"> above </w:t>
      </w:r>
      <w:r w:rsidR="00DC6FF9">
        <w:rPr>
          <w:rFonts w:ascii="Calibri" w:hAnsi="Calibri"/>
          <w:color w:val="000000"/>
        </w:rPr>
        <w:t xml:space="preserve">or the exclusion in paragraph 3 below </w:t>
      </w:r>
      <w:r w:rsidRPr="00230559">
        <w:rPr>
          <w:rFonts w:ascii="Calibri" w:hAnsi="Calibri"/>
          <w:color w:val="000000"/>
        </w:rPr>
        <w:t xml:space="preserve">to my descendants or to any trust primarily therefore, which shall specifically exclude my spouse, my spouse’s estate, my spouse’s creditors, or creditors of my spouse’s estate. </w:t>
      </w:r>
      <w:r w:rsidRPr="001205AE">
        <w:rPr>
          <w:rFonts w:ascii="Calibri" w:hAnsi="Calibri"/>
        </w:rPr>
        <w:t>[This may be in such amounts or shares as my spouse shall determine, including all to one descendant to the exclusion of all others].</w:t>
      </w:r>
      <w:r w:rsidR="001205AE">
        <w:rPr>
          <w:rFonts w:ascii="Calibri" w:hAnsi="Calibri"/>
          <w:color w:val="FF6600"/>
        </w:rPr>
        <w:t xml:space="preserve">  [A</w:t>
      </w:r>
      <w:r w:rsidRPr="00230559">
        <w:rPr>
          <w:rFonts w:ascii="Calibri" w:hAnsi="Calibri"/>
          <w:color w:val="FF6600"/>
        </w:rPr>
        <w:t>lternatively, many clients may want to make this much more specific (e.g. descendants only unless all predecease, or to descendants and/or trusts therefore equally), or even require a non-adverse party’s consent, for non-tax reasons (to prevent disinheriting one child, for example)</w:t>
      </w:r>
      <w:r w:rsidR="005719F3">
        <w:rPr>
          <w:rFonts w:ascii="Calibri" w:hAnsi="Calibri"/>
          <w:color w:val="FF6600"/>
        </w:rPr>
        <w:t xml:space="preserve">  Further note – if IRA/Qualified Plan assets were payable to the trust</w:t>
      </w:r>
      <w:r w:rsidR="001E1AEF">
        <w:rPr>
          <w:rFonts w:ascii="Calibri" w:hAnsi="Calibri"/>
          <w:color w:val="FF6600"/>
        </w:rPr>
        <w:t>, and there is no conduit provision, then further limitations are recommended – see separate outline/checklist on IRA and see-through trust issues.</w:t>
      </w:r>
    </w:p>
    <w:p w14:paraId="405FE069" w14:textId="77777777" w:rsidR="00DC6FF9" w:rsidRPr="00230559" w:rsidRDefault="00DC6FF9" w:rsidP="00180FD1">
      <w:pPr>
        <w:numPr>
          <w:ilvl w:val="0"/>
          <w:numId w:val="4"/>
        </w:numPr>
        <w:tabs>
          <w:tab w:val="num" w:pos="300"/>
        </w:tabs>
        <w:autoSpaceDE w:val="0"/>
        <w:autoSpaceDN w:val="0"/>
        <w:adjustRightInd w:val="0"/>
        <w:spacing w:before="120" w:after="120"/>
        <w:ind w:left="300" w:hanging="300"/>
        <w:jc w:val="both"/>
        <w:rPr>
          <w:rFonts w:ascii="Calibri" w:hAnsi="Calibri"/>
          <w:color w:val="FF6600"/>
        </w:rPr>
      </w:pPr>
      <w:r>
        <w:rPr>
          <w:rFonts w:ascii="Calibri" w:hAnsi="Calibri"/>
          <w:b/>
          <w:color w:val="000000"/>
        </w:rPr>
        <w:t xml:space="preserve">Proceeds of life insurance held by the trust insuring the life of my spouse – </w:t>
      </w:r>
      <w:r w:rsidRPr="00DC6FF9">
        <w:rPr>
          <w:rFonts w:ascii="Calibri" w:hAnsi="Calibri"/>
          <w:color w:val="000000"/>
        </w:rPr>
        <w:t xml:space="preserve">My spouse shall not, however, have any power of appointment </w:t>
      </w:r>
      <w:r w:rsidR="0099029B">
        <w:rPr>
          <w:rFonts w:ascii="Calibri" w:hAnsi="Calibri"/>
          <w:color w:val="000000"/>
        </w:rPr>
        <w:t xml:space="preserve">(limited or general) </w:t>
      </w:r>
      <w:r w:rsidRPr="00DC6FF9">
        <w:rPr>
          <w:rFonts w:ascii="Calibri" w:hAnsi="Calibri"/>
          <w:color w:val="000000"/>
        </w:rPr>
        <w:t xml:space="preserve">over any proceeds of life insurance owned by the trust and payable to the trust that insures the life of my spouse </w:t>
      </w:r>
      <w:r>
        <w:rPr>
          <w:rFonts w:ascii="Calibri" w:hAnsi="Calibri"/>
          <w:color w:val="FF6600"/>
        </w:rPr>
        <w:t xml:space="preserve">[I am skeptical that this is needed at all – a </w:t>
      </w:r>
      <w:r w:rsidRPr="00DC6FF9">
        <w:rPr>
          <w:rFonts w:ascii="Calibri" w:hAnsi="Calibri"/>
          <w:i/>
          <w:color w:val="FF6600"/>
        </w:rPr>
        <w:t>testamentary</w:t>
      </w:r>
      <w:r>
        <w:rPr>
          <w:rFonts w:ascii="Calibri" w:hAnsi="Calibri"/>
          <w:color w:val="FF6600"/>
        </w:rPr>
        <w:t xml:space="preserve"> POA over the trust assets may not be an incident of ownership pursuant to IRC §2042 of a policy owned by the trust.  </w:t>
      </w:r>
      <w:r w:rsidR="001E1AEF">
        <w:rPr>
          <w:rFonts w:ascii="Calibri" w:hAnsi="Calibri"/>
          <w:color w:val="FF6600"/>
        </w:rPr>
        <w:t xml:space="preserve">And, few bypass trusts would own life insurance on the surviving spouse – </w:t>
      </w:r>
      <w:r w:rsidR="00312BFA">
        <w:rPr>
          <w:rFonts w:ascii="Calibri" w:hAnsi="Calibri"/>
          <w:color w:val="FF6600"/>
        </w:rPr>
        <w:t xml:space="preserve">avoiding </w:t>
      </w:r>
      <w:r w:rsidR="001E1AEF">
        <w:rPr>
          <w:rFonts w:ascii="Calibri" w:hAnsi="Calibri"/>
          <w:color w:val="FF6600"/>
        </w:rPr>
        <w:t xml:space="preserve">IRC </w:t>
      </w:r>
      <w:r w:rsidR="001E1AEF">
        <w:rPr>
          <w:rFonts w:ascii="Calibri" w:hAnsi="Calibri"/>
          <w:color w:val="FF6600"/>
        </w:rPr>
        <w:lastRenderedPageBreak/>
        <w:t xml:space="preserve">§2042 would </w:t>
      </w:r>
      <w:r w:rsidR="00312BFA">
        <w:rPr>
          <w:rFonts w:ascii="Calibri" w:hAnsi="Calibri"/>
          <w:color w:val="FF6600"/>
        </w:rPr>
        <w:t>preclude</w:t>
      </w:r>
      <w:r w:rsidR="001E1AEF">
        <w:rPr>
          <w:rFonts w:ascii="Calibri" w:hAnsi="Calibri"/>
          <w:color w:val="FF6600"/>
        </w:rPr>
        <w:t xml:space="preserve"> the surviving spouse </w:t>
      </w:r>
      <w:r w:rsidR="001E300F">
        <w:rPr>
          <w:rFonts w:ascii="Calibri" w:hAnsi="Calibri"/>
          <w:color w:val="FF6600"/>
        </w:rPr>
        <w:t xml:space="preserve">acting </w:t>
      </w:r>
      <w:r w:rsidR="001E1AEF">
        <w:rPr>
          <w:rFonts w:ascii="Calibri" w:hAnsi="Calibri"/>
          <w:color w:val="FF6600"/>
        </w:rPr>
        <w:t xml:space="preserve">as trustee as well.  </w:t>
      </w:r>
      <w:r>
        <w:rPr>
          <w:rFonts w:ascii="Calibri" w:hAnsi="Calibri"/>
          <w:color w:val="FF6600"/>
        </w:rPr>
        <w:t>However, I included this in an abundance of caution pending research.</w:t>
      </w:r>
      <w:r w:rsidR="0099029B">
        <w:rPr>
          <w:rFonts w:ascii="Calibri" w:hAnsi="Calibri"/>
          <w:color w:val="FF6600"/>
        </w:rPr>
        <w:t xml:space="preserve">  Also, you could have a scenario where 2042 inclusion would be moot (i</w:t>
      </w:r>
      <w:r w:rsidR="00B90AF2">
        <w:rPr>
          <w:rFonts w:ascii="Calibri" w:hAnsi="Calibri"/>
          <w:color w:val="FF6600"/>
        </w:rPr>
        <w:t>.</w:t>
      </w:r>
      <w:r w:rsidR="0099029B">
        <w:rPr>
          <w:rFonts w:ascii="Calibri" w:hAnsi="Calibri"/>
          <w:color w:val="FF6600"/>
        </w:rPr>
        <w:t>e</w:t>
      </w:r>
      <w:r w:rsidR="00B90AF2">
        <w:rPr>
          <w:rFonts w:ascii="Calibri" w:hAnsi="Calibri"/>
          <w:color w:val="FF6600"/>
        </w:rPr>
        <w:t>.</w:t>
      </w:r>
      <w:r w:rsidR="0099029B">
        <w:rPr>
          <w:rFonts w:ascii="Calibri" w:hAnsi="Calibri"/>
          <w:color w:val="FF6600"/>
        </w:rPr>
        <w:t xml:space="preserve"> not cause estate tax), a nuance which is not accounted for in this paragraph.  Theoretically, someone may want their spouse to be able to appoint life insur</w:t>
      </w:r>
      <w:r w:rsidR="001E1AEF">
        <w:rPr>
          <w:rFonts w:ascii="Calibri" w:hAnsi="Calibri"/>
          <w:color w:val="FF6600"/>
        </w:rPr>
        <w:t>ance proceeds as well if no additiona</w:t>
      </w:r>
      <w:r w:rsidR="0099029B">
        <w:rPr>
          <w:rFonts w:ascii="Calibri" w:hAnsi="Calibri"/>
          <w:color w:val="FF6600"/>
        </w:rPr>
        <w:t>l tax is caused]</w:t>
      </w:r>
    </w:p>
    <w:p w14:paraId="3930F47C" w14:textId="77777777" w:rsidR="00230559" w:rsidRPr="00230559" w:rsidRDefault="00230559" w:rsidP="00230559">
      <w:pPr>
        <w:autoSpaceDE w:val="0"/>
        <w:autoSpaceDN w:val="0"/>
        <w:adjustRightInd w:val="0"/>
        <w:spacing w:before="120" w:after="120"/>
        <w:rPr>
          <w:rFonts w:ascii="Calibri" w:hAnsi="Calibri"/>
          <w:color w:val="000000"/>
        </w:rPr>
      </w:pPr>
      <w:r w:rsidRPr="00230559">
        <w:rPr>
          <w:rFonts w:ascii="Calibri" w:hAnsi="Calibri"/>
          <w:b/>
          <w:color w:val="000000"/>
        </w:rPr>
        <w:t>Form and Method of Exercise of Any Power of Appointment</w:t>
      </w:r>
      <w:r w:rsidRPr="00230559">
        <w:rPr>
          <w:rFonts w:ascii="Calibri" w:hAnsi="Calibri"/>
          <w:color w:val="000000"/>
        </w:rPr>
        <w:t xml:space="preserve"> - </w:t>
      </w:r>
    </w:p>
    <w:p w14:paraId="262018CF" w14:textId="110275E4" w:rsidR="00230559" w:rsidRDefault="00230559" w:rsidP="00230559">
      <w:pPr>
        <w:autoSpaceDE w:val="0"/>
        <w:autoSpaceDN w:val="0"/>
        <w:adjustRightInd w:val="0"/>
        <w:spacing w:before="120" w:after="120"/>
        <w:rPr>
          <w:rFonts w:ascii="Calibri" w:hAnsi="Calibri"/>
        </w:rPr>
      </w:pPr>
      <w:r w:rsidRPr="00230559">
        <w:rPr>
          <w:rFonts w:ascii="Calibri" w:hAnsi="Calibri"/>
          <w:color w:val="000000"/>
        </w:rPr>
        <w:t xml:space="preserve">My spouse has the exclusive right to exercise the above limited and general powers of appointment.  </w:t>
      </w:r>
      <w:r w:rsidRPr="00230559">
        <w:rPr>
          <w:rFonts w:ascii="Calibri" w:hAnsi="Calibri"/>
          <w:color w:val="FF6600"/>
        </w:rPr>
        <w:t xml:space="preserve">[However, an agent for my spouse under a Power of Attorney or a court appointed guardian may also exercise the testamentary power of appointment under the same conditions as noted above.]  </w:t>
      </w:r>
      <w:r w:rsidRPr="00B25ABD">
        <w:rPr>
          <w:rFonts w:ascii="Calibri" w:hAnsi="Calibri"/>
        </w:rPr>
        <w:t xml:space="preserve">The above powers may be exercised by specific reference to this </w:t>
      </w:r>
      <w:r w:rsidR="003D3C2D">
        <w:rPr>
          <w:rFonts w:ascii="Calibri" w:hAnsi="Calibri"/>
        </w:rPr>
        <w:t>power of appointment</w:t>
      </w:r>
      <w:r w:rsidRPr="00B25ABD">
        <w:rPr>
          <w:rFonts w:ascii="Calibri" w:hAnsi="Calibri"/>
        </w:rPr>
        <w:t xml:space="preserve"> in a Will, revocable living trust, or other written instrument</w:t>
      </w:r>
      <w:r w:rsidR="005916CE">
        <w:rPr>
          <w:rFonts w:ascii="Calibri" w:hAnsi="Calibri"/>
        </w:rPr>
        <w:t xml:space="preserve"> that is witnessed or notarized</w:t>
      </w:r>
      <w:r w:rsidRPr="00B25ABD">
        <w:rPr>
          <w:rFonts w:ascii="Calibri" w:hAnsi="Calibri"/>
        </w:rPr>
        <w:t xml:space="preserve">. </w:t>
      </w:r>
      <w:r w:rsidR="00C63C76">
        <w:rPr>
          <w:rFonts w:ascii="Calibri" w:hAnsi="Calibri"/>
          <w:color w:val="993300"/>
        </w:rPr>
        <w:t>[Many</w:t>
      </w:r>
      <w:r w:rsidR="000A3CA7" w:rsidRPr="000A3CA7">
        <w:rPr>
          <w:rFonts w:ascii="Calibri" w:hAnsi="Calibri"/>
          <w:color w:val="993300"/>
        </w:rPr>
        <w:t xml:space="preserve"> attorneys limit this only to wills</w:t>
      </w:r>
      <w:r w:rsidR="003D3C2D">
        <w:rPr>
          <w:rFonts w:ascii="Calibri" w:hAnsi="Calibri"/>
          <w:color w:val="993300"/>
        </w:rPr>
        <w:t>, such as “may be exercised only by a will specifically referring to this power of appointment”</w:t>
      </w:r>
      <w:r w:rsidR="000A3CA7" w:rsidRPr="000A3CA7">
        <w:rPr>
          <w:rFonts w:ascii="Calibri" w:hAnsi="Calibri"/>
          <w:color w:val="993300"/>
        </w:rPr>
        <w:t>]</w:t>
      </w:r>
      <w:r w:rsidR="000B54B5">
        <w:rPr>
          <w:rStyle w:val="FootnoteReference"/>
          <w:rFonts w:ascii="Calibri" w:hAnsi="Calibri"/>
          <w:color w:val="993300"/>
        </w:rPr>
        <w:footnoteReference w:id="525"/>
      </w:r>
      <w:r w:rsidR="000A3CA7">
        <w:rPr>
          <w:rFonts w:ascii="Calibri" w:hAnsi="Calibri"/>
        </w:rPr>
        <w:t xml:space="preserve">.  </w:t>
      </w:r>
      <w:r w:rsidRPr="00B25ABD">
        <w:rPr>
          <w:rFonts w:ascii="Calibri" w:hAnsi="Calibri"/>
        </w:rPr>
        <w:t xml:space="preserve">Should multiple attempts to exercise conflict, the last executed document shall control.  The trustee may </w:t>
      </w:r>
      <w:r w:rsidR="000422A2">
        <w:rPr>
          <w:rFonts w:ascii="Calibri" w:hAnsi="Calibri"/>
        </w:rPr>
        <w:t xml:space="preserve">in good faith </w:t>
      </w:r>
      <w:r w:rsidRPr="00B25ABD">
        <w:rPr>
          <w:rFonts w:ascii="Calibri" w:hAnsi="Calibri"/>
        </w:rPr>
        <w:t>rely on a power of appointment exercised via Will not yet admitted to probate, but the trustee may in its discretion insist that any Will containing such exercise be admitted to probate or filed for public record.  In determining whether a testamentary power of appointment has or has not been exercised, the trustee may rely on its knowledge of any exercise or lack thereof and proceed accordingly without liability (except for actions taken in bad faith), in the absence of actual knowledge to the contrary made known within three month</w:t>
      </w:r>
      <w:r w:rsidR="005F6F1A">
        <w:rPr>
          <w:rFonts w:ascii="Calibri" w:hAnsi="Calibri"/>
        </w:rPr>
        <w:t>s after the powerholder’s death.</w:t>
      </w:r>
      <w:r w:rsidR="005F6F1A">
        <w:rPr>
          <w:rStyle w:val="FootnoteReference"/>
          <w:rFonts w:ascii="Calibri" w:hAnsi="Calibri"/>
        </w:rPr>
        <w:footnoteReference w:id="526"/>
      </w:r>
      <w:r w:rsidR="005F6F1A">
        <w:rPr>
          <w:rFonts w:ascii="Calibri" w:hAnsi="Calibri"/>
        </w:rPr>
        <w:t xml:space="preserve">  </w:t>
      </w:r>
    </w:p>
    <w:p w14:paraId="010CA579" w14:textId="77777777" w:rsidR="00B25ABD" w:rsidRPr="0011372D" w:rsidRDefault="00BD3E2C" w:rsidP="00790468">
      <w:pPr>
        <w:pStyle w:val="LeftBullet"/>
        <w:numPr>
          <w:ilvl w:val="0"/>
          <w:numId w:val="0"/>
        </w:numPr>
        <w:rPr>
          <w:rFonts w:ascii="Calibri" w:hAnsi="Calibri"/>
        </w:rPr>
      </w:pPr>
      <w:r w:rsidRPr="0011372D">
        <w:rPr>
          <w:rFonts w:ascii="Calibri" w:hAnsi="Calibri"/>
        </w:rPr>
        <w:lastRenderedPageBreak/>
        <w:t xml:space="preserve">Unless appointive assets are otherwise </w:t>
      </w:r>
      <w:r w:rsidR="0011372D">
        <w:rPr>
          <w:rFonts w:ascii="Calibri" w:hAnsi="Calibri"/>
        </w:rPr>
        <w:t>curtailed</w:t>
      </w:r>
      <w:r w:rsidRPr="0011372D">
        <w:rPr>
          <w:rFonts w:ascii="Calibri" w:hAnsi="Calibri"/>
        </w:rPr>
        <w:t>, such appointments may be in cash or in kind and may direct specific property to any one or more of the permitted objects of the power</w:t>
      </w:r>
      <w:r w:rsidR="00790468" w:rsidRPr="0011372D">
        <w:rPr>
          <w:rFonts w:ascii="Calibri" w:hAnsi="Calibri"/>
        </w:rPr>
        <w:t xml:space="preserve">, either in trust, or by creating </w:t>
      </w:r>
      <w:r w:rsidRPr="0011372D">
        <w:rPr>
          <w:rFonts w:ascii="Calibri" w:hAnsi="Calibri"/>
        </w:rPr>
        <w:t xml:space="preserve">life estates </w:t>
      </w:r>
      <w:r w:rsidR="00790468" w:rsidRPr="0011372D">
        <w:rPr>
          <w:rFonts w:ascii="Calibri" w:hAnsi="Calibri"/>
        </w:rPr>
        <w:t xml:space="preserve">or other restrictions or conditions </w:t>
      </w:r>
      <w:r w:rsidRPr="0011372D">
        <w:rPr>
          <w:rFonts w:ascii="Calibri" w:hAnsi="Calibri"/>
        </w:rPr>
        <w:t>for any one or more permitted objects of the power and remaind</w:t>
      </w:r>
      <w:r w:rsidR="00790468" w:rsidRPr="0011372D">
        <w:rPr>
          <w:rFonts w:ascii="Calibri" w:hAnsi="Calibri"/>
        </w:rPr>
        <w:t>ers to other permitted objects.</w:t>
      </w:r>
    </w:p>
    <w:p w14:paraId="5D34B20D" w14:textId="74C52475" w:rsidR="00D20018" w:rsidRDefault="00D4407D" w:rsidP="00790468">
      <w:pPr>
        <w:rPr>
          <w:rFonts w:ascii="Calibri" w:hAnsi="Calibri"/>
          <w:color w:val="993300"/>
        </w:rPr>
      </w:pPr>
      <w:r w:rsidRPr="0011372D">
        <w:rPr>
          <w:rFonts w:ascii="Calibri" w:hAnsi="Calibri"/>
          <w:b/>
        </w:rPr>
        <w:t xml:space="preserve">Conditional </w:t>
      </w:r>
      <w:r w:rsidR="0011372D" w:rsidRPr="0011372D">
        <w:rPr>
          <w:rFonts w:ascii="Calibri" w:hAnsi="Calibri"/>
          <w:b/>
        </w:rPr>
        <w:t>expansion of p</w:t>
      </w:r>
      <w:r w:rsidRPr="0011372D">
        <w:rPr>
          <w:rFonts w:ascii="Calibri" w:hAnsi="Calibri"/>
          <w:b/>
        </w:rPr>
        <w:t xml:space="preserve">ermissible </w:t>
      </w:r>
      <w:r w:rsidR="0011372D" w:rsidRPr="0011372D">
        <w:rPr>
          <w:rFonts w:ascii="Calibri" w:hAnsi="Calibri"/>
          <w:b/>
        </w:rPr>
        <w:t>a</w:t>
      </w:r>
      <w:r w:rsidRPr="0011372D">
        <w:rPr>
          <w:rFonts w:ascii="Calibri" w:hAnsi="Calibri"/>
          <w:b/>
        </w:rPr>
        <w:t>ppointees</w:t>
      </w:r>
      <w:r w:rsidR="0011372D" w:rsidRPr="0011372D">
        <w:rPr>
          <w:rFonts w:ascii="Calibri" w:hAnsi="Calibri"/>
          <w:b/>
        </w:rPr>
        <w:t xml:space="preserve"> i</w:t>
      </w:r>
      <w:r w:rsidR="00D93E94" w:rsidRPr="0011372D">
        <w:rPr>
          <w:rFonts w:ascii="Calibri" w:hAnsi="Calibri"/>
          <w:b/>
        </w:rPr>
        <w:t xml:space="preserve">f </w:t>
      </w:r>
      <w:r w:rsidR="0011372D" w:rsidRPr="0011372D">
        <w:rPr>
          <w:rFonts w:ascii="Calibri" w:hAnsi="Calibri"/>
          <w:b/>
        </w:rPr>
        <w:t>a</w:t>
      </w:r>
      <w:r w:rsidR="00D93E94" w:rsidRPr="0011372D">
        <w:rPr>
          <w:rFonts w:ascii="Calibri" w:hAnsi="Calibri"/>
          <w:b/>
        </w:rPr>
        <w:t xml:space="preserve">ppointments </w:t>
      </w:r>
      <w:r w:rsidR="0011372D" w:rsidRPr="0011372D">
        <w:rPr>
          <w:rFonts w:ascii="Calibri" w:hAnsi="Calibri"/>
          <w:b/>
        </w:rPr>
        <w:t>m</w:t>
      </w:r>
      <w:r w:rsidR="00D93E94" w:rsidRPr="0011372D">
        <w:rPr>
          <w:rFonts w:ascii="Calibri" w:hAnsi="Calibri"/>
          <w:b/>
        </w:rPr>
        <w:t xml:space="preserve">ade in </w:t>
      </w:r>
      <w:r w:rsidR="0011372D" w:rsidRPr="0011372D">
        <w:rPr>
          <w:rFonts w:ascii="Calibri" w:hAnsi="Calibri"/>
          <w:b/>
        </w:rPr>
        <w:t>further t</w:t>
      </w:r>
      <w:r w:rsidR="00D93E94" w:rsidRPr="0011372D">
        <w:rPr>
          <w:rFonts w:ascii="Calibri" w:hAnsi="Calibri"/>
          <w:b/>
        </w:rPr>
        <w:t>rust</w:t>
      </w:r>
      <w:r w:rsidR="00BD184D">
        <w:rPr>
          <w:rFonts w:ascii="Calibri" w:hAnsi="Calibri"/>
          <w:b/>
        </w:rPr>
        <w:t xml:space="preserve"> </w:t>
      </w:r>
      <w:r w:rsidR="00ED2C23">
        <w:rPr>
          <w:rFonts w:ascii="Calibri" w:hAnsi="Calibri"/>
          <w:b/>
        </w:rPr>
        <w:t xml:space="preserve">primarily </w:t>
      </w:r>
      <w:r w:rsidR="00BD184D">
        <w:rPr>
          <w:rFonts w:ascii="Calibri" w:hAnsi="Calibri"/>
          <w:b/>
        </w:rPr>
        <w:t>for permitted appointees</w:t>
      </w:r>
      <w:r w:rsidR="00166010">
        <w:rPr>
          <w:rFonts w:ascii="Calibri" w:hAnsi="Calibri"/>
          <w:b/>
        </w:rPr>
        <w:t xml:space="preserve"> </w:t>
      </w:r>
      <w:r w:rsidR="00166010" w:rsidRPr="00166010">
        <w:rPr>
          <w:rFonts w:ascii="Calibri" w:hAnsi="Calibri"/>
          <w:b/>
          <w:color w:val="993300"/>
        </w:rPr>
        <w:t>[note, something like this paragraph should be considered if there is not a broad class of appointees, for instance, only to descendants under Paragraph 2 or only to descendants or creditor in Paragraph 1]</w:t>
      </w:r>
      <w:r w:rsidRPr="00166010">
        <w:rPr>
          <w:rFonts w:ascii="Calibri" w:hAnsi="Calibri"/>
          <w:color w:val="993300"/>
        </w:rPr>
        <w:t>.</w:t>
      </w:r>
      <w:r w:rsidRPr="0011372D">
        <w:rPr>
          <w:rFonts w:ascii="Calibri" w:hAnsi="Calibri"/>
        </w:rPr>
        <w:t xml:space="preserve">  </w:t>
      </w:r>
      <w:r w:rsidR="00790468" w:rsidRPr="0011372D">
        <w:rPr>
          <w:rFonts w:ascii="Calibri" w:hAnsi="Calibri"/>
        </w:rPr>
        <w:t xml:space="preserve">If </w:t>
      </w:r>
      <w:r w:rsidR="00BD184D">
        <w:rPr>
          <w:rFonts w:ascii="Calibri" w:hAnsi="Calibri"/>
        </w:rPr>
        <w:t>my spouse makes appointment</w:t>
      </w:r>
      <w:r w:rsidR="00790468" w:rsidRPr="0011372D">
        <w:rPr>
          <w:rFonts w:ascii="Calibri" w:hAnsi="Calibri"/>
        </w:rPr>
        <w:t xml:space="preserve"> </w:t>
      </w:r>
      <w:r w:rsidRPr="0011372D">
        <w:rPr>
          <w:rFonts w:ascii="Calibri" w:hAnsi="Calibri"/>
        </w:rPr>
        <w:t xml:space="preserve">in trust </w:t>
      </w:r>
      <w:r w:rsidR="00790468" w:rsidRPr="0011372D">
        <w:rPr>
          <w:rFonts w:ascii="Calibri" w:hAnsi="Calibri"/>
        </w:rPr>
        <w:t xml:space="preserve">for any of </w:t>
      </w:r>
      <w:r w:rsidR="00BD184D">
        <w:rPr>
          <w:rFonts w:ascii="Calibri" w:hAnsi="Calibri"/>
        </w:rPr>
        <w:t>the</w:t>
      </w:r>
      <w:r w:rsidR="00790468" w:rsidRPr="0011372D">
        <w:rPr>
          <w:rFonts w:ascii="Calibri" w:hAnsi="Calibri"/>
        </w:rPr>
        <w:t xml:space="preserve"> </w:t>
      </w:r>
      <w:r w:rsidR="00BD184D">
        <w:rPr>
          <w:rFonts w:ascii="Calibri" w:hAnsi="Calibri"/>
        </w:rPr>
        <w:t>permitted appointees</w:t>
      </w:r>
      <w:r w:rsidR="00D93E94" w:rsidRPr="0011372D">
        <w:rPr>
          <w:rFonts w:ascii="Calibri" w:hAnsi="Calibri"/>
        </w:rPr>
        <w:t xml:space="preserve"> as noted above</w:t>
      </w:r>
      <w:r w:rsidR="00790468" w:rsidRPr="0011372D">
        <w:rPr>
          <w:rFonts w:ascii="Calibri" w:hAnsi="Calibri"/>
        </w:rPr>
        <w:t xml:space="preserve">, such that </w:t>
      </w:r>
      <w:r w:rsidR="00BD184D">
        <w:rPr>
          <w:rFonts w:ascii="Calibri" w:hAnsi="Calibri"/>
        </w:rPr>
        <w:t>a permitted appointee or appointees</w:t>
      </w:r>
      <w:r w:rsidR="00790468" w:rsidRPr="0011372D">
        <w:rPr>
          <w:rFonts w:ascii="Calibri" w:hAnsi="Calibri"/>
        </w:rPr>
        <w:t xml:space="preserve"> </w:t>
      </w:r>
      <w:r w:rsidR="00BD184D">
        <w:rPr>
          <w:rFonts w:ascii="Calibri" w:hAnsi="Calibri"/>
        </w:rPr>
        <w:t>are</w:t>
      </w:r>
      <w:r w:rsidR="00790468" w:rsidRPr="0011372D">
        <w:rPr>
          <w:rFonts w:ascii="Calibri" w:hAnsi="Calibri"/>
        </w:rPr>
        <w:t xml:space="preserve"> the </w:t>
      </w:r>
      <w:r w:rsidRPr="0011372D">
        <w:rPr>
          <w:rFonts w:ascii="Calibri" w:hAnsi="Calibri"/>
        </w:rPr>
        <w:t>primary beneficiar</w:t>
      </w:r>
      <w:r w:rsidR="001E1AEF">
        <w:rPr>
          <w:rFonts w:ascii="Calibri" w:hAnsi="Calibri"/>
        </w:rPr>
        <w:t>y or beneficiaries</w:t>
      </w:r>
      <w:r w:rsidRPr="0011372D">
        <w:rPr>
          <w:rFonts w:ascii="Calibri" w:hAnsi="Calibri"/>
        </w:rPr>
        <w:t xml:space="preserve"> during </w:t>
      </w:r>
      <w:r w:rsidR="00BD184D">
        <w:rPr>
          <w:rFonts w:ascii="Calibri" w:hAnsi="Calibri"/>
        </w:rPr>
        <w:t xml:space="preserve">their </w:t>
      </w:r>
      <w:r w:rsidRPr="0011372D">
        <w:rPr>
          <w:rFonts w:ascii="Calibri" w:hAnsi="Calibri"/>
        </w:rPr>
        <w:t>lifetime</w:t>
      </w:r>
      <w:r w:rsidR="003D2BD5">
        <w:rPr>
          <w:rFonts w:ascii="Calibri" w:hAnsi="Calibri"/>
        </w:rPr>
        <w:t>s</w:t>
      </w:r>
      <w:r w:rsidR="00ED2C23">
        <w:rPr>
          <w:rFonts w:ascii="Calibri" w:hAnsi="Calibri"/>
        </w:rPr>
        <w:t>, then a</w:t>
      </w:r>
      <w:r w:rsidR="00D6713A">
        <w:rPr>
          <w:rFonts w:ascii="Calibri" w:hAnsi="Calibri"/>
        </w:rPr>
        <w:t xml:space="preserve"> </w:t>
      </w:r>
      <w:r w:rsidR="003D2BD5">
        <w:rPr>
          <w:rFonts w:ascii="Calibri" w:hAnsi="Calibri"/>
        </w:rPr>
        <w:t xml:space="preserve">permitted </w:t>
      </w:r>
      <w:r w:rsidR="00D6713A">
        <w:rPr>
          <w:rFonts w:ascii="Calibri" w:hAnsi="Calibri"/>
        </w:rPr>
        <w:t>appointee</w:t>
      </w:r>
      <w:r w:rsidRPr="0011372D">
        <w:rPr>
          <w:rFonts w:ascii="Calibri" w:hAnsi="Calibri"/>
        </w:rPr>
        <w:t xml:space="preserve"> may i</w:t>
      </w:r>
      <w:r w:rsidR="0011372D" w:rsidRPr="0011372D">
        <w:rPr>
          <w:rFonts w:ascii="Calibri" w:hAnsi="Calibri"/>
        </w:rPr>
        <w:t xml:space="preserve">n turn be given a broad </w:t>
      </w:r>
      <w:r w:rsidR="00217F37">
        <w:rPr>
          <w:rFonts w:ascii="Calibri" w:hAnsi="Calibri"/>
        </w:rPr>
        <w:t xml:space="preserve">lifetime or </w:t>
      </w:r>
      <w:r w:rsidR="00D93E94" w:rsidRPr="0011372D">
        <w:rPr>
          <w:rFonts w:ascii="Calibri" w:hAnsi="Calibri"/>
        </w:rPr>
        <w:t>testamentary</w:t>
      </w:r>
      <w:r w:rsidR="00130EAC">
        <w:rPr>
          <w:rFonts w:ascii="Calibri" w:hAnsi="Calibri"/>
        </w:rPr>
        <w:t>,</w:t>
      </w:r>
      <w:r w:rsidRPr="0011372D">
        <w:rPr>
          <w:rFonts w:ascii="Calibri" w:hAnsi="Calibri"/>
        </w:rPr>
        <w:t xml:space="preserve"> </w:t>
      </w:r>
      <w:r w:rsidR="00396A62">
        <w:rPr>
          <w:rFonts w:ascii="Calibri" w:hAnsi="Calibri"/>
        </w:rPr>
        <w:t xml:space="preserve">limited or general </w:t>
      </w:r>
      <w:r w:rsidRPr="0011372D">
        <w:rPr>
          <w:rFonts w:ascii="Calibri" w:hAnsi="Calibri"/>
        </w:rPr>
        <w:t>power of appointment</w:t>
      </w:r>
      <w:r w:rsidR="0092026B">
        <w:rPr>
          <w:rFonts w:ascii="Calibri" w:hAnsi="Calibri"/>
        </w:rPr>
        <w:t>, permitted appointees of which</w:t>
      </w:r>
      <w:r w:rsidRPr="0011372D">
        <w:rPr>
          <w:rFonts w:ascii="Calibri" w:hAnsi="Calibri"/>
        </w:rPr>
        <w:t xml:space="preserve"> may include </w:t>
      </w:r>
      <w:r w:rsidR="00ED2C23">
        <w:rPr>
          <w:rFonts w:ascii="Calibri" w:hAnsi="Calibri"/>
        </w:rPr>
        <w:t>charities, creditors or other parties</w:t>
      </w:r>
      <w:r w:rsidR="001E1AEF">
        <w:rPr>
          <w:rFonts w:ascii="Calibri" w:hAnsi="Calibri"/>
        </w:rPr>
        <w:t xml:space="preserve">, even if such parties were </w:t>
      </w:r>
      <w:r w:rsidR="00ED2C23">
        <w:rPr>
          <w:rFonts w:ascii="Calibri" w:hAnsi="Calibri"/>
        </w:rPr>
        <w:t>not in the original class of permitted appointees</w:t>
      </w:r>
      <w:r w:rsidR="00790468" w:rsidRPr="0011372D">
        <w:rPr>
          <w:rFonts w:ascii="Calibri" w:hAnsi="Calibri"/>
        </w:rPr>
        <w:t>.</w:t>
      </w:r>
      <w:r w:rsidR="003D2BD5">
        <w:rPr>
          <w:rFonts w:ascii="Calibri" w:hAnsi="Calibri"/>
        </w:rPr>
        <w:t xml:space="preserve">  </w:t>
      </w:r>
      <w:r w:rsidR="00331FA0">
        <w:rPr>
          <w:rFonts w:ascii="Calibri" w:hAnsi="Calibri"/>
        </w:rPr>
        <w:t xml:space="preserve">In addition, the remaindermen need not be in the initial class of permissible appointees.  </w:t>
      </w:r>
      <w:r w:rsidR="003D2BD5">
        <w:rPr>
          <w:rFonts w:ascii="Calibri" w:hAnsi="Calibri"/>
        </w:rPr>
        <w:t>For example, my spouse may</w:t>
      </w:r>
      <w:r w:rsidR="00ED2C23">
        <w:rPr>
          <w:rFonts w:ascii="Calibri" w:hAnsi="Calibri"/>
        </w:rPr>
        <w:t xml:space="preserve"> appoint to a </w:t>
      </w:r>
      <w:r w:rsidR="00331FA0">
        <w:rPr>
          <w:rFonts w:ascii="Calibri" w:hAnsi="Calibri"/>
        </w:rPr>
        <w:t xml:space="preserve">trust </w:t>
      </w:r>
      <w:r w:rsidR="00D20018">
        <w:rPr>
          <w:rFonts w:ascii="Calibri" w:hAnsi="Calibri"/>
        </w:rPr>
        <w:t xml:space="preserve">primarily </w:t>
      </w:r>
      <w:r w:rsidR="00331FA0">
        <w:rPr>
          <w:rFonts w:ascii="Calibri" w:hAnsi="Calibri"/>
        </w:rPr>
        <w:t>for my child</w:t>
      </w:r>
      <w:r w:rsidR="00D20018">
        <w:rPr>
          <w:rFonts w:ascii="Calibri" w:hAnsi="Calibri"/>
        </w:rPr>
        <w:t xml:space="preserve"> for my child’s lifetime</w:t>
      </w:r>
      <w:r w:rsidR="00ED2C23">
        <w:rPr>
          <w:rFonts w:ascii="Calibri" w:hAnsi="Calibri"/>
        </w:rPr>
        <w:t>, granting my child a broad lifetime limited power of appointment and/or testamentary power</w:t>
      </w:r>
      <w:r w:rsidR="00CA69E3">
        <w:rPr>
          <w:rFonts w:ascii="Calibri" w:hAnsi="Calibri"/>
        </w:rPr>
        <w:t>s</w:t>
      </w:r>
      <w:r w:rsidR="00ED2C23">
        <w:rPr>
          <w:rFonts w:ascii="Calibri" w:hAnsi="Calibri"/>
        </w:rPr>
        <w:t xml:space="preserve"> of appointment similar to this section</w:t>
      </w:r>
      <w:r w:rsidR="00331FA0">
        <w:rPr>
          <w:rFonts w:ascii="Calibri" w:hAnsi="Calibri"/>
        </w:rPr>
        <w:t xml:space="preserve">, and the remainder beneficiary </w:t>
      </w:r>
      <w:r w:rsidR="00D20018">
        <w:rPr>
          <w:rFonts w:ascii="Calibri" w:hAnsi="Calibri"/>
        </w:rPr>
        <w:t xml:space="preserve">upon my child’s death </w:t>
      </w:r>
      <w:r w:rsidR="00331FA0">
        <w:rPr>
          <w:rFonts w:ascii="Calibri" w:hAnsi="Calibri"/>
        </w:rPr>
        <w:t>may be a charity or spouse of a child</w:t>
      </w:r>
      <w:r w:rsidR="00ED2C23">
        <w:rPr>
          <w:rFonts w:ascii="Calibri" w:hAnsi="Calibri"/>
        </w:rPr>
        <w:t>.</w:t>
      </w:r>
      <w:r w:rsidR="003D2BD5">
        <w:rPr>
          <w:rFonts w:ascii="Calibri" w:hAnsi="Calibri"/>
        </w:rPr>
        <w:t xml:space="preserve"> </w:t>
      </w:r>
      <w:r w:rsidR="00790468" w:rsidRPr="0011372D">
        <w:rPr>
          <w:rFonts w:ascii="Calibri" w:hAnsi="Calibri"/>
        </w:rPr>
        <w:t xml:space="preserve"> </w:t>
      </w:r>
      <w:r w:rsidR="00790468" w:rsidRPr="0011372D">
        <w:rPr>
          <w:rFonts w:ascii="Calibri" w:hAnsi="Calibri"/>
          <w:color w:val="993300"/>
        </w:rPr>
        <w:t>[</w:t>
      </w:r>
      <w:r w:rsidR="00D93E94" w:rsidRPr="0011372D">
        <w:rPr>
          <w:rFonts w:ascii="Calibri" w:hAnsi="Calibri"/>
          <w:color w:val="993300"/>
        </w:rPr>
        <w:t xml:space="preserve">strongly consider using </w:t>
      </w:r>
      <w:r w:rsidR="00D6713A">
        <w:rPr>
          <w:rFonts w:ascii="Calibri" w:hAnsi="Calibri"/>
          <w:color w:val="993300"/>
        </w:rPr>
        <w:t xml:space="preserve">something like </w:t>
      </w:r>
      <w:r w:rsidR="00D93E94" w:rsidRPr="0011372D">
        <w:rPr>
          <w:rFonts w:ascii="Calibri" w:hAnsi="Calibri"/>
          <w:color w:val="993300"/>
        </w:rPr>
        <w:t>this</w:t>
      </w:r>
      <w:r w:rsidR="00790468" w:rsidRPr="0011372D">
        <w:rPr>
          <w:rFonts w:ascii="Calibri" w:hAnsi="Calibri"/>
          <w:color w:val="993300"/>
        </w:rPr>
        <w:t xml:space="preserve"> </w:t>
      </w:r>
      <w:r w:rsidRPr="0011372D">
        <w:rPr>
          <w:rFonts w:ascii="Calibri" w:hAnsi="Calibri"/>
          <w:color w:val="993300"/>
        </w:rPr>
        <w:t xml:space="preserve">unless someone </w:t>
      </w:r>
      <w:r w:rsidR="008A1FC3">
        <w:rPr>
          <w:rFonts w:ascii="Calibri" w:hAnsi="Calibri"/>
          <w:color w:val="993300"/>
        </w:rPr>
        <w:t>demands that</w:t>
      </w:r>
      <w:r w:rsidRPr="0011372D">
        <w:rPr>
          <w:rFonts w:ascii="Calibri" w:hAnsi="Calibri"/>
          <w:color w:val="993300"/>
        </w:rPr>
        <w:t xml:space="preserve"> grandchildren, for example, be fully vested, not subject to divestment </w:t>
      </w:r>
      <w:r w:rsidR="008A1FC3">
        <w:rPr>
          <w:rFonts w:ascii="Calibri" w:hAnsi="Calibri"/>
          <w:color w:val="993300"/>
        </w:rPr>
        <w:t>by a</w:t>
      </w:r>
      <w:r w:rsidRPr="0011372D">
        <w:rPr>
          <w:rFonts w:ascii="Calibri" w:hAnsi="Calibri"/>
          <w:color w:val="993300"/>
        </w:rPr>
        <w:t xml:space="preserve"> child’s </w:t>
      </w:r>
      <w:r w:rsidR="008A1FC3">
        <w:rPr>
          <w:rFonts w:ascii="Calibri" w:hAnsi="Calibri"/>
          <w:color w:val="993300"/>
        </w:rPr>
        <w:t xml:space="preserve">exercise of a </w:t>
      </w:r>
      <w:r w:rsidRPr="0011372D">
        <w:rPr>
          <w:rFonts w:ascii="Calibri" w:hAnsi="Calibri"/>
          <w:color w:val="993300"/>
        </w:rPr>
        <w:t>POA or otherwise</w:t>
      </w:r>
      <w:r w:rsidR="00D93E94" w:rsidRPr="0011372D">
        <w:rPr>
          <w:rFonts w:ascii="Calibri" w:hAnsi="Calibri"/>
          <w:color w:val="993300"/>
        </w:rPr>
        <w:t xml:space="preserve"> (in that case, you might modify this further)</w:t>
      </w:r>
      <w:r w:rsidR="008A1FC3">
        <w:rPr>
          <w:rFonts w:ascii="Calibri" w:hAnsi="Calibri"/>
          <w:color w:val="993300"/>
        </w:rPr>
        <w:t>.  T</w:t>
      </w:r>
      <w:r w:rsidRPr="0011372D">
        <w:rPr>
          <w:rFonts w:ascii="Calibri" w:hAnsi="Calibri"/>
          <w:color w:val="993300"/>
        </w:rPr>
        <w:t xml:space="preserve">his clause allows further </w:t>
      </w:r>
      <w:r w:rsidR="00D93E94" w:rsidRPr="0011372D">
        <w:rPr>
          <w:rFonts w:ascii="Calibri" w:hAnsi="Calibri"/>
          <w:color w:val="993300"/>
        </w:rPr>
        <w:t xml:space="preserve">LPOA/GPOA </w:t>
      </w:r>
      <w:r w:rsidRPr="0011372D">
        <w:rPr>
          <w:rFonts w:ascii="Calibri" w:hAnsi="Calibri"/>
          <w:color w:val="993300"/>
        </w:rPr>
        <w:t xml:space="preserve">OBIT language to harvest basis for the next generation, </w:t>
      </w:r>
      <w:r w:rsidR="00D93E94" w:rsidRPr="0011372D">
        <w:rPr>
          <w:rFonts w:ascii="Calibri" w:hAnsi="Calibri"/>
          <w:color w:val="993300"/>
        </w:rPr>
        <w:t xml:space="preserve">allows </w:t>
      </w:r>
      <w:r w:rsidRPr="0011372D">
        <w:rPr>
          <w:rFonts w:ascii="Calibri" w:hAnsi="Calibri"/>
          <w:color w:val="993300"/>
        </w:rPr>
        <w:t>further spray capabilities</w:t>
      </w:r>
      <w:r w:rsidR="00D93E94" w:rsidRPr="0011372D">
        <w:rPr>
          <w:rFonts w:ascii="Calibri" w:hAnsi="Calibri"/>
          <w:color w:val="993300"/>
        </w:rPr>
        <w:t xml:space="preserve"> </w:t>
      </w:r>
      <w:r w:rsidR="0092026B">
        <w:rPr>
          <w:rFonts w:ascii="Calibri" w:hAnsi="Calibri"/>
          <w:color w:val="993300"/>
        </w:rPr>
        <w:t xml:space="preserve">via LLPOA </w:t>
      </w:r>
      <w:r w:rsidR="00D93E94" w:rsidRPr="0011372D">
        <w:rPr>
          <w:rFonts w:ascii="Calibri" w:hAnsi="Calibri"/>
          <w:color w:val="993300"/>
        </w:rPr>
        <w:t>for better income tax planning</w:t>
      </w:r>
      <w:r w:rsidRPr="0011372D">
        <w:rPr>
          <w:rFonts w:ascii="Calibri" w:hAnsi="Calibri"/>
          <w:color w:val="993300"/>
        </w:rPr>
        <w:t>, better asset protection</w:t>
      </w:r>
      <w:r w:rsidR="0011372D" w:rsidRPr="0011372D">
        <w:rPr>
          <w:rFonts w:ascii="Calibri" w:hAnsi="Calibri"/>
          <w:color w:val="993300"/>
        </w:rPr>
        <w:t xml:space="preserve"> if the primary beneficiary is frozen out</w:t>
      </w:r>
      <w:r w:rsidRPr="0011372D">
        <w:rPr>
          <w:rFonts w:ascii="Calibri" w:hAnsi="Calibri"/>
          <w:color w:val="993300"/>
        </w:rPr>
        <w:t>, etc</w:t>
      </w:r>
      <w:r w:rsidR="008A1FC3">
        <w:rPr>
          <w:rFonts w:ascii="Calibri" w:hAnsi="Calibri"/>
          <w:color w:val="993300"/>
        </w:rPr>
        <w:t>.</w:t>
      </w:r>
      <w:r w:rsidR="00D93E94" w:rsidRPr="0011372D">
        <w:rPr>
          <w:rFonts w:ascii="Calibri" w:hAnsi="Calibri"/>
          <w:color w:val="993300"/>
        </w:rPr>
        <w:t xml:space="preserve"> The </w:t>
      </w:r>
      <w:r w:rsidR="00A7520B">
        <w:rPr>
          <w:rFonts w:ascii="Calibri" w:hAnsi="Calibri"/>
          <w:color w:val="993300"/>
        </w:rPr>
        <w:t>Restatement</w:t>
      </w:r>
      <w:r w:rsidR="00531714">
        <w:rPr>
          <w:rFonts w:ascii="Calibri" w:hAnsi="Calibri"/>
          <w:color w:val="993300"/>
        </w:rPr>
        <w:t xml:space="preserve"> of Property, </w:t>
      </w:r>
      <w:r w:rsidR="00A7520B">
        <w:rPr>
          <w:rFonts w:ascii="Calibri" w:hAnsi="Calibri"/>
          <w:color w:val="993300"/>
        </w:rPr>
        <w:t xml:space="preserve">3d, </w:t>
      </w:r>
      <w:r w:rsidR="00531714">
        <w:rPr>
          <w:rFonts w:ascii="Calibri" w:hAnsi="Calibri"/>
          <w:color w:val="993300"/>
        </w:rPr>
        <w:t>Donative Transfers,</w:t>
      </w:r>
      <w:r w:rsidR="00D93E94" w:rsidRPr="0011372D">
        <w:rPr>
          <w:rFonts w:ascii="Calibri" w:hAnsi="Calibri"/>
          <w:color w:val="993300"/>
        </w:rPr>
        <w:t xml:space="preserve"> </w:t>
      </w:r>
      <w:r w:rsidR="00A7520B">
        <w:rPr>
          <w:rFonts w:ascii="Calibri" w:hAnsi="Calibri"/>
          <w:color w:val="993300"/>
        </w:rPr>
        <w:t>§19.2 is</w:t>
      </w:r>
      <w:r w:rsidR="00D93E94" w:rsidRPr="0011372D">
        <w:rPr>
          <w:rFonts w:ascii="Calibri" w:hAnsi="Calibri"/>
          <w:color w:val="993300"/>
        </w:rPr>
        <w:t xml:space="preserve"> clear that appointments to non-permitted appointees may be voided as a fraud upon the power, but </w:t>
      </w:r>
      <w:r w:rsidR="00217F37">
        <w:rPr>
          <w:rFonts w:ascii="Calibri" w:hAnsi="Calibri"/>
          <w:color w:val="993300"/>
        </w:rPr>
        <w:t>what</w:t>
      </w:r>
      <w:r w:rsidR="00531714">
        <w:rPr>
          <w:rFonts w:ascii="Calibri" w:hAnsi="Calibri"/>
          <w:color w:val="993300"/>
        </w:rPr>
        <w:t xml:space="preserve"> if </w:t>
      </w:r>
      <w:r w:rsidR="0011372D" w:rsidRPr="0011372D">
        <w:rPr>
          <w:rFonts w:ascii="Calibri" w:hAnsi="Calibri"/>
          <w:color w:val="993300"/>
        </w:rPr>
        <w:t xml:space="preserve">later </w:t>
      </w:r>
      <w:r w:rsidR="00D93E94" w:rsidRPr="0011372D">
        <w:rPr>
          <w:rFonts w:ascii="Calibri" w:hAnsi="Calibri"/>
          <w:color w:val="993300"/>
        </w:rPr>
        <w:t>remaindermen, spray beneficiaries, etc</w:t>
      </w:r>
      <w:r w:rsidR="00531714">
        <w:rPr>
          <w:rFonts w:ascii="Calibri" w:hAnsi="Calibri"/>
          <w:color w:val="993300"/>
        </w:rPr>
        <w:t xml:space="preserve"> are not among initially permitted appointees</w:t>
      </w:r>
      <w:r w:rsidR="00217F37">
        <w:rPr>
          <w:rFonts w:ascii="Calibri" w:hAnsi="Calibri"/>
          <w:color w:val="993300"/>
        </w:rPr>
        <w:t xml:space="preserve">?  </w:t>
      </w:r>
      <w:r w:rsidR="001E300F">
        <w:rPr>
          <w:rFonts w:ascii="Calibri" w:hAnsi="Calibri"/>
          <w:color w:val="993300"/>
        </w:rPr>
        <w:t>In</w:t>
      </w:r>
      <w:r w:rsidR="00217F37">
        <w:rPr>
          <w:rFonts w:ascii="Calibri" w:hAnsi="Calibri"/>
          <w:color w:val="993300"/>
        </w:rPr>
        <w:t xml:space="preserve"> </w:t>
      </w:r>
      <w:r w:rsidR="00D64D91">
        <w:rPr>
          <w:rFonts w:ascii="Calibri" w:hAnsi="Calibri"/>
          <w:color w:val="993300"/>
        </w:rPr>
        <w:t>some</w:t>
      </w:r>
      <w:r w:rsidR="00217F37">
        <w:rPr>
          <w:rFonts w:ascii="Calibri" w:hAnsi="Calibri"/>
          <w:color w:val="993300"/>
        </w:rPr>
        <w:t xml:space="preserve"> states, but not all, a POA that can d</w:t>
      </w:r>
      <w:r w:rsidR="00C14D3E">
        <w:rPr>
          <w:rFonts w:ascii="Calibri" w:hAnsi="Calibri"/>
          <w:color w:val="993300"/>
        </w:rPr>
        <w:t>ateri</w:t>
      </w:r>
      <w:r w:rsidR="00D64D91" w:rsidRPr="00D64D91">
        <w:rPr>
          <w:rFonts w:ascii="Calibri" w:hAnsi="Calibri"/>
          <w:color w:val="993300"/>
        </w:rPr>
        <w:t>Statutes 45a-572</w:t>
      </w:r>
      <w:r w:rsidR="005F6F1A">
        <w:rPr>
          <w:rFonts w:ascii="Calibri" w:hAnsi="Calibri"/>
          <w:color w:val="993300"/>
        </w:rPr>
        <w:t>.</w:t>
      </w:r>
      <w:r w:rsidR="00217F37">
        <w:rPr>
          <w:rFonts w:ascii="Calibri" w:hAnsi="Calibri"/>
          <w:color w:val="993300"/>
        </w:rPr>
        <w:t xml:space="preserve">  </w:t>
      </w:r>
      <w:r w:rsidR="00D64D91">
        <w:rPr>
          <w:rFonts w:ascii="Calibri" w:hAnsi="Calibri"/>
          <w:color w:val="993300"/>
        </w:rPr>
        <w:t xml:space="preserve">But your law may be contrary – see </w:t>
      </w:r>
      <w:r w:rsidR="00D64D91" w:rsidRPr="00D64D91">
        <w:rPr>
          <w:rFonts w:ascii="Calibri" w:hAnsi="Calibri"/>
          <w:color w:val="993300"/>
        </w:rPr>
        <w:t>Restat, 3d, Prop., Donative Transfers, §19.14, cmt g, UPOAA §305(c)</w:t>
      </w:r>
      <w:r w:rsidR="00D64D91">
        <w:rPr>
          <w:rFonts w:ascii="Calibri" w:hAnsi="Calibri"/>
          <w:color w:val="993300"/>
        </w:rPr>
        <w:t xml:space="preserve">, so </w:t>
      </w:r>
      <w:r w:rsidR="00217F37">
        <w:rPr>
          <w:rFonts w:ascii="Calibri" w:hAnsi="Calibri"/>
          <w:color w:val="993300"/>
        </w:rPr>
        <w:t>unless you know for certain your client’s residency and state law on this issue,</w:t>
      </w:r>
      <w:r w:rsidR="00D93E94" w:rsidRPr="0011372D">
        <w:rPr>
          <w:rFonts w:ascii="Calibri" w:hAnsi="Calibri"/>
          <w:color w:val="993300"/>
        </w:rPr>
        <w:t xml:space="preserve"> it safest</w:t>
      </w:r>
      <w:r w:rsidR="00217F37">
        <w:rPr>
          <w:rFonts w:ascii="Calibri" w:hAnsi="Calibri"/>
          <w:color w:val="993300"/>
        </w:rPr>
        <w:t xml:space="preserve"> to expressly </w:t>
      </w:r>
      <w:r w:rsidR="00396A62">
        <w:rPr>
          <w:rFonts w:ascii="Calibri" w:hAnsi="Calibri"/>
          <w:color w:val="993300"/>
        </w:rPr>
        <w:t>permit</w:t>
      </w:r>
      <w:r w:rsidR="00217F37">
        <w:rPr>
          <w:rFonts w:ascii="Calibri" w:hAnsi="Calibri"/>
          <w:color w:val="993300"/>
        </w:rPr>
        <w:t xml:space="preserve"> it</w:t>
      </w:r>
      <w:r w:rsidR="001E300F">
        <w:rPr>
          <w:rFonts w:ascii="Calibri" w:hAnsi="Calibri"/>
          <w:color w:val="993300"/>
        </w:rPr>
        <w:t xml:space="preserve">.  See </w:t>
      </w:r>
      <w:r w:rsidR="00D64D91">
        <w:rPr>
          <w:rFonts w:ascii="Calibri" w:hAnsi="Calibri"/>
          <w:color w:val="993300"/>
        </w:rPr>
        <w:t xml:space="preserve">also </w:t>
      </w:r>
      <w:r w:rsidR="001E300F">
        <w:rPr>
          <w:rFonts w:ascii="Calibri" w:hAnsi="Calibri"/>
          <w:color w:val="993300"/>
        </w:rPr>
        <w:t xml:space="preserve">25 Del. Code 505, which is mostly positive, but </w:t>
      </w:r>
      <w:r w:rsidR="00A404E2">
        <w:rPr>
          <w:rFonts w:ascii="Calibri" w:hAnsi="Calibri"/>
          <w:color w:val="993300"/>
        </w:rPr>
        <w:t xml:space="preserve">still </w:t>
      </w:r>
      <w:r w:rsidR="001E300F">
        <w:rPr>
          <w:rFonts w:ascii="Calibri" w:hAnsi="Calibri"/>
          <w:color w:val="993300"/>
        </w:rPr>
        <w:t>has flaws</w:t>
      </w:r>
      <w:r w:rsidR="00A404E2">
        <w:rPr>
          <w:rFonts w:ascii="Calibri" w:hAnsi="Calibri"/>
          <w:color w:val="993300"/>
        </w:rPr>
        <w:t xml:space="preserve"> re LPOAs</w:t>
      </w:r>
      <w:r w:rsidR="001E300F">
        <w:rPr>
          <w:rFonts w:ascii="Calibri" w:hAnsi="Calibri"/>
          <w:color w:val="993300"/>
        </w:rPr>
        <w:t xml:space="preserve"> - </w:t>
      </w:r>
      <w:r w:rsidR="001E300F" w:rsidRPr="001E300F">
        <w:rPr>
          <w:rFonts w:ascii="Calibri" w:hAnsi="Calibri"/>
          <w:color w:val="993300"/>
        </w:rPr>
        <w:t>http://codes.lp.findlaw.com/decode/25/5/505</w:t>
      </w:r>
      <w:r w:rsidR="00790468" w:rsidRPr="0011372D">
        <w:rPr>
          <w:rFonts w:ascii="Calibri" w:hAnsi="Calibri"/>
          <w:color w:val="993300"/>
        </w:rPr>
        <w:t xml:space="preserve">]. </w:t>
      </w:r>
      <w:r w:rsidR="00331FA0">
        <w:rPr>
          <w:rFonts w:ascii="Calibri" w:hAnsi="Calibri"/>
          <w:color w:val="993300"/>
        </w:rPr>
        <w:t xml:space="preserve"> </w:t>
      </w:r>
      <w:r w:rsidR="00D20018">
        <w:rPr>
          <w:rFonts w:ascii="Calibri" w:hAnsi="Calibri"/>
          <w:color w:val="993300"/>
        </w:rPr>
        <w:t>Here is a citation</w:t>
      </w:r>
      <w:r w:rsidR="00331FA0">
        <w:rPr>
          <w:rFonts w:ascii="Calibri" w:hAnsi="Calibri"/>
          <w:color w:val="993300"/>
        </w:rPr>
        <w:t xml:space="preserve"> that will shock readers, and why you should</w:t>
      </w:r>
      <w:r w:rsidR="00D20018">
        <w:rPr>
          <w:rFonts w:ascii="Calibri" w:hAnsi="Calibri"/>
          <w:color w:val="993300"/>
        </w:rPr>
        <w:t xml:space="preserve"> consider something along the lines of above, or a variation</w:t>
      </w:r>
      <w:r w:rsidR="00331FA0">
        <w:rPr>
          <w:rFonts w:ascii="Calibri" w:hAnsi="Calibri"/>
          <w:color w:val="993300"/>
        </w:rPr>
        <w:t xml:space="preserve">: </w:t>
      </w:r>
      <w:r w:rsidR="00D20018">
        <w:rPr>
          <w:rFonts w:ascii="Calibri" w:hAnsi="Calibri"/>
          <w:color w:val="993300"/>
        </w:rPr>
        <w:t xml:space="preserve">“An appointment by the donee [powerholder] of a special power to one who is not a member of the class is ineffective, at least to that extent.  </w:t>
      </w:r>
      <w:r w:rsidR="00D20018" w:rsidRPr="00A02430">
        <w:rPr>
          <w:rFonts w:ascii="Calibri" w:hAnsi="Calibri"/>
          <w:b/>
          <w:color w:val="993300"/>
        </w:rPr>
        <w:t>Thus, a power to appoint among the testator’s children or their heirs upon such terms and conditions as the donee [powerholder] may direct does not authorize an appointment to the children for life, with the remainder to their children</w:t>
      </w:r>
      <w:r w:rsidR="00D20018">
        <w:rPr>
          <w:rFonts w:ascii="Calibri" w:hAnsi="Calibri"/>
          <w:color w:val="993300"/>
        </w:rPr>
        <w:t>.”</w:t>
      </w:r>
      <w:r w:rsidR="00D20018">
        <w:rPr>
          <w:rStyle w:val="FootnoteReference"/>
          <w:rFonts w:ascii="Calibri" w:hAnsi="Calibri"/>
          <w:color w:val="993300"/>
        </w:rPr>
        <w:footnoteReference w:id="527"/>
      </w:r>
    </w:p>
    <w:p w14:paraId="07C4D63C" w14:textId="77777777" w:rsidR="00790468" w:rsidRPr="00D20018" w:rsidRDefault="00790468" w:rsidP="00790468">
      <w:pPr>
        <w:rPr>
          <w:rFonts w:ascii="Calibri" w:hAnsi="Calibri"/>
          <w:color w:val="993300"/>
        </w:rPr>
      </w:pPr>
      <w:r>
        <w:lastRenderedPageBreak/>
        <w:t xml:space="preserve"> </w:t>
      </w:r>
    </w:p>
    <w:p w14:paraId="255B68D5" w14:textId="77777777" w:rsidR="00230559" w:rsidRDefault="00230559" w:rsidP="00230559">
      <w:pPr>
        <w:rPr>
          <w:rFonts w:ascii="Calibri" w:hAnsi="Calibri"/>
          <w:color w:val="000000"/>
        </w:rPr>
      </w:pPr>
      <w:r w:rsidRPr="00230559">
        <w:rPr>
          <w:rFonts w:ascii="Calibri" w:hAnsi="Calibri"/>
          <w:color w:val="000000"/>
        </w:rPr>
        <w:t xml:space="preserve">Any assets not so appointed under paragraph 1 or 2 above shall pass according to the takers in default of appointment clause below.  All values determined for purposes of this Section shall be as finally determined for federal estate tax purposes as </w:t>
      </w:r>
      <w:r w:rsidR="00CA69E3">
        <w:rPr>
          <w:rFonts w:ascii="Calibri" w:hAnsi="Calibri"/>
          <w:color w:val="000000"/>
        </w:rPr>
        <w:t xml:space="preserve">of </w:t>
      </w:r>
      <w:r w:rsidRPr="00230559">
        <w:rPr>
          <w:rFonts w:ascii="Calibri" w:hAnsi="Calibri"/>
          <w:color w:val="000000"/>
        </w:rPr>
        <w:t>my spouse’s death.  My trustee may rely on values obtained from my spouse’s executor (or trustee, if no executor is appointed) used for any state or federal estate tax filing.  Should assets later be determined upon audit or amended return to be higher or lower than initially determined, the trustee is absolved from liability for having transferred items to any impermissible appointee via General Power of Appointment</w:t>
      </w:r>
      <w:r w:rsidR="0059290B">
        <w:rPr>
          <w:rFonts w:ascii="Calibri" w:hAnsi="Calibri"/>
          <w:color w:val="000000"/>
        </w:rPr>
        <w:t xml:space="preserve"> in reliance on the above data</w:t>
      </w:r>
      <w:r w:rsidRPr="00230559">
        <w:rPr>
          <w:rFonts w:ascii="Calibri" w:hAnsi="Calibri"/>
          <w:color w:val="000000"/>
        </w:rPr>
        <w:t>.  However, any impermissible appointees shall hold such funds in constructive trust for those appointees of any limited power of appointment or takers in default who would have otherwise received the assets.</w:t>
      </w:r>
    </w:p>
    <w:p w14:paraId="3ED16D39" w14:textId="77777777" w:rsidR="00D23F5E" w:rsidRDefault="00D23F5E" w:rsidP="00230559">
      <w:pPr>
        <w:rPr>
          <w:rFonts w:ascii="Calibri" w:hAnsi="Calibri"/>
          <w:i/>
          <w:color w:val="000000"/>
        </w:rPr>
      </w:pPr>
    </w:p>
    <w:p w14:paraId="0358063E" w14:textId="3869748D" w:rsidR="00D23F5E" w:rsidRPr="00D23F5E" w:rsidRDefault="00D23F5E" w:rsidP="00230559">
      <w:pPr>
        <w:rPr>
          <w:rFonts w:ascii="Calibri" w:hAnsi="Calibri"/>
          <w:color w:val="000000"/>
        </w:rPr>
      </w:pPr>
      <w:r w:rsidRPr="00D23F5E">
        <w:rPr>
          <w:rFonts w:ascii="Calibri" w:hAnsi="Calibri"/>
          <w:i/>
          <w:color w:val="000000"/>
        </w:rPr>
        <w:t>In Pari Materia</w:t>
      </w:r>
      <w:r>
        <w:rPr>
          <w:rFonts w:ascii="Calibri" w:hAnsi="Calibri"/>
          <w:i/>
          <w:color w:val="000000"/>
        </w:rPr>
        <w:t xml:space="preserve"> </w:t>
      </w:r>
      <w:r w:rsidRPr="00D23F5E">
        <w:rPr>
          <w:rFonts w:ascii="Calibri" w:hAnsi="Calibri"/>
          <w:color w:val="000000"/>
        </w:rPr>
        <w:t>– In the event that</w:t>
      </w:r>
      <w:r>
        <w:rPr>
          <w:rFonts w:ascii="Calibri" w:hAnsi="Calibri"/>
          <w:color w:val="000000"/>
        </w:rPr>
        <w:t xml:space="preserve"> my surviving spouse is a beneficiary of another trust with a similar formula power of appointment provision, whether with myself or another party as settlor, this section shall be read together with the like section in the other trust as if the two trusts subject to the formula general power of appointment were one trust so that under no circumstance could such formulas ign</w:t>
      </w:r>
      <w:r w:rsidR="00C558CC">
        <w:rPr>
          <w:rFonts w:ascii="Calibri" w:hAnsi="Calibri"/>
          <w:color w:val="000000"/>
        </w:rPr>
        <w:t>ore the other so as to cause my spouse’s</w:t>
      </w:r>
      <w:r>
        <w:rPr>
          <w:rFonts w:ascii="Calibri" w:hAnsi="Calibri"/>
          <w:color w:val="000000"/>
        </w:rPr>
        <w:t xml:space="preserve"> total appointive assets under multiple general powers of appointment</w:t>
      </w:r>
      <w:r w:rsidRPr="00D23F5E">
        <w:rPr>
          <w:rFonts w:ascii="Calibri" w:hAnsi="Calibri"/>
          <w:color w:val="000000"/>
        </w:rPr>
        <w:t xml:space="preserve"> </w:t>
      </w:r>
      <w:r>
        <w:rPr>
          <w:rFonts w:ascii="Calibri" w:hAnsi="Calibri"/>
          <w:color w:val="000000"/>
        </w:rPr>
        <w:t xml:space="preserve">to create estate inclusion resulting in state or federal estate </w:t>
      </w:r>
      <w:r w:rsidR="0059290B">
        <w:rPr>
          <w:rFonts w:ascii="Calibri" w:hAnsi="Calibri"/>
          <w:color w:val="000000"/>
        </w:rPr>
        <w:t xml:space="preserve">or generation skipping transfer </w:t>
      </w:r>
      <w:r>
        <w:rPr>
          <w:rFonts w:ascii="Calibri" w:hAnsi="Calibri"/>
          <w:color w:val="000000"/>
        </w:rPr>
        <w:t xml:space="preserve">tax.  </w:t>
      </w:r>
      <w:r w:rsidR="002153D4">
        <w:rPr>
          <w:rFonts w:ascii="Calibri" w:hAnsi="Calibri"/>
          <w:color w:val="000000"/>
        </w:rPr>
        <w:t xml:space="preserve">If one of the trusts is GST-exempt and one of the trusts is not, the general power shall first apply to so much of the assets of the GST non-exempt trusts that will not cause an estate tax in the powerholder’s estate of more than $10, and then to the </w:t>
      </w:r>
      <w:r w:rsidR="00C04573">
        <w:rPr>
          <w:rFonts w:ascii="Calibri" w:hAnsi="Calibri"/>
          <w:color w:val="000000"/>
        </w:rPr>
        <w:t>GST exempt trust.</w:t>
      </w:r>
    </w:p>
    <w:p w14:paraId="62F42687" w14:textId="77777777" w:rsidR="008A6FED" w:rsidRDefault="008A6FED" w:rsidP="008A6FED">
      <w:pPr>
        <w:rPr>
          <w:rFonts w:ascii="Calibri" w:hAnsi="Calibri"/>
          <w:b/>
          <w:color w:val="000000"/>
        </w:rPr>
      </w:pPr>
    </w:p>
    <w:p w14:paraId="4B76F71D" w14:textId="77777777" w:rsidR="008A6FED" w:rsidRPr="008A6FED" w:rsidRDefault="008A6FED" w:rsidP="008A6FED">
      <w:pPr>
        <w:rPr>
          <w:rFonts w:ascii="Calibri" w:hAnsi="Calibri"/>
          <w:b/>
          <w:color w:val="000000"/>
        </w:rPr>
      </w:pPr>
      <w:r w:rsidRPr="008A6FED">
        <w:rPr>
          <w:rFonts w:ascii="Calibri" w:hAnsi="Calibri"/>
          <w:b/>
          <w:color w:val="000000"/>
        </w:rPr>
        <w:t>Coordination with and Reliance upon Powerholder’s Executor</w:t>
      </w:r>
    </w:p>
    <w:p w14:paraId="2DF2E6DB" w14:textId="77777777" w:rsidR="00230559" w:rsidRDefault="008A6FED" w:rsidP="00230559">
      <w:pPr>
        <w:rPr>
          <w:rFonts w:ascii="Calibri" w:hAnsi="Calibri"/>
          <w:color w:val="000000"/>
        </w:rPr>
      </w:pPr>
      <w:r>
        <w:rPr>
          <w:rFonts w:ascii="Calibri" w:hAnsi="Calibri"/>
          <w:color w:val="000000"/>
        </w:rPr>
        <w:t>The trustee shall rely on a written statement</w:t>
      </w:r>
      <w:r w:rsidR="004A6F33">
        <w:rPr>
          <w:rFonts w:ascii="Calibri" w:hAnsi="Calibri"/>
          <w:color w:val="000000"/>
        </w:rPr>
        <w:t>, which may be in the form of a draft federal or state estate tax return,</w:t>
      </w:r>
      <w:r>
        <w:rPr>
          <w:rFonts w:ascii="Calibri" w:hAnsi="Calibri"/>
          <w:color w:val="000000"/>
        </w:rPr>
        <w:t xml:space="preserve"> from the personal representative (executor) of the powerholder’s estate as to the </w:t>
      </w:r>
      <w:r w:rsidR="004A6F33">
        <w:rPr>
          <w:rFonts w:ascii="Calibri" w:hAnsi="Calibri"/>
          <w:color w:val="000000"/>
        </w:rPr>
        <w:t xml:space="preserve">size of the powerholder’s taxable estate </w:t>
      </w:r>
      <w:r w:rsidR="004A6F33" w:rsidRPr="00A02430">
        <w:rPr>
          <w:rFonts w:ascii="Calibri" w:hAnsi="Calibri"/>
          <w:color w:val="984806" w:themeColor="accent6" w:themeShade="80"/>
        </w:rPr>
        <w:t>(determined, as mentioned above, without regard to any marital or charitable deduction)</w:t>
      </w:r>
      <w:r w:rsidR="004A6F33">
        <w:rPr>
          <w:rFonts w:ascii="Calibri" w:hAnsi="Calibri"/>
          <w:color w:val="000000"/>
        </w:rPr>
        <w:t xml:space="preserve">, including available applicable exclusion amount.  If no personal representative is appointed, such a statement </w:t>
      </w:r>
      <w:r w:rsidR="00E35550">
        <w:rPr>
          <w:rFonts w:ascii="Calibri" w:hAnsi="Calibri"/>
          <w:color w:val="000000"/>
        </w:rPr>
        <w:t xml:space="preserve">or statements </w:t>
      </w:r>
      <w:r w:rsidR="004A6F33">
        <w:rPr>
          <w:rFonts w:ascii="Calibri" w:hAnsi="Calibri"/>
          <w:color w:val="000000"/>
        </w:rPr>
        <w:t xml:space="preserve">may be obtained from the trustee of </w:t>
      </w:r>
      <w:r w:rsidR="00053D52">
        <w:rPr>
          <w:rFonts w:ascii="Calibri" w:hAnsi="Calibri"/>
          <w:color w:val="000000"/>
        </w:rPr>
        <w:t>the powerholder’s</w:t>
      </w:r>
      <w:r w:rsidR="004A6F33">
        <w:rPr>
          <w:rFonts w:ascii="Calibri" w:hAnsi="Calibri"/>
          <w:color w:val="000000"/>
        </w:rPr>
        <w:t xml:space="preserve"> living trust, or other party considered a statutory executor under IRC §2203.</w:t>
      </w:r>
    </w:p>
    <w:p w14:paraId="5A8F38CC" w14:textId="77777777" w:rsidR="004A6F33" w:rsidRPr="00230559" w:rsidRDefault="004A6F33" w:rsidP="00230559">
      <w:pPr>
        <w:rPr>
          <w:rFonts w:ascii="Calibri" w:hAnsi="Calibri"/>
          <w:color w:val="000000"/>
        </w:rPr>
      </w:pPr>
    </w:p>
    <w:p w14:paraId="4382D0C3" w14:textId="77777777" w:rsidR="009770FA" w:rsidRDefault="00230559" w:rsidP="00230559">
      <w:pPr>
        <w:rPr>
          <w:rFonts w:ascii="Calibri" w:hAnsi="Calibri"/>
          <w:color w:val="000000"/>
        </w:rPr>
      </w:pPr>
      <w:r w:rsidRPr="00C558CC">
        <w:rPr>
          <w:rFonts w:ascii="Calibri" w:hAnsi="Calibri"/>
          <w:b/>
          <w:color w:val="993300"/>
        </w:rPr>
        <w:t>Note</w:t>
      </w:r>
      <w:r w:rsidR="009770FA" w:rsidRPr="00C558CC">
        <w:rPr>
          <w:rFonts w:ascii="Calibri" w:hAnsi="Calibri"/>
          <w:b/>
          <w:color w:val="993300"/>
        </w:rPr>
        <w:t xml:space="preserve"> #1</w:t>
      </w:r>
      <w:r w:rsidRPr="00230559">
        <w:rPr>
          <w:rFonts w:ascii="Calibri" w:hAnsi="Calibri"/>
          <w:color w:val="000000"/>
        </w:rPr>
        <w:t xml:space="preserve"> –</w:t>
      </w:r>
      <w:r w:rsidR="00EC148D">
        <w:rPr>
          <w:rFonts w:ascii="Calibri" w:hAnsi="Calibri"/>
          <w:color w:val="000000"/>
        </w:rPr>
        <w:t xml:space="preserve"> </w:t>
      </w:r>
      <w:r w:rsidR="00797512" w:rsidRPr="00841876">
        <w:rPr>
          <w:rFonts w:ascii="Calibri" w:hAnsi="Calibri"/>
          <w:color w:val="E36C0A"/>
        </w:rPr>
        <w:t xml:space="preserve">GST/Dynastic - </w:t>
      </w:r>
      <w:r w:rsidRPr="00841876">
        <w:rPr>
          <w:rFonts w:ascii="Calibri" w:hAnsi="Calibri"/>
          <w:color w:val="E36C0A"/>
        </w:rPr>
        <w:t xml:space="preserve">this language </w:t>
      </w:r>
      <w:r w:rsidR="00EC148D" w:rsidRPr="00841876">
        <w:rPr>
          <w:rFonts w:ascii="Calibri" w:hAnsi="Calibri"/>
          <w:color w:val="E36C0A"/>
        </w:rPr>
        <w:t>may</w:t>
      </w:r>
      <w:r w:rsidRPr="00841876">
        <w:rPr>
          <w:rFonts w:ascii="Calibri" w:hAnsi="Calibri"/>
          <w:color w:val="E36C0A"/>
        </w:rPr>
        <w:t xml:space="preserve"> be adapted to apply to non-spousal </w:t>
      </w:r>
      <w:r w:rsidR="005447B6" w:rsidRPr="00841876">
        <w:rPr>
          <w:rFonts w:ascii="Calibri" w:hAnsi="Calibri"/>
          <w:color w:val="E36C0A"/>
        </w:rPr>
        <w:t>powerholders</w:t>
      </w:r>
      <w:r w:rsidR="00EC148D" w:rsidRPr="00841876">
        <w:rPr>
          <w:rFonts w:ascii="Calibri" w:hAnsi="Calibri"/>
          <w:color w:val="E36C0A"/>
        </w:rPr>
        <w:t>,</w:t>
      </w:r>
      <w:r w:rsidRPr="00841876">
        <w:rPr>
          <w:rFonts w:ascii="Calibri" w:hAnsi="Calibri"/>
          <w:color w:val="E36C0A"/>
        </w:rPr>
        <w:t xml:space="preserve"> </w:t>
      </w:r>
      <w:r w:rsidR="00ED12C1" w:rsidRPr="00841876">
        <w:rPr>
          <w:rFonts w:ascii="Calibri" w:hAnsi="Calibri"/>
          <w:color w:val="E36C0A"/>
        </w:rPr>
        <w:t xml:space="preserve">of course, </w:t>
      </w:r>
      <w:r w:rsidR="00EC148D" w:rsidRPr="00841876">
        <w:rPr>
          <w:rFonts w:ascii="Calibri" w:hAnsi="Calibri"/>
          <w:color w:val="E36C0A"/>
        </w:rPr>
        <w:t xml:space="preserve">and some of this may be adapted </w:t>
      </w:r>
      <w:r w:rsidR="00C54F8C" w:rsidRPr="00841876">
        <w:rPr>
          <w:rFonts w:ascii="Calibri" w:hAnsi="Calibri"/>
          <w:color w:val="E36C0A"/>
        </w:rPr>
        <w:t>and</w:t>
      </w:r>
      <w:r w:rsidR="00EC148D" w:rsidRPr="00841876">
        <w:rPr>
          <w:rFonts w:ascii="Calibri" w:hAnsi="Calibri"/>
          <w:color w:val="E36C0A"/>
        </w:rPr>
        <w:t xml:space="preserve"> incorporated </w:t>
      </w:r>
      <w:r w:rsidR="00093251" w:rsidRPr="00841876">
        <w:rPr>
          <w:rFonts w:ascii="Calibri" w:hAnsi="Calibri"/>
          <w:color w:val="E36C0A"/>
        </w:rPr>
        <w:t>into</w:t>
      </w:r>
      <w:r w:rsidR="00EC148D" w:rsidRPr="00841876">
        <w:rPr>
          <w:rFonts w:ascii="Calibri" w:hAnsi="Calibri"/>
          <w:color w:val="E36C0A"/>
        </w:rPr>
        <w:t xml:space="preserve"> the </w:t>
      </w:r>
      <w:r w:rsidR="00EC148D" w:rsidRPr="00841876">
        <w:rPr>
          <w:rFonts w:ascii="Calibri" w:hAnsi="Calibri"/>
          <w:color w:val="E36C0A"/>
        </w:rPr>
        <w:lastRenderedPageBreak/>
        <w:t xml:space="preserve">exercising </w:t>
      </w:r>
      <w:r w:rsidR="00093251" w:rsidRPr="00841876">
        <w:rPr>
          <w:rFonts w:ascii="Calibri" w:hAnsi="Calibri"/>
          <w:color w:val="E36C0A"/>
        </w:rPr>
        <w:t>instrument wherever a</w:t>
      </w:r>
      <w:r w:rsidR="00EC148D" w:rsidRPr="00841876">
        <w:rPr>
          <w:rFonts w:ascii="Calibri" w:hAnsi="Calibri"/>
          <w:color w:val="E36C0A"/>
        </w:rPr>
        <w:t xml:space="preserve"> limited power of appointment </w:t>
      </w:r>
      <w:r w:rsidR="00093251" w:rsidRPr="00841876">
        <w:rPr>
          <w:rFonts w:ascii="Calibri" w:hAnsi="Calibri"/>
          <w:color w:val="E36C0A"/>
        </w:rPr>
        <w:t>is used</w:t>
      </w:r>
      <w:r w:rsidR="00EC148D" w:rsidRPr="00841876">
        <w:rPr>
          <w:rFonts w:ascii="Calibri" w:hAnsi="Calibri"/>
          <w:color w:val="E36C0A"/>
        </w:rPr>
        <w:t xml:space="preserve"> to trigger the Delaware Tax Trap</w:t>
      </w:r>
      <w:r w:rsidR="00ED12C1" w:rsidRPr="00841876">
        <w:rPr>
          <w:rFonts w:ascii="Calibri" w:hAnsi="Calibri"/>
          <w:color w:val="E36C0A"/>
        </w:rPr>
        <w:t xml:space="preserve"> (see later sample clauses)</w:t>
      </w:r>
      <w:r w:rsidRPr="00841876">
        <w:rPr>
          <w:rFonts w:ascii="Calibri" w:hAnsi="Calibri"/>
          <w:color w:val="E36C0A"/>
        </w:rPr>
        <w:t>.</w:t>
      </w:r>
      <w:r w:rsidR="00EC148D" w:rsidRPr="00841876">
        <w:rPr>
          <w:rFonts w:ascii="Calibri" w:hAnsi="Calibri"/>
          <w:color w:val="E36C0A"/>
        </w:rPr>
        <w:t xml:space="preserve">  </w:t>
      </w:r>
      <w:r w:rsidR="00093251" w:rsidRPr="00841876">
        <w:rPr>
          <w:rFonts w:ascii="Calibri" w:hAnsi="Calibri"/>
          <w:color w:val="E36C0A"/>
        </w:rPr>
        <w:t>The</w:t>
      </w:r>
      <w:r w:rsidR="00093251" w:rsidRPr="00841876">
        <w:rPr>
          <w:rFonts w:ascii="Calibri" w:hAnsi="Calibri"/>
          <w:i/>
          <w:color w:val="E36C0A"/>
        </w:rPr>
        <w:t xml:space="preserve"> above formula may be adapted to apply to the extent of</w:t>
      </w:r>
      <w:r w:rsidR="00093251" w:rsidRPr="00841876">
        <w:rPr>
          <w:rFonts w:ascii="Calibri" w:hAnsi="Calibri"/>
          <w:color w:val="E36C0A"/>
        </w:rPr>
        <w:t xml:space="preserve"> </w:t>
      </w:r>
      <w:r w:rsidR="00093251" w:rsidRPr="00841876">
        <w:rPr>
          <w:rFonts w:ascii="Calibri" w:hAnsi="Calibri"/>
          <w:i/>
          <w:color w:val="E36C0A"/>
        </w:rPr>
        <w:t>available GST</w:t>
      </w:r>
      <w:r w:rsidR="00093251" w:rsidRPr="00841876">
        <w:rPr>
          <w:rFonts w:ascii="Calibri" w:hAnsi="Calibri"/>
          <w:color w:val="E36C0A"/>
        </w:rPr>
        <w:t xml:space="preserve"> </w:t>
      </w:r>
      <w:r w:rsidR="00093251" w:rsidRPr="001408EC">
        <w:rPr>
          <w:rFonts w:ascii="Calibri" w:hAnsi="Calibri"/>
          <w:b/>
          <w:i/>
          <w:color w:val="E36C0A"/>
        </w:rPr>
        <w:t>exclusion</w:t>
      </w:r>
      <w:r w:rsidR="00093251" w:rsidRPr="001408EC">
        <w:rPr>
          <w:rFonts w:ascii="Calibri" w:hAnsi="Calibri"/>
          <w:b/>
          <w:color w:val="E36C0A"/>
        </w:rPr>
        <w:t xml:space="preserve"> </w:t>
      </w:r>
      <w:r w:rsidR="00093251" w:rsidRPr="00841876">
        <w:rPr>
          <w:rFonts w:ascii="Calibri" w:hAnsi="Calibri"/>
          <w:color w:val="E36C0A"/>
        </w:rPr>
        <w:t xml:space="preserve">rather than simply to the extent that any appointment does not cause GST </w:t>
      </w:r>
      <w:r w:rsidR="00093251" w:rsidRPr="001408EC">
        <w:rPr>
          <w:rFonts w:ascii="Calibri" w:hAnsi="Calibri"/>
          <w:b/>
          <w:i/>
          <w:color w:val="E36C0A"/>
        </w:rPr>
        <w:t>tax</w:t>
      </w:r>
      <w:r w:rsidR="00093251" w:rsidRPr="00841876">
        <w:rPr>
          <w:rFonts w:ascii="Calibri" w:hAnsi="Calibri"/>
          <w:color w:val="E36C0A"/>
        </w:rPr>
        <w:t xml:space="preserve">. </w:t>
      </w:r>
      <w:r w:rsidR="007E74F0" w:rsidRPr="00841876">
        <w:rPr>
          <w:rFonts w:ascii="Calibri" w:hAnsi="Calibri"/>
          <w:color w:val="E36C0A"/>
        </w:rPr>
        <w:t>See the next sample clause for an alternate version, with additional commentary</w:t>
      </w:r>
      <w:r w:rsidR="009950C3">
        <w:rPr>
          <w:rFonts w:ascii="Calibri" w:hAnsi="Calibri"/>
          <w:color w:val="E36C0A"/>
        </w:rPr>
        <w:t xml:space="preserve"> and pros and cons of that variation</w:t>
      </w:r>
      <w:r w:rsidR="007E74F0" w:rsidRPr="00841876">
        <w:rPr>
          <w:rFonts w:ascii="Calibri" w:hAnsi="Calibri"/>
          <w:color w:val="E36C0A"/>
        </w:rPr>
        <w:t xml:space="preserve">.  </w:t>
      </w:r>
      <w:r w:rsidR="00093251" w:rsidRPr="00841876">
        <w:rPr>
          <w:rFonts w:ascii="Calibri" w:hAnsi="Calibri"/>
          <w:color w:val="E36C0A"/>
        </w:rPr>
        <w:br/>
      </w:r>
    </w:p>
    <w:p w14:paraId="0C8F9CD7" w14:textId="77777777" w:rsidR="009770FA" w:rsidRPr="00841876" w:rsidRDefault="009770FA" w:rsidP="00230559">
      <w:pPr>
        <w:rPr>
          <w:rFonts w:ascii="Calibri" w:hAnsi="Calibri"/>
          <w:color w:val="E36C0A"/>
        </w:rPr>
      </w:pPr>
      <w:r w:rsidRPr="00841876">
        <w:rPr>
          <w:rFonts w:ascii="Calibri" w:hAnsi="Calibri"/>
          <w:b/>
          <w:color w:val="E36C0A"/>
        </w:rPr>
        <w:t>Note #2</w:t>
      </w:r>
      <w:r w:rsidRPr="00841876">
        <w:rPr>
          <w:rFonts w:ascii="Calibri" w:hAnsi="Calibri"/>
          <w:color w:val="E36C0A"/>
        </w:rPr>
        <w:t xml:space="preserve"> – A</w:t>
      </w:r>
      <w:r w:rsidR="00E76E7E" w:rsidRPr="00841876">
        <w:rPr>
          <w:rFonts w:ascii="Calibri" w:hAnsi="Calibri"/>
          <w:color w:val="E36C0A"/>
        </w:rPr>
        <w:t>lternate Valuation Date</w:t>
      </w:r>
      <w:r w:rsidRPr="00841876">
        <w:rPr>
          <w:rFonts w:ascii="Calibri" w:hAnsi="Calibri"/>
          <w:color w:val="E36C0A"/>
        </w:rPr>
        <w:t xml:space="preserve"> </w:t>
      </w:r>
      <w:r w:rsidR="00797512" w:rsidRPr="00841876">
        <w:rPr>
          <w:rFonts w:ascii="Calibri" w:hAnsi="Calibri"/>
          <w:color w:val="E36C0A"/>
        </w:rPr>
        <w:t xml:space="preserve"> - AVD </w:t>
      </w:r>
      <w:r w:rsidR="00E76E7E" w:rsidRPr="00841876">
        <w:rPr>
          <w:rFonts w:ascii="Calibri" w:hAnsi="Calibri"/>
          <w:color w:val="E36C0A"/>
        </w:rPr>
        <w:t xml:space="preserve">is </w:t>
      </w:r>
      <w:r w:rsidRPr="00841876">
        <w:rPr>
          <w:rFonts w:ascii="Calibri" w:hAnsi="Calibri"/>
          <w:color w:val="E36C0A"/>
        </w:rPr>
        <w:t>not addressed</w:t>
      </w:r>
      <w:r w:rsidR="00E76E7E" w:rsidRPr="00841876">
        <w:rPr>
          <w:rFonts w:ascii="Calibri" w:hAnsi="Calibri"/>
          <w:color w:val="E36C0A"/>
        </w:rPr>
        <w:t xml:space="preserve"> above</w:t>
      </w:r>
      <w:r w:rsidRPr="00841876">
        <w:rPr>
          <w:rFonts w:ascii="Calibri" w:hAnsi="Calibri"/>
          <w:color w:val="E36C0A"/>
        </w:rPr>
        <w:t xml:space="preserve">.  In theory, an </w:t>
      </w:r>
      <w:r w:rsidR="00E76E7E" w:rsidRPr="00841876">
        <w:rPr>
          <w:rFonts w:ascii="Calibri" w:hAnsi="Calibri"/>
          <w:color w:val="E36C0A"/>
        </w:rPr>
        <w:t>AVD</w:t>
      </w:r>
      <w:r w:rsidRPr="00841876">
        <w:rPr>
          <w:rFonts w:ascii="Calibri" w:hAnsi="Calibri"/>
          <w:color w:val="E36C0A"/>
        </w:rPr>
        <w:t xml:space="preserve"> could be addressed to tweak basis further in rare situations.  </w:t>
      </w:r>
      <w:r w:rsidR="00992846" w:rsidRPr="00841876">
        <w:rPr>
          <w:rFonts w:ascii="Calibri" w:hAnsi="Calibri"/>
          <w:color w:val="E36C0A"/>
        </w:rPr>
        <w:t xml:space="preserve">AVD is only available when the estate tax is reduced.  </w:t>
      </w:r>
      <w:r w:rsidRPr="00841876">
        <w:rPr>
          <w:rFonts w:ascii="Calibri" w:hAnsi="Calibri"/>
          <w:color w:val="E36C0A"/>
        </w:rPr>
        <w:t xml:space="preserve">I did not address this to simplify administration (and </w:t>
      </w:r>
      <w:r w:rsidR="00334E85" w:rsidRPr="00841876">
        <w:rPr>
          <w:rFonts w:ascii="Calibri" w:hAnsi="Calibri"/>
          <w:color w:val="E36C0A"/>
        </w:rPr>
        <w:t xml:space="preserve">my </w:t>
      </w:r>
      <w:r w:rsidRPr="00841876">
        <w:rPr>
          <w:rFonts w:ascii="Calibri" w:hAnsi="Calibri"/>
          <w:color w:val="E36C0A"/>
        </w:rPr>
        <w:t>drafting</w:t>
      </w:r>
      <w:r w:rsidR="00334E85" w:rsidRPr="00841876">
        <w:rPr>
          <w:rFonts w:ascii="Calibri" w:hAnsi="Calibri"/>
          <w:color w:val="E36C0A"/>
        </w:rPr>
        <w:t xml:space="preserve"> :-</w:t>
      </w:r>
      <w:r w:rsidRPr="00841876">
        <w:rPr>
          <w:rFonts w:ascii="Calibri" w:hAnsi="Calibri"/>
          <w:color w:val="E36C0A"/>
        </w:rPr>
        <w:t>) – to address AVD would require delaying determination of the value of the power of appointment by six months</w:t>
      </w:r>
      <w:r w:rsidR="00334E85" w:rsidRPr="00841876">
        <w:rPr>
          <w:rFonts w:ascii="Calibri" w:hAnsi="Calibri"/>
          <w:color w:val="E36C0A"/>
        </w:rPr>
        <w:t xml:space="preserve"> and potentially complicate matters</w:t>
      </w:r>
      <w:r w:rsidRPr="00841876">
        <w:rPr>
          <w:rFonts w:ascii="Calibri" w:hAnsi="Calibri"/>
          <w:color w:val="E36C0A"/>
        </w:rPr>
        <w:t xml:space="preserve">.  I may address </w:t>
      </w:r>
      <w:r w:rsidR="00E76E7E" w:rsidRPr="00841876">
        <w:rPr>
          <w:rFonts w:ascii="Calibri" w:hAnsi="Calibri"/>
          <w:color w:val="E36C0A"/>
        </w:rPr>
        <w:t xml:space="preserve">a variation of </w:t>
      </w:r>
      <w:r w:rsidRPr="00841876">
        <w:rPr>
          <w:rFonts w:ascii="Calibri" w:hAnsi="Calibri"/>
          <w:color w:val="E36C0A"/>
        </w:rPr>
        <w:t>this in future iterations</w:t>
      </w:r>
      <w:r w:rsidR="00E76E7E" w:rsidRPr="00841876">
        <w:rPr>
          <w:rFonts w:ascii="Calibri" w:hAnsi="Calibri"/>
          <w:color w:val="E36C0A"/>
        </w:rPr>
        <w:t xml:space="preserve"> or presentations</w:t>
      </w:r>
      <w:r w:rsidRPr="00841876">
        <w:rPr>
          <w:rFonts w:ascii="Calibri" w:hAnsi="Calibri"/>
          <w:color w:val="E36C0A"/>
        </w:rPr>
        <w:t>.</w:t>
      </w:r>
      <w:r w:rsidR="00797512" w:rsidRPr="00841876">
        <w:rPr>
          <w:rFonts w:ascii="Calibri" w:hAnsi="Calibri"/>
          <w:color w:val="E36C0A"/>
        </w:rPr>
        <w:t xml:space="preserve">  Example:  Jane, a surviving spouse and beneficiary of an OBIT established by her late husband, dies with a $6 million estate of her own (thus, </w:t>
      </w:r>
      <w:r w:rsidR="00093251" w:rsidRPr="00841876">
        <w:rPr>
          <w:rFonts w:ascii="Calibri" w:hAnsi="Calibri"/>
          <w:color w:val="E36C0A"/>
        </w:rPr>
        <w:t xml:space="preserve">she has no AEA and therefore </w:t>
      </w:r>
      <w:r w:rsidR="00797512" w:rsidRPr="00841876">
        <w:rPr>
          <w:rFonts w:ascii="Calibri" w:hAnsi="Calibri"/>
          <w:color w:val="E36C0A"/>
        </w:rPr>
        <w:t xml:space="preserve">no GPOA over the OBIT) – but the market crashes and </w:t>
      </w:r>
      <w:r w:rsidR="00050B8D" w:rsidRPr="00841876">
        <w:rPr>
          <w:rFonts w:ascii="Calibri" w:hAnsi="Calibri"/>
          <w:color w:val="E36C0A"/>
        </w:rPr>
        <w:t>6</w:t>
      </w:r>
      <w:r w:rsidR="00797512" w:rsidRPr="00841876">
        <w:rPr>
          <w:rFonts w:ascii="Calibri" w:hAnsi="Calibri"/>
          <w:color w:val="E36C0A"/>
        </w:rPr>
        <w:t xml:space="preserve"> months later </w:t>
      </w:r>
      <w:r w:rsidR="00050B8D" w:rsidRPr="00841876">
        <w:rPr>
          <w:rFonts w:ascii="Calibri" w:hAnsi="Calibri"/>
          <w:color w:val="E36C0A"/>
        </w:rPr>
        <w:t>those same assets are</w:t>
      </w:r>
      <w:r w:rsidR="00797512" w:rsidRPr="00841876">
        <w:rPr>
          <w:rFonts w:ascii="Calibri" w:hAnsi="Calibri"/>
          <w:color w:val="E36C0A"/>
        </w:rPr>
        <w:t xml:space="preserve"> $4.5 million.  The OBIT may therefore exploit $0.75 million </w:t>
      </w:r>
      <w:r w:rsidR="003714B5" w:rsidRPr="00841876">
        <w:rPr>
          <w:rFonts w:ascii="Calibri" w:hAnsi="Calibri"/>
          <w:color w:val="E36C0A"/>
        </w:rPr>
        <w:t xml:space="preserve">of Jane’s </w:t>
      </w:r>
      <w:r w:rsidR="00797512" w:rsidRPr="00841876">
        <w:rPr>
          <w:rFonts w:ascii="Calibri" w:hAnsi="Calibri"/>
          <w:color w:val="E36C0A"/>
        </w:rPr>
        <w:t>remaining applicable exclusion amount (assuming no DSUEA, $5.25 AEA), but the language above uses DOD values</w:t>
      </w:r>
      <w:r w:rsidR="00ED12C1" w:rsidRPr="00841876">
        <w:rPr>
          <w:rFonts w:ascii="Calibri" w:hAnsi="Calibri"/>
          <w:color w:val="E36C0A"/>
        </w:rPr>
        <w:t xml:space="preserve"> only</w:t>
      </w:r>
      <w:r w:rsidR="00334E85" w:rsidRPr="00841876">
        <w:rPr>
          <w:rFonts w:ascii="Calibri" w:hAnsi="Calibri"/>
          <w:color w:val="E36C0A"/>
        </w:rPr>
        <w:t xml:space="preserve">, which may </w:t>
      </w:r>
      <w:r w:rsidR="00ED12C1" w:rsidRPr="00841876">
        <w:rPr>
          <w:rFonts w:ascii="Calibri" w:hAnsi="Calibri"/>
          <w:color w:val="E36C0A"/>
        </w:rPr>
        <w:t xml:space="preserve">still </w:t>
      </w:r>
      <w:r w:rsidR="00334E85" w:rsidRPr="00841876">
        <w:rPr>
          <w:rFonts w:ascii="Calibri" w:hAnsi="Calibri"/>
          <w:color w:val="E36C0A"/>
        </w:rPr>
        <w:t>have some benefit, but would not be optimal.</w:t>
      </w:r>
      <w:r w:rsidR="003714B5" w:rsidRPr="00841876">
        <w:rPr>
          <w:rFonts w:ascii="Calibri" w:hAnsi="Calibri"/>
          <w:color w:val="E36C0A"/>
        </w:rPr>
        <w:t xml:space="preserve">  </w:t>
      </w:r>
      <w:r w:rsidR="00050B8D" w:rsidRPr="00841876">
        <w:rPr>
          <w:rFonts w:ascii="Calibri" w:hAnsi="Calibri"/>
          <w:color w:val="E36C0A"/>
        </w:rPr>
        <w:t>Can</w:t>
      </w:r>
      <w:r w:rsidR="003714B5" w:rsidRPr="00841876">
        <w:rPr>
          <w:rFonts w:ascii="Calibri" w:hAnsi="Calibri"/>
          <w:color w:val="E36C0A"/>
        </w:rPr>
        <w:t xml:space="preserve"> a GPOA </w:t>
      </w:r>
      <w:r w:rsidR="00050B8D" w:rsidRPr="00841876">
        <w:rPr>
          <w:rFonts w:ascii="Calibri" w:hAnsi="Calibri"/>
          <w:color w:val="E36C0A"/>
        </w:rPr>
        <w:t>simply</w:t>
      </w:r>
      <w:r w:rsidR="003714B5" w:rsidRPr="00841876">
        <w:rPr>
          <w:rFonts w:ascii="Calibri" w:hAnsi="Calibri"/>
          <w:color w:val="E36C0A"/>
        </w:rPr>
        <w:t xml:space="preserve"> be delayed (</w:t>
      </w:r>
      <w:r w:rsidR="0092026B" w:rsidRPr="00841876">
        <w:rPr>
          <w:rFonts w:ascii="Calibri" w:hAnsi="Calibri"/>
          <w:color w:val="E36C0A"/>
        </w:rPr>
        <w:t xml:space="preserve">probably, </w:t>
      </w:r>
      <w:r w:rsidR="003714B5" w:rsidRPr="00841876">
        <w:rPr>
          <w:rFonts w:ascii="Calibri" w:hAnsi="Calibri"/>
          <w:color w:val="E36C0A"/>
        </w:rPr>
        <w:t xml:space="preserve">see page 28 and </w:t>
      </w:r>
      <w:r w:rsidR="00B30D29" w:rsidRPr="00841876">
        <w:rPr>
          <w:rFonts w:ascii="Calibri" w:hAnsi="Calibri"/>
          <w:color w:val="E36C0A"/>
        </w:rPr>
        <w:t xml:space="preserve">Treas. </w:t>
      </w:r>
      <w:r w:rsidR="003714B5" w:rsidRPr="00841876">
        <w:rPr>
          <w:rFonts w:ascii="Calibri" w:hAnsi="Calibri"/>
          <w:color w:val="E36C0A"/>
        </w:rPr>
        <w:t xml:space="preserve">Reg </w:t>
      </w:r>
      <w:r w:rsidR="00B30D29" w:rsidRPr="00841876">
        <w:rPr>
          <w:rFonts w:ascii="Calibri" w:hAnsi="Calibri"/>
          <w:color w:val="E36C0A"/>
        </w:rPr>
        <w:t>§</w:t>
      </w:r>
      <w:r w:rsidR="003714B5" w:rsidRPr="00841876">
        <w:rPr>
          <w:rFonts w:ascii="Calibri" w:hAnsi="Calibri"/>
          <w:color w:val="E36C0A"/>
        </w:rPr>
        <w:t>20.2041-3(b)</w:t>
      </w:r>
      <w:r w:rsidR="00050B8D" w:rsidRPr="00841876">
        <w:rPr>
          <w:rFonts w:ascii="Calibri" w:hAnsi="Calibri"/>
          <w:color w:val="E36C0A"/>
        </w:rPr>
        <w:t xml:space="preserve">), and can it be applied to assets based on a value </w:t>
      </w:r>
      <w:r w:rsidR="00194651">
        <w:rPr>
          <w:rFonts w:ascii="Calibri" w:hAnsi="Calibri"/>
          <w:color w:val="E36C0A"/>
        </w:rPr>
        <w:t>six</w:t>
      </w:r>
      <w:r w:rsidR="00050B8D" w:rsidRPr="00841876">
        <w:rPr>
          <w:rFonts w:ascii="Calibri" w:hAnsi="Calibri"/>
          <w:color w:val="E36C0A"/>
        </w:rPr>
        <w:t xml:space="preserve"> months later?</w:t>
      </w:r>
      <w:r w:rsidR="003714B5" w:rsidRPr="00841876">
        <w:rPr>
          <w:rFonts w:ascii="Calibri" w:hAnsi="Calibri"/>
          <w:color w:val="E36C0A"/>
        </w:rPr>
        <w:t xml:space="preserve"> </w:t>
      </w:r>
      <w:r w:rsidR="00050B8D" w:rsidRPr="00841876">
        <w:rPr>
          <w:rFonts w:ascii="Calibri" w:hAnsi="Calibri"/>
          <w:color w:val="E36C0A"/>
        </w:rPr>
        <w:t xml:space="preserve">  </w:t>
      </w:r>
      <w:r w:rsidR="000568C6" w:rsidRPr="00841876">
        <w:rPr>
          <w:rFonts w:ascii="Calibri" w:hAnsi="Calibri"/>
          <w:color w:val="E36C0A"/>
        </w:rPr>
        <w:t xml:space="preserve">Probably - </w:t>
      </w:r>
      <w:r w:rsidR="00050B8D" w:rsidRPr="00841876">
        <w:rPr>
          <w:rFonts w:ascii="Calibri" w:hAnsi="Calibri"/>
          <w:color w:val="E36C0A"/>
        </w:rPr>
        <w:t>I welcome any comments or suggestions here.</w:t>
      </w:r>
    </w:p>
    <w:p w14:paraId="7C8088F8" w14:textId="77777777" w:rsidR="00334E85" w:rsidRDefault="00334E85" w:rsidP="00230559">
      <w:pPr>
        <w:rPr>
          <w:rFonts w:ascii="Calibri" w:hAnsi="Calibri"/>
          <w:color w:val="000000"/>
        </w:rPr>
      </w:pPr>
    </w:p>
    <w:p w14:paraId="6A137A04" w14:textId="77777777" w:rsidR="008F601E" w:rsidRPr="00841876" w:rsidRDefault="00334E85" w:rsidP="00230559">
      <w:pPr>
        <w:rPr>
          <w:rFonts w:ascii="Calibri" w:hAnsi="Calibri"/>
          <w:color w:val="E36C0A"/>
        </w:rPr>
      </w:pPr>
      <w:r w:rsidRPr="00841876">
        <w:rPr>
          <w:rFonts w:ascii="Calibri" w:hAnsi="Calibri"/>
          <w:b/>
          <w:color w:val="E36C0A"/>
        </w:rPr>
        <w:t>Note #3</w:t>
      </w:r>
      <w:r w:rsidRPr="00841876">
        <w:rPr>
          <w:rFonts w:ascii="Calibri" w:hAnsi="Calibri"/>
          <w:color w:val="E36C0A"/>
        </w:rPr>
        <w:t xml:space="preserve"> – Indemnifying trustee for administration of assets between the date of death and </w:t>
      </w:r>
      <w:r w:rsidR="003714B5" w:rsidRPr="00841876">
        <w:rPr>
          <w:rFonts w:ascii="Calibri" w:hAnsi="Calibri"/>
          <w:color w:val="E36C0A"/>
        </w:rPr>
        <w:t>determination</w:t>
      </w:r>
      <w:r w:rsidRPr="00841876">
        <w:rPr>
          <w:rFonts w:ascii="Calibri" w:hAnsi="Calibri"/>
          <w:color w:val="E36C0A"/>
        </w:rPr>
        <w:t xml:space="preserve"> of exercise of power of appointment.  </w:t>
      </w:r>
      <w:r w:rsidR="003714B5" w:rsidRPr="00841876">
        <w:rPr>
          <w:rFonts w:ascii="Calibri" w:hAnsi="Calibri"/>
          <w:color w:val="E36C0A"/>
        </w:rPr>
        <w:t>When the surviving</w:t>
      </w:r>
      <w:r w:rsidRPr="00841876">
        <w:rPr>
          <w:rFonts w:ascii="Calibri" w:hAnsi="Calibri"/>
          <w:color w:val="E36C0A"/>
        </w:rPr>
        <w:t xml:space="preserve"> spouse</w:t>
      </w:r>
      <w:r w:rsidR="003714B5" w:rsidRPr="00841876">
        <w:rPr>
          <w:rFonts w:ascii="Calibri" w:hAnsi="Calibri"/>
          <w:color w:val="E36C0A"/>
        </w:rPr>
        <w:t>/powerholder</w:t>
      </w:r>
      <w:r w:rsidRPr="00841876">
        <w:rPr>
          <w:rFonts w:ascii="Calibri" w:hAnsi="Calibri"/>
          <w:color w:val="E36C0A"/>
        </w:rPr>
        <w:t xml:space="preserve"> dies</w:t>
      </w:r>
      <w:r w:rsidR="003714B5" w:rsidRPr="00841876">
        <w:rPr>
          <w:rFonts w:ascii="Calibri" w:hAnsi="Calibri"/>
          <w:color w:val="E36C0A"/>
        </w:rPr>
        <w:t xml:space="preserve">, it may be months before the trustee knows the existence of the POA’s exercise, much less the exact value of the surviving spouse’s </w:t>
      </w:r>
      <w:r w:rsidR="00312BFA" w:rsidRPr="00841876">
        <w:rPr>
          <w:rFonts w:ascii="Calibri" w:hAnsi="Calibri"/>
          <w:color w:val="E36C0A"/>
        </w:rPr>
        <w:t xml:space="preserve">net </w:t>
      </w:r>
      <w:r w:rsidR="003714B5" w:rsidRPr="00841876">
        <w:rPr>
          <w:rFonts w:ascii="Calibri" w:hAnsi="Calibri"/>
          <w:color w:val="E36C0A"/>
        </w:rPr>
        <w:t>estate</w:t>
      </w:r>
      <w:r w:rsidR="00312BFA" w:rsidRPr="00841876">
        <w:rPr>
          <w:rFonts w:ascii="Calibri" w:hAnsi="Calibri"/>
          <w:color w:val="E36C0A"/>
        </w:rPr>
        <w:t xml:space="preserve"> (and the value of any marital/charitable deductions)</w:t>
      </w:r>
      <w:r w:rsidR="003714B5" w:rsidRPr="00841876">
        <w:rPr>
          <w:rFonts w:ascii="Calibri" w:hAnsi="Calibri"/>
          <w:color w:val="E36C0A"/>
        </w:rPr>
        <w:t xml:space="preserve">.  </w:t>
      </w:r>
      <w:r w:rsidR="00050B8D" w:rsidRPr="00841876">
        <w:rPr>
          <w:rFonts w:ascii="Calibri" w:hAnsi="Calibri"/>
          <w:color w:val="E36C0A"/>
        </w:rPr>
        <w:t>If the GPOA applies to a piece of real estate, and the trustee in good faith sells the real estate after death, then the GPOA should probably apply to cash traced to the sale.</w:t>
      </w:r>
      <w:r w:rsidR="00312BFA" w:rsidRPr="00841876">
        <w:rPr>
          <w:rFonts w:ascii="Calibri" w:hAnsi="Calibri"/>
          <w:color w:val="E36C0A"/>
        </w:rPr>
        <w:t xml:space="preserve">  </w:t>
      </w:r>
    </w:p>
    <w:p w14:paraId="083CE943" w14:textId="77777777" w:rsidR="00312BFA" w:rsidRDefault="00312BFA" w:rsidP="00230559">
      <w:pPr>
        <w:rPr>
          <w:rFonts w:ascii="Calibri" w:hAnsi="Calibri"/>
          <w:color w:val="000000"/>
        </w:rPr>
      </w:pPr>
    </w:p>
    <w:p w14:paraId="23CD61D8" w14:textId="77777777" w:rsidR="008F601E" w:rsidRDefault="008F601E" w:rsidP="00230559">
      <w:pPr>
        <w:rPr>
          <w:rFonts w:ascii="Calibri" w:hAnsi="Calibri"/>
          <w:color w:val="E36C0A"/>
        </w:rPr>
      </w:pPr>
      <w:r w:rsidRPr="00841876">
        <w:rPr>
          <w:rFonts w:ascii="Calibri" w:hAnsi="Calibri"/>
          <w:b/>
          <w:color w:val="E36C0A"/>
        </w:rPr>
        <w:t xml:space="preserve">Note #4 </w:t>
      </w:r>
      <w:r w:rsidRPr="00841876">
        <w:rPr>
          <w:rFonts w:ascii="Calibri" w:hAnsi="Calibri"/>
          <w:color w:val="E36C0A"/>
        </w:rPr>
        <w:t xml:space="preserve">– There is no accounting for debts/liens/encumbrances in the above language.  Most bypass trusts are not leveraged, but you may have residence with a mortgage, a margin account, or maybe even intra-family loans to the bypass.  Future versions of this language </w:t>
      </w:r>
      <w:r w:rsidR="00B70738" w:rsidRPr="00841876">
        <w:rPr>
          <w:rFonts w:ascii="Calibri" w:hAnsi="Calibri"/>
          <w:color w:val="E36C0A"/>
        </w:rPr>
        <w:t>may</w:t>
      </w:r>
      <w:r w:rsidRPr="00841876">
        <w:rPr>
          <w:rFonts w:ascii="Calibri" w:hAnsi="Calibri"/>
          <w:color w:val="E36C0A"/>
        </w:rPr>
        <w:t xml:space="preserve"> add provisions to account for “net value after debt”</w:t>
      </w:r>
      <w:r w:rsidR="00D95E54" w:rsidRPr="00841876">
        <w:rPr>
          <w:rFonts w:ascii="Calibri" w:hAnsi="Calibri"/>
          <w:color w:val="E36C0A"/>
        </w:rPr>
        <w:t xml:space="preserve"> for those situations, which are not an issue when someone has a POA over an entire trust.</w:t>
      </w:r>
      <w:r w:rsidR="00E1183C" w:rsidRPr="00841876">
        <w:rPr>
          <w:rFonts w:ascii="Calibri" w:hAnsi="Calibri"/>
          <w:color w:val="E36C0A"/>
        </w:rPr>
        <w:t xml:space="preserve">  </w:t>
      </w:r>
      <w:r w:rsidR="00B70738" w:rsidRPr="00841876">
        <w:rPr>
          <w:rFonts w:ascii="Calibri" w:hAnsi="Calibri"/>
          <w:color w:val="E36C0A"/>
        </w:rPr>
        <w:t xml:space="preserve">It should not be an issue in the above language if </w:t>
      </w:r>
      <w:r w:rsidR="00331FA0" w:rsidRPr="00841876">
        <w:rPr>
          <w:rFonts w:ascii="Calibri" w:hAnsi="Calibri"/>
          <w:color w:val="E36C0A"/>
        </w:rPr>
        <w:t>a</w:t>
      </w:r>
      <w:r w:rsidR="00B70738" w:rsidRPr="00841876">
        <w:rPr>
          <w:rFonts w:ascii="Calibri" w:hAnsi="Calibri"/>
          <w:color w:val="E36C0A"/>
        </w:rPr>
        <w:t xml:space="preserve"> lien is tied to an asset.  For example, if there is $1 million available exclusion and the most appreciated asset is a $1.5 million building with a $500,000 lien, </w:t>
      </w:r>
      <w:r w:rsidR="00331FA0" w:rsidRPr="00841876">
        <w:rPr>
          <w:rFonts w:ascii="Calibri" w:hAnsi="Calibri"/>
          <w:color w:val="E36C0A"/>
        </w:rPr>
        <w:t>the entire building</w:t>
      </w:r>
      <w:r w:rsidR="00B70738" w:rsidRPr="00841876">
        <w:rPr>
          <w:rFonts w:ascii="Calibri" w:hAnsi="Calibri"/>
          <w:color w:val="E36C0A"/>
        </w:rPr>
        <w:t xml:space="preserve"> may still be appointed, subject to the accompanying debt</w:t>
      </w:r>
      <w:r w:rsidR="00331FA0" w:rsidRPr="00841876">
        <w:rPr>
          <w:rFonts w:ascii="Calibri" w:hAnsi="Calibri"/>
          <w:color w:val="E36C0A"/>
        </w:rPr>
        <w:t>, because the net amount transferred pursuant to the GPOA would be $1 million</w:t>
      </w:r>
      <w:r w:rsidR="00B70738" w:rsidRPr="00841876">
        <w:rPr>
          <w:rFonts w:ascii="Calibri" w:hAnsi="Calibri"/>
          <w:color w:val="E36C0A"/>
        </w:rPr>
        <w:t>.  I don’t think additional language is needed to handle that.  However, debt</w:t>
      </w:r>
      <w:r w:rsidR="00E1183C" w:rsidRPr="00841876">
        <w:rPr>
          <w:rFonts w:ascii="Calibri" w:hAnsi="Calibri"/>
          <w:color w:val="E36C0A"/>
        </w:rPr>
        <w:t xml:space="preserve"> situations </w:t>
      </w:r>
      <w:r w:rsidR="00B70738" w:rsidRPr="00841876">
        <w:rPr>
          <w:rFonts w:ascii="Calibri" w:hAnsi="Calibri"/>
          <w:color w:val="E36C0A"/>
        </w:rPr>
        <w:t>could</w:t>
      </w:r>
      <w:r w:rsidR="00E1183C" w:rsidRPr="00841876">
        <w:rPr>
          <w:rFonts w:ascii="Calibri" w:hAnsi="Calibri"/>
          <w:color w:val="E36C0A"/>
        </w:rPr>
        <w:t xml:space="preserve"> be problematic when the debt is not associated with or a lien against a particular asset.  </w:t>
      </w:r>
    </w:p>
    <w:p w14:paraId="192F5F48" w14:textId="77777777" w:rsidR="00EA42FA" w:rsidRDefault="00EA42FA" w:rsidP="00230559">
      <w:pPr>
        <w:rPr>
          <w:rFonts w:ascii="Calibri" w:hAnsi="Calibri"/>
          <w:color w:val="E36C0A"/>
        </w:rPr>
      </w:pPr>
    </w:p>
    <w:p w14:paraId="49670F65" w14:textId="77777777" w:rsidR="008847DA" w:rsidRPr="00841876" w:rsidRDefault="008847DA" w:rsidP="00230559">
      <w:pPr>
        <w:rPr>
          <w:rFonts w:ascii="Calibri" w:hAnsi="Calibri"/>
          <w:color w:val="E36C0A"/>
        </w:rPr>
      </w:pPr>
      <w:r w:rsidRPr="00EA42FA">
        <w:rPr>
          <w:rFonts w:ascii="Calibri" w:hAnsi="Calibri"/>
          <w:b/>
          <w:color w:val="E36C0A"/>
        </w:rPr>
        <w:t>Note#5</w:t>
      </w:r>
      <w:r>
        <w:rPr>
          <w:rFonts w:ascii="Calibri" w:hAnsi="Calibri"/>
          <w:color w:val="E36C0A"/>
        </w:rPr>
        <w:t xml:space="preserve"> (FAQ) – Common questions at CLEs: Does exercising a POA via Will require probate of the will, or if exercised, subject it to probate?  A: </w:t>
      </w:r>
      <w:r w:rsidR="004C0803">
        <w:rPr>
          <w:rFonts w:ascii="Calibri" w:hAnsi="Calibri"/>
          <w:color w:val="E36C0A"/>
        </w:rPr>
        <w:t>No. A</w:t>
      </w:r>
      <w:r>
        <w:rPr>
          <w:rFonts w:ascii="Calibri" w:hAnsi="Calibri"/>
          <w:color w:val="E36C0A"/>
        </w:rPr>
        <w:t xml:space="preserve"> POA can be validly exercised without a Will being admitted to probate, unless the Will specifically requires, but a purported Will </w:t>
      </w:r>
      <w:r w:rsidRPr="004C0803">
        <w:rPr>
          <w:rFonts w:ascii="Calibri" w:hAnsi="Calibri"/>
          <w:b/>
          <w:color w:val="E36C0A"/>
        </w:rPr>
        <w:lastRenderedPageBreak/>
        <w:t>rejected</w:t>
      </w:r>
      <w:r>
        <w:rPr>
          <w:rFonts w:ascii="Calibri" w:hAnsi="Calibri"/>
          <w:color w:val="E36C0A"/>
        </w:rPr>
        <w:t xml:space="preserve"> by the Probate Court as </w:t>
      </w:r>
      <w:r w:rsidR="004C0803">
        <w:rPr>
          <w:rFonts w:ascii="Calibri" w:hAnsi="Calibri"/>
          <w:color w:val="E36C0A"/>
        </w:rPr>
        <w:t>in</w:t>
      </w:r>
      <w:r>
        <w:rPr>
          <w:rFonts w:ascii="Calibri" w:hAnsi="Calibri"/>
          <w:color w:val="E36C0A"/>
        </w:rPr>
        <w:t xml:space="preserve">valid will </w:t>
      </w:r>
      <w:r w:rsidRPr="004C0803">
        <w:rPr>
          <w:rFonts w:ascii="Calibri" w:hAnsi="Calibri"/>
          <w:b/>
          <w:color w:val="E36C0A"/>
        </w:rPr>
        <w:t>not</w:t>
      </w:r>
      <w:r>
        <w:rPr>
          <w:rFonts w:ascii="Calibri" w:hAnsi="Calibri"/>
          <w:color w:val="E36C0A"/>
        </w:rPr>
        <w:t xml:space="preserve"> validly exercise a POA.</w:t>
      </w:r>
      <w:r>
        <w:rPr>
          <w:rStyle w:val="FootnoteReference"/>
          <w:rFonts w:ascii="Calibri" w:hAnsi="Calibri"/>
          <w:color w:val="E36C0A"/>
        </w:rPr>
        <w:footnoteReference w:id="528"/>
      </w:r>
      <w:r w:rsidRPr="008847DA">
        <w:t xml:space="preserve"> </w:t>
      </w:r>
      <w:r>
        <w:rPr>
          <w:rFonts w:ascii="Calibri" w:hAnsi="Calibri"/>
          <w:color w:val="E36C0A"/>
        </w:rPr>
        <w:t xml:space="preserve">Exercise of a POA by Will does </w:t>
      </w:r>
      <w:r w:rsidRPr="004C0803">
        <w:rPr>
          <w:rFonts w:ascii="Calibri" w:hAnsi="Calibri"/>
          <w:b/>
          <w:color w:val="E36C0A"/>
        </w:rPr>
        <w:t>not</w:t>
      </w:r>
      <w:r>
        <w:rPr>
          <w:rFonts w:ascii="Calibri" w:hAnsi="Calibri"/>
          <w:color w:val="E36C0A"/>
        </w:rPr>
        <w:t xml:space="preserve"> subject appointive assets to probate.  </w:t>
      </w:r>
    </w:p>
    <w:p w14:paraId="02392289" w14:textId="77777777" w:rsidR="00200510" w:rsidRDefault="00200510" w:rsidP="00230559">
      <w:pPr>
        <w:rPr>
          <w:rFonts w:ascii="Calibri" w:hAnsi="Calibri"/>
          <w:color w:val="000000"/>
        </w:rPr>
      </w:pPr>
    </w:p>
    <w:p w14:paraId="64EE86B5" w14:textId="77777777" w:rsidR="00230559" w:rsidRPr="003D3C2D" w:rsidRDefault="00EC148D" w:rsidP="00230559">
      <w:pPr>
        <w:rPr>
          <w:rFonts w:ascii="Calibri" w:hAnsi="Calibri"/>
          <w:b/>
          <w:color w:val="000000"/>
        </w:rPr>
      </w:pPr>
      <w:r w:rsidRPr="003D3C2D">
        <w:rPr>
          <w:rFonts w:ascii="Calibri" w:hAnsi="Calibri"/>
          <w:b/>
          <w:color w:val="000000"/>
        </w:rPr>
        <w:t>None of this language is warra</w:t>
      </w:r>
      <w:r w:rsidR="00200510" w:rsidRPr="003D3C2D">
        <w:rPr>
          <w:rFonts w:ascii="Calibri" w:hAnsi="Calibri"/>
          <w:b/>
          <w:color w:val="000000"/>
        </w:rPr>
        <w:t>nti</w:t>
      </w:r>
      <w:r w:rsidRPr="003D3C2D">
        <w:rPr>
          <w:rFonts w:ascii="Calibri" w:hAnsi="Calibri"/>
          <w:b/>
          <w:color w:val="000000"/>
        </w:rPr>
        <w:t xml:space="preserve">ed or may be relied on in any way – </w:t>
      </w:r>
      <w:r w:rsidR="00D6713A" w:rsidRPr="003D3C2D">
        <w:rPr>
          <w:rFonts w:ascii="Calibri" w:hAnsi="Calibri"/>
          <w:b/>
          <w:color w:val="000000"/>
        </w:rPr>
        <w:t>nor is it legal advice that</w:t>
      </w:r>
      <w:r w:rsidRPr="003D3C2D">
        <w:rPr>
          <w:rFonts w:ascii="Calibri" w:hAnsi="Calibri"/>
          <w:b/>
          <w:color w:val="000000"/>
        </w:rPr>
        <w:t xml:space="preserve"> can be relied upon for penalty protection.</w:t>
      </w:r>
      <w:r w:rsidR="00200510" w:rsidRPr="003D3C2D">
        <w:rPr>
          <w:rFonts w:ascii="Calibri" w:hAnsi="Calibri"/>
          <w:b/>
          <w:color w:val="000000"/>
        </w:rPr>
        <w:t xml:space="preserve">  </w:t>
      </w:r>
      <w:r w:rsidR="003D3C2D">
        <w:rPr>
          <w:rFonts w:ascii="Calibri" w:hAnsi="Calibri"/>
          <w:b/>
          <w:color w:val="000000"/>
        </w:rPr>
        <w:t xml:space="preserve">Use at your own risk.  </w:t>
      </w:r>
      <w:r w:rsidR="00200510" w:rsidRPr="003D3C2D">
        <w:rPr>
          <w:rFonts w:ascii="Calibri" w:hAnsi="Calibri"/>
          <w:b/>
          <w:color w:val="000000"/>
        </w:rPr>
        <w:t>Any constructive criticism appreciated.</w:t>
      </w:r>
    </w:p>
    <w:p w14:paraId="2DB2BCA7" w14:textId="77777777" w:rsidR="00230559" w:rsidRPr="00230559" w:rsidRDefault="00230559" w:rsidP="00230559">
      <w:pPr>
        <w:rPr>
          <w:rFonts w:ascii="Calibri" w:hAnsi="Calibri"/>
          <w:color w:val="000000"/>
        </w:rPr>
      </w:pPr>
    </w:p>
    <w:p w14:paraId="3CFC168E" w14:textId="1A1F3F99" w:rsidR="00D323AE" w:rsidRDefault="00230559" w:rsidP="00FA28E9">
      <w:pPr>
        <w:rPr>
          <w:rFonts w:ascii="Calibri" w:hAnsi="Calibri"/>
          <w:color w:val="000000"/>
        </w:rPr>
      </w:pPr>
      <w:r w:rsidRPr="00277F9D">
        <w:rPr>
          <w:rFonts w:ascii="Calibri" w:hAnsi="Calibri"/>
          <w:b/>
          <w:color w:val="000000"/>
        </w:rPr>
        <w:t>Copyright 2013</w:t>
      </w:r>
      <w:r w:rsidR="00840C3C">
        <w:rPr>
          <w:rFonts w:ascii="Calibri" w:hAnsi="Calibri"/>
          <w:b/>
          <w:color w:val="000000"/>
        </w:rPr>
        <w:t>-2018</w:t>
      </w:r>
      <w:r w:rsidRPr="00230559">
        <w:rPr>
          <w:rFonts w:ascii="Calibri" w:hAnsi="Calibri"/>
          <w:color w:val="000000"/>
        </w:rPr>
        <w:t xml:space="preserve"> Edwin P. Morrow III</w:t>
      </w:r>
      <w:r w:rsidR="00B30D29">
        <w:rPr>
          <w:rFonts w:ascii="Calibri" w:hAnsi="Calibri"/>
          <w:color w:val="000000"/>
        </w:rPr>
        <w:t>.  No one at</w:t>
      </w:r>
      <w:r w:rsidR="00EA42FA">
        <w:rPr>
          <w:rFonts w:ascii="Calibri" w:hAnsi="Calibri"/>
          <w:color w:val="000000"/>
        </w:rPr>
        <w:t xml:space="preserve"> my current or former employers</w:t>
      </w:r>
      <w:r w:rsidR="00B30D29">
        <w:rPr>
          <w:rFonts w:ascii="Calibri" w:hAnsi="Calibri"/>
          <w:color w:val="000000"/>
        </w:rPr>
        <w:t xml:space="preserve"> KeyBank </w:t>
      </w:r>
      <w:r w:rsidR="00840C3C">
        <w:rPr>
          <w:rFonts w:ascii="Calibri" w:hAnsi="Calibri"/>
          <w:color w:val="000000"/>
        </w:rPr>
        <w:t xml:space="preserve">or U.S. Bank </w:t>
      </w:r>
      <w:r w:rsidR="005E65F7">
        <w:rPr>
          <w:rFonts w:ascii="Calibri" w:hAnsi="Calibri"/>
          <w:color w:val="000000"/>
        </w:rPr>
        <w:t xml:space="preserve">assisted with, </w:t>
      </w:r>
      <w:r w:rsidR="00B30D29">
        <w:rPr>
          <w:rFonts w:ascii="Calibri" w:hAnsi="Calibri"/>
          <w:color w:val="000000"/>
        </w:rPr>
        <w:t>reviewed or approved any of this outline – any mistakes or suggestions are my personal whims and predilections.  A</w:t>
      </w:r>
      <w:r w:rsidRPr="00230559">
        <w:rPr>
          <w:rFonts w:ascii="Calibri" w:hAnsi="Calibri"/>
          <w:color w:val="000000"/>
        </w:rPr>
        <w:t xml:space="preserve">ny </w:t>
      </w:r>
      <w:r w:rsidR="00531714">
        <w:rPr>
          <w:rFonts w:ascii="Calibri" w:hAnsi="Calibri"/>
          <w:color w:val="000000"/>
        </w:rPr>
        <w:t>licensed attorneys and attendees</w:t>
      </w:r>
      <w:r w:rsidRPr="00230559">
        <w:rPr>
          <w:rFonts w:ascii="Calibri" w:hAnsi="Calibri"/>
          <w:color w:val="000000"/>
        </w:rPr>
        <w:t xml:space="preserve"> of </w:t>
      </w:r>
      <w:r w:rsidR="00840C3C">
        <w:rPr>
          <w:rFonts w:ascii="Calibri" w:hAnsi="Calibri"/>
          <w:color w:val="000000"/>
        </w:rPr>
        <w:t>CLE</w:t>
      </w:r>
      <w:r w:rsidR="00200510">
        <w:rPr>
          <w:rFonts w:ascii="Calibri" w:hAnsi="Calibri"/>
          <w:color w:val="000000"/>
        </w:rPr>
        <w:t xml:space="preserve"> presentation</w:t>
      </w:r>
      <w:r w:rsidR="0011372D">
        <w:rPr>
          <w:rFonts w:ascii="Calibri" w:hAnsi="Calibri"/>
          <w:color w:val="000000"/>
        </w:rPr>
        <w:t xml:space="preserve"> by this author</w:t>
      </w:r>
      <w:r w:rsidR="00200510">
        <w:rPr>
          <w:rFonts w:ascii="Calibri" w:hAnsi="Calibri"/>
          <w:color w:val="000000"/>
        </w:rPr>
        <w:t xml:space="preserve"> </w:t>
      </w:r>
      <w:r w:rsidR="00840C3C">
        <w:rPr>
          <w:rFonts w:ascii="Calibri" w:hAnsi="Calibri"/>
          <w:color w:val="000000"/>
        </w:rPr>
        <w:t xml:space="preserve">using this outline </w:t>
      </w:r>
      <w:r w:rsidRPr="00230559">
        <w:rPr>
          <w:rFonts w:ascii="Calibri" w:hAnsi="Calibri"/>
          <w:color w:val="000000"/>
        </w:rPr>
        <w:t xml:space="preserve">are free to copy and adapt </w:t>
      </w:r>
      <w:r w:rsidR="00B30D29">
        <w:rPr>
          <w:rFonts w:ascii="Calibri" w:hAnsi="Calibri"/>
          <w:color w:val="000000"/>
        </w:rPr>
        <w:t xml:space="preserve">any sample clauses </w:t>
      </w:r>
      <w:r w:rsidRPr="00230559">
        <w:rPr>
          <w:rFonts w:ascii="Calibri" w:hAnsi="Calibri"/>
          <w:color w:val="000000"/>
        </w:rPr>
        <w:t xml:space="preserve">for their </w:t>
      </w:r>
      <w:r w:rsidR="00093251">
        <w:rPr>
          <w:rFonts w:ascii="Calibri" w:hAnsi="Calibri"/>
          <w:color w:val="000000"/>
        </w:rPr>
        <w:t xml:space="preserve">personal law </w:t>
      </w:r>
      <w:r w:rsidRPr="00230559">
        <w:rPr>
          <w:rFonts w:ascii="Calibri" w:hAnsi="Calibri"/>
          <w:color w:val="000000"/>
        </w:rPr>
        <w:t xml:space="preserve">practice, without need for attribution.  For any other use, please contact author at </w:t>
      </w:r>
      <w:r w:rsidR="00BE5DC2">
        <w:rPr>
          <w:rFonts w:ascii="Calibri" w:hAnsi="Calibri"/>
          <w:color w:val="000000"/>
        </w:rPr>
        <w:t>edwinmorrow@msn.com</w:t>
      </w:r>
      <w:r w:rsidR="00EC148D">
        <w:rPr>
          <w:rFonts w:ascii="Calibri" w:hAnsi="Calibri"/>
          <w:color w:val="000000"/>
        </w:rPr>
        <w:t xml:space="preserve">.  </w:t>
      </w:r>
      <w:r w:rsidR="00BD3E2C">
        <w:rPr>
          <w:rFonts w:ascii="Calibri" w:hAnsi="Calibri"/>
          <w:color w:val="000000"/>
        </w:rPr>
        <w:t xml:space="preserve">As a courtesy, if variations are used or improved upon, please send </w:t>
      </w:r>
      <w:r w:rsidR="004C0803">
        <w:rPr>
          <w:rFonts w:ascii="Calibri" w:hAnsi="Calibri"/>
          <w:color w:val="000000"/>
        </w:rPr>
        <w:t xml:space="preserve">me </w:t>
      </w:r>
      <w:r w:rsidR="00BD3E2C">
        <w:rPr>
          <w:rFonts w:ascii="Calibri" w:hAnsi="Calibri"/>
          <w:color w:val="000000"/>
        </w:rPr>
        <w:t xml:space="preserve">any adapted language </w:t>
      </w:r>
      <w:r w:rsidR="004C0803">
        <w:rPr>
          <w:rFonts w:ascii="Calibri" w:hAnsi="Calibri"/>
          <w:color w:val="000000"/>
        </w:rPr>
        <w:t>or ideas for changes</w:t>
      </w:r>
      <w:r w:rsidR="00471930">
        <w:rPr>
          <w:rFonts w:ascii="Calibri" w:hAnsi="Calibri"/>
          <w:color w:val="000000"/>
        </w:rPr>
        <w:t>.  Ideally, I would like to note</w:t>
      </w:r>
      <w:r w:rsidR="00BD3E2C">
        <w:rPr>
          <w:rFonts w:ascii="Calibri" w:hAnsi="Calibri"/>
          <w:color w:val="000000"/>
        </w:rPr>
        <w:t xml:space="preserve"> any suggested improvements and give credit</w:t>
      </w:r>
      <w:r w:rsidR="00471930">
        <w:rPr>
          <w:rFonts w:ascii="Calibri" w:hAnsi="Calibri"/>
          <w:color w:val="000000"/>
        </w:rPr>
        <w:t xml:space="preserve"> (or anonymously, if someone prefers) for suggestions</w:t>
      </w:r>
      <w:r w:rsidR="00BD3E2C">
        <w:rPr>
          <w:rFonts w:ascii="Calibri" w:hAnsi="Calibri"/>
          <w:color w:val="000000"/>
        </w:rPr>
        <w:t xml:space="preserve"> </w:t>
      </w:r>
      <w:r w:rsidR="00D95E54">
        <w:rPr>
          <w:rFonts w:ascii="Calibri" w:hAnsi="Calibri"/>
          <w:color w:val="000000"/>
        </w:rPr>
        <w:t xml:space="preserve">or improvements </w:t>
      </w:r>
      <w:r w:rsidR="00BD3E2C">
        <w:rPr>
          <w:rFonts w:ascii="Calibri" w:hAnsi="Calibri"/>
          <w:color w:val="000000"/>
        </w:rPr>
        <w:t>in any future presentations.</w:t>
      </w:r>
    </w:p>
    <w:p w14:paraId="2DFA0ECB" w14:textId="77777777" w:rsidR="00EA42FA" w:rsidRDefault="00EA42FA" w:rsidP="00FA28E9">
      <w:pPr>
        <w:rPr>
          <w:rFonts w:ascii="Calibri" w:hAnsi="Calibri"/>
          <w:color w:val="000000"/>
        </w:rPr>
      </w:pPr>
    </w:p>
    <w:p w14:paraId="6D1646FA" w14:textId="77777777" w:rsidR="008E5C54" w:rsidRDefault="008E5C54" w:rsidP="00FA28E9">
      <w:pPr>
        <w:rPr>
          <w:rFonts w:ascii="Calibri" w:hAnsi="Calibri"/>
          <w:color w:val="000000"/>
        </w:rPr>
      </w:pPr>
      <w:r>
        <w:rPr>
          <w:rFonts w:ascii="Calibri" w:hAnsi="Calibri"/>
          <w:color w:val="000000"/>
        </w:rPr>
        <w:t xml:space="preserve">Thanks to </w:t>
      </w:r>
      <w:r w:rsidR="000B28C4">
        <w:rPr>
          <w:rFonts w:ascii="Calibri" w:hAnsi="Calibri"/>
          <w:color w:val="000000"/>
        </w:rPr>
        <w:t xml:space="preserve">Ohio </w:t>
      </w:r>
      <w:r w:rsidR="0073273E">
        <w:rPr>
          <w:rFonts w:ascii="Calibri" w:hAnsi="Calibri"/>
          <w:color w:val="000000"/>
        </w:rPr>
        <w:t>a</w:t>
      </w:r>
      <w:r>
        <w:rPr>
          <w:rFonts w:ascii="Calibri" w:hAnsi="Calibri"/>
          <w:color w:val="000000"/>
        </w:rPr>
        <w:t>ttorney Brian Layman (www.laymandatri.com) for provided substantial constructive feedback</w:t>
      </w:r>
      <w:r w:rsidR="004E7607">
        <w:rPr>
          <w:rFonts w:ascii="Calibri" w:hAnsi="Calibri"/>
          <w:color w:val="000000"/>
        </w:rPr>
        <w:t xml:space="preserve"> on this clause</w:t>
      </w:r>
      <w:r w:rsidR="0073273E">
        <w:rPr>
          <w:rFonts w:ascii="Calibri" w:hAnsi="Calibri"/>
          <w:color w:val="000000"/>
        </w:rPr>
        <w:t>, and Ohio attorney Andy Richner for providing substantial feed</w:t>
      </w:r>
      <w:r w:rsidR="00B30D29">
        <w:rPr>
          <w:rFonts w:ascii="Calibri" w:hAnsi="Calibri"/>
          <w:color w:val="000000"/>
        </w:rPr>
        <w:t xml:space="preserve">back on Part II of this article and California attorney Terence Nunan for sharing his article and sample </w:t>
      </w:r>
      <w:r w:rsidR="00ED12C1">
        <w:rPr>
          <w:rFonts w:ascii="Calibri" w:hAnsi="Calibri"/>
          <w:color w:val="000000"/>
        </w:rPr>
        <w:t xml:space="preserve">formula GPOA </w:t>
      </w:r>
      <w:r w:rsidR="00B30D29">
        <w:rPr>
          <w:rFonts w:ascii="Calibri" w:hAnsi="Calibri"/>
          <w:color w:val="000000"/>
        </w:rPr>
        <w:t>clauses.</w:t>
      </w:r>
    </w:p>
    <w:p w14:paraId="0AADDEBB" w14:textId="77777777" w:rsidR="00820CAC" w:rsidRDefault="008E5C54" w:rsidP="00820CAC">
      <w:pPr>
        <w:tabs>
          <w:tab w:val="left" w:pos="100"/>
        </w:tabs>
        <w:autoSpaceDE w:val="0"/>
        <w:autoSpaceDN w:val="0"/>
        <w:adjustRightInd w:val="0"/>
        <w:spacing w:before="120" w:after="120"/>
        <w:jc w:val="center"/>
        <w:rPr>
          <w:rFonts w:ascii="Calibri" w:hAnsi="Calibri"/>
          <w:b/>
        </w:rPr>
      </w:pPr>
      <w:r>
        <w:rPr>
          <w:rFonts w:ascii="Calibri" w:hAnsi="Calibri"/>
          <w:color w:val="000000"/>
        </w:rPr>
        <w:br w:type="page"/>
      </w:r>
      <w:r w:rsidR="00A7015B">
        <w:rPr>
          <w:rFonts w:ascii="Calibri" w:hAnsi="Calibri"/>
          <w:color w:val="000000"/>
        </w:rPr>
        <w:lastRenderedPageBreak/>
        <w:t xml:space="preserve">2) </w:t>
      </w:r>
      <w:r w:rsidR="00820CAC" w:rsidRPr="00230559">
        <w:rPr>
          <w:rFonts w:ascii="Calibri" w:hAnsi="Calibri"/>
          <w:b/>
        </w:rPr>
        <w:t>Sample Language for Formula GPOA for Bypass (Family</w:t>
      </w:r>
      <w:r w:rsidR="00820CAC">
        <w:rPr>
          <w:rFonts w:ascii="Calibri" w:hAnsi="Calibri"/>
          <w:b/>
        </w:rPr>
        <w:t>, Credit Shelter</w:t>
      </w:r>
      <w:r w:rsidR="00820CAC" w:rsidRPr="00230559">
        <w:rPr>
          <w:rFonts w:ascii="Calibri" w:hAnsi="Calibri"/>
          <w:b/>
        </w:rPr>
        <w:t>) Trust</w:t>
      </w:r>
      <w:r w:rsidR="00820CAC">
        <w:rPr>
          <w:rFonts w:ascii="Calibri" w:hAnsi="Calibri"/>
          <w:b/>
        </w:rPr>
        <w:t xml:space="preserve"> – </w:t>
      </w:r>
    </w:p>
    <w:p w14:paraId="4B4673CA" w14:textId="77777777" w:rsidR="00820CAC" w:rsidRPr="00230559" w:rsidRDefault="00203922" w:rsidP="00820CAC">
      <w:pPr>
        <w:tabs>
          <w:tab w:val="left" w:pos="100"/>
        </w:tabs>
        <w:autoSpaceDE w:val="0"/>
        <w:autoSpaceDN w:val="0"/>
        <w:adjustRightInd w:val="0"/>
        <w:spacing w:before="120" w:after="120"/>
        <w:jc w:val="center"/>
        <w:rPr>
          <w:rFonts w:ascii="Calibri" w:hAnsi="Calibri"/>
          <w:b/>
        </w:rPr>
      </w:pPr>
      <w:r>
        <w:rPr>
          <w:rFonts w:ascii="Calibri" w:hAnsi="Calibri"/>
          <w:b/>
        </w:rPr>
        <w:t>Alternate version t</w:t>
      </w:r>
      <w:r w:rsidR="00820CAC">
        <w:rPr>
          <w:rFonts w:ascii="Calibri" w:hAnsi="Calibri"/>
          <w:b/>
        </w:rPr>
        <w:t xml:space="preserve">racking available GST exclusion </w:t>
      </w:r>
      <w:r>
        <w:rPr>
          <w:rFonts w:ascii="Calibri" w:hAnsi="Calibri"/>
          <w:b/>
        </w:rPr>
        <w:t xml:space="preserve">rather than available AEA </w:t>
      </w:r>
      <w:r w:rsidR="00820CAC">
        <w:rPr>
          <w:rFonts w:ascii="Calibri" w:hAnsi="Calibri"/>
          <w:b/>
        </w:rPr>
        <w:t xml:space="preserve">(to maximize basis increase ONLY to the extent of available GST exclusion) </w:t>
      </w:r>
    </w:p>
    <w:p w14:paraId="68D4EDA3" w14:textId="77777777" w:rsidR="00820CAC" w:rsidRPr="00230559" w:rsidRDefault="00820CAC" w:rsidP="00820CAC">
      <w:pPr>
        <w:tabs>
          <w:tab w:val="left" w:pos="100"/>
        </w:tabs>
        <w:autoSpaceDE w:val="0"/>
        <w:autoSpaceDN w:val="0"/>
        <w:adjustRightInd w:val="0"/>
        <w:spacing w:before="120" w:after="120"/>
        <w:rPr>
          <w:rFonts w:ascii="Calibri" w:hAnsi="Calibri"/>
          <w:color w:val="000000"/>
        </w:rPr>
      </w:pPr>
      <w:r w:rsidRPr="00230559">
        <w:rPr>
          <w:rFonts w:ascii="Calibri" w:hAnsi="Calibri"/>
        </w:rPr>
        <w:t xml:space="preserve">Subject to the remaining provisions of this Section, my spouse has the testamentary power to appoint </w:t>
      </w:r>
      <w:r>
        <w:rPr>
          <w:rFonts w:ascii="Calibri" w:hAnsi="Calibri"/>
        </w:rPr>
        <w:t>a</w:t>
      </w:r>
      <w:r w:rsidRPr="00230559">
        <w:rPr>
          <w:rFonts w:ascii="Calibri" w:hAnsi="Calibri"/>
        </w:rPr>
        <w:t xml:space="preserve"> </w:t>
      </w:r>
      <w:r>
        <w:rPr>
          <w:rFonts w:ascii="Calibri" w:hAnsi="Calibri"/>
        </w:rPr>
        <w:t xml:space="preserve">certain </w:t>
      </w:r>
      <w:r w:rsidR="00203922">
        <w:rPr>
          <w:rFonts w:ascii="Calibri" w:hAnsi="Calibri"/>
        </w:rPr>
        <w:t xml:space="preserve">portion of assets </w:t>
      </w:r>
      <w:r w:rsidRPr="00230559">
        <w:rPr>
          <w:rFonts w:ascii="Calibri" w:hAnsi="Calibri"/>
        </w:rPr>
        <w:t>remaining in the Family Trust at my spouse’s death</w:t>
      </w:r>
      <w:r w:rsidRPr="00230559">
        <w:rPr>
          <w:rFonts w:ascii="Calibri" w:hAnsi="Calibri"/>
          <w:color w:val="000000"/>
        </w:rPr>
        <w:t xml:space="preserve">. </w:t>
      </w:r>
      <w:r>
        <w:rPr>
          <w:rFonts w:ascii="Calibri" w:hAnsi="Calibri"/>
          <w:color w:val="000000"/>
        </w:rPr>
        <w:t>This</w:t>
      </w:r>
      <w:r w:rsidRPr="00230559">
        <w:rPr>
          <w:rFonts w:ascii="Calibri" w:hAnsi="Calibri"/>
          <w:color w:val="000000"/>
        </w:rPr>
        <w:t xml:space="preserve"> power shall apply differently</w:t>
      </w:r>
      <w:r>
        <w:rPr>
          <w:rFonts w:ascii="Calibri" w:hAnsi="Calibri"/>
          <w:color w:val="000000"/>
        </w:rPr>
        <w:t xml:space="preserve"> or not at all to different assets.  The potentially appointive assets </w:t>
      </w:r>
      <w:r w:rsidRPr="00230559">
        <w:rPr>
          <w:rFonts w:ascii="Calibri" w:hAnsi="Calibri"/>
          <w:color w:val="000000"/>
        </w:rPr>
        <w:t xml:space="preserve">shall be constrained and limited as follows: </w:t>
      </w:r>
    </w:p>
    <w:p w14:paraId="4BAD7D93" w14:textId="77777777" w:rsidR="00820CAC" w:rsidRPr="00203922" w:rsidRDefault="00820CAC" w:rsidP="000909EB">
      <w:pPr>
        <w:numPr>
          <w:ilvl w:val="0"/>
          <w:numId w:val="30"/>
        </w:numPr>
        <w:autoSpaceDE w:val="0"/>
        <w:autoSpaceDN w:val="0"/>
        <w:adjustRightInd w:val="0"/>
        <w:spacing w:before="120" w:after="120"/>
        <w:jc w:val="both"/>
        <w:rPr>
          <w:rFonts w:ascii="Calibri" w:hAnsi="Calibri"/>
          <w:color w:val="000000"/>
        </w:rPr>
      </w:pPr>
      <w:r w:rsidRPr="00203922">
        <w:rPr>
          <w:rFonts w:ascii="Calibri" w:hAnsi="Calibri"/>
          <w:b/>
          <w:color w:val="000000"/>
        </w:rPr>
        <w:t>General Power of Appointment</w:t>
      </w:r>
      <w:r w:rsidRPr="00203922">
        <w:rPr>
          <w:rFonts w:ascii="Calibri" w:hAnsi="Calibri"/>
          <w:color w:val="000000"/>
        </w:rPr>
        <w:t xml:space="preserve"> – My spouse may appoint certain assets of </w:t>
      </w:r>
      <w:r w:rsidRPr="00203922">
        <w:rPr>
          <w:rFonts w:ascii="Calibri" w:hAnsi="Calibri"/>
        </w:rPr>
        <w:t>the Family Trust to my spouse’s creditors</w:t>
      </w:r>
      <w:r w:rsidRPr="00203922">
        <w:rPr>
          <w:rFonts w:ascii="Calibri" w:hAnsi="Calibri"/>
          <w:color w:val="000000"/>
        </w:rPr>
        <w:t xml:space="preserve"> or to my descendants in such amounts and subject to such terms, including trusts, as my spouse directs.  The assets</w:t>
      </w:r>
      <w:r w:rsidR="00203922">
        <w:rPr>
          <w:rFonts w:ascii="Calibri" w:hAnsi="Calibri"/>
          <w:color w:val="000000"/>
        </w:rPr>
        <w:t xml:space="preserve"> potentially</w:t>
      </w:r>
      <w:r w:rsidRPr="00203922">
        <w:rPr>
          <w:rFonts w:ascii="Calibri" w:hAnsi="Calibri"/>
          <w:color w:val="000000"/>
        </w:rPr>
        <w:t xml:space="preserve"> subject to this general power of appointment shall </w:t>
      </w:r>
      <w:r w:rsidR="00203922" w:rsidRPr="00203922">
        <w:rPr>
          <w:rFonts w:ascii="Calibri" w:hAnsi="Calibri"/>
          <w:color w:val="000000"/>
        </w:rPr>
        <w:t>only include</w:t>
      </w:r>
      <w:r w:rsidRPr="00203922">
        <w:rPr>
          <w:rFonts w:ascii="Calibri" w:hAnsi="Calibri"/>
          <w:color w:val="000000"/>
        </w:rPr>
        <w:t xml:space="preserve"> assets of the Family Trust</w:t>
      </w:r>
      <w:r w:rsidR="00203922" w:rsidRPr="00203922">
        <w:rPr>
          <w:rFonts w:ascii="Calibri" w:hAnsi="Calibri"/>
          <w:color w:val="000000"/>
        </w:rPr>
        <w:t xml:space="preserve"> </w:t>
      </w:r>
      <w:r w:rsidRPr="00203922">
        <w:rPr>
          <w:rFonts w:ascii="Calibri" w:hAnsi="Calibri"/>
        </w:rPr>
        <w:t>whose tax basis would inc</w:t>
      </w:r>
      <w:r w:rsidR="00EA42FA">
        <w:rPr>
          <w:rFonts w:ascii="Calibri" w:hAnsi="Calibri"/>
        </w:rPr>
        <w:t xml:space="preserve">rease in value pursuant to IRC </w:t>
      </w:r>
      <w:r w:rsidRPr="00203922">
        <w:rPr>
          <w:rFonts w:ascii="Calibri" w:hAnsi="Calibri"/>
        </w:rPr>
        <w:t>§1014 if included in the powerholder’s estate.</w:t>
      </w:r>
      <w:r w:rsidRPr="00203922">
        <w:rPr>
          <w:rFonts w:ascii="Calibri" w:hAnsi="Calibri"/>
          <w:color w:val="993300"/>
        </w:rPr>
        <w:tab/>
      </w:r>
      <w:r w:rsidRPr="00203922">
        <w:rPr>
          <w:rFonts w:ascii="Calibri" w:hAnsi="Calibri"/>
          <w:color w:val="000000"/>
        </w:rPr>
        <w:t xml:space="preserve"> </w:t>
      </w:r>
    </w:p>
    <w:p w14:paraId="59B757CD" w14:textId="77777777" w:rsidR="00820CAC" w:rsidRDefault="00820CAC" w:rsidP="00820CAC">
      <w:pPr>
        <w:tabs>
          <w:tab w:val="num" w:pos="300"/>
        </w:tabs>
        <w:autoSpaceDE w:val="0"/>
        <w:autoSpaceDN w:val="0"/>
        <w:adjustRightInd w:val="0"/>
        <w:spacing w:before="120" w:after="120"/>
        <w:ind w:left="300" w:hanging="300"/>
        <w:rPr>
          <w:rFonts w:ascii="Calibri" w:hAnsi="Calibri"/>
          <w:color w:val="000000"/>
        </w:rPr>
      </w:pPr>
      <w:r>
        <w:rPr>
          <w:rFonts w:ascii="Calibri" w:hAnsi="Calibri"/>
          <w:color w:val="000000"/>
        </w:rPr>
        <w:tab/>
      </w:r>
      <w:r w:rsidRPr="00230559">
        <w:rPr>
          <w:rFonts w:ascii="Calibri" w:hAnsi="Calibri"/>
          <w:color w:val="000000"/>
        </w:rPr>
        <w:t>However, should such inclusion otherwise result in federal or state estate</w:t>
      </w:r>
      <w:r>
        <w:rPr>
          <w:rFonts w:ascii="Calibri" w:hAnsi="Calibri"/>
          <w:color w:val="000000"/>
        </w:rPr>
        <w:t xml:space="preserve"> or generation skipping transfer</w:t>
      </w:r>
      <w:r w:rsidRPr="00230559">
        <w:rPr>
          <w:rFonts w:ascii="Calibri" w:hAnsi="Calibri"/>
          <w:color w:val="000000"/>
        </w:rPr>
        <w:t xml:space="preserve"> tax liability</w:t>
      </w:r>
      <w:r>
        <w:rPr>
          <w:rFonts w:ascii="Calibri" w:hAnsi="Calibri"/>
          <w:color w:val="000000"/>
        </w:rPr>
        <w:t xml:space="preserve"> (even if any marital/charitable deduction were also denied)</w:t>
      </w:r>
      <w:r w:rsidRPr="00230559">
        <w:rPr>
          <w:rFonts w:ascii="Calibri" w:hAnsi="Calibri"/>
          <w:color w:val="000000"/>
        </w:rPr>
        <w:t>,</w:t>
      </w:r>
      <w:r w:rsidR="00203922">
        <w:rPr>
          <w:rFonts w:ascii="Calibri" w:hAnsi="Calibri"/>
          <w:color w:val="000000"/>
        </w:rPr>
        <w:t xml:space="preserve"> </w:t>
      </w:r>
      <w:r w:rsidR="00203922" w:rsidRPr="00203922">
        <w:rPr>
          <w:rFonts w:ascii="Calibri" w:hAnsi="Calibri"/>
          <w:i/>
          <w:color w:val="000000"/>
        </w:rPr>
        <w:t xml:space="preserve">or </w:t>
      </w:r>
      <w:r w:rsidR="007E74F0">
        <w:rPr>
          <w:rFonts w:ascii="Calibri" w:hAnsi="Calibri"/>
          <w:i/>
          <w:color w:val="000000"/>
        </w:rPr>
        <w:t>exceed</w:t>
      </w:r>
      <w:r w:rsidR="00203922" w:rsidRPr="00203922">
        <w:rPr>
          <w:rFonts w:ascii="Calibri" w:hAnsi="Calibri"/>
          <w:i/>
          <w:color w:val="000000"/>
        </w:rPr>
        <w:t xml:space="preserve"> my spouse’s available generation skipping transfer tax</w:t>
      </w:r>
      <w:r w:rsidRPr="00203922">
        <w:rPr>
          <w:rFonts w:ascii="Calibri" w:hAnsi="Calibri"/>
          <w:i/>
          <w:color w:val="000000"/>
        </w:rPr>
        <w:t xml:space="preserve"> </w:t>
      </w:r>
      <w:r w:rsidR="00203922" w:rsidRPr="00203922">
        <w:rPr>
          <w:rFonts w:ascii="Calibri" w:hAnsi="Calibri"/>
          <w:i/>
          <w:color w:val="000000"/>
        </w:rPr>
        <w:t>exemption</w:t>
      </w:r>
      <w:r w:rsidR="007E74F0">
        <w:rPr>
          <w:rFonts w:ascii="Calibri" w:hAnsi="Calibri"/>
          <w:i/>
          <w:color w:val="000000"/>
        </w:rPr>
        <w:t xml:space="preserve"> such that an appointment</w:t>
      </w:r>
      <w:r w:rsidR="00203922">
        <w:rPr>
          <w:rFonts w:ascii="Calibri" w:hAnsi="Calibri"/>
          <w:i/>
          <w:color w:val="000000"/>
        </w:rPr>
        <w:t xml:space="preserve"> </w:t>
      </w:r>
      <w:r w:rsidR="007E74F0">
        <w:rPr>
          <w:rFonts w:ascii="Calibri" w:hAnsi="Calibri"/>
          <w:i/>
          <w:color w:val="000000"/>
        </w:rPr>
        <w:t>of potentially appointive assets as defined above c</w:t>
      </w:r>
      <w:r w:rsidR="00203922">
        <w:rPr>
          <w:rFonts w:ascii="Calibri" w:hAnsi="Calibri"/>
          <w:i/>
          <w:color w:val="000000"/>
        </w:rPr>
        <w:t xml:space="preserve">ould cause an </w:t>
      </w:r>
      <w:r w:rsidR="007E74F0">
        <w:rPr>
          <w:rFonts w:ascii="Calibri" w:hAnsi="Calibri"/>
          <w:i/>
          <w:color w:val="000000"/>
        </w:rPr>
        <w:t xml:space="preserve">GST </w:t>
      </w:r>
      <w:r w:rsidR="00203922">
        <w:rPr>
          <w:rFonts w:ascii="Calibri" w:hAnsi="Calibri"/>
          <w:i/>
          <w:color w:val="000000"/>
        </w:rPr>
        <w:t xml:space="preserve">inclusion ratio of </w:t>
      </w:r>
      <w:r w:rsidR="007E74F0">
        <w:rPr>
          <w:rFonts w:ascii="Calibri" w:hAnsi="Calibri"/>
          <w:i/>
          <w:color w:val="000000"/>
        </w:rPr>
        <w:t>an appointive</w:t>
      </w:r>
      <w:r w:rsidR="00203922">
        <w:rPr>
          <w:rFonts w:ascii="Calibri" w:hAnsi="Calibri"/>
          <w:i/>
          <w:color w:val="000000"/>
        </w:rPr>
        <w:t xml:space="preserve"> trust to increase</w:t>
      </w:r>
      <w:r w:rsidR="00203922">
        <w:rPr>
          <w:rFonts w:ascii="Calibri" w:hAnsi="Calibri"/>
          <w:color w:val="000000"/>
        </w:rPr>
        <w:t xml:space="preserve">, </w:t>
      </w:r>
      <w:r w:rsidRPr="00230559">
        <w:rPr>
          <w:rFonts w:ascii="Calibri" w:hAnsi="Calibri"/>
          <w:color w:val="000000"/>
        </w:rPr>
        <w:t>the appointive assets subject to this general power</w:t>
      </w:r>
      <w:r>
        <w:rPr>
          <w:rFonts w:ascii="Calibri" w:hAnsi="Calibri"/>
          <w:color w:val="000000"/>
        </w:rPr>
        <w:t xml:space="preserve"> of appointment </w:t>
      </w:r>
      <w:r w:rsidRPr="00230559">
        <w:rPr>
          <w:rFonts w:ascii="Calibri" w:hAnsi="Calibri"/>
          <w:color w:val="000000"/>
        </w:rPr>
        <w:t xml:space="preserve">shall be further limited, and apply or not apply to each remaining asset of the trust </w:t>
      </w:r>
      <w:r>
        <w:rPr>
          <w:rFonts w:ascii="Calibri" w:hAnsi="Calibri"/>
          <w:color w:val="000000"/>
        </w:rPr>
        <w:t xml:space="preserve">not previously excluded as a potential appointive asset above </w:t>
      </w:r>
      <w:r w:rsidRPr="00230559">
        <w:rPr>
          <w:rFonts w:ascii="Calibri" w:hAnsi="Calibri"/>
          <w:color w:val="000000"/>
        </w:rPr>
        <w:t xml:space="preserve">in the following order.  </w:t>
      </w:r>
      <w:r w:rsidR="000249EB">
        <w:rPr>
          <w:rFonts w:ascii="Calibri" w:hAnsi="Calibri"/>
          <w:color w:val="000000"/>
        </w:rPr>
        <w:t>Whether my spouse actually appoints to a trust that would benefit from GST exclusion is completely irrelevant to determining whether a general power of appointment applies under this paragraph.</w:t>
      </w:r>
    </w:p>
    <w:p w14:paraId="69B046C9" w14:textId="77777777" w:rsidR="00AF3168" w:rsidRDefault="00AF3168" w:rsidP="00820CAC">
      <w:pPr>
        <w:tabs>
          <w:tab w:val="num" w:pos="300"/>
        </w:tabs>
        <w:autoSpaceDE w:val="0"/>
        <w:autoSpaceDN w:val="0"/>
        <w:adjustRightInd w:val="0"/>
        <w:spacing w:before="120" w:after="120"/>
        <w:ind w:left="300" w:hanging="300"/>
        <w:rPr>
          <w:rFonts w:ascii="Calibri" w:hAnsi="Calibri"/>
          <w:color w:val="000000"/>
        </w:rPr>
      </w:pPr>
      <w:r>
        <w:rPr>
          <w:rFonts w:ascii="Calibri" w:hAnsi="Calibri"/>
          <w:color w:val="000000"/>
        </w:rPr>
        <w:tab/>
        <w:t>INSERT AN ORDERING PARAGRAPH HERE, SEE SAMPLES IN PRIOR SAMPLE CLAUSE</w:t>
      </w:r>
    </w:p>
    <w:p w14:paraId="2A987BC4" w14:textId="77777777" w:rsidR="00AF3168" w:rsidRPr="00230559" w:rsidRDefault="00AF3168" w:rsidP="00AF3168">
      <w:pPr>
        <w:tabs>
          <w:tab w:val="num" w:pos="300"/>
        </w:tabs>
        <w:autoSpaceDE w:val="0"/>
        <w:autoSpaceDN w:val="0"/>
        <w:adjustRightInd w:val="0"/>
        <w:spacing w:before="120" w:after="120"/>
        <w:ind w:left="300" w:hanging="300"/>
        <w:rPr>
          <w:rFonts w:ascii="Calibri" w:hAnsi="Calibri"/>
          <w:color w:val="000000"/>
        </w:rPr>
      </w:pPr>
      <w:r>
        <w:rPr>
          <w:rFonts w:ascii="Calibri" w:hAnsi="Calibri"/>
          <w:color w:val="000000"/>
        </w:rPr>
        <w:tab/>
      </w:r>
      <w:r w:rsidRPr="00230559">
        <w:rPr>
          <w:rFonts w:ascii="Calibri" w:hAnsi="Calibri"/>
          <w:color w:val="000000"/>
        </w:rPr>
        <w:t>Onc</w:t>
      </w:r>
      <w:r>
        <w:rPr>
          <w:rFonts w:ascii="Calibri" w:hAnsi="Calibri"/>
          <w:color w:val="000000"/>
        </w:rPr>
        <w:t>e an asset’s (or group of asset</w:t>
      </w:r>
      <w:r w:rsidRPr="00230559">
        <w:rPr>
          <w:rFonts w:ascii="Calibri" w:hAnsi="Calibri"/>
          <w:color w:val="000000"/>
        </w:rPr>
        <w:t>s</w:t>
      </w:r>
      <w:r>
        <w:rPr>
          <w:rFonts w:ascii="Calibri" w:hAnsi="Calibri"/>
          <w:color w:val="000000"/>
        </w:rPr>
        <w:t>’</w:t>
      </w:r>
      <w:r w:rsidRPr="00230559">
        <w:rPr>
          <w:rFonts w:ascii="Calibri" w:hAnsi="Calibri"/>
          <w:color w:val="000000"/>
        </w:rPr>
        <w:t xml:space="preserve">) inclusion as appointive assets would otherwise cause an increase in my spouse’s </w:t>
      </w:r>
      <w:r>
        <w:rPr>
          <w:rFonts w:ascii="Calibri" w:hAnsi="Calibri"/>
          <w:color w:val="000000"/>
        </w:rPr>
        <w:t xml:space="preserve">federal or state </w:t>
      </w:r>
      <w:r w:rsidRPr="00230559">
        <w:rPr>
          <w:rFonts w:ascii="Calibri" w:hAnsi="Calibri"/>
          <w:color w:val="000000"/>
        </w:rPr>
        <w:t>estate tax liability</w:t>
      </w:r>
      <w:r>
        <w:rPr>
          <w:rFonts w:ascii="Calibri" w:hAnsi="Calibri"/>
          <w:color w:val="000000"/>
        </w:rPr>
        <w:t xml:space="preserve"> </w:t>
      </w:r>
      <w:r w:rsidRPr="001E300F">
        <w:rPr>
          <w:rFonts w:ascii="Calibri" w:hAnsi="Calibri"/>
          <w:color w:val="993300"/>
        </w:rPr>
        <w:t>[</w:t>
      </w:r>
      <w:r>
        <w:rPr>
          <w:rFonts w:ascii="Calibri" w:hAnsi="Calibri"/>
          <w:color w:val="993300"/>
        </w:rPr>
        <w:t>assuming</w:t>
      </w:r>
      <w:r w:rsidRPr="001E300F">
        <w:rPr>
          <w:rFonts w:ascii="Calibri" w:hAnsi="Calibri"/>
          <w:color w:val="993300"/>
        </w:rPr>
        <w:t xml:space="preserve"> the marital or charitable deduction were denied the estate]</w:t>
      </w:r>
      <w:r w:rsidRPr="00230559">
        <w:rPr>
          <w:rFonts w:ascii="Calibri" w:hAnsi="Calibri"/>
          <w:color w:val="000000"/>
        </w:rPr>
        <w:t>,</w:t>
      </w:r>
      <w:r>
        <w:rPr>
          <w:rFonts w:ascii="Calibri" w:hAnsi="Calibri"/>
          <w:color w:val="000000"/>
        </w:rPr>
        <w:t xml:space="preserve"> </w:t>
      </w:r>
      <w:r w:rsidRPr="00AF3168">
        <w:rPr>
          <w:rFonts w:ascii="Calibri" w:hAnsi="Calibri"/>
          <w:i/>
          <w:color w:val="000000"/>
        </w:rPr>
        <w:t>or go beyond my spouse’s available GST exemption</w:t>
      </w:r>
      <w:r>
        <w:rPr>
          <w:rFonts w:ascii="Calibri" w:hAnsi="Calibri"/>
          <w:color w:val="000000"/>
        </w:rPr>
        <w:t>,</w:t>
      </w:r>
      <w:r w:rsidRPr="00230559">
        <w:rPr>
          <w:rFonts w:ascii="Calibri" w:hAnsi="Calibri"/>
          <w:color w:val="000000"/>
        </w:rPr>
        <w:t xml:space="preserve"> the power to appoint them shall be limited to that </w:t>
      </w:r>
      <w:r>
        <w:rPr>
          <w:rFonts w:ascii="Calibri" w:hAnsi="Calibri"/>
          <w:color w:val="000000"/>
        </w:rPr>
        <w:t>fraction</w:t>
      </w:r>
      <w:r w:rsidRPr="00230559">
        <w:rPr>
          <w:rFonts w:ascii="Calibri" w:hAnsi="Calibri"/>
          <w:color w:val="000000"/>
        </w:rPr>
        <w:t xml:space="preserve"> or percentage that </w:t>
      </w:r>
      <w:r>
        <w:rPr>
          <w:rFonts w:ascii="Calibri" w:hAnsi="Calibri"/>
          <w:color w:val="000000"/>
        </w:rPr>
        <w:t>would</w:t>
      </w:r>
      <w:r w:rsidRPr="00230559">
        <w:rPr>
          <w:rFonts w:ascii="Calibri" w:hAnsi="Calibri"/>
          <w:color w:val="000000"/>
        </w:rPr>
        <w:t xml:space="preserve"> not cause any estate tax liability</w:t>
      </w:r>
      <w:r w:rsidR="00480986">
        <w:rPr>
          <w:rFonts w:ascii="Calibri" w:hAnsi="Calibri"/>
          <w:color w:val="000000"/>
        </w:rPr>
        <w:t xml:space="preserve"> </w:t>
      </w:r>
      <w:r w:rsidR="00480986" w:rsidRPr="00480986">
        <w:rPr>
          <w:rFonts w:ascii="Calibri" w:hAnsi="Calibri"/>
          <w:i/>
          <w:color w:val="000000"/>
        </w:rPr>
        <w:t>or go beyond any available GST exclusion</w:t>
      </w:r>
      <w:r>
        <w:rPr>
          <w:rFonts w:ascii="Calibri" w:hAnsi="Calibri"/>
          <w:color w:val="000000"/>
        </w:rPr>
        <w:t>.</w:t>
      </w:r>
      <w:r w:rsidRPr="00230559">
        <w:rPr>
          <w:rFonts w:ascii="Calibri" w:hAnsi="Calibri"/>
          <w:color w:val="000000"/>
        </w:rPr>
        <w:t xml:space="preserve"> Upon reaching this limit, all other assets are excluded from this general power </w:t>
      </w:r>
      <w:r>
        <w:rPr>
          <w:rFonts w:ascii="Calibri" w:hAnsi="Calibri"/>
          <w:color w:val="000000"/>
        </w:rPr>
        <w:t>of appointment</w:t>
      </w:r>
      <w:r w:rsidRPr="00230559">
        <w:rPr>
          <w:rFonts w:ascii="Calibri" w:hAnsi="Calibri"/>
          <w:color w:val="000000"/>
        </w:rPr>
        <w:t xml:space="preserve">. </w:t>
      </w:r>
    </w:p>
    <w:p w14:paraId="36D0D383" w14:textId="77777777" w:rsidR="00AF3168" w:rsidRDefault="00AF3168" w:rsidP="00820CAC">
      <w:pPr>
        <w:tabs>
          <w:tab w:val="num" w:pos="300"/>
        </w:tabs>
        <w:autoSpaceDE w:val="0"/>
        <w:autoSpaceDN w:val="0"/>
        <w:adjustRightInd w:val="0"/>
        <w:spacing w:before="120" w:after="120"/>
        <w:ind w:left="300" w:hanging="300"/>
        <w:rPr>
          <w:rFonts w:ascii="Calibri" w:hAnsi="Calibri"/>
          <w:color w:val="000000"/>
        </w:rPr>
      </w:pPr>
    </w:p>
    <w:p w14:paraId="044F231B" w14:textId="77777777" w:rsidR="00AF3168" w:rsidRPr="001819DD" w:rsidRDefault="007E74F0" w:rsidP="007E74F0">
      <w:pPr>
        <w:rPr>
          <w:rFonts w:ascii="Calibri" w:hAnsi="Calibri"/>
          <w:color w:val="984806"/>
        </w:rPr>
      </w:pPr>
      <w:r w:rsidRPr="001819DD">
        <w:rPr>
          <w:rFonts w:ascii="Calibri" w:hAnsi="Calibri"/>
          <w:i/>
          <w:color w:val="984806"/>
        </w:rPr>
        <w:t>Note – Often</w:t>
      </w:r>
      <w:r w:rsidRPr="001819DD">
        <w:rPr>
          <w:rFonts w:ascii="Calibri" w:hAnsi="Calibri"/>
          <w:color w:val="984806"/>
        </w:rPr>
        <w:t xml:space="preserve">, one would have the same or greater GST exclusion as estate/gift exclusion, but not always, especially with the new </w:t>
      </w:r>
      <w:r w:rsidR="00093251" w:rsidRPr="001819DD">
        <w:rPr>
          <w:rFonts w:ascii="Calibri" w:hAnsi="Calibri"/>
          <w:color w:val="984806"/>
        </w:rPr>
        <w:t>DSUE/</w:t>
      </w:r>
      <w:r w:rsidRPr="001819DD">
        <w:rPr>
          <w:rFonts w:ascii="Calibri" w:hAnsi="Calibri"/>
          <w:color w:val="984806"/>
        </w:rPr>
        <w:t xml:space="preserve">portability – also consider someone who used annual exclusion Crummey gifts and allocated GST exclusion.  Thus, </w:t>
      </w:r>
      <w:r w:rsidRPr="001819DD">
        <w:rPr>
          <w:rFonts w:ascii="Calibri" w:hAnsi="Calibri"/>
          <w:i/>
          <w:color w:val="984806"/>
        </w:rPr>
        <w:t xml:space="preserve">the above formula </w:t>
      </w:r>
      <w:r w:rsidR="00093251" w:rsidRPr="001819DD">
        <w:rPr>
          <w:rFonts w:ascii="Calibri" w:hAnsi="Calibri"/>
          <w:i/>
          <w:color w:val="984806"/>
        </w:rPr>
        <w:t>is</w:t>
      </w:r>
      <w:r w:rsidRPr="001819DD">
        <w:rPr>
          <w:rFonts w:ascii="Calibri" w:hAnsi="Calibri"/>
          <w:i/>
          <w:color w:val="984806"/>
        </w:rPr>
        <w:t xml:space="preserve"> adapted to apply to the extent of</w:t>
      </w:r>
      <w:r w:rsidRPr="001819DD">
        <w:rPr>
          <w:rFonts w:ascii="Calibri" w:hAnsi="Calibri"/>
          <w:color w:val="984806"/>
        </w:rPr>
        <w:t xml:space="preserve"> </w:t>
      </w:r>
      <w:r w:rsidRPr="001819DD">
        <w:rPr>
          <w:rFonts w:ascii="Calibri" w:hAnsi="Calibri"/>
          <w:i/>
          <w:color w:val="984806"/>
        </w:rPr>
        <w:t>available GST</w:t>
      </w:r>
      <w:r w:rsidRPr="001819DD">
        <w:rPr>
          <w:rFonts w:ascii="Calibri" w:hAnsi="Calibri"/>
          <w:color w:val="984806"/>
        </w:rPr>
        <w:t xml:space="preserve"> </w:t>
      </w:r>
      <w:r w:rsidRPr="001819DD">
        <w:rPr>
          <w:rFonts w:ascii="Calibri" w:hAnsi="Calibri"/>
          <w:i/>
          <w:color w:val="984806"/>
        </w:rPr>
        <w:t>exclusion</w:t>
      </w:r>
      <w:r w:rsidRPr="001819DD">
        <w:rPr>
          <w:rFonts w:ascii="Calibri" w:hAnsi="Calibri"/>
          <w:color w:val="984806"/>
        </w:rPr>
        <w:t xml:space="preserve"> rather than simply to the extent that any appointment does not cause </w:t>
      </w:r>
      <w:r w:rsidRPr="001819DD">
        <w:rPr>
          <w:rFonts w:ascii="Calibri" w:hAnsi="Calibri"/>
          <w:i/>
          <w:color w:val="984806"/>
        </w:rPr>
        <w:t>GST tax</w:t>
      </w:r>
      <w:r w:rsidRPr="001819DD">
        <w:rPr>
          <w:rFonts w:ascii="Calibri" w:hAnsi="Calibri"/>
          <w:color w:val="984806"/>
        </w:rPr>
        <w:t xml:space="preserve">.  I did not address this </w:t>
      </w:r>
      <w:r w:rsidR="00093251" w:rsidRPr="001819DD">
        <w:rPr>
          <w:rFonts w:ascii="Calibri" w:hAnsi="Calibri"/>
          <w:color w:val="984806"/>
        </w:rPr>
        <w:t xml:space="preserve">in the first version </w:t>
      </w:r>
      <w:r w:rsidRPr="001819DD">
        <w:rPr>
          <w:rFonts w:ascii="Calibri" w:hAnsi="Calibri"/>
          <w:color w:val="984806"/>
        </w:rPr>
        <w:t xml:space="preserve">because most couples and their children would want the second basis step up even if it caused portions of assets to go to a GST </w:t>
      </w:r>
      <w:r w:rsidRPr="001819DD">
        <w:rPr>
          <w:rFonts w:ascii="Calibri" w:hAnsi="Calibri"/>
          <w:i/>
          <w:color w:val="984806"/>
        </w:rPr>
        <w:t>non-exempt</w:t>
      </w:r>
      <w:r w:rsidRPr="001819DD">
        <w:rPr>
          <w:rFonts w:ascii="Calibri" w:hAnsi="Calibri"/>
          <w:color w:val="984806"/>
        </w:rPr>
        <w:t xml:space="preserve"> trust, but I could imagine scenarios where a client may prefer to preserve the maximum GST exemption more than garner a second step up in basis (e.g. child is wealthy themselves, terminally ill, etc).  For example, surviving spouse </w:t>
      </w:r>
      <w:r w:rsidRPr="001819DD">
        <w:rPr>
          <w:rFonts w:ascii="Calibri" w:hAnsi="Calibri"/>
          <w:color w:val="984806"/>
        </w:rPr>
        <w:lastRenderedPageBreak/>
        <w:t>has $6 million AEA (</w:t>
      </w:r>
      <w:r w:rsidR="00093251" w:rsidRPr="001819DD">
        <w:rPr>
          <w:rFonts w:ascii="Calibri" w:hAnsi="Calibri"/>
          <w:color w:val="984806"/>
        </w:rPr>
        <w:t>$5.25 Million BEA plus $0.75 million DSUE</w:t>
      </w:r>
      <w:r w:rsidRPr="001819DD">
        <w:rPr>
          <w:rFonts w:ascii="Calibri" w:hAnsi="Calibri"/>
          <w:color w:val="984806"/>
        </w:rPr>
        <w:t>) and $4.5 million GST exclusion (</w:t>
      </w:r>
      <w:r w:rsidR="00AF3168" w:rsidRPr="001819DD">
        <w:rPr>
          <w:rFonts w:ascii="Calibri" w:hAnsi="Calibri"/>
          <w:color w:val="984806"/>
        </w:rPr>
        <w:t xml:space="preserve">$5.25 million GST minus $0.75 million </w:t>
      </w:r>
      <w:r w:rsidRPr="001819DD">
        <w:rPr>
          <w:rFonts w:ascii="Calibri" w:hAnsi="Calibri"/>
          <w:color w:val="984806"/>
        </w:rPr>
        <w:t xml:space="preserve">due to GST allocations to Crummey trusts) and a $3 million </w:t>
      </w:r>
      <w:r w:rsidR="00AF3168" w:rsidRPr="001819DD">
        <w:rPr>
          <w:rFonts w:ascii="Calibri" w:hAnsi="Calibri"/>
          <w:color w:val="984806"/>
        </w:rPr>
        <w:t xml:space="preserve">net </w:t>
      </w:r>
      <w:r w:rsidRPr="001819DD">
        <w:rPr>
          <w:rFonts w:ascii="Calibri" w:hAnsi="Calibri"/>
          <w:color w:val="984806"/>
        </w:rPr>
        <w:t xml:space="preserve">estate – the formula above could be adapted to cap the GPOA at $1.5 million in lieu of $3 million, which would lose </w:t>
      </w:r>
      <w:r w:rsidR="00AF3168" w:rsidRPr="001819DD">
        <w:rPr>
          <w:rFonts w:ascii="Calibri" w:hAnsi="Calibri"/>
          <w:color w:val="984806"/>
        </w:rPr>
        <w:t xml:space="preserve">a </w:t>
      </w:r>
      <w:r w:rsidRPr="001819DD">
        <w:rPr>
          <w:rFonts w:ascii="Calibri" w:hAnsi="Calibri"/>
          <w:color w:val="984806"/>
        </w:rPr>
        <w:t xml:space="preserve">basis increase over $1.5 million, but allow $1.5 million in the bypass to continue to be GST exempt (if it is a dynasty trust).  </w:t>
      </w:r>
    </w:p>
    <w:p w14:paraId="6B028677" w14:textId="77777777" w:rsidR="00AF3168" w:rsidRPr="001819DD" w:rsidRDefault="00AF3168" w:rsidP="007E74F0">
      <w:pPr>
        <w:rPr>
          <w:rFonts w:ascii="Calibri" w:hAnsi="Calibri"/>
          <w:color w:val="984806"/>
        </w:rPr>
      </w:pPr>
    </w:p>
    <w:p w14:paraId="5AED8441" w14:textId="77777777" w:rsidR="005A1EB8" w:rsidRPr="001819DD" w:rsidRDefault="00AF3168" w:rsidP="005A1EB8">
      <w:pPr>
        <w:rPr>
          <w:rFonts w:ascii="Calibri" w:hAnsi="Calibri"/>
          <w:color w:val="984806"/>
        </w:rPr>
      </w:pPr>
      <w:r w:rsidRPr="001819DD">
        <w:rPr>
          <w:rFonts w:ascii="Calibri" w:hAnsi="Calibri"/>
          <w:color w:val="984806"/>
        </w:rPr>
        <w:t xml:space="preserve">Which is preferred?  </w:t>
      </w:r>
      <w:r w:rsidR="007E74F0" w:rsidRPr="001819DD">
        <w:rPr>
          <w:rFonts w:ascii="Calibri" w:hAnsi="Calibri"/>
          <w:color w:val="984806"/>
        </w:rPr>
        <w:t xml:space="preserve">If the children are only moderately wealthy, or wealthy and charitably inclined, </w:t>
      </w:r>
      <w:r w:rsidRPr="001819DD">
        <w:rPr>
          <w:rFonts w:ascii="Calibri" w:hAnsi="Calibri"/>
          <w:color w:val="984806"/>
        </w:rPr>
        <w:t xml:space="preserve">or spendthrifts, </w:t>
      </w:r>
      <w:r w:rsidR="007E74F0" w:rsidRPr="001819DD">
        <w:rPr>
          <w:rFonts w:ascii="Calibri" w:hAnsi="Calibri"/>
          <w:color w:val="984806"/>
        </w:rPr>
        <w:t>they would not get any benefit from the additional trust funds being exempt from their estate via GST exemption, or perhaps they can easily use Crummey/IGTs/GRATs etc to avoid tax</w:t>
      </w:r>
      <w:r w:rsidR="00480986" w:rsidRPr="001819DD">
        <w:rPr>
          <w:rFonts w:ascii="Calibri" w:hAnsi="Calibri"/>
          <w:color w:val="984806"/>
        </w:rPr>
        <w:t xml:space="preserve"> or simply spend down the GST non-exempt trust assets first, as is normally encouraged in trust drafting/administration</w:t>
      </w:r>
      <w:r w:rsidR="007E74F0" w:rsidRPr="001819DD">
        <w:rPr>
          <w:rFonts w:ascii="Calibri" w:hAnsi="Calibri"/>
          <w:color w:val="984806"/>
        </w:rPr>
        <w:t xml:space="preserve">.  If the child or children have taxable estates themselves and are not charitably inclined, the calculation is much more complicated – is saving 40% </w:t>
      </w:r>
      <w:r w:rsidRPr="001819DD">
        <w:rPr>
          <w:rFonts w:ascii="Calibri" w:hAnsi="Calibri"/>
          <w:color w:val="984806"/>
        </w:rPr>
        <w:t xml:space="preserve">in estate tax </w:t>
      </w:r>
      <w:r w:rsidR="007E74F0" w:rsidRPr="001819DD">
        <w:rPr>
          <w:rFonts w:ascii="Calibri" w:hAnsi="Calibri"/>
          <w:color w:val="984806"/>
        </w:rPr>
        <w:t>a generation from now better than saving 20-35%  income tax</w:t>
      </w:r>
      <w:r w:rsidRPr="001819DD">
        <w:rPr>
          <w:rFonts w:ascii="Calibri" w:hAnsi="Calibri"/>
          <w:color w:val="984806"/>
        </w:rPr>
        <w:t xml:space="preserve"> </w:t>
      </w:r>
      <w:r w:rsidRPr="00AF3168">
        <w:rPr>
          <w:rFonts w:ascii="Calibri" w:hAnsi="Calibri"/>
          <w:color w:val="984806"/>
        </w:rPr>
        <w:t>(depending on state and beneficiary’s rate)</w:t>
      </w:r>
      <w:r w:rsidR="007E74F0" w:rsidRPr="001819DD">
        <w:rPr>
          <w:rFonts w:ascii="Calibri" w:hAnsi="Calibri"/>
          <w:color w:val="984806"/>
        </w:rPr>
        <w:t xml:space="preserve"> on assets likely sold before death?  Again, the wealthier the children, the less charitably inclined and the more unhealthy they are, the better it would be to limit the GPOA to GST exclusion available.  The less the assets have special attributes (collectible, depreciable), the less likely to be sold and the less inherent gain, again, the better it would be to limit the GPOA to GST exclusion available.  My personal observation is that most clients (and their children) would rather save $5 during their life than $10 at their death.  </w:t>
      </w:r>
    </w:p>
    <w:p w14:paraId="64F7A9B9" w14:textId="77777777" w:rsidR="005A1EB8" w:rsidRPr="001819DD" w:rsidRDefault="005A1EB8" w:rsidP="005A1EB8">
      <w:pPr>
        <w:rPr>
          <w:rFonts w:ascii="Calibri" w:hAnsi="Calibri"/>
          <w:color w:val="984806"/>
        </w:rPr>
      </w:pPr>
    </w:p>
    <w:p w14:paraId="0C36FE91" w14:textId="77777777" w:rsidR="00480986" w:rsidRPr="001819DD" w:rsidRDefault="00810C0F" w:rsidP="007E74F0">
      <w:pPr>
        <w:rPr>
          <w:rFonts w:ascii="Calibri" w:hAnsi="Calibri"/>
          <w:color w:val="984806"/>
        </w:rPr>
      </w:pPr>
      <w:r w:rsidRPr="001819DD">
        <w:rPr>
          <w:rFonts w:ascii="Calibri" w:hAnsi="Calibri"/>
          <w:color w:val="984806"/>
        </w:rPr>
        <w:t xml:space="preserve">Don’t forget to consider some sort of expression of </w:t>
      </w:r>
      <w:r w:rsidRPr="00810C0F">
        <w:rPr>
          <w:rFonts w:ascii="Calibri" w:hAnsi="Calibri"/>
          <w:color w:val="984806"/>
        </w:rPr>
        <w:t>general settlor intent</w:t>
      </w:r>
      <w:r>
        <w:rPr>
          <w:rFonts w:ascii="Calibri" w:hAnsi="Calibri"/>
          <w:color w:val="984806"/>
        </w:rPr>
        <w:t xml:space="preserve"> along with a</w:t>
      </w:r>
      <w:r w:rsidRPr="00810C0F">
        <w:rPr>
          <w:rFonts w:ascii="Calibri" w:hAnsi="Calibri"/>
          <w:color w:val="984806"/>
        </w:rPr>
        <w:t xml:space="preserve"> </w:t>
      </w:r>
      <w:r w:rsidRPr="001819DD">
        <w:rPr>
          <w:rFonts w:ascii="Calibri" w:hAnsi="Calibri"/>
          <w:color w:val="984806"/>
        </w:rPr>
        <w:t xml:space="preserve">trust amendment mechanism to adapt to future changes in tax law (there are paragraphs in the first sample clause), or when attorneys more clever than you or I come up with better ways to draft such clauses. </w:t>
      </w:r>
    </w:p>
    <w:p w14:paraId="34D0CAC8" w14:textId="77777777" w:rsidR="00810C0F" w:rsidRPr="001819DD" w:rsidRDefault="00810C0F" w:rsidP="007E74F0">
      <w:pPr>
        <w:rPr>
          <w:rFonts w:ascii="Calibri" w:hAnsi="Calibri"/>
          <w:color w:val="984806"/>
        </w:rPr>
      </w:pPr>
    </w:p>
    <w:p w14:paraId="490026C8" w14:textId="77777777" w:rsidR="00810C0F" w:rsidRPr="001819DD" w:rsidRDefault="00810C0F" w:rsidP="007E74F0">
      <w:pPr>
        <w:rPr>
          <w:rFonts w:ascii="Calibri" w:hAnsi="Calibri"/>
          <w:color w:val="984806"/>
        </w:rPr>
      </w:pPr>
      <w:r w:rsidRPr="001819DD">
        <w:rPr>
          <w:rFonts w:ascii="Calibri" w:hAnsi="Calibri"/>
          <w:color w:val="984806"/>
        </w:rPr>
        <w:t xml:space="preserve">Note #2 </w:t>
      </w:r>
      <w:r w:rsidR="006D0783" w:rsidRPr="001819DD">
        <w:rPr>
          <w:rFonts w:ascii="Calibri" w:hAnsi="Calibri"/>
          <w:color w:val="984806"/>
        </w:rPr>
        <w:t>–</w:t>
      </w:r>
      <w:r w:rsidRPr="001819DD">
        <w:rPr>
          <w:rFonts w:ascii="Calibri" w:hAnsi="Calibri"/>
          <w:color w:val="984806"/>
        </w:rPr>
        <w:t xml:space="preserve"> </w:t>
      </w:r>
      <w:r w:rsidR="006D0783" w:rsidRPr="001819DD">
        <w:rPr>
          <w:rFonts w:ascii="Calibri" w:hAnsi="Calibri"/>
          <w:color w:val="984806"/>
        </w:rPr>
        <w:t xml:space="preserve">Because a powerholder can choose whether to appoint to a “skip person” or not, query whether you want to amend the GPOA so that appointive assets are limited to GST exclusion whether assets are or would be appointed to a skip person or not, </w:t>
      </w:r>
      <w:r w:rsidR="005A1EB8" w:rsidRPr="001819DD">
        <w:rPr>
          <w:rFonts w:ascii="Calibri" w:hAnsi="Calibri"/>
          <w:color w:val="984806"/>
        </w:rPr>
        <w:t xml:space="preserve">for the same reasons discussed </w:t>
      </w:r>
      <w:r w:rsidR="006D0783" w:rsidRPr="001819DD">
        <w:rPr>
          <w:rFonts w:ascii="Calibri" w:hAnsi="Calibri"/>
          <w:color w:val="984806"/>
        </w:rPr>
        <w:t xml:space="preserve">regarding </w:t>
      </w:r>
      <w:r w:rsidR="00427079" w:rsidRPr="001819DD">
        <w:rPr>
          <w:rFonts w:ascii="Calibri" w:hAnsi="Calibri"/>
          <w:color w:val="984806"/>
        </w:rPr>
        <w:t>clauses to ignore</w:t>
      </w:r>
      <w:r w:rsidR="005A1EB8" w:rsidRPr="001819DD">
        <w:rPr>
          <w:rFonts w:ascii="Calibri" w:hAnsi="Calibri"/>
          <w:color w:val="984806"/>
        </w:rPr>
        <w:t xml:space="preserve"> a powerholder’s </w:t>
      </w:r>
      <w:r w:rsidR="006D0783" w:rsidRPr="001819DD">
        <w:rPr>
          <w:rFonts w:ascii="Calibri" w:hAnsi="Calibri"/>
          <w:color w:val="984806"/>
        </w:rPr>
        <w:t>charitable/marital deduction (see pages 35-39 in main article).</w:t>
      </w:r>
      <w:r w:rsidR="005A1EB8" w:rsidRPr="001819DD">
        <w:rPr>
          <w:rFonts w:ascii="Calibri" w:hAnsi="Calibri"/>
          <w:color w:val="984806"/>
        </w:rPr>
        <w:t xml:space="preserve">  For smaller estates, nothing would be lost, but for larger estates where the spouse has additional AEA due to DSUE, it could matter.</w:t>
      </w:r>
    </w:p>
    <w:p w14:paraId="25DCB57A" w14:textId="77777777" w:rsidR="00810C0F" w:rsidRDefault="00810C0F" w:rsidP="008E5C54">
      <w:pPr>
        <w:tabs>
          <w:tab w:val="left" w:pos="100"/>
        </w:tabs>
        <w:autoSpaceDE w:val="0"/>
        <w:autoSpaceDN w:val="0"/>
        <w:adjustRightInd w:val="0"/>
        <w:spacing w:before="120" w:after="120"/>
        <w:jc w:val="center"/>
        <w:rPr>
          <w:rFonts w:ascii="Calibri" w:hAnsi="Calibri"/>
          <w:b/>
          <w:color w:val="000000"/>
        </w:rPr>
      </w:pPr>
    </w:p>
    <w:p w14:paraId="5CB1AB5F" w14:textId="43DD3DE2" w:rsidR="00B664FE" w:rsidRPr="00B664FE" w:rsidRDefault="00820CAC" w:rsidP="00B664FE">
      <w:pPr>
        <w:rPr>
          <w:rFonts w:asciiTheme="minorHAnsi" w:eastAsiaTheme="minorHAnsi" w:hAnsiTheme="minorHAnsi" w:cstheme="minorBidi"/>
          <w:b/>
          <w:bCs/>
          <w:sz w:val="22"/>
          <w:szCs w:val="22"/>
        </w:rPr>
      </w:pPr>
      <w:r w:rsidRPr="00A7015B">
        <w:rPr>
          <w:rFonts w:ascii="Calibri" w:hAnsi="Calibri"/>
          <w:b/>
          <w:color w:val="000000"/>
        </w:rPr>
        <w:br w:type="page"/>
      </w:r>
      <w:r w:rsidR="00B664FE" w:rsidRPr="00B664FE">
        <w:rPr>
          <w:rFonts w:asciiTheme="minorHAnsi" w:eastAsiaTheme="minorHAnsi" w:hAnsiTheme="minorHAnsi" w:cstheme="minorBidi"/>
          <w:b/>
          <w:bCs/>
          <w:sz w:val="22"/>
          <w:szCs w:val="22"/>
        </w:rPr>
        <w:lastRenderedPageBreak/>
        <w:t>[</w:t>
      </w:r>
      <w:r w:rsidR="004F4258">
        <w:rPr>
          <w:rFonts w:asciiTheme="minorHAnsi" w:eastAsiaTheme="minorHAnsi" w:hAnsiTheme="minorHAnsi" w:cstheme="minorBidi"/>
          <w:b/>
          <w:bCs/>
          <w:sz w:val="22"/>
          <w:szCs w:val="22"/>
        </w:rPr>
        <w:t xml:space="preserve">two </w:t>
      </w:r>
      <w:r w:rsidR="00B664FE" w:rsidRPr="00B664FE">
        <w:rPr>
          <w:rFonts w:asciiTheme="minorHAnsi" w:eastAsiaTheme="minorHAnsi" w:hAnsiTheme="minorHAnsi" w:cstheme="minorBidi"/>
          <w:b/>
          <w:bCs/>
          <w:sz w:val="22"/>
          <w:szCs w:val="22"/>
        </w:rPr>
        <w:t xml:space="preserve">formula GPOA </w:t>
      </w:r>
      <w:r w:rsidR="004D087F">
        <w:rPr>
          <w:rFonts w:asciiTheme="minorHAnsi" w:eastAsiaTheme="minorHAnsi" w:hAnsiTheme="minorHAnsi" w:cstheme="minorBidi"/>
          <w:b/>
          <w:bCs/>
          <w:sz w:val="22"/>
          <w:szCs w:val="22"/>
        </w:rPr>
        <w:t xml:space="preserve">clauses </w:t>
      </w:r>
      <w:r w:rsidR="00B664FE" w:rsidRPr="00B664FE">
        <w:rPr>
          <w:rFonts w:asciiTheme="minorHAnsi" w:eastAsiaTheme="minorHAnsi" w:hAnsiTheme="minorHAnsi" w:cstheme="minorBidi"/>
          <w:b/>
          <w:bCs/>
          <w:sz w:val="22"/>
          <w:szCs w:val="22"/>
        </w:rPr>
        <w:t>designed to minimize GST tax,</w:t>
      </w:r>
      <w:r w:rsidR="008216AB">
        <w:rPr>
          <w:rFonts w:asciiTheme="minorHAnsi" w:eastAsiaTheme="minorHAnsi" w:hAnsiTheme="minorHAnsi" w:cstheme="minorBidi"/>
          <w:b/>
          <w:bCs/>
          <w:sz w:val="22"/>
          <w:szCs w:val="22"/>
        </w:rPr>
        <w:t xml:space="preserve"> first </w:t>
      </w:r>
      <w:r w:rsidR="004D087F">
        <w:rPr>
          <w:rFonts w:asciiTheme="minorHAnsi" w:eastAsiaTheme="minorHAnsi" w:hAnsiTheme="minorHAnsi" w:cstheme="minorBidi"/>
          <w:b/>
          <w:bCs/>
          <w:sz w:val="22"/>
          <w:szCs w:val="22"/>
        </w:rPr>
        <w:t xml:space="preserve">is </w:t>
      </w:r>
      <w:r w:rsidR="008216AB">
        <w:rPr>
          <w:rFonts w:asciiTheme="minorHAnsi" w:eastAsiaTheme="minorHAnsi" w:hAnsiTheme="minorHAnsi" w:cstheme="minorBidi"/>
          <w:b/>
          <w:bCs/>
          <w:sz w:val="22"/>
          <w:szCs w:val="22"/>
        </w:rPr>
        <w:t>a simpler</w:t>
      </w:r>
      <w:r w:rsidR="00B664FE" w:rsidRPr="00B664FE">
        <w:rPr>
          <w:rFonts w:asciiTheme="minorHAnsi" w:eastAsiaTheme="minorHAnsi" w:hAnsiTheme="minorHAnsi" w:cstheme="minorBidi"/>
          <w:b/>
          <w:bCs/>
          <w:sz w:val="22"/>
          <w:szCs w:val="22"/>
        </w:rPr>
        <w:t xml:space="preserve"> safe</w:t>
      </w:r>
      <w:r w:rsidR="008216AB">
        <w:rPr>
          <w:rFonts w:asciiTheme="minorHAnsi" w:eastAsiaTheme="minorHAnsi" w:hAnsiTheme="minorHAnsi" w:cstheme="minorBidi"/>
          <w:b/>
          <w:bCs/>
          <w:sz w:val="22"/>
          <w:szCs w:val="22"/>
        </w:rPr>
        <w:t>r</w:t>
      </w:r>
      <w:r w:rsidR="00B664FE" w:rsidRPr="00B664FE">
        <w:rPr>
          <w:rFonts w:asciiTheme="minorHAnsi" w:eastAsiaTheme="minorHAnsi" w:hAnsiTheme="minorHAnsi" w:cstheme="minorBidi"/>
          <w:b/>
          <w:bCs/>
          <w:sz w:val="22"/>
          <w:szCs w:val="22"/>
        </w:rPr>
        <w:t xml:space="preserve"> version</w:t>
      </w:r>
      <w:r w:rsidR="004D087F">
        <w:rPr>
          <w:rFonts w:asciiTheme="minorHAnsi" w:eastAsiaTheme="minorHAnsi" w:hAnsiTheme="minorHAnsi" w:cstheme="minorBidi"/>
          <w:b/>
          <w:bCs/>
          <w:sz w:val="22"/>
          <w:szCs w:val="22"/>
        </w:rPr>
        <w:t>, second is</w:t>
      </w:r>
      <w:r w:rsidR="00B664FE" w:rsidRPr="00B664FE">
        <w:rPr>
          <w:rFonts w:asciiTheme="minorHAnsi" w:eastAsiaTheme="minorHAnsi" w:hAnsiTheme="minorHAnsi" w:cstheme="minorBidi"/>
          <w:b/>
          <w:bCs/>
          <w:sz w:val="22"/>
          <w:szCs w:val="22"/>
        </w:rPr>
        <w:t xml:space="preserve"> </w:t>
      </w:r>
      <w:r w:rsidR="008216AB">
        <w:rPr>
          <w:rFonts w:asciiTheme="minorHAnsi" w:eastAsiaTheme="minorHAnsi" w:hAnsiTheme="minorHAnsi" w:cstheme="minorBidi"/>
          <w:b/>
          <w:bCs/>
          <w:sz w:val="22"/>
          <w:szCs w:val="22"/>
        </w:rPr>
        <w:t xml:space="preserve">a </w:t>
      </w:r>
      <w:r w:rsidR="00B664FE" w:rsidRPr="00B664FE">
        <w:rPr>
          <w:rFonts w:asciiTheme="minorHAnsi" w:eastAsiaTheme="minorHAnsi" w:hAnsiTheme="minorHAnsi" w:cstheme="minorBidi"/>
          <w:b/>
          <w:bCs/>
          <w:sz w:val="22"/>
          <w:szCs w:val="22"/>
        </w:rPr>
        <w:t>more complex version</w:t>
      </w:r>
      <w:r w:rsidR="008216AB">
        <w:rPr>
          <w:rFonts w:asciiTheme="minorHAnsi" w:eastAsiaTheme="minorHAnsi" w:hAnsiTheme="minorHAnsi" w:cstheme="minorBidi"/>
          <w:b/>
          <w:bCs/>
          <w:sz w:val="22"/>
          <w:szCs w:val="22"/>
        </w:rPr>
        <w:t xml:space="preserve"> that might be more </w:t>
      </w:r>
      <w:r w:rsidR="004D087F">
        <w:rPr>
          <w:rFonts w:asciiTheme="minorHAnsi" w:eastAsiaTheme="minorHAnsi" w:hAnsiTheme="minorHAnsi" w:cstheme="minorBidi"/>
          <w:b/>
          <w:bCs/>
          <w:sz w:val="22"/>
          <w:szCs w:val="22"/>
        </w:rPr>
        <w:t xml:space="preserve">tax </w:t>
      </w:r>
      <w:r w:rsidR="008216AB">
        <w:rPr>
          <w:rFonts w:asciiTheme="minorHAnsi" w:eastAsiaTheme="minorHAnsi" w:hAnsiTheme="minorHAnsi" w:cstheme="minorBidi"/>
          <w:b/>
          <w:bCs/>
          <w:sz w:val="22"/>
          <w:szCs w:val="22"/>
        </w:rPr>
        <w:t>efficient</w:t>
      </w:r>
      <w:r w:rsidR="00B664FE" w:rsidRPr="00B664FE">
        <w:rPr>
          <w:rFonts w:asciiTheme="minorHAnsi" w:eastAsiaTheme="minorHAnsi" w:hAnsiTheme="minorHAnsi" w:cstheme="minorBidi"/>
          <w:b/>
          <w:bCs/>
          <w:sz w:val="22"/>
          <w:szCs w:val="22"/>
        </w:rPr>
        <w:t>]</w:t>
      </w:r>
    </w:p>
    <w:p w14:paraId="27085306" w14:textId="77777777" w:rsidR="00B664FE" w:rsidRPr="00B664FE" w:rsidRDefault="00B664FE" w:rsidP="00B664FE">
      <w:pPr>
        <w:rPr>
          <w:rFonts w:asciiTheme="minorHAnsi" w:eastAsiaTheme="minorHAnsi" w:hAnsiTheme="minorHAnsi" w:cstheme="minorBidi"/>
          <w:b/>
          <w:bCs/>
          <w:sz w:val="22"/>
          <w:szCs w:val="22"/>
        </w:rPr>
      </w:pPr>
    </w:p>
    <w:p w14:paraId="0565DC28" w14:textId="77777777" w:rsidR="00B664FE" w:rsidRPr="00B664FE" w:rsidRDefault="00B664FE" w:rsidP="00B664FE">
      <w:pPr>
        <w:spacing w:line="276" w:lineRule="auto"/>
        <w:rPr>
          <w:rFonts w:eastAsiaTheme="minorHAnsi"/>
        </w:rPr>
      </w:pPr>
      <w:r w:rsidRPr="00B664FE">
        <w:rPr>
          <w:rFonts w:asciiTheme="minorHAnsi" w:eastAsiaTheme="minorHAnsi" w:hAnsiTheme="minorHAnsi" w:cstheme="minorBidi"/>
          <w:sz w:val="22"/>
          <w:szCs w:val="22"/>
        </w:rPr>
        <w:t>1.</w:t>
      </w:r>
      <w:r w:rsidRPr="00B664FE">
        <w:rPr>
          <w:rFonts w:asciiTheme="minorHAnsi" w:eastAsiaTheme="minorHAnsi" w:hAnsiTheme="minorHAnsi" w:cstheme="minorBidi"/>
          <w:sz w:val="22"/>
          <w:szCs w:val="22"/>
        </w:rPr>
        <w:tab/>
      </w:r>
      <w:r w:rsidRPr="00B664FE">
        <w:rPr>
          <w:rFonts w:asciiTheme="minorHAnsi" w:eastAsiaTheme="minorHAnsi" w:hAnsiTheme="minorHAnsi" w:cstheme="minorBidi"/>
          <w:b/>
          <w:bCs/>
          <w:sz w:val="22"/>
          <w:szCs w:val="22"/>
        </w:rPr>
        <w:t>Testamentary Power of Appointment</w:t>
      </w:r>
      <w:r w:rsidRPr="00B664FE">
        <w:rPr>
          <w:rFonts w:asciiTheme="minorHAnsi" w:eastAsiaTheme="minorHAnsi" w:hAnsiTheme="minorHAnsi" w:cstheme="minorBidi"/>
          <w:sz w:val="22"/>
          <w:szCs w:val="22"/>
        </w:rPr>
        <w:t>.  Upon the death of [the Primary Beneficiary or however this person is defined in the trust], the trustee shall distribute the remaining assets as the beneficiary appoints between the following two classes of potential appointees, described as follows:</w:t>
      </w:r>
    </w:p>
    <w:p w14:paraId="2FBBAF3E" w14:textId="77777777" w:rsidR="00B664FE" w:rsidRPr="00B664FE" w:rsidRDefault="00B664FE" w:rsidP="00B664FE">
      <w:pPr>
        <w:ind w:left="720" w:firstLine="720"/>
        <w:rPr>
          <w:rFonts w:eastAsiaTheme="minorHAnsi"/>
        </w:rPr>
      </w:pPr>
      <w:r w:rsidRPr="00B664FE">
        <w:rPr>
          <w:rFonts w:asciiTheme="minorHAnsi" w:eastAsiaTheme="minorHAnsi" w:hAnsiTheme="minorHAnsi" w:cstheme="minorBidi"/>
          <w:sz w:val="22"/>
          <w:szCs w:val="22"/>
        </w:rPr>
        <w:t>(a)        General Power: The powerholder may appoint to all persons, including the [powerholder’s estate or] creditors of the powerholder’s estate, with respect to that portion of the trust assets that would be subject to generation skipping transfer (GST) tax under Chapter 13 of the Code (IRC Section 2601 et seq), but for the general power granted under this subsection (a) and without regard to any exercise of the limited power described in subsection (b).</w:t>
      </w:r>
    </w:p>
    <w:p w14:paraId="4E3EA6A7" w14:textId="77777777" w:rsidR="00B664FE" w:rsidRPr="00B664FE" w:rsidRDefault="00B664FE" w:rsidP="00B664FE">
      <w:pPr>
        <w:ind w:left="720" w:firstLine="720"/>
        <w:rPr>
          <w:rFonts w:asciiTheme="minorHAnsi" w:eastAsiaTheme="minorHAnsi" w:hAnsiTheme="minorHAnsi" w:cstheme="minorBidi"/>
          <w:sz w:val="22"/>
          <w:szCs w:val="22"/>
        </w:rPr>
      </w:pPr>
      <w:r w:rsidRPr="00B664FE">
        <w:rPr>
          <w:rFonts w:asciiTheme="minorHAnsi" w:eastAsiaTheme="minorHAnsi" w:hAnsiTheme="minorHAnsi" w:cstheme="minorBidi"/>
          <w:sz w:val="22"/>
          <w:szCs w:val="22"/>
        </w:rPr>
        <w:t>(b)       Limited Power: To the extent the general power in subsection (a) does not apply, then the powerholder may appoint to all persons, specifically excluding, however, the beneficiary, the beneficiary’s estate, the beneficiary’s creditors, and the creditors of the beneficiary’s estate.</w:t>
      </w:r>
    </w:p>
    <w:p w14:paraId="548C394C" w14:textId="77777777" w:rsidR="00B664FE" w:rsidRPr="00B664FE" w:rsidRDefault="00B664FE" w:rsidP="00B664FE">
      <w:pPr>
        <w:rPr>
          <w:rFonts w:asciiTheme="minorHAnsi" w:eastAsiaTheme="minorHAnsi" w:hAnsiTheme="minorHAnsi" w:cstheme="minorBidi"/>
          <w:sz w:val="22"/>
          <w:szCs w:val="22"/>
        </w:rPr>
      </w:pPr>
    </w:p>
    <w:p w14:paraId="227EF047" w14:textId="77777777" w:rsidR="00B664FE" w:rsidRPr="00B664FE" w:rsidRDefault="00B664FE" w:rsidP="00B664FE">
      <w:pPr>
        <w:rPr>
          <w:rFonts w:asciiTheme="minorHAnsi" w:eastAsiaTheme="minorHAnsi" w:hAnsiTheme="minorHAnsi" w:cstheme="minorBidi"/>
          <w:color w:val="984806" w:themeColor="accent6" w:themeShade="80"/>
          <w:sz w:val="22"/>
          <w:szCs w:val="22"/>
        </w:rPr>
      </w:pPr>
      <w:r w:rsidRPr="00B664FE">
        <w:rPr>
          <w:rFonts w:asciiTheme="minorHAnsi" w:eastAsiaTheme="minorHAnsi" w:hAnsiTheme="minorHAnsi" w:cstheme="minorBidi"/>
          <w:color w:val="984806" w:themeColor="accent6" w:themeShade="80"/>
          <w:sz w:val="22"/>
          <w:szCs w:val="22"/>
        </w:rPr>
        <w:t xml:space="preserve">[note: of course, in some situations the settlor may want to curb the general or limited power even further, or not grant a limited power at all.  This power is considered more conservative, because it does not in any way rely on the available applicable exclusion amount or value of the </w:t>
      </w:r>
      <w:r w:rsidRPr="00B664FE">
        <w:rPr>
          <w:rFonts w:asciiTheme="minorHAnsi" w:eastAsiaTheme="minorHAnsi" w:hAnsiTheme="minorHAnsi" w:cstheme="minorBidi"/>
          <w:i/>
          <w:iCs/>
          <w:color w:val="984806" w:themeColor="accent6" w:themeShade="80"/>
          <w:sz w:val="22"/>
          <w:szCs w:val="22"/>
        </w:rPr>
        <w:t>powerholder’s</w:t>
      </w:r>
      <w:r w:rsidRPr="00B664FE">
        <w:rPr>
          <w:rFonts w:asciiTheme="minorHAnsi" w:eastAsiaTheme="minorHAnsi" w:hAnsiTheme="minorHAnsi" w:cstheme="minorBidi"/>
          <w:color w:val="984806" w:themeColor="accent6" w:themeShade="80"/>
          <w:sz w:val="22"/>
          <w:szCs w:val="22"/>
        </w:rPr>
        <w:t xml:space="preserve"> estate.  This is somewhat similar, in fact, to dividing a trust between GST exempt and GST non-Exempt trusts and granting a limited power in the former and general power in the latter.  Even if one does this, however, a formula general power like the above can help in situations where the trust is not divided, or the GST tax is repealed, or other situations.  As with all the other clauses noted herein, an independent trustee or trust protector power to amend might come in handy to adapt to future tax law changes.</w:t>
      </w:r>
    </w:p>
    <w:p w14:paraId="7AD49B32" w14:textId="77777777" w:rsidR="00B664FE" w:rsidRPr="00B664FE" w:rsidRDefault="00B664FE" w:rsidP="00B664FE">
      <w:pPr>
        <w:rPr>
          <w:rFonts w:asciiTheme="minorHAnsi" w:eastAsiaTheme="minorHAnsi" w:hAnsiTheme="minorHAnsi" w:cstheme="minorBidi"/>
          <w:color w:val="984806" w:themeColor="accent6" w:themeShade="80"/>
          <w:sz w:val="22"/>
          <w:szCs w:val="22"/>
        </w:rPr>
      </w:pPr>
      <w:r w:rsidRPr="00B664FE">
        <w:rPr>
          <w:rFonts w:asciiTheme="minorHAnsi" w:eastAsiaTheme="minorHAnsi" w:hAnsiTheme="minorHAnsi" w:cstheme="minorBidi"/>
          <w:color w:val="984806" w:themeColor="accent6" w:themeShade="80"/>
          <w:sz w:val="22"/>
          <w:szCs w:val="22"/>
        </w:rPr>
        <w:t xml:space="preserve">As discussed previously, the ability to appoint to “creditors” should be deemed to be a general power regardless of one’s debts, but there are some that prefer a more conservative approach noted in brackets above that also enables appointment to one’s estate.  Some may wish to clarify that </w:t>
      </w:r>
      <w:r w:rsidRPr="00B664FE">
        <w:rPr>
          <w:rFonts w:asciiTheme="minorHAnsi" w:eastAsiaTheme="minorHAnsi" w:hAnsiTheme="minorHAnsi" w:cstheme="minorBidi"/>
          <w:i/>
          <w:iCs/>
          <w:color w:val="984806" w:themeColor="accent6" w:themeShade="80"/>
          <w:sz w:val="22"/>
          <w:szCs w:val="22"/>
        </w:rPr>
        <w:t>persons</w:t>
      </w:r>
      <w:r w:rsidRPr="00B664FE">
        <w:rPr>
          <w:rFonts w:asciiTheme="minorHAnsi" w:eastAsiaTheme="minorHAnsi" w:hAnsiTheme="minorHAnsi" w:cstheme="minorBidi"/>
          <w:color w:val="984806" w:themeColor="accent6" w:themeShade="80"/>
          <w:sz w:val="22"/>
          <w:szCs w:val="22"/>
        </w:rPr>
        <w:t xml:space="preserve"> includes trusts therefore if the term is not defined elsewhere in the document, but under common law the default is that appointments may be made in further trust.  As discussed in the white paper, sometimes people will include a savings clause to prevent the exercise of a limited power that would inadvertently trigger the Delaware Tax Trap (IRC 2041(a)(3), but see the paper for suggestions to modify such clauses to prevent them from being overbroad.  This paragraph does not define whether the power is exercised via Will or whether a living trust or other document is sufficient.]</w:t>
      </w:r>
    </w:p>
    <w:p w14:paraId="4952D156" w14:textId="77777777" w:rsidR="00B664FE" w:rsidRPr="00B664FE" w:rsidRDefault="00B664FE" w:rsidP="00B664FE">
      <w:pPr>
        <w:rPr>
          <w:rFonts w:asciiTheme="minorHAnsi" w:eastAsiaTheme="minorHAnsi" w:hAnsiTheme="minorHAnsi" w:cstheme="minorBidi"/>
          <w:b/>
          <w:bCs/>
          <w:sz w:val="22"/>
          <w:szCs w:val="22"/>
        </w:rPr>
      </w:pPr>
    </w:p>
    <w:p w14:paraId="0935B9F8" w14:textId="77777777" w:rsidR="00B664FE" w:rsidRPr="00B664FE" w:rsidRDefault="00B664FE" w:rsidP="00B664FE">
      <w:pPr>
        <w:rPr>
          <w:rFonts w:asciiTheme="minorHAnsi" w:eastAsiaTheme="minorHAnsi" w:hAnsiTheme="minorHAnsi" w:cstheme="minorBidi"/>
          <w:sz w:val="22"/>
          <w:szCs w:val="22"/>
        </w:rPr>
      </w:pPr>
      <w:r w:rsidRPr="00B664FE">
        <w:rPr>
          <w:rFonts w:asciiTheme="minorHAnsi" w:eastAsiaTheme="minorHAnsi" w:hAnsiTheme="minorHAnsi" w:cstheme="minorBidi"/>
          <w:b/>
          <w:bCs/>
          <w:sz w:val="22"/>
          <w:szCs w:val="22"/>
        </w:rPr>
        <w:t xml:space="preserve">2. </w:t>
      </w:r>
      <w:r w:rsidRPr="00B664FE">
        <w:rPr>
          <w:rFonts w:asciiTheme="minorHAnsi" w:eastAsiaTheme="minorHAnsi" w:hAnsiTheme="minorHAnsi" w:cstheme="minorBidi"/>
          <w:b/>
          <w:bCs/>
          <w:sz w:val="22"/>
          <w:szCs w:val="22"/>
        </w:rPr>
        <w:tab/>
        <w:t>Testamentary General Power of Appointment</w:t>
      </w:r>
      <w:r w:rsidRPr="00B664FE">
        <w:rPr>
          <w:rFonts w:asciiTheme="minorHAnsi" w:eastAsiaTheme="minorHAnsi" w:hAnsiTheme="minorHAnsi" w:cstheme="minorBidi"/>
          <w:sz w:val="22"/>
          <w:szCs w:val="22"/>
        </w:rPr>
        <w:t xml:space="preserve">. If upon the death of a Power Holder, all or any part of the assets of the Power Holder's subtrust would, but for the grant of a testamentary general power of appointment to the Power Holder under this paragraph, pass in a manner that would cause such property to be subject to the federal generation skipping transfer ("GST") tax under Chapter 13 of the Code (IRC Section 2601 et seq) , then the Power Holder shall have the power by his or her last will and testament, making express reference to this power, to appoint outright or in trust to whomever or whatever entities the Power Holder chooses (including the Power Holder's estate, the Power Holder's creditors or the creditors of the Power Holder's estate) an amount of property (the "Power Holder's GPA amount'') determined as follows. </w:t>
      </w:r>
    </w:p>
    <w:p w14:paraId="6D2C1DE2" w14:textId="77777777" w:rsidR="00B664FE" w:rsidRPr="00B664FE" w:rsidRDefault="00B664FE" w:rsidP="00B664FE">
      <w:pPr>
        <w:rPr>
          <w:rFonts w:asciiTheme="minorHAnsi" w:eastAsiaTheme="minorHAnsi" w:hAnsiTheme="minorHAnsi" w:cstheme="minorBidi"/>
          <w:sz w:val="22"/>
          <w:szCs w:val="22"/>
        </w:rPr>
      </w:pPr>
      <w:r w:rsidRPr="00B664FE">
        <w:rPr>
          <w:rFonts w:asciiTheme="minorHAnsi" w:eastAsiaTheme="minorHAnsi" w:hAnsiTheme="minorHAnsi" w:cstheme="minorBidi"/>
          <w:sz w:val="22"/>
          <w:szCs w:val="22"/>
        </w:rPr>
        <w:t xml:space="preserve">The Power Holder's GPA amount shall be that amount of property in the Power Holder's subtrust, if any, that, when included in the Power Holder's gross estate by virtue of this power, will result in the </w:t>
      </w:r>
      <w:r w:rsidRPr="00B664FE">
        <w:rPr>
          <w:rFonts w:asciiTheme="minorHAnsi" w:eastAsiaTheme="minorHAnsi" w:hAnsiTheme="minorHAnsi" w:cstheme="minorBidi"/>
          <w:sz w:val="22"/>
          <w:szCs w:val="22"/>
        </w:rPr>
        <w:lastRenderedPageBreak/>
        <w:t>maximum reduction in the sum of the federal and state GST, estate, legacy, succession, inheritance and similar taxes imposed by reason of such Power Holder's death with respect to the property in the Power Holder's subtrust, when compared to the sum of such taxes that would be imposed by reason of the Power Holder's death with respect to the property in the Power Holder's subtrust if no testamentary general power of appointment were conferred on the Power Holder under this Section.  Should the law hereinafter be amended so that death is also an income tax realization event, then the potential income tax ramifications of granting or not granting such a power shall also be considered.</w:t>
      </w:r>
    </w:p>
    <w:p w14:paraId="5083492F" w14:textId="77777777" w:rsidR="00B664FE" w:rsidRPr="00B664FE" w:rsidRDefault="00B664FE" w:rsidP="00B664FE">
      <w:pPr>
        <w:rPr>
          <w:rFonts w:asciiTheme="minorHAnsi" w:eastAsiaTheme="minorHAnsi" w:hAnsiTheme="minorHAnsi" w:cstheme="minorBidi"/>
          <w:sz w:val="22"/>
          <w:szCs w:val="22"/>
        </w:rPr>
      </w:pPr>
      <w:r w:rsidRPr="00B664FE">
        <w:rPr>
          <w:rFonts w:asciiTheme="minorHAnsi" w:eastAsiaTheme="minorHAnsi" w:hAnsiTheme="minorHAnsi" w:cstheme="minorBidi"/>
          <w:sz w:val="22"/>
          <w:szCs w:val="22"/>
        </w:rPr>
        <w:t>To the extent that the trustee is delayed in determining the ultimate appointees under this power, the trustee and any potential appointees or takers in default may enter into an indemnification or administration agreement regarding the ramifications of any later change in the appointed amount.</w:t>
      </w:r>
    </w:p>
    <w:p w14:paraId="579B6112" w14:textId="77777777" w:rsidR="00B664FE" w:rsidRPr="00B664FE" w:rsidRDefault="00B664FE" w:rsidP="00B664FE">
      <w:pPr>
        <w:rPr>
          <w:rFonts w:asciiTheme="minorHAnsi" w:eastAsiaTheme="minorHAnsi" w:hAnsiTheme="minorHAnsi" w:cstheme="minorBidi"/>
          <w:sz w:val="22"/>
          <w:szCs w:val="22"/>
        </w:rPr>
      </w:pPr>
    </w:p>
    <w:p w14:paraId="7EE7D6F0" w14:textId="77777777" w:rsidR="00B664FE" w:rsidRPr="00B664FE" w:rsidRDefault="00B664FE" w:rsidP="00B664FE">
      <w:pPr>
        <w:rPr>
          <w:rFonts w:asciiTheme="minorHAnsi" w:eastAsiaTheme="minorHAnsi" w:hAnsiTheme="minorHAnsi" w:cstheme="minorBidi"/>
          <w:color w:val="984806" w:themeColor="accent6" w:themeShade="80"/>
          <w:sz w:val="22"/>
          <w:szCs w:val="22"/>
        </w:rPr>
      </w:pPr>
      <w:r w:rsidRPr="00B664FE">
        <w:rPr>
          <w:rFonts w:asciiTheme="minorHAnsi" w:eastAsiaTheme="minorHAnsi" w:hAnsiTheme="minorHAnsi" w:cstheme="minorBidi"/>
          <w:color w:val="984806" w:themeColor="accent6" w:themeShade="80"/>
          <w:sz w:val="22"/>
          <w:szCs w:val="22"/>
        </w:rPr>
        <w:t xml:space="preserve">[note: unlike the first version, this one does not contain a limited power over all assets not subject to the general power, but that would usually be preferred.  </w:t>
      </w:r>
    </w:p>
    <w:p w14:paraId="1F2DA881" w14:textId="77777777" w:rsidR="00B664FE" w:rsidRPr="00B664FE" w:rsidRDefault="00B664FE" w:rsidP="00B664FE">
      <w:pPr>
        <w:rPr>
          <w:rFonts w:asciiTheme="minorHAnsi" w:eastAsiaTheme="minorHAnsi" w:hAnsiTheme="minorHAnsi" w:cstheme="minorBidi"/>
          <w:color w:val="984806" w:themeColor="accent6" w:themeShade="80"/>
          <w:sz w:val="22"/>
          <w:szCs w:val="22"/>
        </w:rPr>
      </w:pPr>
      <w:r w:rsidRPr="00B664FE">
        <w:rPr>
          <w:rFonts w:asciiTheme="minorHAnsi" w:eastAsiaTheme="minorHAnsi" w:hAnsiTheme="minorHAnsi" w:cstheme="minorBidi"/>
          <w:color w:val="984806" w:themeColor="accent6" w:themeShade="80"/>
          <w:sz w:val="22"/>
          <w:szCs w:val="22"/>
        </w:rPr>
        <w:t>This one is more unique in that it attempts to minimize the tax rather than use a blunt hammer.  But, it is more complicated!  If the IRS reduces the GST tax rate to 35% and increases the estate tax rate to 45%, or vice versa, this formula adapts, but the prior formula would not.</w:t>
      </w:r>
    </w:p>
    <w:p w14:paraId="35A62552" w14:textId="77777777" w:rsidR="00B664FE" w:rsidRPr="00B664FE" w:rsidRDefault="00B664FE" w:rsidP="00B664FE">
      <w:pPr>
        <w:rPr>
          <w:rFonts w:asciiTheme="minorHAnsi" w:eastAsiaTheme="minorHAnsi" w:hAnsiTheme="minorHAnsi" w:cstheme="minorBidi"/>
          <w:color w:val="984806" w:themeColor="accent6" w:themeShade="80"/>
          <w:sz w:val="22"/>
          <w:szCs w:val="22"/>
        </w:rPr>
      </w:pPr>
      <w:r w:rsidRPr="00B664FE">
        <w:rPr>
          <w:rFonts w:asciiTheme="minorHAnsi" w:eastAsiaTheme="minorHAnsi" w:hAnsiTheme="minorHAnsi" w:cstheme="minorBidi"/>
          <w:color w:val="984806" w:themeColor="accent6" w:themeShade="80"/>
          <w:sz w:val="22"/>
          <w:szCs w:val="22"/>
        </w:rPr>
        <w:t>Whenever there is a contingency based on a powerholder’s estate size and taxable situation, this has the ability to delay the administration of the trust.  Often it would not affect most ongoing administration, because the powerholder is probably never going to exercise his or her limited or general power differently – usually they appoint to children, spouse, trusts therefore, or not at all, and the trust can be administered the same no matter what portion is limited and what portion is general – the only difference will be determination of taxes and determining the cost basis of the assets.]</w:t>
      </w:r>
    </w:p>
    <w:p w14:paraId="349D86B4" w14:textId="41F28711" w:rsidR="00C14C9B" w:rsidRDefault="00C14C9B">
      <w:pPr>
        <w:rPr>
          <w:rFonts w:ascii="Calibri" w:hAnsi="Calibri"/>
          <w:b/>
          <w:color w:val="000000"/>
        </w:rPr>
      </w:pPr>
      <w:r>
        <w:rPr>
          <w:rFonts w:ascii="Calibri" w:hAnsi="Calibri"/>
          <w:b/>
          <w:color w:val="000000"/>
        </w:rPr>
        <w:br w:type="page"/>
      </w:r>
    </w:p>
    <w:p w14:paraId="1F2AD59A" w14:textId="19282844" w:rsidR="006767D2" w:rsidRPr="00A7015B" w:rsidRDefault="006767D2" w:rsidP="00DC58CE">
      <w:pPr>
        <w:pStyle w:val="ListParagraph"/>
        <w:numPr>
          <w:ilvl w:val="0"/>
          <w:numId w:val="32"/>
        </w:numPr>
        <w:tabs>
          <w:tab w:val="left" w:pos="100"/>
        </w:tabs>
        <w:autoSpaceDE w:val="0"/>
        <w:autoSpaceDN w:val="0"/>
        <w:adjustRightInd w:val="0"/>
        <w:spacing w:before="120" w:after="120"/>
        <w:ind w:left="720" w:hanging="630"/>
        <w:rPr>
          <w:rFonts w:ascii="Calibri" w:hAnsi="Calibri"/>
          <w:b/>
          <w:color w:val="000000"/>
        </w:rPr>
      </w:pPr>
      <w:r w:rsidRPr="00A7015B">
        <w:rPr>
          <w:rFonts w:ascii="Calibri" w:hAnsi="Calibri"/>
          <w:b/>
          <w:color w:val="000000"/>
        </w:rPr>
        <w:lastRenderedPageBreak/>
        <w:t>More Sample Language (Simplified versions</w:t>
      </w:r>
      <w:r w:rsidR="00A7015B">
        <w:rPr>
          <w:rFonts w:ascii="Calibri" w:hAnsi="Calibri"/>
          <w:b/>
          <w:color w:val="000000"/>
        </w:rPr>
        <w:t xml:space="preserve"> of formula GPOAs, no ordering rules</w:t>
      </w:r>
      <w:r w:rsidRPr="00A7015B">
        <w:rPr>
          <w:rFonts w:ascii="Calibri" w:hAnsi="Calibri"/>
          <w:b/>
          <w:color w:val="000000"/>
        </w:rPr>
        <w:t>)</w:t>
      </w:r>
    </w:p>
    <w:p w14:paraId="495124F9" w14:textId="77777777" w:rsidR="00FD5398" w:rsidRDefault="006767D2" w:rsidP="006767D2">
      <w:pPr>
        <w:tabs>
          <w:tab w:val="left" w:pos="100"/>
        </w:tabs>
        <w:autoSpaceDE w:val="0"/>
        <w:autoSpaceDN w:val="0"/>
        <w:adjustRightInd w:val="0"/>
        <w:spacing w:before="120" w:after="120"/>
        <w:rPr>
          <w:rFonts w:ascii="Calibri" w:hAnsi="Calibri"/>
          <w:color w:val="000000"/>
        </w:rPr>
      </w:pPr>
      <w:r w:rsidRPr="006767D2">
        <w:rPr>
          <w:rFonts w:ascii="Calibri" w:hAnsi="Calibri"/>
          <w:b/>
          <w:color w:val="000000"/>
        </w:rPr>
        <w:t>Formula General Power of Appointment</w:t>
      </w:r>
      <w:r w:rsidRPr="006767D2">
        <w:rPr>
          <w:rFonts w:ascii="Calibri" w:hAnsi="Calibri"/>
          <w:color w:val="000000"/>
        </w:rPr>
        <w:t xml:space="preserve"> – </w:t>
      </w:r>
      <w:r w:rsidR="00FD5398" w:rsidRPr="00230559">
        <w:rPr>
          <w:rFonts w:ascii="Calibri" w:hAnsi="Calibri"/>
        </w:rPr>
        <w:t>Subject to the remaining provisions of this Section, my spouse has the testamentary power to appoin</w:t>
      </w:r>
      <w:r w:rsidR="00FD5398">
        <w:rPr>
          <w:rFonts w:ascii="Calibri" w:hAnsi="Calibri"/>
        </w:rPr>
        <w:t xml:space="preserve">t a certain portion of assets </w:t>
      </w:r>
      <w:r w:rsidR="00FD5398" w:rsidRPr="00230559">
        <w:rPr>
          <w:rFonts w:ascii="Calibri" w:hAnsi="Calibri"/>
        </w:rPr>
        <w:t>remaining in the Family Trust at my spouse’s death</w:t>
      </w:r>
      <w:r w:rsidR="00FD5398" w:rsidRPr="00230559">
        <w:rPr>
          <w:rFonts w:ascii="Calibri" w:hAnsi="Calibri"/>
          <w:color w:val="000000"/>
        </w:rPr>
        <w:t xml:space="preserve">. </w:t>
      </w:r>
      <w:r w:rsidRPr="006767D2">
        <w:rPr>
          <w:rFonts w:ascii="Calibri" w:hAnsi="Calibri"/>
          <w:color w:val="000000"/>
        </w:rPr>
        <w:t xml:space="preserve">My spouse may appoint </w:t>
      </w:r>
      <w:r w:rsidRPr="006767D2">
        <w:rPr>
          <w:rFonts w:ascii="Calibri" w:hAnsi="Calibri"/>
        </w:rPr>
        <w:t>the largest portion of the assets of this trust which would not increase any federal [or state] estate tax payable by my spouse’s estate [without taking into consideration any charitable or marital bequest by my spouse that would be deductible by her estate pursuant to IRC §2055 or §2056] to my spouse’s creditors</w:t>
      </w:r>
      <w:r w:rsidRPr="006767D2">
        <w:rPr>
          <w:rFonts w:ascii="Calibri" w:hAnsi="Calibri"/>
          <w:color w:val="000000"/>
        </w:rPr>
        <w:t xml:space="preserve"> or to my descendants in such amounts and subject to such terms, including trusts, as my spouse directs.</w:t>
      </w:r>
      <w:r w:rsidRPr="00230559">
        <w:rPr>
          <w:rFonts w:ascii="Calibri" w:hAnsi="Calibri"/>
          <w:color w:val="000000"/>
        </w:rPr>
        <w:t xml:space="preserve">  </w:t>
      </w:r>
    </w:p>
    <w:p w14:paraId="49044EDB" w14:textId="77777777" w:rsidR="00FD5398" w:rsidRDefault="00FD5398" w:rsidP="00FD5398">
      <w:pPr>
        <w:autoSpaceDE w:val="0"/>
        <w:autoSpaceDN w:val="0"/>
        <w:adjustRightInd w:val="0"/>
        <w:rPr>
          <w:rFonts w:ascii="Tms Rmn" w:hAnsi="Tms Rmn" w:cs="Tms Rmn"/>
          <w:color w:val="000000"/>
        </w:rPr>
      </w:pPr>
      <w:r w:rsidRPr="00FD5398">
        <w:rPr>
          <w:rFonts w:ascii="Calibri" w:hAnsi="Calibri"/>
          <w:color w:val="993300"/>
        </w:rPr>
        <w:t xml:space="preserve">[note, this has no reference to IRD, insurance, loss assets, </w:t>
      </w:r>
      <w:r w:rsidR="001F591D">
        <w:rPr>
          <w:rFonts w:ascii="Calibri" w:hAnsi="Calibri"/>
          <w:color w:val="993300"/>
        </w:rPr>
        <w:t xml:space="preserve">cash, </w:t>
      </w:r>
      <w:r w:rsidRPr="00FD5398">
        <w:rPr>
          <w:rFonts w:ascii="Calibri" w:hAnsi="Calibri"/>
          <w:color w:val="993300"/>
        </w:rPr>
        <w:t>etc – the bracketed language regarding state estate tax and whether to gross up with  the charitable/marital deduction is discussed earlier in this paper.  However, this is very sim</w:t>
      </w:r>
      <w:r>
        <w:rPr>
          <w:rFonts w:ascii="Calibri" w:hAnsi="Calibri"/>
          <w:color w:val="993300"/>
        </w:rPr>
        <w:t>ple</w:t>
      </w:r>
      <w:r w:rsidR="00427079">
        <w:rPr>
          <w:rFonts w:ascii="Calibri" w:hAnsi="Calibri"/>
          <w:color w:val="993300"/>
        </w:rPr>
        <w:t>, and apparently tracks the PLRs that used GPOA capping language</w:t>
      </w:r>
      <w:r w:rsidR="001F591D">
        <w:rPr>
          <w:rFonts w:ascii="Calibri" w:hAnsi="Calibri"/>
          <w:color w:val="993300"/>
        </w:rPr>
        <w:t xml:space="preserve"> – a slight variation is below.</w:t>
      </w:r>
      <w:r w:rsidRPr="00FD5398">
        <w:rPr>
          <w:rFonts w:ascii="Tms Rmn" w:hAnsi="Tms Rmn" w:cs="Tms Rmn"/>
          <w:color w:val="000000"/>
        </w:rPr>
        <w:t xml:space="preserve"> </w:t>
      </w:r>
    </w:p>
    <w:p w14:paraId="4551FEB3" w14:textId="77777777" w:rsidR="00FD5398" w:rsidRDefault="00FD5398" w:rsidP="00FD5398">
      <w:pPr>
        <w:autoSpaceDE w:val="0"/>
        <w:autoSpaceDN w:val="0"/>
        <w:adjustRightInd w:val="0"/>
        <w:rPr>
          <w:rFonts w:ascii="Tms Rmn" w:hAnsi="Tms Rmn" w:cs="Tms Rmn"/>
          <w:color w:val="000000"/>
        </w:rPr>
      </w:pPr>
    </w:p>
    <w:p w14:paraId="75A4FC61" w14:textId="77777777" w:rsidR="00FD5398" w:rsidRPr="002D43A4" w:rsidRDefault="00FD5398" w:rsidP="002D43A4">
      <w:pPr>
        <w:tabs>
          <w:tab w:val="left" w:pos="100"/>
        </w:tabs>
        <w:autoSpaceDE w:val="0"/>
        <w:autoSpaceDN w:val="0"/>
        <w:adjustRightInd w:val="0"/>
        <w:spacing w:before="120" w:after="120"/>
        <w:rPr>
          <w:rFonts w:ascii="Calibri" w:hAnsi="Calibri"/>
          <w:color w:val="000000"/>
        </w:rPr>
      </w:pPr>
      <w:r w:rsidRPr="000A3CA7">
        <w:rPr>
          <w:rFonts w:ascii="Calibri" w:hAnsi="Calibri" w:cs="Tms Rmn"/>
          <w:b/>
          <w:color w:val="000000"/>
        </w:rPr>
        <w:t>Formula Fractional General Power of Appointment.</w:t>
      </w:r>
      <w:r w:rsidRPr="00FD5398">
        <w:rPr>
          <w:rFonts w:ascii="Calibri" w:hAnsi="Calibri" w:cs="Tms Rmn"/>
          <w:color w:val="000000"/>
        </w:rPr>
        <w:t xml:space="preserve">  </w:t>
      </w:r>
      <w:r w:rsidRPr="00230559">
        <w:rPr>
          <w:rFonts w:ascii="Calibri" w:hAnsi="Calibri"/>
        </w:rPr>
        <w:t>Subject to the remaining provisions of this Section, my spouse has the testamentary power to appoin</w:t>
      </w:r>
      <w:r>
        <w:rPr>
          <w:rFonts w:ascii="Calibri" w:hAnsi="Calibri"/>
        </w:rPr>
        <w:t xml:space="preserve">t a certain </w:t>
      </w:r>
      <w:r w:rsidR="002D43A4">
        <w:rPr>
          <w:rFonts w:ascii="Calibri" w:hAnsi="Calibri"/>
        </w:rPr>
        <w:t>fraction</w:t>
      </w:r>
      <w:r>
        <w:rPr>
          <w:rFonts w:ascii="Calibri" w:hAnsi="Calibri"/>
        </w:rPr>
        <w:t xml:space="preserve"> of </w:t>
      </w:r>
      <w:r w:rsidR="002D43A4">
        <w:rPr>
          <w:rFonts w:ascii="Calibri" w:hAnsi="Calibri"/>
        </w:rPr>
        <w:t xml:space="preserve">the </w:t>
      </w:r>
      <w:r>
        <w:rPr>
          <w:rFonts w:ascii="Calibri" w:hAnsi="Calibri"/>
        </w:rPr>
        <w:t xml:space="preserve">assets </w:t>
      </w:r>
      <w:r w:rsidRPr="00230559">
        <w:rPr>
          <w:rFonts w:ascii="Calibri" w:hAnsi="Calibri"/>
        </w:rPr>
        <w:t>remaining in the Family Trust at my spouse’s death</w:t>
      </w:r>
      <w:r w:rsidRPr="00230559">
        <w:rPr>
          <w:rFonts w:ascii="Calibri" w:hAnsi="Calibri"/>
          <w:color w:val="000000"/>
        </w:rPr>
        <w:t xml:space="preserve">. </w:t>
      </w:r>
      <w:r w:rsidRPr="006767D2">
        <w:rPr>
          <w:rFonts w:ascii="Calibri" w:hAnsi="Calibri"/>
          <w:color w:val="000000"/>
        </w:rPr>
        <w:t xml:space="preserve">My spouse may appoint </w:t>
      </w:r>
      <w:r w:rsidRPr="006767D2">
        <w:rPr>
          <w:rFonts w:ascii="Calibri" w:hAnsi="Calibri"/>
        </w:rPr>
        <w:t xml:space="preserve">the largest </w:t>
      </w:r>
      <w:r w:rsidR="002D43A4">
        <w:rPr>
          <w:rFonts w:ascii="Calibri" w:hAnsi="Calibri"/>
        </w:rPr>
        <w:t>fraction</w:t>
      </w:r>
      <w:r w:rsidRPr="006767D2">
        <w:rPr>
          <w:rFonts w:ascii="Calibri" w:hAnsi="Calibri"/>
        </w:rPr>
        <w:t xml:space="preserve"> of the assets of this trust which would not increase any federal [or state] estate tax payable by my spouse’s estate [without taking into consideration any charitable or marital bequest by my spouse that would be deductible by her estate pursuant to IRC §2055 or §2056] to my spouse’s creditors</w:t>
      </w:r>
      <w:r w:rsidRPr="006767D2">
        <w:rPr>
          <w:rFonts w:ascii="Calibri" w:hAnsi="Calibri"/>
          <w:color w:val="000000"/>
        </w:rPr>
        <w:t xml:space="preserve"> or to my descendants in such amounts and subject to such terms, including trusts, as my spouse directs.</w:t>
      </w:r>
      <w:r w:rsidR="002D43A4">
        <w:rPr>
          <w:rFonts w:ascii="Calibri" w:hAnsi="Calibri"/>
          <w:color w:val="000000"/>
        </w:rPr>
        <w:t xml:space="preserve">  </w:t>
      </w:r>
      <w:r w:rsidRPr="00230559">
        <w:rPr>
          <w:rFonts w:ascii="Calibri" w:hAnsi="Calibri"/>
          <w:color w:val="000000"/>
        </w:rPr>
        <w:t xml:space="preserve">  </w:t>
      </w:r>
      <w:r w:rsidR="002D43A4">
        <w:rPr>
          <w:rFonts w:ascii="Calibri" w:hAnsi="Calibri"/>
          <w:color w:val="000000"/>
        </w:rPr>
        <w:t>T</w:t>
      </w:r>
      <w:r w:rsidRPr="00FD5398">
        <w:rPr>
          <w:rFonts w:ascii="Calibri" w:hAnsi="Calibri" w:cs="Tms Rmn"/>
          <w:color w:val="000000"/>
        </w:rPr>
        <w:t>he assets subject to the general power of appointment shall be those assets which, within the fraction, have the greatest difference between the basis of the asset, and the fair market value of the asset, excluding any income in respect of a decedent.</w:t>
      </w:r>
    </w:p>
    <w:p w14:paraId="55730FE5" w14:textId="77777777" w:rsidR="00FF7FF9" w:rsidRPr="00FF7FF9" w:rsidRDefault="00FF7FF9" w:rsidP="009B3B4A">
      <w:pPr>
        <w:rPr>
          <w:rFonts w:ascii="Calibri" w:hAnsi="Calibri"/>
          <w:b/>
          <w:color w:val="000000"/>
        </w:rPr>
      </w:pPr>
      <w:r>
        <w:rPr>
          <w:rFonts w:ascii="Calibri" w:hAnsi="Calibri"/>
          <w:b/>
          <w:color w:val="000000"/>
        </w:rPr>
        <w:t xml:space="preserve">Basic </w:t>
      </w:r>
      <w:r w:rsidRPr="00FF7FF9">
        <w:rPr>
          <w:rFonts w:ascii="Calibri" w:hAnsi="Calibri"/>
          <w:b/>
          <w:color w:val="000000"/>
        </w:rPr>
        <w:t>Formula General Power of Appointment copied from PLR 2004-03094:</w:t>
      </w:r>
    </w:p>
    <w:p w14:paraId="3A35AB5E" w14:textId="77777777" w:rsidR="00FF7FF9" w:rsidRDefault="00FF7FF9" w:rsidP="00FF7FF9">
      <w:pPr>
        <w:rPr>
          <w:rFonts w:ascii="Calibri" w:hAnsi="Calibri"/>
          <w:color w:val="000000"/>
        </w:rPr>
      </w:pPr>
    </w:p>
    <w:p w14:paraId="37FC138F" w14:textId="77777777" w:rsidR="00FF7FF9" w:rsidRPr="00FF7FF9" w:rsidRDefault="00FF7FF9" w:rsidP="00FF7FF9">
      <w:pPr>
        <w:rPr>
          <w:rFonts w:ascii="Calibri" w:hAnsi="Calibri"/>
          <w:color w:val="000000"/>
        </w:rPr>
      </w:pPr>
      <w:r w:rsidRPr="00FF7FF9">
        <w:rPr>
          <w:rFonts w:ascii="Calibri" w:hAnsi="Calibri"/>
          <w:color w:val="000000"/>
        </w:rPr>
        <w:t>At my wife’s death, if I am still living, I give to my wife a testamentary</w:t>
      </w:r>
      <w:r>
        <w:rPr>
          <w:rFonts w:ascii="Calibri" w:hAnsi="Calibri"/>
          <w:color w:val="000000"/>
        </w:rPr>
        <w:t xml:space="preserve"> </w:t>
      </w:r>
      <w:r w:rsidRPr="00FF7FF9">
        <w:rPr>
          <w:rFonts w:ascii="Calibri" w:hAnsi="Calibri"/>
          <w:color w:val="000000"/>
        </w:rPr>
        <w:t>general power of appointment, exercisable alone and in all events to</w:t>
      </w:r>
      <w:r>
        <w:rPr>
          <w:rFonts w:ascii="Calibri" w:hAnsi="Calibri"/>
          <w:color w:val="000000"/>
        </w:rPr>
        <w:t xml:space="preserve"> </w:t>
      </w:r>
      <w:r w:rsidRPr="00FF7FF9">
        <w:rPr>
          <w:rFonts w:ascii="Calibri" w:hAnsi="Calibri"/>
          <w:color w:val="000000"/>
        </w:rPr>
        <w:t>appoint part of the assets of the Trust Estate, having a value equal to (i)</w:t>
      </w:r>
      <w:r>
        <w:rPr>
          <w:rFonts w:ascii="Calibri" w:hAnsi="Calibri"/>
          <w:color w:val="000000"/>
        </w:rPr>
        <w:t xml:space="preserve"> </w:t>
      </w:r>
      <w:r w:rsidRPr="00FF7FF9">
        <w:rPr>
          <w:rFonts w:ascii="Calibri" w:hAnsi="Calibri"/>
          <w:color w:val="000000"/>
        </w:rPr>
        <w:t>the amount of my wife’s remaining applicable exclusion amount less (ii)</w:t>
      </w:r>
      <w:r>
        <w:rPr>
          <w:rFonts w:ascii="Calibri" w:hAnsi="Calibri"/>
          <w:color w:val="000000"/>
        </w:rPr>
        <w:t xml:space="preserve"> </w:t>
      </w:r>
      <w:r w:rsidRPr="00FF7FF9">
        <w:rPr>
          <w:rFonts w:ascii="Calibri" w:hAnsi="Calibri"/>
          <w:color w:val="000000"/>
        </w:rPr>
        <w:t>the value of my wife’s taxable estate determined by excluding the amount</w:t>
      </w:r>
    </w:p>
    <w:p w14:paraId="5C8729B1" w14:textId="1DA895BD" w:rsidR="009B3B4A" w:rsidRPr="009B3B4A" w:rsidRDefault="00FF7FF9" w:rsidP="00FF7FF9">
      <w:pPr>
        <w:rPr>
          <w:rFonts w:ascii="Calibri" w:hAnsi="Calibri"/>
          <w:b/>
          <w:color w:val="000000"/>
        </w:rPr>
      </w:pPr>
      <w:r w:rsidRPr="00FF7FF9">
        <w:rPr>
          <w:rFonts w:ascii="Calibri" w:hAnsi="Calibri"/>
          <w:color w:val="000000"/>
        </w:rPr>
        <w:t>of those assets subject to this power, free of trust to my deceased wife’s</w:t>
      </w:r>
      <w:r>
        <w:rPr>
          <w:rFonts w:ascii="Calibri" w:hAnsi="Calibri"/>
          <w:color w:val="000000"/>
        </w:rPr>
        <w:t xml:space="preserve"> </w:t>
      </w:r>
      <w:r w:rsidRPr="00FF7FF9">
        <w:rPr>
          <w:rFonts w:ascii="Calibri" w:hAnsi="Calibri"/>
          <w:color w:val="000000"/>
        </w:rPr>
        <w:t>estate or to or for the benefit of one or more persons or entities, in such</w:t>
      </w:r>
      <w:r>
        <w:rPr>
          <w:rFonts w:ascii="Calibri" w:hAnsi="Calibri"/>
          <w:color w:val="000000"/>
        </w:rPr>
        <w:t xml:space="preserve"> </w:t>
      </w:r>
      <w:r w:rsidRPr="00FF7FF9">
        <w:rPr>
          <w:rFonts w:ascii="Calibri" w:hAnsi="Calibri"/>
          <w:color w:val="000000"/>
        </w:rPr>
        <w:t>proportions, outright, in trust, or otherwise as my wife may direct in her</w:t>
      </w:r>
      <w:r>
        <w:rPr>
          <w:rFonts w:ascii="Calibri" w:hAnsi="Calibri"/>
          <w:color w:val="000000"/>
        </w:rPr>
        <w:t xml:space="preserve"> </w:t>
      </w:r>
      <w:r w:rsidRPr="00FF7FF9">
        <w:rPr>
          <w:rFonts w:ascii="Calibri" w:hAnsi="Calibri"/>
          <w:color w:val="000000"/>
        </w:rPr>
        <w:t xml:space="preserve">Will. </w:t>
      </w:r>
      <w:r w:rsidR="006767D2">
        <w:rPr>
          <w:rFonts w:ascii="Calibri" w:hAnsi="Calibri"/>
          <w:color w:val="000000"/>
        </w:rPr>
        <w:br w:type="page"/>
      </w:r>
      <w:r w:rsidR="009B3B4A" w:rsidRPr="009B3B4A">
        <w:rPr>
          <w:rFonts w:ascii="Calibri" w:hAnsi="Calibri"/>
          <w:b/>
          <w:color w:val="000000"/>
        </w:rPr>
        <w:lastRenderedPageBreak/>
        <w:t xml:space="preserve">Additional Language to </w:t>
      </w:r>
      <w:r w:rsidR="009B3B4A">
        <w:rPr>
          <w:rFonts w:ascii="Calibri" w:hAnsi="Calibri"/>
          <w:b/>
          <w:color w:val="000000"/>
        </w:rPr>
        <w:t>Cap</w:t>
      </w:r>
      <w:r w:rsidR="009B3B4A" w:rsidRPr="009B3B4A">
        <w:rPr>
          <w:rFonts w:ascii="Calibri" w:hAnsi="Calibri"/>
          <w:b/>
          <w:color w:val="000000"/>
        </w:rPr>
        <w:t xml:space="preserve"> a testamentary GPOA in the event a Power Holder’s Estate is Substantially Insolvent</w:t>
      </w:r>
      <w:r w:rsidR="009B3B4A">
        <w:rPr>
          <w:rFonts w:ascii="Calibri" w:hAnsi="Calibri"/>
          <w:b/>
          <w:color w:val="000000"/>
        </w:rPr>
        <w:t xml:space="preserve"> (to prevent appointive assets from potentially being diverted to a power holder’s estate’s creditors</w:t>
      </w:r>
      <w:r w:rsidR="005056D5">
        <w:rPr>
          <w:rFonts w:ascii="Calibri" w:hAnsi="Calibri"/>
          <w:b/>
          <w:color w:val="000000"/>
        </w:rPr>
        <w:t>) –</w:t>
      </w:r>
      <w:r w:rsidR="00215C9D">
        <w:rPr>
          <w:rFonts w:ascii="Calibri" w:hAnsi="Calibri"/>
          <w:b/>
          <w:color w:val="000000"/>
        </w:rPr>
        <w:t xml:space="preserve"> </w:t>
      </w:r>
      <w:r w:rsidR="005056D5">
        <w:rPr>
          <w:rFonts w:ascii="Calibri" w:hAnsi="Calibri"/>
          <w:b/>
          <w:color w:val="000000"/>
        </w:rPr>
        <w:t>based on PLR 9110054, discussed in Part III.m.</w:t>
      </w:r>
    </w:p>
    <w:p w14:paraId="485755D9" w14:textId="77777777" w:rsidR="009B3B4A" w:rsidRDefault="009B3B4A">
      <w:pPr>
        <w:rPr>
          <w:rFonts w:ascii="Calibri" w:hAnsi="Calibri"/>
          <w:color w:val="000000"/>
        </w:rPr>
      </w:pPr>
    </w:p>
    <w:p w14:paraId="59854AE9" w14:textId="77777777" w:rsidR="005056D5" w:rsidRDefault="005056D5" w:rsidP="005056D5">
      <w:pPr>
        <w:rPr>
          <w:rFonts w:ascii="Calibri" w:hAnsi="Calibri"/>
          <w:b/>
        </w:rPr>
      </w:pPr>
      <w:r w:rsidRPr="005056D5">
        <w:rPr>
          <w:rFonts w:ascii="Calibri" w:hAnsi="Calibri"/>
          <w:b/>
        </w:rPr>
        <w:t>“</w:t>
      </w:r>
      <w:r>
        <w:rPr>
          <w:rFonts w:ascii="Calibri" w:hAnsi="Calibri"/>
          <w:b/>
        </w:rPr>
        <w:t>Additional prerequisite for and restrictions on a power holder’s GPOA</w:t>
      </w:r>
    </w:p>
    <w:p w14:paraId="6997A7C1" w14:textId="77777777" w:rsidR="005056D5" w:rsidRDefault="005056D5" w:rsidP="005056D5">
      <w:pPr>
        <w:rPr>
          <w:rFonts w:ascii="Calibri" w:hAnsi="Calibri"/>
        </w:rPr>
      </w:pPr>
      <w:r w:rsidRPr="005056D5">
        <w:rPr>
          <w:rFonts w:ascii="Calibri" w:hAnsi="Calibri"/>
        </w:rPr>
        <w:t xml:space="preserve">In the event that the enforceable liabilities of the beneficiary power holder's estate exceed the value of </w:t>
      </w:r>
      <w:r w:rsidR="00194651">
        <w:rPr>
          <w:rFonts w:ascii="Calibri" w:hAnsi="Calibri"/>
        </w:rPr>
        <w:t>the</w:t>
      </w:r>
      <w:r w:rsidRPr="005056D5">
        <w:rPr>
          <w:rFonts w:ascii="Calibri" w:hAnsi="Calibri"/>
        </w:rPr>
        <w:t xml:space="preserve"> assets </w:t>
      </w:r>
      <w:r w:rsidR="00194651">
        <w:rPr>
          <w:rFonts w:ascii="Calibri" w:hAnsi="Calibri"/>
        </w:rPr>
        <w:t xml:space="preserve">against which the estate’s creditors could otherwise enforce against </w:t>
      </w:r>
      <w:r w:rsidRPr="005056D5">
        <w:rPr>
          <w:rFonts w:ascii="Calibri" w:hAnsi="Calibri"/>
        </w:rPr>
        <w:t>(based upon values as finally determined in the</w:t>
      </w:r>
      <w:r>
        <w:rPr>
          <w:rFonts w:ascii="Calibri" w:hAnsi="Calibri"/>
        </w:rPr>
        <w:t xml:space="preserve"> </w:t>
      </w:r>
      <w:r w:rsidRPr="005056D5">
        <w:rPr>
          <w:rFonts w:ascii="Calibri" w:hAnsi="Calibri"/>
        </w:rPr>
        <w:t>federal</w:t>
      </w:r>
      <w:r w:rsidR="00194651">
        <w:rPr>
          <w:rFonts w:ascii="Calibri" w:hAnsi="Calibri"/>
        </w:rPr>
        <w:t xml:space="preserve"> or state</w:t>
      </w:r>
      <w:r w:rsidRPr="005056D5">
        <w:rPr>
          <w:rFonts w:ascii="Calibri" w:hAnsi="Calibri"/>
        </w:rPr>
        <w:t xml:space="preserve"> estate tax proceedings of the beneficiary's estate, excluding the Power)</w:t>
      </w:r>
      <w:r w:rsidR="009B3274">
        <w:rPr>
          <w:rFonts w:ascii="Calibri" w:hAnsi="Calibri"/>
        </w:rPr>
        <w:t xml:space="preserve"> by more than $5,000 [or pick another de minimis amount]</w:t>
      </w:r>
      <w:r w:rsidRPr="005056D5">
        <w:rPr>
          <w:rFonts w:ascii="Calibri" w:hAnsi="Calibri"/>
        </w:rPr>
        <w:t>, no</w:t>
      </w:r>
      <w:r>
        <w:rPr>
          <w:rFonts w:ascii="Calibri" w:hAnsi="Calibri"/>
        </w:rPr>
        <w:t xml:space="preserve"> testamentary</w:t>
      </w:r>
      <w:r w:rsidRPr="005056D5">
        <w:rPr>
          <w:rFonts w:ascii="Calibri" w:hAnsi="Calibri"/>
        </w:rPr>
        <w:t xml:space="preserve"> General Power </w:t>
      </w:r>
      <w:r>
        <w:rPr>
          <w:rFonts w:ascii="Calibri" w:hAnsi="Calibri"/>
        </w:rPr>
        <w:t xml:space="preserve">of Appointment </w:t>
      </w:r>
      <w:r w:rsidRPr="005056D5">
        <w:rPr>
          <w:rFonts w:ascii="Calibri" w:hAnsi="Calibri"/>
        </w:rPr>
        <w:t>is granted herein unless the (i) the amount of tax basis that would be increased by reason of the beneficiary's death computed as</w:t>
      </w:r>
      <w:r>
        <w:rPr>
          <w:rFonts w:ascii="Calibri" w:hAnsi="Calibri"/>
        </w:rPr>
        <w:t xml:space="preserve"> </w:t>
      </w:r>
      <w:r w:rsidRPr="005056D5">
        <w:rPr>
          <w:rFonts w:ascii="Calibri" w:hAnsi="Calibri"/>
        </w:rPr>
        <w:t>if the property that would be appointable by this power if not for this paragraph had been included in the beneficiary's gross estate, (ii) times 2</w:t>
      </w:r>
      <w:r>
        <w:rPr>
          <w:rFonts w:ascii="Calibri" w:hAnsi="Calibri"/>
        </w:rPr>
        <w:t>0</w:t>
      </w:r>
      <w:r w:rsidR="009B3274">
        <w:rPr>
          <w:rFonts w:ascii="Calibri" w:hAnsi="Calibri"/>
        </w:rPr>
        <w:t>% (this could be less of course</w:t>
      </w:r>
      <w:r w:rsidRPr="005056D5">
        <w:rPr>
          <w:rFonts w:ascii="Calibri" w:hAnsi="Calibri"/>
        </w:rPr>
        <w:t>,</w:t>
      </w:r>
      <w:r w:rsidR="009B3274">
        <w:rPr>
          <w:rFonts w:ascii="Calibri" w:hAnsi="Calibri"/>
        </w:rPr>
        <w:t xml:space="preserve"> or</w:t>
      </w:r>
      <w:r w:rsidRPr="005056D5">
        <w:rPr>
          <w:rFonts w:ascii="Calibri" w:hAnsi="Calibri"/>
        </w:rPr>
        <w:t xml:space="preserve"> perhaps you use a </w:t>
      </w:r>
      <w:r w:rsidR="009B3274">
        <w:rPr>
          <w:rFonts w:ascii="Calibri" w:hAnsi="Calibri"/>
        </w:rPr>
        <w:t>higher</w:t>
      </w:r>
      <w:r w:rsidRPr="005056D5">
        <w:rPr>
          <w:rFonts w:ascii="Calibri" w:hAnsi="Calibri"/>
        </w:rPr>
        <w:t xml:space="preserve"> number</w:t>
      </w:r>
      <w:r w:rsidR="009B3274">
        <w:rPr>
          <w:rFonts w:ascii="Calibri" w:hAnsi="Calibri"/>
        </w:rPr>
        <w:t xml:space="preserve"> in a high tax state, or estate with depreciable property/collectibles</w:t>
      </w:r>
      <w:r w:rsidRPr="005056D5">
        <w:rPr>
          <w:rFonts w:ascii="Calibri" w:hAnsi="Calibri"/>
        </w:rPr>
        <w:t>) exceeds the excess of the enforceable liabilities of the beneficiary's estate over its assets, computed as if there</w:t>
      </w:r>
      <w:r>
        <w:rPr>
          <w:rFonts w:ascii="Calibri" w:hAnsi="Calibri"/>
        </w:rPr>
        <w:t xml:space="preserve"> were no General Power granted.</w:t>
      </w:r>
    </w:p>
    <w:p w14:paraId="7A0B9284" w14:textId="77777777" w:rsidR="009B3274" w:rsidRDefault="009B3274" w:rsidP="005056D5">
      <w:pPr>
        <w:rPr>
          <w:rFonts w:ascii="Calibri" w:hAnsi="Calibri"/>
        </w:rPr>
      </w:pPr>
    </w:p>
    <w:p w14:paraId="2900D860" w14:textId="77777777" w:rsidR="005056D5" w:rsidRDefault="005056D5" w:rsidP="005056D5">
      <w:pPr>
        <w:rPr>
          <w:rFonts w:ascii="Calibri" w:hAnsi="Calibri"/>
        </w:rPr>
      </w:pPr>
      <w:r>
        <w:rPr>
          <w:rFonts w:ascii="Calibri" w:hAnsi="Calibri"/>
        </w:rPr>
        <w:t xml:space="preserve">By way of example in explaining this paragraph, if the amount of tax basis that would otherwise be gained by the above mentioned testamentary formula GPOA </w:t>
      </w:r>
      <w:r w:rsidR="009B3274">
        <w:rPr>
          <w:rFonts w:ascii="Calibri" w:hAnsi="Calibri"/>
        </w:rPr>
        <w:t>without the above paragraph would be</w:t>
      </w:r>
      <w:r>
        <w:rPr>
          <w:rFonts w:ascii="Calibri" w:hAnsi="Calibri"/>
        </w:rPr>
        <w:t xml:space="preserve"> $600,000, and the </w:t>
      </w:r>
      <w:r w:rsidR="009B3274">
        <w:rPr>
          <w:rFonts w:ascii="Calibri" w:hAnsi="Calibri"/>
        </w:rPr>
        <w:t>power holder’s estate is insolvent with a deficit of $100,000, the formula power of appointment would still be granted, because $600,000 times 20% = $120,000, which exceeds $100,000.”</w:t>
      </w:r>
    </w:p>
    <w:p w14:paraId="2079AF9F" w14:textId="77777777" w:rsidR="009B3274" w:rsidRDefault="009B3274" w:rsidP="005056D5">
      <w:pPr>
        <w:rPr>
          <w:rFonts w:ascii="Calibri" w:hAnsi="Calibri"/>
        </w:rPr>
      </w:pPr>
    </w:p>
    <w:p w14:paraId="77532AF2" w14:textId="77777777" w:rsidR="009865E1" w:rsidRDefault="009B3274" w:rsidP="005056D5">
      <w:pPr>
        <w:rPr>
          <w:rFonts w:ascii="Calibri" w:hAnsi="Calibri"/>
          <w:color w:val="984806" w:themeColor="accent6" w:themeShade="80"/>
        </w:rPr>
      </w:pPr>
      <w:r w:rsidRPr="009865E1">
        <w:rPr>
          <w:rFonts w:ascii="Calibri" w:hAnsi="Calibri"/>
          <w:color w:val="984806" w:themeColor="accent6" w:themeShade="80"/>
        </w:rPr>
        <w:t xml:space="preserve">Note: </w:t>
      </w:r>
      <w:r w:rsidR="009865E1">
        <w:rPr>
          <w:rFonts w:ascii="Calibri" w:hAnsi="Calibri"/>
          <w:color w:val="984806" w:themeColor="accent6" w:themeShade="80"/>
        </w:rPr>
        <w:t xml:space="preserve">taxable </w:t>
      </w:r>
      <w:r w:rsidRPr="009865E1">
        <w:rPr>
          <w:rFonts w:ascii="Calibri" w:hAnsi="Calibri"/>
          <w:color w:val="984806" w:themeColor="accent6" w:themeShade="80"/>
        </w:rPr>
        <w:t>estate assets pulled in under 2035 or 2036 may not be subject to creditors</w:t>
      </w:r>
      <w:r w:rsidR="009865E1">
        <w:rPr>
          <w:rFonts w:ascii="Calibri" w:hAnsi="Calibri"/>
          <w:color w:val="984806" w:themeColor="accent6" w:themeShade="80"/>
        </w:rPr>
        <w:t xml:space="preserve"> under state law as GPOA appointive assets might, and life insurance may </w:t>
      </w:r>
      <w:r w:rsidR="00194651">
        <w:rPr>
          <w:rFonts w:ascii="Calibri" w:hAnsi="Calibri"/>
          <w:color w:val="984806" w:themeColor="accent6" w:themeShade="80"/>
        </w:rPr>
        <w:t xml:space="preserve">also be included in a taxable estate but </w:t>
      </w:r>
      <w:r w:rsidR="009865E1">
        <w:rPr>
          <w:rFonts w:ascii="Calibri" w:hAnsi="Calibri"/>
          <w:color w:val="984806" w:themeColor="accent6" w:themeShade="80"/>
        </w:rPr>
        <w:t xml:space="preserve">have similar creditor protection, </w:t>
      </w:r>
      <w:r w:rsidR="00194651">
        <w:rPr>
          <w:rFonts w:ascii="Calibri" w:hAnsi="Calibri"/>
          <w:color w:val="984806" w:themeColor="accent6" w:themeShade="80"/>
        </w:rPr>
        <w:t>hence the reference above to assets to which a creditor might otherwise enforce against</w:t>
      </w:r>
      <w:r w:rsidR="009865E1">
        <w:rPr>
          <w:rFonts w:ascii="Calibri" w:hAnsi="Calibri"/>
          <w:color w:val="984806" w:themeColor="accent6" w:themeShade="80"/>
        </w:rPr>
        <w:t xml:space="preserve">.  </w:t>
      </w:r>
      <w:r w:rsidR="00194651">
        <w:rPr>
          <w:rFonts w:ascii="Calibri" w:hAnsi="Calibri"/>
          <w:color w:val="984806" w:themeColor="accent6" w:themeShade="80"/>
        </w:rPr>
        <w:t>F</w:t>
      </w:r>
      <w:r w:rsidR="009865E1">
        <w:rPr>
          <w:rFonts w:ascii="Calibri" w:hAnsi="Calibri"/>
          <w:color w:val="984806" w:themeColor="accent6" w:themeShade="80"/>
        </w:rPr>
        <w:t>ew estates of families with enough wealth to use trusts are completely and substantially insolvent and have aggressive cred</w:t>
      </w:r>
      <w:r w:rsidR="00194651">
        <w:rPr>
          <w:rFonts w:ascii="Calibri" w:hAnsi="Calibri"/>
          <w:color w:val="984806" w:themeColor="accent6" w:themeShade="80"/>
        </w:rPr>
        <w:t>itors coming after their estate within the statute of limitations</w:t>
      </w:r>
      <w:r w:rsidR="00A3202F">
        <w:rPr>
          <w:rFonts w:ascii="Calibri" w:hAnsi="Calibri"/>
          <w:color w:val="984806" w:themeColor="accent6" w:themeShade="80"/>
        </w:rPr>
        <w:t>, and aggressive enough to go after non-probate assets that would be more difficult to reach in the best of circumstances.  But, it can’t hurt to add this in my opinion.</w:t>
      </w:r>
    </w:p>
    <w:p w14:paraId="4CA36AFE" w14:textId="77777777" w:rsidR="00A3202F" w:rsidRDefault="00A3202F" w:rsidP="005056D5">
      <w:pPr>
        <w:rPr>
          <w:rFonts w:ascii="Calibri" w:hAnsi="Calibri"/>
          <w:color w:val="984806" w:themeColor="accent6" w:themeShade="80"/>
        </w:rPr>
      </w:pPr>
    </w:p>
    <w:p w14:paraId="344C6D76" w14:textId="77777777" w:rsidR="009B3274" w:rsidRPr="009865E1" w:rsidRDefault="00A3202F" w:rsidP="005056D5">
      <w:pPr>
        <w:rPr>
          <w:rFonts w:ascii="Calibri" w:hAnsi="Calibri"/>
          <w:color w:val="984806" w:themeColor="accent6" w:themeShade="80"/>
        </w:rPr>
      </w:pPr>
      <w:r>
        <w:rPr>
          <w:rFonts w:ascii="Calibri" w:hAnsi="Calibri"/>
          <w:color w:val="984806" w:themeColor="accent6" w:themeShade="80"/>
        </w:rPr>
        <w:t>Note to self:</w:t>
      </w:r>
      <w:r w:rsidR="00A578BB">
        <w:rPr>
          <w:rFonts w:ascii="Calibri" w:hAnsi="Calibri"/>
          <w:color w:val="984806" w:themeColor="accent6" w:themeShade="80"/>
        </w:rPr>
        <w:t xml:space="preserve"> </w:t>
      </w:r>
      <w:r w:rsidR="009B3274" w:rsidRPr="009865E1">
        <w:rPr>
          <w:rFonts w:ascii="Calibri" w:hAnsi="Calibri"/>
          <w:color w:val="984806" w:themeColor="accent6" w:themeShade="80"/>
        </w:rPr>
        <w:t xml:space="preserve">Also research whether, if someone has an LPOA and a GPOA, can they exercise the LPOA, or is that deemed to exercise the GPOA?  What if we make </w:t>
      </w:r>
      <w:r w:rsidR="00A578BB">
        <w:rPr>
          <w:rFonts w:ascii="Calibri" w:hAnsi="Calibri"/>
          <w:color w:val="984806" w:themeColor="accent6" w:themeShade="80"/>
        </w:rPr>
        <w:t>potential appointees</w:t>
      </w:r>
      <w:r w:rsidR="009B3274" w:rsidRPr="009865E1">
        <w:rPr>
          <w:rFonts w:ascii="Calibri" w:hAnsi="Calibri"/>
          <w:color w:val="984806" w:themeColor="accent6" w:themeShade="80"/>
        </w:rPr>
        <w:t xml:space="preserve"> DIFFERENT BENEFICIARI</w:t>
      </w:r>
      <w:r w:rsidR="00612D57" w:rsidRPr="009865E1">
        <w:rPr>
          <w:rFonts w:ascii="Calibri" w:hAnsi="Calibri"/>
          <w:color w:val="984806" w:themeColor="accent6" w:themeShade="80"/>
        </w:rPr>
        <w:t xml:space="preserve">ES?  That may avoid the problem of the </w:t>
      </w:r>
      <w:r w:rsidR="00612D57" w:rsidRPr="009865E1">
        <w:rPr>
          <w:rFonts w:ascii="Calibri" w:hAnsi="Calibri"/>
          <w:i/>
          <w:color w:val="984806" w:themeColor="accent6" w:themeShade="80"/>
        </w:rPr>
        <w:t>inadvertently exercised</w:t>
      </w:r>
      <w:r w:rsidR="00612D57" w:rsidRPr="009865E1">
        <w:rPr>
          <w:rFonts w:ascii="Calibri" w:hAnsi="Calibri"/>
          <w:color w:val="984806" w:themeColor="accent6" w:themeShade="80"/>
        </w:rPr>
        <w:t xml:space="preserve"> GPOA.</w:t>
      </w:r>
    </w:p>
    <w:p w14:paraId="731023E0" w14:textId="77777777" w:rsidR="009B3B4A" w:rsidRDefault="009B3B4A">
      <w:pPr>
        <w:rPr>
          <w:rFonts w:ascii="Calibri" w:hAnsi="Calibri"/>
          <w:b/>
        </w:rPr>
      </w:pPr>
    </w:p>
    <w:p w14:paraId="4D3D4AAD" w14:textId="77777777" w:rsidR="005056D5" w:rsidRDefault="005056D5">
      <w:pPr>
        <w:rPr>
          <w:rFonts w:ascii="Calibri" w:hAnsi="Calibri"/>
          <w:b/>
        </w:rPr>
      </w:pPr>
      <w:r>
        <w:rPr>
          <w:rFonts w:ascii="Calibri" w:hAnsi="Calibri"/>
          <w:b/>
        </w:rPr>
        <w:br w:type="page"/>
      </w:r>
    </w:p>
    <w:p w14:paraId="4366A3E4" w14:textId="77777777" w:rsidR="008E5C54" w:rsidRDefault="008E5C54" w:rsidP="006767D2">
      <w:pPr>
        <w:tabs>
          <w:tab w:val="left" w:pos="100"/>
        </w:tabs>
        <w:autoSpaceDE w:val="0"/>
        <w:autoSpaceDN w:val="0"/>
        <w:adjustRightInd w:val="0"/>
        <w:spacing w:before="120" w:after="120"/>
        <w:rPr>
          <w:rFonts w:ascii="Calibri" w:hAnsi="Calibri"/>
          <w:b/>
        </w:rPr>
      </w:pPr>
      <w:r w:rsidRPr="00230559">
        <w:rPr>
          <w:rFonts w:ascii="Calibri" w:hAnsi="Calibri"/>
          <w:b/>
        </w:rPr>
        <w:lastRenderedPageBreak/>
        <w:t xml:space="preserve">Sample Language for </w:t>
      </w:r>
      <w:r>
        <w:rPr>
          <w:rFonts w:ascii="Calibri" w:hAnsi="Calibri"/>
          <w:b/>
        </w:rPr>
        <w:t>Exercising L</w:t>
      </w:r>
      <w:r w:rsidRPr="00230559">
        <w:rPr>
          <w:rFonts w:ascii="Calibri" w:hAnsi="Calibri"/>
          <w:b/>
        </w:rPr>
        <w:t>POA for Bypass (Family) Trust</w:t>
      </w:r>
      <w:r>
        <w:rPr>
          <w:rFonts w:ascii="Calibri" w:hAnsi="Calibri"/>
          <w:b/>
        </w:rPr>
        <w:t xml:space="preserve"> in Order to Trigger the Delaware Tax Trap to Adjust Basis for Appreciated Assets</w:t>
      </w:r>
    </w:p>
    <w:p w14:paraId="53AA41E3" w14:textId="77777777" w:rsidR="00C62C1C" w:rsidRDefault="00C62C1C" w:rsidP="008E5C54">
      <w:pPr>
        <w:tabs>
          <w:tab w:val="left" w:pos="100"/>
        </w:tabs>
        <w:autoSpaceDE w:val="0"/>
        <w:autoSpaceDN w:val="0"/>
        <w:adjustRightInd w:val="0"/>
        <w:spacing w:before="120" w:after="120"/>
        <w:jc w:val="center"/>
        <w:rPr>
          <w:rFonts w:ascii="Calibri" w:hAnsi="Calibri"/>
          <w:b/>
        </w:rPr>
      </w:pPr>
      <w:r>
        <w:rPr>
          <w:rFonts w:ascii="Calibri" w:hAnsi="Calibri"/>
          <w:b/>
        </w:rPr>
        <w:t xml:space="preserve">(to be included in Will or Living Trust, as </w:t>
      </w:r>
      <w:r w:rsidR="00664EE7">
        <w:rPr>
          <w:rFonts w:ascii="Calibri" w:hAnsi="Calibri"/>
          <w:b/>
        </w:rPr>
        <w:t>directed</w:t>
      </w:r>
      <w:r>
        <w:rPr>
          <w:rFonts w:ascii="Calibri" w:hAnsi="Calibri"/>
          <w:b/>
        </w:rPr>
        <w:t xml:space="preserve"> by original document)</w:t>
      </w:r>
    </w:p>
    <w:p w14:paraId="45AE760F" w14:textId="77777777" w:rsidR="00C62C1C" w:rsidRPr="00C62C1C" w:rsidRDefault="00C62C1C" w:rsidP="008E5C54">
      <w:pPr>
        <w:tabs>
          <w:tab w:val="left" w:pos="100"/>
        </w:tabs>
        <w:autoSpaceDE w:val="0"/>
        <w:autoSpaceDN w:val="0"/>
        <w:adjustRightInd w:val="0"/>
        <w:spacing w:before="120" w:after="120"/>
        <w:jc w:val="center"/>
        <w:rPr>
          <w:rFonts w:ascii="Calibri" w:hAnsi="Calibri"/>
        </w:rPr>
      </w:pPr>
    </w:p>
    <w:p w14:paraId="50F3FA0F" w14:textId="77777777" w:rsidR="008A1FC3" w:rsidRDefault="00C62C1C" w:rsidP="008A1FC3">
      <w:pPr>
        <w:tabs>
          <w:tab w:val="left" w:pos="100"/>
        </w:tabs>
        <w:autoSpaceDE w:val="0"/>
        <w:autoSpaceDN w:val="0"/>
        <w:adjustRightInd w:val="0"/>
        <w:spacing w:before="120" w:after="120"/>
        <w:rPr>
          <w:rFonts w:ascii="Calibri" w:hAnsi="Calibri"/>
        </w:rPr>
      </w:pPr>
      <w:r w:rsidRPr="00C62C1C">
        <w:rPr>
          <w:rFonts w:ascii="Calibri" w:hAnsi="Calibri"/>
        </w:rPr>
        <w:t xml:space="preserve">Pursuant to </w:t>
      </w:r>
      <w:r>
        <w:rPr>
          <w:rFonts w:ascii="Calibri" w:hAnsi="Calibri"/>
        </w:rPr>
        <w:t xml:space="preserve">paragraph X of my spouse’s trust dated xx/xx/xxxx, I was granted a testamentary limited power to appoint the assets of said trust by specifically referring to that power in my (will, living trust or other deed).  I hereby exercise that </w:t>
      </w:r>
      <w:r w:rsidR="00E96E55">
        <w:rPr>
          <w:rFonts w:ascii="Calibri" w:hAnsi="Calibri"/>
        </w:rPr>
        <w:t>power</w:t>
      </w:r>
      <w:r>
        <w:rPr>
          <w:rFonts w:ascii="Calibri" w:hAnsi="Calibri"/>
        </w:rPr>
        <w:t xml:space="preserve"> as follows:</w:t>
      </w:r>
    </w:p>
    <w:p w14:paraId="3ACCFEC5" w14:textId="77777777" w:rsidR="00A578BB" w:rsidRDefault="008A1FC3" w:rsidP="00A578BB">
      <w:pPr>
        <w:pStyle w:val="ListParagraph"/>
        <w:tabs>
          <w:tab w:val="left" w:pos="100"/>
        </w:tabs>
        <w:autoSpaceDE w:val="0"/>
        <w:autoSpaceDN w:val="0"/>
        <w:adjustRightInd w:val="0"/>
        <w:spacing w:before="120" w:after="120"/>
        <w:rPr>
          <w:rFonts w:ascii="Calibri" w:hAnsi="Calibri"/>
          <w:color w:val="000000"/>
        </w:rPr>
      </w:pPr>
      <w:bookmarkStart w:id="75" w:name="OLE_LINK1"/>
      <w:bookmarkStart w:id="76" w:name="OLE_LINK2"/>
      <w:r w:rsidRPr="00A578BB">
        <w:rPr>
          <w:rFonts w:ascii="Calibri" w:hAnsi="Calibri"/>
          <w:color w:val="000000"/>
        </w:rPr>
        <w:t xml:space="preserve">I </w:t>
      </w:r>
      <w:r w:rsidR="004358A1" w:rsidRPr="00A578BB">
        <w:rPr>
          <w:rFonts w:ascii="Calibri" w:hAnsi="Calibri"/>
          <w:color w:val="000000"/>
        </w:rPr>
        <w:t xml:space="preserve">hereby </w:t>
      </w:r>
      <w:r w:rsidRPr="00A578BB">
        <w:rPr>
          <w:rFonts w:ascii="Calibri" w:hAnsi="Calibri"/>
          <w:color w:val="000000"/>
        </w:rPr>
        <w:t xml:space="preserve">appoint </w:t>
      </w:r>
      <w:r w:rsidR="005476CE" w:rsidRPr="00A578BB">
        <w:rPr>
          <w:rFonts w:ascii="Calibri" w:hAnsi="Calibri"/>
          <w:color w:val="000000"/>
        </w:rPr>
        <w:t>the following</w:t>
      </w:r>
      <w:r w:rsidRPr="00A578BB">
        <w:rPr>
          <w:rFonts w:ascii="Calibri" w:hAnsi="Calibri"/>
          <w:color w:val="000000"/>
        </w:rPr>
        <w:t xml:space="preserve"> assets to the</w:t>
      </w:r>
      <w:r w:rsidR="00A578BB">
        <w:rPr>
          <w:rFonts w:ascii="Calibri" w:hAnsi="Calibri"/>
          <w:color w:val="000000"/>
        </w:rPr>
        <w:t>:</w:t>
      </w:r>
    </w:p>
    <w:p w14:paraId="6556A5EE" w14:textId="77777777" w:rsidR="00A578BB" w:rsidRPr="00A578BB" w:rsidRDefault="008A1FC3" w:rsidP="00180FD1">
      <w:pPr>
        <w:pStyle w:val="ListParagraph"/>
        <w:numPr>
          <w:ilvl w:val="0"/>
          <w:numId w:val="26"/>
        </w:numPr>
        <w:tabs>
          <w:tab w:val="left" w:pos="100"/>
        </w:tabs>
        <w:autoSpaceDE w:val="0"/>
        <w:autoSpaceDN w:val="0"/>
        <w:adjustRightInd w:val="0"/>
        <w:spacing w:before="120" w:after="120"/>
        <w:rPr>
          <w:rFonts w:ascii="Calibri" w:hAnsi="Calibri"/>
          <w:color w:val="000000"/>
        </w:rPr>
      </w:pPr>
      <w:r w:rsidRPr="00A578BB">
        <w:rPr>
          <w:rFonts w:ascii="Calibri" w:hAnsi="Calibri"/>
          <w:color w:val="000000"/>
        </w:rPr>
        <w:t>[</w:t>
      </w:r>
      <w:r w:rsidR="00A578BB">
        <w:rPr>
          <w:rFonts w:ascii="Calibri" w:hAnsi="Calibri"/>
          <w:color w:val="000000"/>
        </w:rPr>
        <w:t xml:space="preserve">newly drafted </w:t>
      </w:r>
      <w:r w:rsidRPr="00A578BB">
        <w:rPr>
          <w:rFonts w:ascii="Calibri" w:hAnsi="Calibri"/>
          <w:color w:val="000000"/>
        </w:rPr>
        <w:t xml:space="preserve">Trust for a child </w:t>
      </w:r>
      <w:r w:rsidR="00E96E55" w:rsidRPr="00A578BB">
        <w:rPr>
          <w:rFonts w:ascii="Calibri" w:hAnsi="Calibri"/>
          <w:color w:val="000000"/>
        </w:rPr>
        <w:t xml:space="preserve">or other intended beneficiary </w:t>
      </w:r>
      <w:r w:rsidRPr="00A578BB">
        <w:rPr>
          <w:rFonts w:ascii="Calibri" w:hAnsi="Calibri"/>
          <w:color w:val="000000"/>
        </w:rPr>
        <w:t xml:space="preserve">that grants </w:t>
      </w:r>
      <w:r w:rsidR="00E96E55" w:rsidRPr="00A578BB">
        <w:rPr>
          <w:rFonts w:ascii="Calibri" w:hAnsi="Calibri"/>
          <w:color w:val="000000"/>
        </w:rPr>
        <w:t>the beneficiary</w:t>
      </w:r>
      <w:r w:rsidR="004358A1" w:rsidRPr="00A578BB">
        <w:rPr>
          <w:rFonts w:ascii="Calibri" w:hAnsi="Calibri"/>
          <w:color w:val="000000"/>
        </w:rPr>
        <w:t xml:space="preserve"> a</w:t>
      </w:r>
      <w:r w:rsidRPr="00A578BB">
        <w:rPr>
          <w:rFonts w:ascii="Calibri" w:hAnsi="Calibri"/>
          <w:color w:val="000000"/>
        </w:rPr>
        <w:t xml:space="preserve"> PEG Power – presently exercisab</w:t>
      </w:r>
      <w:r w:rsidR="00A578BB" w:rsidRPr="00A578BB">
        <w:rPr>
          <w:rFonts w:ascii="Calibri" w:hAnsi="Calibri"/>
          <w:color w:val="000000"/>
        </w:rPr>
        <w:t>le general power of appointment</w:t>
      </w:r>
      <w:r w:rsidR="00A578BB">
        <w:rPr>
          <w:rFonts w:ascii="Calibri" w:hAnsi="Calibri"/>
          <w:color w:val="000000"/>
        </w:rPr>
        <w:t>]</w:t>
      </w:r>
      <w:r w:rsidRPr="00A578BB">
        <w:rPr>
          <w:rFonts w:ascii="Calibri" w:hAnsi="Calibri"/>
          <w:color w:val="000000"/>
        </w:rPr>
        <w:t xml:space="preserve"> </w:t>
      </w:r>
      <w:bookmarkEnd w:id="75"/>
      <w:bookmarkEnd w:id="76"/>
      <w:r w:rsidR="00BE5DC2" w:rsidRPr="00A578BB">
        <w:rPr>
          <w:rFonts w:ascii="Calibri" w:hAnsi="Calibri"/>
          <w:color w:val="000000"/>
        </w:rPr>
        <w:t>or</w:t>
      </w:r>
      <w:r w:rsidR="005476CE" w:rsidRPr="00A578BB">
        <w:rPr>
          <w:rFonts w:ascii="Calibri" w:hAnsi="Calibri"/>
          <w:color w:val="000000"/>
        </w:rPr>
        <w:t xml:space="preserve">, </w:t>
      </w:r>
    </w:p>
    <w:p w14:paraId="4828778C" w14:textId="77777777" w:rsidR="008A1FC3" w:rsidRPr="00A578BB" w:rsidRDefault="00A578BB" w:rsidP="00180FD1">
      <w:pPr>
        <w:pStyle w:val="ListParagraph"/>
        <w:numPr>
          <w:ilvl w:val="0"/>
          <w:numId w:val="26"/>
        </w:numPr>
        <w:tabs>
          <w:tab w:val="left" w:pos="100"/>
        </w:tabs>
        <w:autoSpaceDE w:val="0"/>
        <w:autoSpaceDN w:val="0"/>
        <w:adjustRightInd w:val="0"/>
        <w:spacing w:before="120" w:after="120"/>
        <w:rPr>
          <w:rFonts w:ascii="Calibri" w:hAnsi="Calibri"/>
        </w:rPr>
      </w:pPr>
      <w:r>
        <w:rPr>
          <w:rFonts w:ascii="Calibri" w:hAnsi="Calibri"/>
          <w:color w:val="000000"/>
        </w:rPr>
        <w:t>[</w:t>
      </w:r>
      <w:r w:rsidRPr="00A578BB">
        <w:rPr>
          <w:rFonts w:ascii="Calibri" w:hAnsi="Calibri"/>
          <w:color w:val="000000"/>
        </w:rPr>
        <w:t>the X</w:t>
      </w:r>
      <w:r>
        <w:rPr>
          <w:rFonts w:ascii="Calibri" w:hAnsi="Calibri"/>
          <w:color w:val="000000"/>
        </w:rPr>
        <w:t>YZ Appointive Trust</w:t>
      </w:r>
      <w:r w:rsidRPr="00A578BB">
        <w:rPr>
          <w:rFonts w:ascii="Calibri" w:hAnsi="Calibri"/>
          <w:color w:val="000000"/>
        </w:rPr>
        <w:t>]</w:t>
      </w:r>
      <w:r>
        <w:rPr>
          <w:rFonts w:ascii="Calibri" w:hAnsi="Calibri"/>
          <w:color w:val="000000"/>
        </w:rPr>
        <w:t xml:space="preserve">, </w:t>
      </w:r>
      <w:r w:rsidR="005476CE" w:rsidRPr="00A578BB">
        <w:rPr>
          <w:rFonts w:ascii="Calibri" w:hAnsi="Calibri"/>
          <w:color w:val="000000"/>
        </w:rPr>
        <w:t xml:space="preserve">which shall be identical to the subtrust under </w:t>
      </w:r>
      <w:r w:rsidR="00001812" w:rsidRPr="00A578BB">
        <w:rPr>
          <w:rFonts w:ascii="Calibri" w:hAnsi="Calibri"/>
          <w:color w:val="000000"/>
        </w:rPr>
        <w:t xml:space="preserve">Article III, Paragraph A of </w:t>
      </w:r>
      <w:r w:rsidR="005476CE" w:rsidRPr="00A578BB">
        <w:rPr>
          <w:rFonts w:ascii="Calibri" w:hAnsi="Calibri"/>
          <w:color w:val="000000"/>
        </w:rPr>
        <w:t>the XYZ</w:t>
      </w:r>
      <w:r w:rsidR="00001812" w:rsidRPr="00A578BB">
        <w:rPr>
          <w:rFonts w:ascii="Calibri" w:hAnsi="Calibri"/>
          <w:color w:val="000000"/>
        </w:rPr>
        <w:t xml:space="preserve"> Trust dated XX/XX/XXXX</w:t>
      </w:r>
      <w:r>
        <w:rPr>
          <w:rFonts w:ascii="Calibri" w:hAnsi="Calibri"/>
          <w:color w:val="000000"/>
        </w:rPr>
        <w:t>, which</w:t>
      </w:r>
      <w:r w:rsidR="005476CE" w:rsidRPr="00A578BB">
        <w:rPr>
          <w:rFonts w:ascii="Calibri" w:hAnsi="Calibri"/>
          <w:color w:val="000000"/>
        </w:rPr>
        <w:t xml:space="preserve"> terms are incorporated herein</w:t>
      </w:r>
      <w:r w:rsidR="00001812" w:rsidRPr="00A578BB">
        <w:rPr>
          <w:rFonts w:ascii="Calibri" w:hAnsi="Calibri"/>
          <w:color w:val="000000"/>
        </w:rPr>
        <w:t>,</w:t>
      </w:r>
      <w:r w:rsidR="005476CE" w:rsidRPr="00A578BB">
        <w:rPr>
          <w:rFonts w:ascii="Calibri" w:hAnsi="Calibri"/>
          <w:color w:val="000000"/>
        </w:rPr>
        <w:t xml:space="preserve"> with the exc</w:t>
      </w:r>
      <w:r w:rsidR="00001812" w:rsidRPr="00A578BB">
        <w:rPr>
          <w:rFonts w:ascii="Calibri" w:hAnsi="Calibri"/>
          <w:color w:val="000000"/>
        </w:rPr>
        <w:t xml:space="preserve">eption that this trust shall have the following additional paragraph applied: “During my child’s </w:t>
      </w:r>
      <w:r>
        <w:rPr>
          <w:rFonts w:ascii="Calibri" w:hAnsi="Calibri"/>
          <w:color w:val="000000"/>
        </w:rPr>
        <w:t xml:space="preserve">[beneficiary’s] </w:t>
      </w:r>
      <w:r w:rsidR="00001812" w:rsidRPr="00A578BB">
        <w:rPr>
          <w:rFonts w:ascii="Calibri" w:hAnsi="Calibri"/>
          <w:color w:val="000000"/>
        </w:rPr>
        <w:t xml:space="preserve">lifetime, my child shall have </w:t>
      </w:r>
      <w:r w:rsidR="005476CE" w:rsidRPr="00A578BB">
        <w:rPr>
          <w:rFonts w:ascii="Calibri" w:hAnsi="Calibri"/>
          <w:color w:val="000000"/>
        </w:rPr>
        <w:t xml:space="preserve">a presently exercisable general power </w:t>
      </w:r>
      <w:r w:rsidR="00001812" w:rsidRPr="00A578BB">
        <w:rPr>
          <w:rFonts w:ascii="Calibri" w:hAnsi="Calibri"/>
          <w:color w:val="000000"/>
        </w:rPr>
        <w:t>to</w:t>
      </w:r>
      <w:r w:rsidR="005476CE" w:rsidRPr="00A578BB">
        <w:rPr>
          <w:rFonts w:ascii="Calibri" w:hAnsi="Calibri"/>
          <w:color w:val="000000"/>
        </w:rPr>
        <w:t xml:space="preserve"> appoint</w:t>
      </w:r>
      <w:r w:rsidR="00001812" w:rsidRPr="00A578BB">
        <w:rPr>
          <w:rFonts w:ascii="Calibri" w:hAnsi="Calibri"/>
          <w:color w:val="000000"/>
        </w:rPr>
        <w:t xml:space="preserve"> any or all assets of this trust to his or her creditors, to him or herself or to any of my descendants in such amounts or under such terms as my child </w:t>
      </w:r>
      <w:r>
        <w:rPr>
          <w:rFonts w:ascii="Calibri" w:hAnsi="Calibri"/>
          <w:color w:val="000000"/>
        </w:rPr>
        <w:t xml:space="preserve">[beneficiary] </w:t>
      </w:r>
      <w:r w:rsidR="00001812" w:rsidRPr="00A578BB">
        <w:rPr>
          <w:rFonts w:ascii="Calibri" w:hAnsi="Calibri"/>
          <w:color w:val="000000"/>
        </w:rPr>
        <w:t>deems appropriate.”</w:t>
      </w:r>
      <w:r w:rsidR="005476CE" w:rsidRPr="00A578BB">
        <w:rPr>
          <w:rFonts w:ascii="Calibri" w:hAnsi="Calibri"/>
          <w:color w:val="000000"/>
        </w:rPr>
        <w:t xml:space="preserve"> </w:t>
      </w:r>
      <w:r w:rsidR="008A1FC3" w:rsidRPr="00A578BB">
        <w:rPr>
          <w:rFonts w:ascii="Calibri" w:hAnsi="Calibri"/>
          <w:color w:val="000000"/>
        </w:rPr>
        <w:t xml:space="preserve"> </w:t>
      </w:r>
    </w:p>
    <w:p w14:paraId="537F18C4" w14:textId="77777777" w:rsidR="008A1FC3" w:rsidRPr="00230559" w:rsidRDefault="00B30D29" w:rsidP="004358A1">
      <w:pPr>
        <w:tabs>
          <w:tab w:val="num" w:pos="300"/>
        </w:tabs>
        <w:rPr>
          <w:rFonts w:ascii="Calibri" w:hAnsi="Calibri"/>
          <w:color w:val="000000"/>
        </w:rPr>
      </w:pPr>
      <w:r>
        <w:rPr>
          <w:rFonts w:ascii="Calibri" w:hAnsi="Calibri"/>
          <w:color w:val="000000"/>
        </w:rPr>
        <w:t>COPY LANGUAG</w:t>
      </w:r>
      <w:r w:rsidR="001E5801">
        <w:rPr>
          <w:rFonts w:ascii="Calibri" w:hAnsi="Calibri"/>
          <w:color w:val="000000"/>
        </w:rPr>
        <w:t>E FROM FORMULA GPOA ABOVE HERE (inclusive or exclusive definition)</w:t>
      </w:r>
    </w:p>
    <w:p w14:paraId="4DE5E80D" w14:textId="77777777" w:rsidR="008A1FC3" w:rsidRPr="00230559" w:rsidRDefault="00A54415" w:rsidP="00A54415">
      <w:pPr>
        <w:autoSpaceDE w:val="0"/>
        <w:autoSpaceDN w:val="0"/>
        <w:adjustRightInd w:val="0"/>
        <w:spacing w:before="120" w:after="120"/>
        <w:rPr>
          <w:rFonts w:ascii="Calibri" w:hAnsi="Calibri"/>
          <w:color w:val="FF6600"/>
        </w:rPr>
      </w:pPr>
      <w:r>
        <w:rPr>
          <w:rFonts w:ascii="Calibri" w:hAnsi="Calibri"/>
          <w:color w:val="008080"/>
        </w:rPr>
        <w:t xml:space="preserve">2) </w:t>
      </w:r>
      <w:r>
        <w:rPr>
          <w:rFonts w:ascii="Calibri" w:hAnsi="Calibri"/>
          <w:color w:val="000000"/>
        </w:rPr>
        <w:t>I hereby appoint all remaining assets</w:t>
      </w:r>
      <w:r w:rsidR="006A03E8">
        <w:rPr>
          <w:rFonts w:ascii="Calibri" w:hAnsi="Calibri"/>
          <w:color w:val="000000"/>
        </w:rPr>
        <w:t xml:space="preserve"> of the XXXX trust that were not appointed in Paragraph 1</w:t>
      </w:r>
      <w:r>
        <w:rPr>
          <w:rFonts w:ascii="Calibri" w:hAnsi="Calibri"/>
          <w:color w:val="000000"/>
        </w:rPr>
        <w:t xml:space="preserve"> to the [Surviving Spouse’s Trust that does NOT grant anyone a PEG Power</w:t>
      </w:r>
      <w:r w:rsidR="00BD459A">
        <w:rPr>
          <w:rFonts w:ascii="Calibri" w:hAnsi="Calibri"/>
          <w:color w:val="000000"/>
        </w:rPr>
        <w:t>, and the trust that would probably be allocated any GST exemption</w:t>
      </w:r>
      <w:r w:rsidR="00A578BB">
        <w:rPr>
          <w:rFonts w:ascii="Calibri" w:hAnsi="Calibri"/>
          <w:color w:val="000000"/>
        </w:rPr>
        <w:t>] [or simply don’t appoint the other assets at all and let them pass via residuary]</w:t>
      </w:r>
      <w:r>
        <w:rPr>
          <w:rFonts w:ascii="Calibri" w:hAnsi="Calibri"/>
          <w:color w:val="000000"/>
        </w:rPr>
        <w:t xml:space="preserve"> </w:t>
      </w:r>
    </w:p>
    <w:p w14:paraId="08041431" w14:textId="77777777" w:rsidR="00C62C1C" w:rsidRPr="00C62C1C" w:rsidRDefault="00C62C1C" w:rsidP="00C62C1C">
      <w:pPr>
        <w:tabs>
          <w:tab w:val="left" w:pos="100"/>
        </w:tabs>
        <w:autoSpaceDE w:val="0"/>
        <w:autoSpaceDN w:val="0"/>
        <w:adjustRightInd w:val="0"/>
        <w:spacing w:before="120" w:after="120"/>
        <w:rPr>
          <w:rFonts w:ascii="Calibri" w:hAnsi="Calibri"/>
        </w:rPr>
      </w:pPr>
    </w:p>
    <w:p w14:paraId="1F874AA2" w14:textId="77777777" w:rsidR="00C26F91" w:rsidRDefault="00C26F91" w:rsidP="00C26F91">
      <w:pPr>
        <w:tabs>
          <w:tab w:val="left" w:pos="100"/>
        </w:tabs>
        <w:autoSpaceDE w:val="0"/>
        <w:autoSpaceDN w:val="0"/>
        <w:adjustRightInd w:val="0"/>
        <w:spacing w:before="120" w:after="120"/>
        <w:jc w:val="center"/>
        <w:rPr>
          <w:rFonts w:ascii="Calibri" w:hAnsi="Calibri"/>
          <w:b/>
        </w:rPr>
      </w:pPr>
      <w:r>
        <w:rPr>
          <w:sz w:val="18"/>
          <w:szCs w:val="18"/>
          <w:lang w:val="en"/>
        </w:rPr>
        <w:br w:type="page"/>
      </w:r>
      <w:r w:rsidRPr="00230559">
        <w:rPr>
          <w:rFonts w:ascii="Calibri" w:hAnsi="Calibri"/>
          <w:b/>
        </w:rPr>
        <w:lastRenderedPageBreak/>
        <w:t xml:space="preserve">Sample Language for </w:t>
      </w:r>
      <w:r>
        <w:rPr>
          <w:rFonts w:ascii="Calibri" w:hAnsi="Calibri"/>
          <w:b/>
        </w:rPr>
        <w:t>an L</w:t>
      </w:r>
      <w:r w:rsidRPr="00230559">
        <w:rPr>
          <w:rFonts w:ascii="Calibri" w:hAnsi="Calibri"/>
          <w:b/>
        </w:rPr>
        <w:t xml:space="preserve">POA </w:t>
      </w:r>
      <w:r>
        <w:rPr>
          <w:rFonts w:ascii="Calibri" w:hAnsi="Calibri"/>
          <w:b/>
        </w:rPr>
        <w:t>in a</w:t>
      </w:r>
      <w:r w:rsidRPr="00230559">
        <w:rPr>
          <w:rFonts w:ascii="Calibri" w:hAnsi="Calibri"/>
          <w:b/>
        </w:rPr>
        <w:t xml:space="preserve"> Bypass (Family) Trust</w:t>
      </w:r>
      <w:r>
        <w:rPr>
          <w:rFonts w:ascii="Calibri" w:hAnsi="Calibri"/>
          <w:b/>
        </w:rPr>
        <w:t xml:space="preserve"> Designed to be Eligible to be Retained Even When Trust is Funded Via Qualified Disclaimer – Still Allowing the Surviving Spouse Dispositive Control in Order to Trigger the Delaware Tax Trap to Adjust Basis for Appreciated Assets</w:t>
      </w:r>
    </w:p>
    <w:p w14:paraId="2446F07C" w14:textId="77777777" w:rsidR="00C26F91" w:rsidRPr="00566357" w:rsidRDefault="00C26F91" w:rsidP="0062164E">
      <w:pPr>
        <w:tabs>
          <w:tab w:val="left" w:pos="100"/>
        </w:tabs>
        <w:autoSpaceDE w:val="0"/>
        <w:autoSpaceDN w:val="0"/>
        <w:adjustRightInd w:val="0"/>
        <w:spacing w:before="120" w:after="120"/>
        <w:rPr>
          <w:rFonts w:ascii="Calibri" w:hAnsi="Calibri"/>
          <w:color w:val="984806"/>
        </w:rPr>
      </w:pPr>
      <w:r w:rsidRPr="00566357">
        <w:rPr>
          <w:rFonts w:ascii="Calibri" w:hAnsi="Calibri"/>
          <w:color w:val="984806"/>
        </w:rPr>
        <w:t xml:space="preserve">(see discussion </w:t>
      </w:r>
      <w:r w:rsidR="000568C6" w:rsidRPr="00566357">
        <w:rPr>
          <w:rFonts w:ascii="Calibri" w:hAnsi="Calibri"/>
          <w:color w:val="984806"/>
        </w:rPr>
        <w:t>in Part IV</w:t>
      </w:r>
      <w:r w:rsidR="0062164E" w:rsidRPr="00566357">
        <w:rPr>
          <w:rFonts w:ascii="Calibri" w:hAnsi="Calibri"/>
          <w:color w:val="984806"/>
        </w:rPr>
        <w:t xml:space="preserve"> – remember, limited LIFETIME powers might trigger a gift tax if the powerholder has a mandatory </w:t>
      </w:r>
      <w:r w:rsidR="00727502" w:rsidRPr="00566357">
        <w:rPr>
          <w:rFonts w:ascii="Calibri" w:hAnsi="Calibri"/>
          <w:color w:val="984806"/>
        </w:rPr>
        <w:t xml:space="preserve">income </w:t>
      </w:r>
      <w:r w:rsidR="0062164E" w:rsidRPr="00566357">
        <w:rPr>
          <w:rFonts w:ascii="Calibri" w:hAnsi="Calibri"/>
          <w:color w:val="984806"/>
        </w:rPr>
        <w:t xml:space="preserve">interest even if DTT is </w:t>
      </w:r>
      <w:r w:rsidR="00727502" w:rsidRPr="00566357">
        <w:rPr>
          <w:rFonts w:ascii="Calibri" w:hAnsi="Calibri"/>
          <w:color w:val="984806"/>
        </w:rPr>
        <w:t xml:space="preserve">not </w:t>
      </w:r>
      <w:r w:rsidR="0062164E" w:rsidRPr="00566357">
        <w:rPr>
          <w:rFonts w:ascii="Calibri" w:hAnsi="Calibri"/>
          <w:color w:val="984806"/>
        </w:rPr>
        <w:t xml:space="preserve">triggered– if it is done in such a way </w:t>
      </w:r>
      <w:r w:rsidR="002B7E3F" w:rsidRPr="00566357">
        <w:rPr>
          <w:rFonts w:ascii="Calibri" w:hAnsi="Calibri"/>
          <w:color w:val="984806"/>
        </w:rPr>
        <w:t xml:space="preserve">as </w:t>
      </w:r>
      <w:r w:rsidR="0062164E" w:rsidRPr="00566357">
        <w:rPr>
          <w:rFonts w:ascii="Calibri" w:hAnsi="Calibri"/>
          <w:color w:val="984806"/>
        </w:rPr>
        <w:t>to trigger the DTT, it DOES trigger a taxable gift under IRC §2514</w:t>
      </w:r>
      <w:r w:rsidR="002B7E3F" w:rsidRPr="00566357">
        <w:rPr>
          <w:rFonts w:ascii="Calibri" w:hAnsi="Calibri"/>
          <w:color w:val="984806"/>
        </w:rPr>
        <w:t>, regardless of whether a spouse has mandatory income interest</w:t>
      </w:r>
      <w:r w:rsidR="0062164E" w:rsidRPr="00566357">
        <w:rPr>
          <w:rFonts w:ascii="Calibri" w:hAnsi="Calibri"/>
          <w:color w:val="984806"/>
        </w:rPr>
        <w:t xml:space="preserve"> – but many spouses couldn’t care less – the income tax benefit of spraying income may </w:t>
      </w:r>
      <w:r w:rsidR="002B7E3F" w:rsidRPr="00566357">
        <w:rPr>
          <w:rFonts w:ascii="Calibri" w:hAnsi="Calibri"/>
          <w:color w:val="984806"/>
        </w:rPr>
        <w:t xml:space="preserve">far </w:t>
      </w:r>
      <w:r w:rsidR="0062164E" w:rsidRPr="00566357">
        <w:rPr>
          <w:rFonts w:ascii="Calibri" w:hAnsi="Calibri"/>
          <w:color w:val="984806"/>
        </w:rPr>
        <w:t>outweigh any gift tax ramifications</w:t>
      </w:r>
      <w:r w:rsidRPr="00566357">
        <w:rPr>
          <w:rFonts w:ascii="Calibri" w:hAnsi="Calibri"/>
          <w:color w:val="984806"/>
        </w:rPr>
        <w:t>)</w:t>
      </w:r>
    </w:p>
    <w:p w14:paraId="50849166" w14:textId="77777777" w:rsidR="008E5C54" w:rsidRPr="00ED6B21" w:rsidRDefault="008E5C54" w:rsidP="00FA28E9">
      <w:pPr>
        <w:rPr>
          <w:rFonts w:ascii="Calibri" w:hAnsi="Calibri"/>
          <w:lang w:val="en"/>
        </w:rPr>
      </w:pPr>
    </w:p>
    <w:p w14:paraId="08CAD36B" w14:textId="77777777" w:rsidR="00C26F91" w:rsidRDefault="00ED6B21" w:rsidP="00FA28E9">
      <w:pPr>
        <w:rPr>
          <w:rFonts w:ascii="Calibri" w:hAnsi="Calibri"/>
          <w:color w:val="000000"/>
        </w:rPr>
      </w:pPr>
      <w:r w:rsidRPr="00ED6B21">
        <w:rPr>
          <w:rFonts w:ascii="Calibri" w:hAnsi="Calibri"/>
          <w:lang w:val="en"/>
        </w:rPr>
        <w:t>During my spouse’s lifetime</w:t>
      </w:r>
      <w:r w:rsidR="00500959">
        <w:rPr>
          <w:rFonts w:ascii="Calibri" w:hAnsi="Calibri"/>
          <w:lang w:val="en"/>
        </w:rPr>
        <w:t xml:space="preserve"> and upon my spouse’s death</w:t>
      </w:r>
      <w:r w:rsidRPr="00ED6B21">
        <w:rPr>
          <w:rFonts w:ascii="Calibri" w:hAnsi="Calibri"/>
          <w:lang w:val="en"/>
        </w:rPr>
        <w:t xml:space="preserve">, my spouse shall have </w:t>
      </w:r>
      <w:r>
        <w:rPr>
          <w:rFonts w:ascii="Calibri" w:hAnsi="Calibri"/>
          <w:lang w:val="en"/>
        </w:rPr>
        <w:t xml:space="preserve">the power to appoint, from income or principal, in cash or in kind, </w:t>
      </w:r>
      <w:r w:rsidR="00500959">
        <w:rPr>
          <w:rFonts w:ascii="Calibri" w:hAnsi="Calibri"/>
          <w:color w:val="000000"/>
        </w:rPr>
        <w:t xml:space="preserve">all </w:t>
      </w:r>
      <w:r w:rsidR="00500959" w:rsidRPr="00230559">
        <w:rPr>
          <w:rFonts w:ascii="Calibri" w:hAnsi="Calibri"/>
          <w:color w:val="000000"/>
        </w:rPr>
        <w:t xml:space="preserve">assets </w:t>
      </w:r>
      <w:r w:rsidR="00500959">
        <w:rPr>
          <w:rFonts w:ascii="Calibri" w:hAnsi="Calibri"/>
          <w:color w:val="000000"/>
        </w:rPr>
        <w:t xml:space="preserve">of this trust </w:t>
      </w:r>
      <w:r w:rsidR="00500959" w:rsidRPr="00230559">
        <w:rPr>
          <w:rFonts w:ascii="Calibri" w:hAnsi="Calibri"/>
          <w:color w:val="000000"/>
        </w:rPr>
        <w:t xml:space="preserve">to </w:t>
      </w:r>
      <w:r w:rsidR="00500959">
        <w:rPr>
          <w:rFonts w:ascii="Calibri" w:hAnsi="Calibri"/>
          <w:color w:val="000000"/>
        </w:rPr>
        <w:t xml:space="preserve">a trust or trusts for </w:t>
      </w:r>
      <w:r w:rsidR="00BD459A">
        <w:rPr>
          <w:rFonts w:ascii="Calibri" w:hAnsi="Calibri"/>
          <w:color w:val="000000"/>
        </w:rPr>
        <w:t xml:space="preserve">any or all of </w:t>
      </w:r>
      <w:r w:rsidR="00500959" w:rsidRPr="00230559">
        <w:rPr>
          <w:rFonts w:ascii="Calibri" w:hAnsi="Calibri"/>
          <w:color w:val="000000"/>
        </w:rPr>
        <w:t>my descendants</w:t>
      </w:r>
      <w:r w:rsidR="00500959">
        <w:rPr>
          <w:rFonts w:ascii="Calibri" w:hAnsi="Calibri"/>
          <w:color w:val="000000"/>
        </w:rPr>
        <w:t xml:space="preserve"> that qualifies the transfer as a taxable gift or bequest under IRC §2514(e) or §2041(a)(3)</w:t>
      </w:r>
      <w:r w:rsidR="00990F02">
        <w:rPr>
          <w:rFonts w:ascii="Calibri" w:hAnsi="Calibri"/>
          <w:color w:val="000000"/>
        </w:rPr>
        <w:t>, such as a trust for my descendant that grants my descendant a presently exercisable general power of appointment</w:t>
      </w:r>
      <w:r w:rsidR="001B2162">
        <w:rPr>
          <w:rFonts w:ascii="Calibri" w:hAnsi="Calibri"/>
          <w:color w:val="000000"/>
        </w:rPr>
        <w:t xml:space="preserve"> or a trust that would otherwise trigger taxable gifts/bequests under applicable state law</w:t>
      </w:r>
      <w:r w:rsidR="00500959">
        <w:rPr>
          <w:rFonts w:ascii="Calibri" w:hAnsi="Calibri"/>
          <w:color w:val="000000"/>
        </w:rPr>
        <w:t xml:space="preserve">.  All other appointees are excluded, </w:t>
      </w:r>
      <w:r w:rsidR="00500959" w:rsidRPr="00230559">
        <w:rPr>
          <w:rFonts w:ascii="Calibri" w:hAnsi="Calibri"/>
          <w:color w:val="000000"/>
        </w:rPr>
        <w:t xml:space="preserve">specifically my spouse, my spouse’s estate, my spouse’s creditors, </w:t>
      </w:r>
      <w:r w:rsidR="000638C6">
        <w:rPr>
          <w:rFonts w:ascii="Calibri" w:hAnsi="Calibri"/>
          <w:color w:val="000000"/>
        </w:rPr>
        <w:t>and</w:t>
      </w:r>
      <w:r w:rsidR="00500959" w:rsidRPr="00230559">
        <w:rPr>
          <w:rFonts w:ascii="Calibri" w:hAnsi="Calibri"/>
          <w:color w:val="000000"/>
        </w:rPr>
        <w:t xml:space="preserve"> creditors of my spouse’s estate</w:t>
      </w:r>
      <w:r w:rsidR="001B2162">
        <w:rPr>
          <w:rFonts w:ascii="Calibri" w:hAnsi="Calibri"/>
          <w:color w:val="000000"/>
        </w:rPr>
        <w:t>, in addition to any other party not described above</w:t>
      </w:r>
      <w:r w:rsidR="00500959">
        <w:rPr>
          <w:rFonts w:ascii="Calibri" w:hAnsi="Calibri"/>
          <w:color w:val="000000"/>
        </w:rPr>
        <w:t>.</w:t>
      </w:r>
    </w:p>
    <w:p w14:paraId="681D6FC8" w14:textId="77777777" w:rsidR="002B7E3F" w:rsidRDefault="002B7E3F" w:rsidP="00FA28E9">
      <w:pPr>
        <w:rPr>
          <w:rFonts w:ascii="Calibri" w:hAnsi="Calibri"/>
          <w:color w:val="000000"/>
        </w:rPr>
      </w:pPr>
    </w:p>
    <w:p w14:paraId="4C564989" w14:textId="77777777" w:rsidR="002B7E3F" w:rsidRPr="00ED6B21" w:rsidRDefault="002B7E3F" w:rsidP="00FA28E9">
      <w:pPr>
        <w:rPr>
          <w:rFonts w:ascii="Calibri" w:hAnsi="Calibri"/>
          <w:lang w:val="en"/>
        </w:rPr>
      </w:pPr>
      <w:r>
        <w:rPr>
          <w:rFonts w:ascii="Calibri" w:hAnsi="Calibri"/>
          <w:color w:val="000000"/>
        </w:rPr>
        <w:t xml:space="preserve">In addition, during my spouse’s lifetime, my spouse shall have the power to appoint, from income or principal, in cash or in kind, assets of this trust to any or all of my </w:t>
      </w:r>
      <w:r w:rsidR="000638C6">
        <w:rPr>
          <w:rFonts w:ascii="Calibri" w:hAnsi="Calibri"/>
          <w:color w:val="000000"/>
        </w:rPr>
        <w:t>descendants</w:t>
      </w:r>
      <w:r>
        <w:rPr>
          <w:rFonts w:ascii="Calibri" w:hAnsi="Calibri"/>
          <w:color w:val="000000"/>
        </w:rPr>
        <w:t>,</w:t>
      </w:r>
      <w:r w:rsidRPr="002B7E3F">
        <w:rPr>
          <w:rFonts w:ascii="Calibri" w:hAnsi="Calibri"/>
        </w:rPr>
        <w:t xml:space="preserve"> </w:t>
      </w:r>
      <w:r>
        <w:rPr>
          <w:rFonts w:ascii="Calibri" w:hAnsi="Calibri"/>
        </w:rPr>
        <w:t xml:space="preserve">but limited to amounts necessary for their health, education or support.  This paragraph should not be interpreted to grant my permitted appointees any property interest as a result of being a permitted appointee, and my spouse shall have no fiduciary duty whatsoever to them during my spouse’s lifetime under this paragraph.  The above limitations shall serve as a ceiling </w:t>
      </w:r>
      <w:r w:rsidR="00044165">
        <w:rPr>
          <w:rFonts w:ascii="Calibri" w:hAnsi="Calibri"/>
        </w:rPr>
        <w:t>to limit</w:t>
      </w:r>
      <w:r w:rsidR="000638C6">
        <w:rPr>
          <w:rFonts w:ascii="Calibri" w:hAnsi="Calibri"/>
        </w:rPr>
        <w:t xml:space="preserve"> my spouse’s ability to direct the beneficial enjoyment of property pursuant to Treas. Reg. §25.2518(e)(2)</w:t>
      </w:r>
      <w:r w:rsidR="00956228">
        <w:rPr>
          <w:rFonts w:ascii="Calibri" w:hAnsi="Calibri"/>
        </w:rPr>
        <w:t xml:space="preserve"> and (e)(5) E</w:t>
      </w:r>
      <w:r w:rsidR="000638C6">
        <w:rPr>
          <w:rFonts w:ascii="Calibri" w:hAnsi="Calibri"/>
        </w:rPr>
        <w:t>xample 6.</w:t>
      </w:r>
    </w:p>
    <w:p w14:paraId="254FEC9B" w14:textId="77777777" w:rsidR="00C26F91" w:rsidRDefault="00C26F91" w:rsidP="00FA28E9">
      <w:pPr>
        <w:rPr>
          <w:sz w:val="18"/>
          <w:szCs w:val="18"/>
          <w:lang w:val="en"/>
        </w:rPr>
      </w:pPr>
    </w:p>
    <w:p w14:paraId="0634B600" w14:textId="77777777" w:rsidR="00500959" w:rsidRDefault="000638C6" w:rsidP="00500959">
      <w:pPr>
        <w:tabs>
          <w:tab w:val="left" w:pos="100"/>
        </w:tabs>
        <w:autoSpaceDE w:val="0"/>
        <w:autoSpaceDN w:val="0"/>
        <w:adjustRightInd w:val="0"/>
        <w:spacing w:before="120" w:after="120"/>
        <w:rPr>
          <w:rFonts w:ascii="Calibri" w:hAnsi="Calibri"/>
        </w:rPr>
      </w:pPr>
      <w:r>
        <w:rPr>
          <w:rFonts w:ascii="Calibri" w:hAnsi="Calibri"/>
        </w:rPr>
        <w:t>The above power of appointment</w:t>
      </w:r>
      <w:r w:rsidR="00500959">
        <w:rPr>
          <w:rFonts w:ascii="Calibri" w:hAnsi="Calibri"/>
        </w:rPr>
        <w:t xml:space="preserve"> is intended to be retained while still qualifying </w:t>
      </w:r>
      <w:r w:rsidR="00BD459A">
        <w:rPr>
          <w:rFonts w:ascii="Calibri" w:hAnsi="Calibri"/>
        </w:rPr>
        <w:t xml:space="preserve">any </w:t>
      </w:r>
      <w:r w:rsidR="00500959">
        <w:rPr>
          <w:rFonts w:ascii="Calibri" w:hAnsi="Calibri"/>
        </w:rPr>
        <w:t xml:space="preserve">transfers made to this trust </w:t>
      </w:r>
      <w:r w:rsidR="00BD459A">
        <w:rPr>
          <w:rFonts w:ascii="Calibri" w:hAnsi="Calibri"/>
        </w:rPr>
        <w:t xml:space="preserve">pursuant to my spouse’s </w:t>
      </w:r>
      <w:r w:rsidR="00500959">
        <w:rPr>
          <w:rFonts w:ascii="Calibri" w:hAnsi="Calibri"/>
        </w:rPr>
        <w:t>disclaimer</w:t>
      </w:r>
      <w:r w:rsidR="00BD459A">
        <w:rPr>
          <w:rFonts w:ascii="Calibri" w:hAnsi="Calibri"/>
        </w:rPr>
        <w:t>, p</w:t>
      </w:r>
      <w:r w:rsidR="00500959">
        <w:rPr>
          <w:rFonts w:ascii="Calibri" w:hAnsi="Calibri"/>
        </w:rPr>
        <w:t xml:space="preserve">ursuant to IRC § 2518 and the exception for retained spousal rights to direct the beneficial enjoyment of property under Treas. Reg. </w:t>
      </w:r>
      <w:r>
        <w:rPr>
          <w:rFonts w:ascii="Calibri" w:hAnsi="Calibri"/>
        </w:rPr>
        <w:t>§</w:t>
      </w:r>
      <w:r w:rsidR="00500959">
        <w:rPr>
          <w:rFonts w:ascii="Calibri" w:hAnsi="Calibri"/>
        </w:rPr>
        <w:t>25.2518(e)(2)</w:t>
      </w:r>
      <w:r w:rsidR="00BD459A">
        <w:rPr>
          <w:rFonts w:ascii="Calibri" w:hAnsi="Calibri"/>
        </w:rPr>
        <w:t>.  It</w:t>
      </w:r>
      <w:r w:rsidR="00500959">
        <w:rPr>
          <w:rFonts w:ascii="Calibri" w:hAnsi="Calibri"/>
        </w:rPr>
        <w:t xml:space="preserve"> shall be interpreted accordingly.</w:t>
      </w:r>
    </w:p>
    <w:p w14:paraId="2F36E09D" w14:textId="77777777" w:rsidR="00C26F91" w:rsidRDefault="00C26F91" w:rsidP="00FA28E9">
      <w:pPr>
        <w:rPr>
          <w:sz w:val="18"/>
          <w:szCs w:val="18"/>
          <w:lang w:val="en"/>
        </w:rPr>
      </w:pPr>
    </w:p>
    <w:p w14:paraId="6753ACDE" w14:textId="77777777" w:rsidR="00C26F91" w:rsidRDefault="00C26F91" w:rsidP="00FA28E9">
      <w:pPr>
        <w:rPr>
          <w:sz w:val="18"/>
          <w:szCs w:val="18"/>
          <w:lang w:val="en"/>
        </w:rPr>
      </w:pPr>
    </w:p>
    <w:p w14:paraId="101BA595" w14:textId="77777777" w:rsidR="00412A80" w:rsidRDefault="00556047" w:rsidP="00720C7D">
      <w:pPr>
        <w:tabs>
          <w:tab w:val="left" w:pos="100"/>
        </w:tabs>
        <w:autoSpaceDE w:val="0"/>
        <w:autoSpaceDN w:val="0"/>
        <w:adjustRightInd w:val="0"/>
        <w:spacing w:before="120" w:after="120"/>
        <w:jc w:val="center"/>
        <w:rPr>
          <w:rFonts w:ascii="Calibri" w:hAnsi="Calibri"/>
          <w:b/>
        </w:rPr>
      </w:pPr>
      <w:r>
        <w:rPr>
          <w:rFonts w:ascii="Calibri" w:hAnsi="Calibri"/>
          <w:b/>
        </w:rPr>
        <w:br w:type="page"/>
      </w:r>
    </w:p>
    <w:p w14:paraId="0FABEBF2" w14:textId="77777777" w:rsidR="00412A80" w:rsidRPr="00412A80" w:rsidRDefault="00412A80" w:rsidP="00720C7D">
      <w:pPr>
        <w:tabs>
          <w:tab w:val="left" w:pos="100"/>
        </w:tabs>
        <w:autoSpaceDE w:val="0"/>
        <w:autoSpaceDN w:val="0"/>
        <w:adjustRightInd w:val="0"/>
        <w:spacing w:before="120" w:after="120"/>
        <w:jc w:val="center"/>
        <w:rPr>
          <w:rFonts w:ascii="Calibri" w:hAnsi="Calibri"/>
          <w:b/>
          <w:sz w:val="28"/>
        </w:rPr>
      </w:pPr>
      <w:r w:rsidRPr="00412A80">
        <w:rPr>
          <w:rFonts w:ascii="Calibri" w:hAnsi="Calibri"/>
          <w:b/>
          <w:sz w:val="28"/>
        </w:rPr>
        <w:lastRenderedPageBreak/>
        <w:t>A Simple Idea: Tax Shifting of Inherited Retirement Plan Distributions</w:t>
      </w:r>
    </w:p>
    <w:p w14:paraId="518759D6" w14:textId="77777777" w:rsidR="00720C7D" w:rsidRDefault="00412A80" w:rsidP="00720C7D">
      <w:pPr>
        <w:tabs>
          <w:tab w:val="left" w:pos="100"/>
        </w:tabs>
        <w:autoSpaceDE w:val="0"/>
        <w:autoSpaceDN w:val="0"/>
        <w:adjustRightInd w:val="0"/>
        <w:spacing w:before="120" w:after="120"/>
        <w:jc w:val="center"/>
        <w:rPr>
          <w:rFonts w:ascii="Calibri" w:hAnsi="Calibri"/>
          <w:b/>
        </w:rPr>
      </w:pPr>
      <w:r>
        <w:rPr>
          <w:rFonts w:ascii="Calibri" w:hAnsi="Calibri"/>
          <w:b/>
        </w:rPr>
        <w:t>Sample l</w:t>
      </w:r>
      <w:r w:rsidR="00720C7D" w:rsidRPr="00230559">
        <w:rPr>
          <w:rFonts w:ascii="Calibri" w:hAnsi="Calibri"/>
          <w:b/>
        </w:rPr>
        <w:t xml:space="preserve">anguage for </w:t>
      </w:r>
      <w:r w:rsidR="00720C7D">
        <w:rPr>
          <w:rFonts w:ascii="Calibri" w:hAnsi="Calibri"/>
          <w:b/>
        </w:rPr>
        <w:t>a lifetime limited power of appointment</w:t>
      </w:r>
      <w:r w:rsidR="00720C7D" w:rsidRPr="00230559">
        <w:rPr>
          <w:rFonts w:ascii="Calibri" w:hAnsi="Calibri"/>
          <w:b/>
        </w:rPr>
        <w:t xml:space="preserve"> </w:t>
      </w:r>
      <w:r w:rsidR="00720C7D">
        <w:rPr>
          <w:rFonts w:ascii="Calibri" w:hAnsi="Calibri"/>
          <w:b/>
        </w:rPr>
        <w:t>in a</w:t>
      </w:r>
      <w:r w:rsidR="00720C7D" w:rsidRPr="00230559">
        <w:rPr>
          <w:rFonts w:ascii="Calibri" w:hAnsi="Calibri"/>
          <w:b/>
        </w:rPr>
        <w:t xml:space="preserve"> Bypass (Family) Trust</w:t>
      </w:r>
      <w:r w:rsidR="00720C7D">
        <w:rPr>
          <w:rFonts w:ascii="Calibri" w:hAnsi="Calibri"/>
          <w:b/>
        </w:rPr>
        <w:t xml:space="preserve"> </w:t>
      </w:r>
      <w:r w:rsidR="000D4154">
        <w:rPr>
          <w:rFonts w:ascii="Calibri" w:hAnsi="Calibri"/>
          <w:b/>
        </w:rPr>
        <w:t>or a</w:t>
      </w:r>
      <w:r w:rsidR="00720C7D">
        <w:rPr>
          <w:rFonts w:ascii="Calibri" w:hAnsi="Calibri"/>
          <w:b/>
        </w:rPr>
        <w:t xml:space="preserve"> Standalone IRA Trust or other Trust or Subtrust designed and intended to be a designated beneficiary “see through t</w:t>
      </w:r>
      <w:r>
        <w:rPr>
          <w:rFonts w:ascii="Calibri" w:hAnsi="Calibri"/>
          <w:b/>
        </w:rPr>
        <w:t>rust” - enabling the surviving s</w:t>
      </w:r>
      <w:r w:rsidR="00720C7D">
        <w:rPr>
          <w:rFonts w:ascii="Calibri" w:hAnsi="Calibri"/>
          <w:b/>
        </w:rPr>
        <w:t>pouse (or another party if this is a collateral power</w:t>
      </w:r>
      <w:r w:rsidR="00AB5686">
        <w:rPr>
          <w:rFonts w:ascii="Calibri" w:hAnsi="Calibri"/>
          <w:b/>
        </w:rPr>
        <w:t>, or successor beneficiaries</w:t>
      </w:r>
      <w:r w:rsidR="00720C7D">
        <w:rPr>
          <w:rFonts w:ascii="Calibri" w:hAnsi="Calibri"/>
          <w:b/>
        </w:rPr>
        <w:t xml:space="preserve">) to </w:t>
      </w:r>
      <w:r>
        <w:rPr>
          <w:rFonts w:ascii="Calibri" w:hAnsi="Calibri"/>
          <w:b/>
        </w:rPr>
        <w:t>s</w:t>
      </w:r>
      <w:r w:rsidR="00720C7D">
        <w:rPr>
          <w:rFonts w:ascii="Calibri" w:hAnsi="Calibri"/>
          <w:b/>
        </w:rPr>
        <w:t xml:space="preserve">hift </w:t>
      </w:r>
      <w:r w:rsidR="000D4154">
        <w:rPr>
          <w:rFonts w:ascii="Calibri" w:hAnsi="Calibri"/>
          <w:b/>
        </w:rPr>
        <w:t xml:space="preserve">ordinary </w:t>
      </w:r>
      <w:r>
        <w:rPr>
          <w:rFonts w:ascii="Calibri" w:hAnsi="Calibri"/>
          <w:b/>
        </w:rPr>
        <w:t>income t</w:t>
      </w:r>
      <w:r w:rsidR="00720C7D">
        <w:rPr>
          <w:rFonts w:ascii="Calibri" w:hAnsi="Calibri"/>
          <w:b/>
        </w:rPr>
        <w:t>ax</w:t>
      </w:r>
      <w:r w:rsidR="000D4154">
        <w:rPr>
          <w:rFonts w:ascii="Calibri" w:hAnsi="Calibri"/>
          <w:b/>
        </w:rPr>
        <w:t xml:space="preserve"> from inherited IRA distributions</w:t>
      </w:r>
      <w:r w:rsidR="00720C7D">
        <w:rPr>
          <w:rFonts w:ascii="Calibri" w:hAnsi="Calibri"/>
          <w:b/>
        </w:rPr>
        <w:t xml:space="preserve"> to </w:t>
      </w:r>
      <w:r>
        <w:rPr>
          <w:rFonts w:ascii="Calibri" w:hAnsi="Calibri"/>
          <w:b/>
        </w:rPr>
        <w:t>l</w:t>
      </w:r>
      <w:r w:rsidR="00720C7D">
        <w:rPr>
          <w:rFonts w:ascii="Calibri" w:hAnsi="Calibri"/>
          <w:b/>
        </w:rPr>
        <w:t xml:space="preserve">ower </w:t>
      </w:r>
      <w:r>
        <w:rPr>
          <w:rFonts w:ascii="Calibri" w:hAnsi="Calibri"/>
          <w:b/>
        </w:rPr>
        <w:t>g</w:t>
      </w:r>
      <w:r w:rsidR="00720C7D">
        <w:rPr>
          <w:rFonts w:ascii="Calibri" w:hAnsi="Calibri"/>
          <w:b/>
        </w:rPr>
        <w:t xml:space="preserve">enerations in </w:t>
      </w:r>
      <w:r>
        <w:rPr>
          <w:rFonts w:ascii="Calibri" w:hAnsi="Calibri"/>
          <w:b/>
        </w:rPr>
        <w:t>l</w:t>
      </w:r>
      <w:r w:rsidR="00720C7D">
        <w:rPr>
          <w:rFonts w:ascii="Calibri" w:hAnsi="Calibri"/>
          <w:b/>
        </w:rPr>
        <w:t xml:space="preserve">ower </w:t>
      </w:r>
      <w:r>
        <w:rPr>
          <w:rFonts w:ascii="Calibri" w:hAnsi="Calibri"/>
          <w:b/>
        </w:rPr>
        <w:t>tax b</w:t>
      </w:r>
      <w:r w:rsidR="00720C7D">
        <w:rPr>
          <w:rFonts w:ascii="Calibri" w:hAnsi="Calibri"/>
          <w:b/>
        </w:rPr>
        <w:t>rackets</w:t>
      </w:r>
      <w:r w:rsidR="00D7609F">
        <w:rPr>
          <w:rFonts w:ascii="Calibri" w:hAnsi="Calibri"/>
          <w:b/>
        </w:rPr>
        <w:t xml:space="preserve"> (including state income tax)</w:t>
      </w:r>
    </w:p>
    <w:p w14:paraId="508E460D" w14:textId="2880EBF9" w:rsidR="00412A80" w:rsidRDefault="00000000" w:rsidP="00720C7D">
      <w:pPr>
        <w:tabs>
          <w:tab w:val="left" w:pos="100"/>
        </w:tabs>
        <w:autoSpaceDE w:val="0"/>
        <w:autoSpaceDN w:val="0"/>
        <w:adjustRightInd w:val="0"/>
        <w:spacing w:before="120" w:after="120"/>
        <w:rPr>
          <w:rFonts w:ascii="Calibri" w:hAnsi="Calibri"/>
          <w:color w:val="984806"/>
        </w:rPr>
      </w:pPr>
      <w:r>
        <w:rPr>
          <w:noProof/>
        </w:rPr>
        <w:pict w14:anchorId="324BFEF6">
          <v:shapetype id="_x0000_t202" coordsize="21600,21600" o:spt="202" path="m,l,21600r21600,l21600,xe">
            <v:stroke joinstyle="miter"/>
            <v:path gradientshapeok="t" o:connecttype="rect"/>
          </v:shapetype>
          <v:shape id="Text Box 2" o:spid="_x0000_s2051" type="#_x0000_t202" style="position:absolute;margin-left:317.15pt;margin-top:73.75pt;width:161.85pt;height:77.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" filled="f" stroked="f">
            <v:textbox style="mso-next-textbox:#Text Box 2">
              <w:txbxContent>
                <w:p w14:paraId="32FAC577" w14:textId="77777777" w:rsidR="00D53D4F" w:rsidRDefault="00D53D4F" w:rsidP="00412A80">
                  <w:r>
                    <w:t xml:space="preserve">37% (likely trust rate TI &gt;$12,500) </w:t>
                  </w:r>
                  <w:r>
                    <w:sym w:font="Wingdings" w:char="F0E0"/>
                  </w:r>
                  <w:r>
                    <w:t xml:space="preserve"> 15% (bene)</w:t>
                  </w:r>
                </w:p>
                <w:p w14:paraId="59762505" w14:textId="77777777" w:rsidR="00D53D4F" w:rsidRDefault="00D53D4F" w:rsidP="00412A80">
                  <w:r>
                    <w:t>If $100,000 RMD is shifted, likely savings $22,000/yr!</w:t>
                  </w:r>
                </w:p>
                <w:p w14:paraId="247712E6" w14:textId="77777777" w:rsidR="00D53D4F" w:rsidRDefault="00D53D4F" w:rsidP="00412A80">
                  <w:r>
                    <w:t>Substantial annual savings.</w:t>
                  </w:r>
                </w:p>
              </w:txbxContent>
            </v:textbox>
            <w10:wrap type="tight"/>
          </v:shape>
        </w:pict>
      </w:r>
      <w:r>
        <w:rPr>
          <w:noProof/>
        </w:rPr>
        <w:pict w14:anchorId="5638D5DC">
          <v:shapetype id="_x0000_t32" coordsize="21600,21600" o:spt="32" o:oned="t" path="m,l21600,21600e" filled="f">
            <v:path arrowok="t" fillok="f" o:connecttype="none"/>
            <o:lock v:ext="edit" shapetype="t"/>
          </v:shapetype>
          <v:shape id="Straight Arrow Connector 5" o:spid="_x0000_s2050" type="#_x0000_t32" style="position:absolute;margin-left:292.1pt;margin-top:110.85pt;width:21pt;height: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" strokecolor="windowText">
            <v:stroke endarrow="open"/>
          </v:shape>
        </w:pict>
      </w:r>
      <w:r w:rsidR="00412A80" w:rsidRPr="00143706">
        <w:rPr>
          <w:rFonts w:ascii="Key" w:hAnsi="Key"/>
          <w:b/>
          <w:noProof/>
          <w:color w:val="0DD303"/>
          <w:sz w:val="28"/>
        </w:rPr>
        <w:drawing>
          <wp:inline distT="0" distB="0" distL="0" distR="0" wp14:anchorId="22E670F7" wp14:editId="7D887AD6">
            <wp:extent cx="3879273" cy="2576946"/>
            <wp:effectExtent l="0" t="114300" r="0" b="9017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071CD27B" w14:textId="77777777" w:rsidR="00412A80" w:rsidRDefault="00412A80" w:rsidP="00720C7D">
      <w:pPr>
        <w:tabs>
          <w:tab w:val="left" w:pos="100"/>
        </w:tabs>
        <w:autoSpaceDE w:val="0"/>
        <w:autoSpaceDN w:val="0"/>
        <w:adjustRightInd w:val="0"/>
        <w:spacing w:before="120" w:after="120"/>
        <w:rPr>
          <w:rFonts w:ascii="Calibri" w:hAnsi="Calibri"/>
          <w:color w:val="984806"/>
        </w:rPr>
      </w:pPr>
    </w:p>
    <w:p w14:paraId="77C372C0" w14:textId="77777777" w:rsidR="00083859" w:rsidRDefault="00720C7D" w:rsidP="00720C7D">
      <w:pPr>
        <w:tabs>
          <w:tab w:val="left" w:pos="100"/>
        </w:tabs>
        <w:autoSpaceDE w:val="0"/>
        <w:autoSpaceDN w:val="0"/>
        <w:adjustRightInd w:val="0"/>
        <w:spacing w:before="120" w:after="120"/>
        <w:rPr>
          <w:rFonts w:ascii="Calibri" w:hAnsi="Calibri"/>
          <w:color w:val="984806"/>
        </w:rPr>
      </w:pPr>
      <w:r w:rsidRPr="00566357">
        <w:rPr>
          <w:rFonts w:ascii="Calibri" w:hAnsi="Calibri"/>
          <w:color w:val="984806"/>
        </w:rPr>
        <w:t>(</w:t>
      </w:r>
      <w:r w:rsidR="001B00AB">
        <w:rPr>
          <w:rFonts w:ascii="Calibri" w:hAnsi="Calibri"/>
          <w:color w:val="984806"/>
        </w:rPr>
        <w:t>R</w:t>
      </w:r>
      <w:r w:rsidR="00AB5686">
        <w:rPr>
          <w:rFonts w:ascii="Calibri" w:hAnsi="Calibri"/>
          <w:color w:val="984806"/>
        </w:rPr>
        <w:t xml:space="preserve">emember, </w:t>
      </w:r>
      <w:r w:rsidR="001B00AB">
        <w:rPr>
          <w:rFonts w:ascii="Calibri" w:hAnsi="Calibri"/>
          <w:color w:val="984806"/>
        </w:rPr>
        <w:t>a lifetime limited power of appointment will prevent a spousal conduit trust</w:t>
      </w:r>
      <w:r w:rsidR="00FA7336">
        <w:rPr>
          <w:rFonts w:ascii="Calibri" w:hAnsi="Calibri"/>
          <w:color w:val="984806"/>
        </w:rPr>
        <w:t xml:space="preserve"> from being a “sole beneficiary”</w:t>
      </w:r>
      <w:r w:rsidR="001B00AB">
        <w:rPr>
          <w:rFonts w:ascii="Calibri" w:hAnsi="Calibri"/>
          <w:color w:val="984806"/>
        </w:rPr>
        <w:t>.  S</w:t>
      </w:r>
      <w:r w:rsidR="00AB5686">
        <w:rPr>
          <w:rFonts w:ascii="Calibri" w:hAnsi="Calibri"/>
          <w:color w:val="984806"/>
        </w:rPr>
        <w:t>pousal conduit trusts have two significant income tax advantages over spousal accumulation trusts</w:t>
      </w:r>
      <w:r w:rsidR="001B00AB">
        <w:rPr>
          <w:rFonts w:ascii="Calibri" w:hAnsi="Calibri"/>
          <w:color w:val="984806"/>
        </w:rPr>
        <w:t xml:space="preserve">, notably, a delayed required beginning date if </w:t>
      </w:r>
      <w:r w:rsidR="00FA7336">
        <w:rPr>
          <w:rFonts w:ascii="Calibri" w:hAnsi="Calibri"/>
          <w:color w:val="984806"/>
        </w:rPr>
        <w:t xml:space="preserve">the decedent </w:t>
      </w:r>
      <w:r w:rsidR="001B00AB">
        <w:rPr>
          <w:rFonts w:ascii="Calibri" w:hAnsi="Calibri"/>
          <w:color w:val="984806"/>
        </w:rPr>
        <w:t xml:space="preserve">spouse </w:t>
      </w:r>
      <w:r w:rsidR="00FA7336">
        <w:rPr>
          <w:rFonts w:ascii="Calibri" w:hAnsi="Calibri"/>
          <w:color w:val="984806"/>
        </w:rPr>
        <w:t>is</w:t>
      </w:r>
      <w:r w:rsidR="001B00AB">
        <w:rPr>
          <w:rFonts w:ascii="Calibri" w:hAnsi="Calibri"/>
          <w:color w:val="984806"/>
        </w:rPr>
        <w:t xml:space="preserve"> under </w:t>
      </w:r>
      <w:r w:rsidR="00FA7336">
        <w:rPr>
          <w:rFonts w:ascii="Calibri" w:hAnsi="Calibri"/>
          <w:color w:val="984806"/>
        </w:rPr>
        <w:t xml:space="preserve">age </w:t>
      </w:r>
      <w:r w:rsidR="001B00AB">
        <w:rPr>
          <w:rFonts w:ascii="Calibri" w:hAnsi="Calibri"/>
          <w:color w:val="984806"/>
        </w:rPr>
        <w:t xml:space="preserve">70 ½, and a more favorable calculation method of </w:t>
      </w:r>
      <w:r w:rsidR="001B00AB" w:rsidRPr="00D7609F">
        <w:rPr>
          <w:rFonts w:ascii="Calibri" w:hAnsi="Calibri"/>
          <w:color w:val="984806"/>
        </w:rPr>
        <w:t>recalculating</w:t>
      </w:r>
      <w:r w:rsidR="001B00AB">
        <w:rPr>
          <w:rFonts w:ascii="Calibri" w:hAnsi="Calibri"/>
          <w:color w:val="984806"/>
        </w:rPr>
        <w:t xml:space="preserve"> the life expectancy under the single life tables every year</w:t>
      </w:r>
      <w:r w:rsidR="00AB5686">
        <w:rPr>
          <w:rFonts w:ascii="Calibri" w:hAnsi="Calibri"/>
          <w:color w:val="984806"/>
        </w:rPr>
        <w:t xml:space="preserve"> – see separate CLE material by author on that topic.  However, </w:t>
      </w:r>
      <w:r w:rsidR="00083859">
        <w:rPr>
          <w:rFonts w:ascii="Calibri" w:hAnsi="Calibri"/>
          <w:color w:val="984806"/>
        </w:rPr>
        <w:t>several factors indicate adding a spousal lifetime limited power of appointment</w:t>
      </w:r>
      <w:r w:rsidR="00D7609F">
        <w:rPr>
          <w:rFonts w:ascii="Calibri" w:hAnsi="Calibri"/>
          <w:color w:val="984806"/>
        </w:rPr>
        <w:t xml:space="preserve"> to enable shifting taxation of retirement plan distributions</w:t>
      </w:r>
      <w:r w:rsidR="00083859">
        <w:rPr>
          <w:rFonts w:ascii="Calibri" w:hAnsi="Calibri"/>
          <w:color w:val="984806"/>
        </w:rPr>
        <w:t xml:space="preserve">: </w:t>
      </w:r>
    </w:p>
    <w:p w14:paraId="20162730" w14:textId="77777777" w:rsidR="00083859" w:rsidRDefault="00083859" w:rsidP="00083859">
      <w:pPr>
        <w:pStyle w:val="ListParagraph"/>
        <w:numPr>
          <w:ilvl w:val="0"/>
          <w:numId w:val="29"/>
        </w:numPr>
        <w:tabs>
          <w:tab w:val="left" w:pos="100"/>
        </w:tabs>
        <w:autoSpaceDE w:val="0"/>
        <w:autoSpaceDN w:val="0"/>
        <w:adjustRightInd w:val="0"/>
        <w:spacing w:before="120" w:after="120"/>
        <w:rPr>
          <w:rFonts w:ascii="Calibri" w:hAnsi="Calibri"/>
          <w:color w:val="984806"/>
        </w:rPr>
      </w:pPr>
      <w:r>
        <w:rPr>
          <w:rFonts w:ascii="Calibri" w:hAnsi="Calibri"/>
          <w:color w:val="984806"/>
        </w:rPr>
        <w:t xml:space="preserve">The IRA/QRP would be payable to </w:t>
      </w:r>
      <w:r w:rsidR="007D6C68">
        <w:rPr>
          <w:rFonts w:ascii="Calibri" w:hAnsi="Calibri"/>
          <w:color w:val="984806"/>
        </w:rPr>
        <w:t>a</w:t>
      </w:r>
      <w:r>
        <w:rPr>
          <w:rFonts w:ascii="Calibri" w:hAnsi="Calibri"/>
          <w:color w:val="984806"/>
        </w:rPr>
        <w:t xml:space="preserve"> bypass/credit shelter</w:t>
      </w:r>
      <w:r w:rsidR="0088473F">
        <w:rPr>
          <w:rFonts w:ascii="Calibri" w:hAnsi="Calibri"/>
          <w:color w:val="984806"/>
        </w:rPr>
        <w:t xml:space="preserve"> trust,</w:t>
      </w:r>
      <w:r>
        <w:rPr>
          <w:rFonts w:ascii="Calibri" w:hAnsi="Calibri"/>
          <w:color w:val="984806"/>
        </w:rPr>
        <w:t xml:space="preserve"> rather than </w:t>
      </w:r>
      <w:r w:rsidR="007D6C68">
        <w:rPr>
          <w:rFonts w:ascii="Calibri" w:hAnsi="Calibri"/>
          <w:color w:val="984806"/>
        </w:rPr>
        <w:t xml:space="preserve">a </w:t>
      </w:r>
      <w:r>
        <w:rPr>
          <w:rFonts w:ascii="Calibri" w:hAnsi="Calibri"/>
          <w:color w:val="984806"/>
        </w:rPr>
        <w:t xml:space="preserve">QTIP </w:t>
      </w:r>
      <w:r w:rsidR="007D6C68">
        <w:rPr>
          <w:rFonts w:ascii="Calibri" w:hAnsi="Calibri"/>
          <w:color w:val="984806"/>
        </w:rPr>
        <w:t>trust</w:t>
      </w:r>
      <w:r>
        <w:rPr>
          <w:rFonts w:ascii="Calibri" w:hAnsi="Calibri"/>
          <w:color w:val="984806"/>
        </w:rPr>
        <w:t>.</w:t>
      </w:r>
      <w:r w:rsidR="00C43C47">
        <w:rPr>
          <w:rFonts w:ascii="Calibri" w:hAnsi="Calibri"/>
          <w:color w:val="984806"/>
        </w:rPr>
        <w:t xml:space="preserve">  A QTIP trust cannot have a lifetime </w:t>
      </w:r>
      <w:r w:rsidR="00796522">
        <w:rPr>
          <w:rFonts w:ascii="Calibri" w:hAnsi="Calibri"/>
          <w:color w:val="984806"/>
        </w:rPr>
        <w:t xml:space="preserve">limited </w:t>
      </w:r>
      <w:r w:rsidR="00C43C47">
        <w:rPr>
          <w:rFonts w:ascii="Calibri" w:hAnsi="Calibri"/>
          <w:color w:val="984806"/>
        </w:rPr>
        <w:t xml:space="preserve">power </w:t>
      </w:r>
      <w:r w:rsidR="00796522">
        <w:rPr>
          <w:rFonts w:ascii="Calibri" w:hAnsi="Calibri"/>
          <w:color w:val="984806"/>
        </w:rPr>
        <w:t>of appoint</w:t>
      </w:r>
      <w:r w:rsidR="0017298E">
        <w:rPr>
          <w:rFonts w:ascii="Calibri" w:hAnsi="Calibri"/>
          <w:color w:val="984806"/>
        </w:rPr>
        <w:t>ment.</w:t>
      </w:r>
    </w:p>
    <w:p w14:paraId="0CEA2499" w14:textId="77777777" w:rsidR="0017298E" w:rsidRDefault="0017298E" w:rsidP="0017298E">
      <w:pPr>
        <w:pStyle w:val="ListParagraph"/>
        <w:tabs>
          <w:tab w:val="left" w:pos="100"/>
        </w:tabs>
        <w:autoSpaceDE w:val="0"/>
        <w:autoSpaceDN w:val="0"/>
        <w:adjustRightInd w:val="0"/>
        <w:spacing w:before="120" w:after="120"/>
        <w:ind w:left="465"/>
        <w:rPr>
          <w:rFonts w:ascii="Calibri" w:hAnsi="Calibri"/>
          <w:color w:val="984806"/>
        </w:rPr>
      </w:pPr>
      <w:r>
        <w:rPr>
          <w:rFonts w:ascii="Calibri" w:hAnsi="Calibri"/>
          <w:color w:val="984806"/>
        </w:rPr>
        <w:t>and;</w:t>
      </w:r>
    </w:p>
    <w:p w14:paraId="0D8AB1FD" w14:textId="77777777" w:rsidR="00083859" w:rsidRDefault="00083859" w:rsidP="00083859">
      <w:pPr>
        <w:pStyle w:val="ListParagraph"/>
        <w:numPr>
          <w:ilvl w:val="0"/>
          <w:numId w:val="29"/>
        </w:numPr>
        <w:tabs>
          <w:tab w:val="left" w:pos="100"/>
        </w:tabs>
        <w:autoSpaceDE w:val="0"/>
        <w:autoSpaceDN w:val="0"/>
        <w:adjustRightInd w:val="0"/>
        <w:spacing w:before="120" w:after="120"/>
        <w:rPr>
          <w:rFonts w:ascii="Calibri" w:hAnsi="Calibri"/>
          <w:color w:val="984806"/>
        </w:rPr>
      </w:pPr>
      <w:r>
        <w:rPr>
          <w:rFonts w:ascii="Calibri" w:hAnsi="Calibri"/>
          <w:color w:val="984806"/>
        </w:rPr>
        <w:t>The settlor/decedent</w:t>
      </w:r>
      <w:r w:rsidR="00AB5686" w:rsidRPr="00083859">
        <w:rPr>
          <w:rFonts w:ascii="Calibri" w:hAnsi="Calibri"/>
          <w:color w:val="984806"/>
        </w:rPr>
        <w:t xml:space="preserve"> spouse is </w:t>
      </w:r>
      <w:r w:rsidR="007D6C68">
        <w:rPr>
          <w:rFonts w:ascii="Calibri" w:hAnsi="Calibri"/>
          <w:color w:val="984806"/>
        </w:rPr>
        <w:t xml:space="preserve">close to or </w:t>
      </w:r>
      <w:r w:rsidR="00AB5686" w:rsidRPr="00083859">
        <w:rPr>
          <w:rFonts w:ascii="Calibri" w:hAnsi="Calibri"/>
          <w:color w:val="984806"/>
        </w:rPr>
        <w:t xml:space="preserve">over 70 ½ </w:t>
      </w:r>
      <w:r>
        <w:rPr>
          <w:rFonts w:ascii="Calibri" w:hAnsi="Calibri"/>
          <w:color w:val="984806"/>
        </w:rPr>
        <w:t>(thus negating the more powerful of the two tax advantages to sole beneficiary spousal conduit trusts);</w:t>
      </w:r>
      <w:r w:rsidR="0017298E">
        <w:rPr>
          <w:rFonts w:ascii="Calibri" w:hAnsi="Calibri"/>
          <w:color w:val="984806"/>
        </w:rPr>
        <w:t xml:space="preserve"> or</w:t>
      </w:r>
    </w:p>
    <w:p w14:paraId="1CDAF76D" w14:textId="77777777" w:rsidR="00083859" w:rsidRDefault="00083859" w:rsidP="00083859">
      <w:pPr>
        <w:pStyle w:val="ListParagraph"/>
        <w:numPr>
          <w:ilvl w:val="0"/>
          <w:numId w:val="29"/>
        </w:numPr>
        <w:tabs>
          <w:tab w:val="left" w:pos="100"/>
        </w:tabs>
        <w:autoSpaceDE w:val="0"/>
        <w:autoSpaceDN w:val="0"/>
        <w:adjustRightInd w:val="0"/>
        <w:spacing w:before="120" w:after="120"/>
        <w:rPr>
          <w:rFonts w:ascii="Calibri" w:hAnsi="Calibri"/>
          <w:color w:val="984806"/>
        </w:rPr>
      </w:pPr>
      <w:r>
        <w:rPr>
          <w:rFonts w:ascii="Calibri" w:hAnsi="Calibri"/>
          <w:color w:val="984806"/>
        </w:rPr>
        <w:t>T</w:t>
      </w:r>
      <w:r w:rsidR="00AB5686" w:rsidRPr="00083859">
        <w:rPr>
          <w:rFonts w:ascii="Calibri" w:hAnsi="Calibri"/>
          <w:color w:val="984806"/>
        </w:rPr>
        <w:t xml:space="preserve">he spouse </w:t>
      </w:r>
      <w:r w:rsidR="001B6E35">
        <w:rPr>
          <w:rFonts w:ascii="Calibri" w:hAnsi="Calibri"/>
          <w:color w:val="984806"/>
        </w:rPr>
        <w:t>might</w:t>
      </w:r>
      <w:r w:rsidR="00AB5686" w:rsidRPr="00083859">
        <w:rPr>
          <w:rFonts w:ascii="Calibri" w:hAnsi="Calibri"/>
          <w:color w:val="984806"/>
        </w:rPr>
        <w:t xml:space="preserve"> be inclined </w:t>
      </w:r>
      <w:r w:rsidR="001B00AB" w:rsidRPr="00083859">
        <w:rPr>
          <w:rFonts w:ascii="Calibri" w:hAnsi="Calibri"/>
          <w:color w:val="984806"/>
        </w:rPr>
        <w:t>to make gifts</w:t>
      </w:r>
      <w:r>
        <w:rPr>
          <w:rFonts w:ascii="Calibri" w:hAnsi="Calibri"/>
          <w:color w:val="984806"/>
        </w:rPr>
        <w:t xml:space="preserve"> and is in a higher tax bracket than children (and </w:t>
      </w:r>
      <w:r w:rsidR="00925CFB">
        <w:rPr>
          <w:rFonts w:ascii="Calibri" w:hAnsi="Calibri"/>
          <w:color w:val="984806"/>
        </w:rPr>
        <w:t>may</w:t>
      </w:r>
      <w:r>
        <w:rPr>
          <w:rFonts w:ascii="Calibri" w:hAnsi="Calibri"/>
          <w:color w:val="984806"/>
        </w:rPr>
        <w:t xml:space="preserve"> like to shift income taxation);</w:t>
      </w:r>
      <w:r w:rsidR="0017298E">
        <w:rPr>
          <w:rFonts w:ascii="Calibri" w:hAnsi="Calibri"/>
          <w:color w:val="984806"/>
        </w:rPr>
        <w:t xml:space="preserve"> or</w:t>
      </w:r>
    </w:p>
    <w:p w14:paraId="1752D323" w14:textId="77777777" w:rsidR="00796522" w:rsidRDefault="00083859" w:rsidP="00083859">
      <w:pPr>
        <w:pStyle w:val="ListParagraph"/>
        <w:numPr>
          <w:ilvl w:val="0"/>
          <w:numId w:val="29"/>
        </w:numPr>
        <w:tabs>
          <w:tab w:val="left" w:pos="100"/>
        </w:tabs>
        <w:autoSpaceDE w:val="0"/>
        <w:autoSpaceDN w:val="0"/>
        <w:adjustRightInd w:val="0"/>
        <w:spacing w:before="120" w:after="120"/>
        <w:rPr>
          <w:rFonts w:ascii="Calibri" w:hAnsi="Calibri"/>
          <w:color w:val="984806"/>
        </w:rPr>
      </w:pPr>
      <w:r>
        <w:rPr>
          <w:rFonts w:ascii="Calibri" w:hAnsi="Calibri"/>
          <w:color w:val="984806"/>
        </w:rPr>
        <w:t>The plan is to use an</w:t>
      </w:r>
      <w:r w:rsidR="00D7609F">
        <w:rPr>
          <w:rFonts w:ascii="Calibri" w:hAnsi="Calibri"/>
          <w:color w:val="984806"/>
        </w:rPr>
        <w:t xml:space="preserve"> accumulation trust</w:t>
      </w:r>
      <w:r w:rsidR="00C70364">
        <w:rPr>
          <w:rFonts w:ascii="Calibri" w:hAnsi="Calibri"/>
          <w:color w:val="984806"/>
        </w:rPr>
        <w:t>.  For many attor</w:t>
      </w:r>
      <w:r w:rsidR="00D7609F">
        <w:rPr>
          <w:rFonts w:ascii="Calibri" w:hAnsi="Calibri"/>
          <w:color w:val="984806"/>
        </w:rPr>
        <w:t>neys, these are preferred regardless</w:t>
      </w:r>
      <w:r w:rsidR="00C70364">
        <w:rPr>
          <w:rFonts w:ascii="Calibri" w:hAnsi="Calibri"/>
          <w:color w:val="984806"/>
        </w:rPr>
        <w:t xml:space="preserve">, </w:t>
      </w:r>
      <w:r>
        <w:rPr>
          <w:rFonts w:ascii="Calibri" w:hAnsi="Calibri"/>
          <w:color w:val="984806"/>
        </w:rPr>
        <w:t xml:space="preserve">for asset protection or estate tax leveraging or maximizing bloodline/divorce protection </w:t>
      </w:r>
      <w:r w:rsidR="00C70364">
        <w:rPr>
          <w:rFonts w:ascii="Calibri" w:hAnsi="Calibri"/>
          <w:color w:val="984806"/>
        </w:rPr>
        <w:t>etc</w:t>
      </w:r>
      <w:r>
        <w:rPr>
          <w:rFonts w:ascii="Calibri" w:hAnsi="Calibri"/>
          <w:color w:val="984806"/>
        </w:rPr>
        <w:t xml:space="preserve">.  </w:t>
      </w:r>
      <w:r w:rsidR="00235216">
        <w:rPr>
          <w:rFonts w:ascii="Calibri" w:hAnsi="Calibri"/>
          <w:color w:val="984806"/>
        </w:rPr>
        <w:t>If the plan is to forego the minor conduit trust advantage to use an accumulation trust, there is zero downside to adding a</w:t>
      </w:r>
      <w:r w:rsidR="00C70364">
        <w:rPr>
          <w:rFonts w:ascii="Calibri" w:hAnsi="Calibri"/>
          <w:color w:val="984806"/>
        </w:rPr>
        <w:t xml:space="preserve"> lifetime limited power of appointment</w:t>
      </w:r>
      <w:r w:rsidR="009B7284">
        <w:rPr>
          <w:rFonts w:ascii="Calibri" w:hAnsi="Calibri"/>
          <w:color w:val="984806"/>
        </w:rPr>
        <w:t xml:space="preserve">, absent a settlor’s worry it would be improvidently used – </w:t>
      </w:r>
      <w:r w:rsidR="00D7609F">
        <w:rPr>
          <w:rFonts w:ascii="Calibri" w:hAnsi="Calibri"/>
          <w:color w:val="984806"/>
        </w:rPr>
        <w:t xml:space="preserve">and </w:t>
      </w:r>
      <w:r w:rsidR="009B7284">
        <w:rPr>
          <w:rFonts w:ascii="Calibri" w:hAnsi="Calibri"/>
          <w:color w:val="984806"/>
        </w:rPr>
        <w:t>this worry could be assuaged by adding another party’s required consent.</w:t>
      </w:r>
    </w:p>
    <w:p w14:paraId="5F7AA494" w14:textId="77777777" w:rsidR="00720C7D" w:rsidRPr="00796522" w:rsidRDefault="009B7284" w:rsidP="00796522">
      <w:pPr>
        <w:tabs>
          <w:tab w:val="left" w:pos="100"/>
        </w:tabs>
        <w:autoSpaceDE w:val="0"/>
        <w:autoSpaceDN w:val="0"/>
        <w:adjustRightInd w:val="0"/>
        <w:spacing w:before="120" w:after="120"/>
        <w:rPr>
          <w:rFonts w:ascii="Calibri" w:hAnsi="Calibri"/>
          <w:color w:val="984806"/>
        </w:rPr>
      </w:pPr>
      <w:r>
        <w:rPr>
          <w:rFonts w:ascii="Calibri" w:hAnsi="Calibri"/>
          <w:color w:val="984806"/>
        </w:rPr>
        <w:lastRenderedPageBreak/>
        <w:t>So, accumulation trusts should usually have such clauses, and there are many situations (e.g. older settlors) where the minor advantage of a spousal sole beneficiary conduit trust should be relinquished in favor of the various asset protection and tax shifting advantages of an accumulation trust.</w:t>
      </w:r>
      <w:r w:rsidR="00C70364">
        <w:rPr>
          <w:rFonts w:ascii="Calibri" w:hAnsi="Calibri"/>
          <w:color w:val="984806"/>
        </w:rPr>
        <w:t xml:space="preserve"> </w:t>
      </w:r>
      <w:r>
        <w:rPr>
          <w:rFonts w:ascii="Calibri" w:hAnsi="Calibri"/>
          <w:color w:val="984806"/>
        </w:rPr>
        <w:t>Such clauses</w:t>
      </w:r>
      <w:r w:rsidR="001B00AB" w:rsidRPr="00796522">
        <w:rPr>
          <w:rFonts w:ascii="Calibri" w:hAnsi="Calibri"/>
          <w:color w:val="984806"/>
        </w:rPr>
        <w:t xml:space="preserve"> should be much more commonly used</w:t>
      </w:r>
      <w:r w:rsidR="00237706">
        <w:rPr>
          <w:rFonts w:ascii="Calibri" w:hAnsi="Calibri"/>
          <w:color w:val="984806"/>
        </w:rPr>
        <w:t>, if not always,</w:t>
      </w:r>
      <w:r w:rsidR="001B00AB" w:rsidRPr="00796522">
        <w:rPr>
          <w:rFonts w:ascii="Calibri" w:hAnsi="Calibri"/>
          <w:color w:val="984806"/>
        </w:rPr>
        <w:t xml:space="preserve"> in trusts for non-spouses [the second paragraph].  </w:t>
      </w:r>
    </w:p>
    <w:p w14:paraId="7F08AAD0" w14:textId="77777777" w:rsidR="00720C7D" w:rsidRPr="00ED6B21" w:rsidRDefault="00720C7D" w:rsidP="00720C7D">
      <w:pPr>
        <w:rPr>
          <w:rFonts w:ascii="Calibri" w:hAnsi="Calibri"/>
          <w:lang w:val="en"/>
        </w:rPr>
      </w:pPr>
    </w:p>
    <w:p w14:paraId="0A8DE0BB" w14:textId="77777777" w:rsidR="000D4154" w:rsidRPr="00FA7336" w:rsidRDefault="000D4154" w:rsidP="00720C7D">
      <w:pPr>
        <w:rPr>
          <w:rFonts w:ascii="Calibri" w:hAnsi="Calibri"/>
          <w:color w:val="984806" w:themeColor="accent6" w:themeShade="80"/>
        </w:rPr>
      </w:pPr>
      <w:r>
        <w:rPr>
          <w:rFonts w:ascii="Calibri" w:hAnsi="Calibri"/>
          <w:lang w:val="en"/>
        </w:rPr>
        <w:t>[</w:t>
      </w:r>
      <w:r w:rsidR="00F12DAC" w:rsidRPr="00F12DAC">
        <w:rPr>
          <w:rFonts w:ascii="Calibri" w:hAnsi="Calibri"/>
          <w:color w:val="984806" w:themeColor="accent6" w:themeShade="80"/>
          <w:lang w:val="en"/>
        </w:rPr>
        <w:t xml:space="preserve">Power for </w:t>
      </w:r>
      <w:r w:rsidRPr="000D4154">
        <w:rPr>
          <w:rFonts w:ascii="Calibri" w:hAnsi="Calibri"/>
          <w:color w:val="984806" w:themeColor="accent6" w:themeShade="80"/>
          <w:lang w:val="en"/>
        </w:rPr>
        <w:t>Spouse</w:t>
      </w:r>
      <w:r>
        <w:rPr>
          <w:rFonts w:ascii="Calibri" w:hAnsi="Calibri"/>
          <w:lang w:val="en"/>
        </w:rPr>
        <w:t xml:space="preserve">] </w:t>
      </w:r>
      <w:r w:rsidR="00720C7D" w:rsidRPr="00ED6B21">
        <w:rPr>
          <w:rFonts w:ascii="Calibri" w:hAnsi="Calibri"/>
          <w:lang w:val="en"/>
        </w:rPr>
        <w:t xml:space="preserve">During my spouse’s lifetime, my spouse shall have </w:t>
      </w:r>
      <w:r w:rsidR="00720C7D">
        <w:rPr>
          <w:rFonts w:ascii="Calibri" w:hAnsi="Calibri"/>
          <w:lang w:val="en"/>
        </w:rPr>
        <w:t>the</w:t>
      </w:r>
      <w:r w:rsidR="00AB5686">
        <w:rPr>
          <w:rFonts w:ascii="Calibri" w:hAnsi="Calibri"/>
          <w:lang w:val="en"/>
        </w:rPr>
        <w:t xml:space="preserve"> non</w:t>
      </w:r>
      <w:r>
        <w:rPr>
          <w:rFonts w:ascii="Calibri" w:hAnsi="Calibri"/>
          <w:lang w:val="en"/>
        </w:rPr>
        <w:t>-</w:t>
      </w:r>
      <w:r w:rsidR="00AB5686">
        <w:rPr>
          <w:rFonts w:ascii="Calibri" w:hAnsi="Calibri"/>
          <w:lang w:val="en"/>
        </w:rPr>
        <w:t>fiduciary</w:t>
      </w:r>
      <w:r w:rsidR="00720C7D">
        <w:rPr>
          <w:rFonts w:ascii="Calibri" w:hAnsi="Calibri"/>
          <w:lang w:val="en"/>
        </w:rPr>
        <w:t xml:space="preserve"> </w:t>
      </w:r>
      <w:r w:rsidR="00AB5686">
        <w:rPr>
          <w:rFonts w:ascii="Calibri" w:hAnsi="Calibri"/>
          <w:lang w:val="en"/>
        </w:rPr>
        <w:t xml:space="preserve">limited </w:t>
      </w:r>
      <w:r w:rsidR="00720C7D">
        <w:rPr>
          <w:rFonts w:ascii="Calibri" w:hAnsi="Calibri"/>
          <w:lang w:val="en"/>
        </w:rPr>
        <w:t xml:space="preserve">power to appoint, from income or principal, in cash or in kind, </w:t>
      </w:r>
      <w:r w:rsidR="00720C7D">
        <w:rPr>
          <w:rFonts w:ascii="Calibri" w:hAnsi="Calibri"/>
          <w:color w:val="000000"/>
        </w:rPr>
        <w:t xml:space="preserve">all </w:t>
      </w:r>
      <w:r w:rsidR="00720C7D" w:rsidRPr="00230559">
        <w:rPr>
          <w:rFonts w:ascii="Calibri" w:hAnsi="Calibri"/>
          <w:color w:val="000000"/>
        </w:rPr>
        <w:t>assets</w:t>
      </w:r>
      <w:r>
        <w:rPr>
          <w:rFonts w:ascii="Calibri" w:hAnsi="Calibri"/>
          <w:color w:val="000000"/>
        </w:rPr>
        <w:t xml:space="preserve"> </w:t>
      </w:r>
      <w:r w:rsidR="00720C7D">
        <w:rPr>
          <w:rFonts w:ascii="Calibri" w:hAnsi="Calibri"/>
          <w:color w:val="000000"/>
        </w:rPr>
        <w:t xml:space="preserve">of this trust </w:t>
      </w:r>
      <w:r w:rsidR="00720C7D" w:rsidRPr="00230559">
        <w:rPr>
          <w:rFonts w:ascii="Calibri" w:hAnsi="Calibri"/>
          <w:color w:val="000000"/>
        </w:rPr>
        <w:t xml:space="preserve">to </w:t>
      </w:r>
      <w:r w:rsidR="00720C7D">
        <w:rPr>
          <w:rFonts w:ascii="Calibri" w:hAnsi="Calibri"/>
          <w:color w:val="000000"/>
        </w:rPr>
        <w:t xml:space="preserve">any or all of </w:t>
      </w:r>
      <w:r w:rsidR="00720C7D" w:rsidRPr="00230559">
        <w:rPr>
          <w:rFonts w:ascii="Calibri" w:hAnsi="Calibri"/>
          <w:color w:val="000000"/>
        </w:rPr>
        <w:t>my descendants</w:t>
      </w:r>
      <w:r w:rsidR="00AB5686">
        <w:rPr>
          <w:rFonts w:ascii="Calibri" w:hAnsi="Calibri"/>
          <w:color w:val="000000"/>
        </w:rPr>
        <w:t xml:space="preserve">.  </w:t>
      </w:r>
    </w:p>
    <w:p w14:paraId="7FF32073" w14:textId="77777777" w:rsidR="00BC5D3D" w:rsidRDefault="00BC5D3D" w:rsidP="000D4154">
      <w:pPr>
        <w:rPr>
          <w:rFonts w:ascii="Calibri" w:hAnsi="Calibri"/>
        </w:rPr>
      </w:pPr>
    </w:p>
    <w:p w14:paraId="2D30D6A9" w14:textId="77777777" w:rsidR="000D4154" w:rsidRDefault="000D4154" w:rsidP="000D4154">
      <w:pPr>
        <w:rPr>
          <w:sz w:val="18"/>
          <w:szCs w:val="18"/>
          <w:lang w:val="en"/>
        </w:rPr>
      </w:pPr>
      <w:bookmarkStart w:id="77" w:name="_Hlk16847294"/>
      <w:r>
        <w:rPr>
          <w:rFonts w:ascii="Calibri" w:hAnsi="Calibri"/>
          <w:lang w:val="en"/>
        </w:rPr>
        <w:t>[</w:t>
      </w:r>
      <w:r w:rsidR="00F12DAC" w:rsidRPr="00F12DAC">
        <w:rPr>
          <w:rFonts w:ascii="Calibri" w:hAnsi="Calibri"/>
          <w:color w:val="984806" w:themeColor="accent6" w:themeShade="80"/>
          <w:lang w:val="en"/>
        </w:rPr>
        <w:t xml:space="preserve">Power for </w:t>
      </w:r>
      <w:r w:rsidRPr="000D4154">
        <w:rPr>
          <w:rFonts w:ascii="Calibri" w:hAnsi="Calibri"/>
          <w:color w:val="984806" w:themeColor="accent6" w:themeShade="80"/>
          <w:lang w:val="en"/>
        </w:rPr>
        <w:t xml:space="preserve">Children or other </w:t>
      </w:r>
      <w:r>
        <w:rPr>
          <w:rFonts w:ascii="Calibri" w:hAnsi="Calibri"/>
          <w:color w:val="984806" w:themeColor="accent6" w:themeShade="80"/>
          <w:lang w:val="en"/>
        </w:rPr>
        <w:t>Non-Spouses</w:t>
      </w:r>
      <w:r w:rsidR="00F12DAC">
        <w:rPr>
          <w:rFonts w:ascii="Calibri" w:hAnsi="Calibri"/>
          <w:color w:val="984806" w:themeColor="accent6" w:themeShade="80"/>
          <w:lang w:val="en"/>
        </w:rPr>
        <w:t xml:space="preserve"> beneficiaries</w:t>
      </w:r>
      <w:r w:rsidR="00FA7336">
        <w:rPr>
          <w:rFonts w:ascii="Calibri" w:hAnsi="Calibri"/>
          <w:color w:val="984806" w:themeColor="accent6" w:themeShade="80"/>
          <w:lang w:val="en"/>
        </w:rPr>
        <w:t>***There is virtually NO drawback to including such a provision, and tremendous asset protection and tax shifting upside</w:t>
      </w:r>
      <w:r>
        <w:rPr>
          <w:rFonts w:ascii="Calibri" w:hAnsi="Calibri"/>
          <w:lang w:val="en"/>
        </w:rPr>
        <w:t xml:space="preserve">] </w:t>
      </w:r>
      <w:r w:rsidRPr="00ED6B21">
        <w:rPr>
          <w:rFonts w:ascii="Calibri" w:hAnsi="Calibri"/>
          <w:lang w:val="en"/>
        </w:rPr>
        <w:t xml:space="preserve">During my </w:t>
      </w:r>
      <w:r>
        <w:rPr>
          <w:rFonts w:ascii="Calibri" w:hAnsi="Calibri"/>
          <w:lang w:val="en"/>
        </w:rPr>
        <w:t>child’s</w:t>
      </w:r>
      <w:r w:rsidRPr="00ED6B21">
        <w:rPr>
          <w:rFonts w:ascii="Calibri" w:hAnsi="Calibri"/>
          <w:lang w:val="en"/>
        </w:rPr>
        <w:t xml:space="preserve"> lifetime, my </w:t>
      </w:r>
      <w:r>
        <w:rPr>
          <w:rFonts w:ascii="Calibri" w:hAnsi="Calibri"/>
          <w:lang w:val="en"/>
        </w:rPr>
        <w:t>child</w:t>
      </w:r>
      <w:r w:rsidRPr="00ED6B21">
        <w:rPr>
          <w:rFonts w:ascii="Calibri" w:hAnsi="Calibri"/>
          <w:lang w:val="en"/>
        </w:rPr>
        <w:t xml:space="preserve"> shall have </w:t>
      </w:r>
      <w:r>
        <w:rPr>
          <w:rFonts w:ascii="Calibri" w:hAnsi="Calibri"/>
          <w:lang w:val="en"/>
        </w:rPr>
        <w:t xml:space="preserve">the non- fiduciary limited power to appoint, from income or principal, in cash or in kind, </w:t>
      </w:r>
      <w:r>
        <w:rPr>
          <w:rFonts w:ascii="Calibri" w:hAnsi="Calibri"/>
          <w:color w:val="000000"/>
        </w:rPr>
        <w:t xml:space="preserve">all </w:t>
      </w:r>
      <w:r w:rsidRPr="00230559">
        <w:rPr>
          <w:rFonts w:ascii="Calibri" w:hAnsi="Calibri"/>
          <w:color w:val="000000"/>
        </w:rPr>
        <w:t xml:space="preserve">assets </w:t>
      </w:r>
      <w:r w:rsidRPr="00451CD5">
        <w:rPr>
          <w:rFonts w:ascii="Calibri" w:hAnsi="Calibri"/>
          <w:color w:val="984806" w:themeColor="accent6" w:themeShade="80"/>
        </w:rPr>
        <w:t xml:space="preserve">[some settlors might limit the amount of assets </w:t>
      </w:r>
      <w:r w:rsidR="00BC5D3D" w:rsidRPr="00451CD5">
        <w:rPr>
          <w:rFonts w:ascii="Calibri" w:hAnsi="Calibri"/>
          <w:color w:val="984806" w:themeColor="accent6" w:themeShade="80"/>
        </w:rPr>
        <w:t xml:space="preserve">appointable </w:t>
      </w:r>
      <w:r w:rsidRPr="00451CD5">
        <w:rPr>
          <w:rFonts w:ascii="Calibri" w:hAnsi="Calibri"/>
          <w:color w:val="984806" w:themeColor="accent6" w:themeShade="80"/>
        </w:rPr>
        <w:t xml:space="preserve">to gross taxable income </w:t>
      </w:r>
      <w:r w:rsidR="00BC5D3D" w:rsidRPr="00451CD5">
        <w:rPr>
          <w:rFonts w:ascii="Calibri" w:hAnsi="Calibri"/>
          <w:color w:val="984806" w:themeColor="accent6" w:themeShade="80"/>
        </w:rPr>
        <w:t xml:space="preserve">annually </w:t>
      </w:r>
      <w:r w:rsidRPr="00451CD5">
        <w:rPr>
          <w:rFonts w:ascii="Calibri" w:hAnsi="Calibri"/>
          <w:color w:val="984806" w:themeColor="accent6" w:themeShade="80"/>
        </w:rPr>
        <w:t xml:space="preserve">or to </w:t>
      </w:r>
      <w:r w:rsidR="00BC5D3D" w:rsidRPr="00451CD5">
        <w:rPr>
          <w:rFonts w:ascii="Calibri" w:hAnsi="Calibri"/>
          <w:color w:val="984806" w:themeColor="accent6" w:themeShade="80"/>
        </w:rPr>
        <w:t>some other</w:t>
      </w:r>
      <w:r w:rsidRPr="00451CD5">
        <w:rPr>
          <w:rFonts w:ascii="Calibri" w:hAnsi="Calibri"/>
          <w:color w:val="984806" w:themeColor="accent6" w:themeShade="80"/>
        </w:rPr>
        <w:t xml:space="preserve"> % annually</w:t>
      </w:r>
      <w:r w:rsidR="00451CD5">
        <w:rPr>
          <w:rFonts w:ascii="Calibri" w:hAnsi="Calibri"/>
          <w:color w:val="984806" w:themeColor="accent6" w:themeShade="80"/>
        </w:rPr>
        <w:t xml:space="preserve"> to prevent a soft touch child from depleting their inherited assets too quickly</w:t>
      </w:r>
      <w:r w:rsidRPr="00451CD5">
        <w:rPr>
          <w:rFonts w:ascii="Calibri" w:hAnsi="Calibri"/>
          <w:color w:val="984806" w:themeColor="accent6" w:themeShade="80"/>
        </w:rPr>
        <w:t>]</w:t>
      </w:r>
      <w:r>
        <w:rPr>
          <w:rFonts w:ascii="Calibri" w:hAnsi="Calibri"/>
          <w:color w:val="000000"/>
        </w:rPr>
        <w:t xml:space="preserve"> of this trust </w:t>
      </w:r>
      <w:r w:rsidRPr="00230559">
        <w:rPr>
          <w:rFonts w:ascii="Calibri" w:hAnsi="Calibri"/>
          <w:color w:val="000000"/>
        </w:rPr>
        <w:t xml:space="preserve">to </w:t>
      </w:r>
      <w:r>
        <w:rPr>
          <w:rFonts w:ascii="Calibri" w:hAnsi="Calibri"/>
          <w:color w:val="000000"/>
        </w:rPr>
        <w:t xml:space="preserve">any or all of </w:t>
      </w:r>
      <w:r w:rsidRPr="00230559">
        <w:rPr>
          <w:rFonts w:ascii="Calibri" w:hAnsi="Calibri"/>
          <w:color w:val="000000"/>
        </w:rPr>
        <w:t>my descendants</w:t>
      </w:r>
      <w:r w:rsidR="00BC5D3D">
        <w:rPr>
          <w:rFonts w:ascii="Calibri" w:hAnsi="Calibri"/>
          <w:color w:val="000000"/>
        </w:rPr>
        <w:t xml:space="preserve"> (excluding the power holder), potentially to the exclusion of others.</w:t>
      </w:r>
    </w:p>
    <w:p w14:paraId="45A7E70A" w14:textId="77777777" w:rsidR="00BC5D3D" w:rsidRDefault="00BC5D3D" w:rsidP="00BC5D3D">
      <w:pPr>
        <w:rPr>
          <w:rFonts w:ascii="Calibri" w:hAnsi="Calibri"/>
          <w:color w:val="000000"/>
        </w:rPr>
      </w:pPr>
    </w:p>
    <w:p w14:paraId="555735B6" w14:textId="77777777" w:rsidR="00796522" w:rsidRDefault="00BC5D3D" w:rsidP="00BC5D3D">
      <w:pPr>
        <w:rPr>
          <w:rFonts w:ascii="Calibri" w:hAnsi="Calibri"/>
          <w:color w:val="000000"/>
        </w:rPr>
      </w:pPr>
      <w:r>
        <w:rPr>
          <w:rFonts w:ascii="Calibri" w:hAnsi="Calibri"/>
          <w:color w:val="000000"/>
        </w:rPr>
        <w:t>However, for any qualified retirement plan, IRA or similar account</w:t>
      </w:r>
      <w:r w:rsidR="008C336C">
        <w:rPr>
          <w:rFonts w:ascii="Calibri" w:hAnsi="Calibri"/>
          <w:color w:val="000000"/>
        </w:rPr>
        <w:t>s</w:t>
      </w:r>
      <w:r>
        <w:rPr>
          <w:rFonts w:ascii="Calibri" w:hAnsi="Calibri"/>
          <w:color w:val="000000"/>
        </w:rPr>
        <w:t xml:space="preserve"> (other than a plan inherited by me prior to my death and not rolled over from my spouse into my name as owner</w:t>
      </w:r>
      <w:r w:rsidR="00127F85">
        <w:rPr>
          <w:rFonts w:ascii="Calibri" w:hAnsi="Calibri"/>
          <w:color w:val="000000"/>
        </w:rPr>
        <w:t>)</w:t>
      </w:r>
      <w:r w:rsidR="008C336C">
        <w:rPr>
          <w:rFonts w:ascii="Calibri" w:hAnsi="Calibri"/>
          <w:color w:val="000000"/>
        </w:rPr>
        <w:t xml:space="preserve">, </w:t>
      </w:r>
      <w:r>
        <w:rPr>
          <w:rFonts w:ascii="Calibri" w:hAnsi="Calibri"/>
          <w:color w:val="000000"/>
        </w:rPr>
        <w:t xml:space="preserve">and for any assets traceable to distributions from such </w:t>
      </w:r>
      <w:r w:rsidR="008C336C">
        <w:rPr>
          <w:rFonts w:ascii="Calibri" w:hAnsi="Calibri"/>
          <w:color w:val="000000"/>
        </w:rPr>
        <w:t>accounts described above</w:t>
      </w:r>
      <w:r>
        <w:rPr>
          <w:rFonts w:ascii="Calibri" w:hAnsi="Calibri"/>
          <w:color w:val="000000"/>
        </w:rPr>
        <w:t xml:space="preserve">, </w:t>
      </w:r>
      <w:r w:rsidR="008C336C">
        <w:rPr>
          <w:rFonts w:ascii="Calibri" w:hAnsi="Calibri"/>
          <w:color w:val="000000"/>
        </w:rPr>
        <w:t xml:space="preserve">such appointment may only </w:t>
      </w:r>
      <w:r>
        <w:rPr>
          <w:rFonts w:ascii="Calibri" w:hAnsi="Calibri"/>
          <w:color w:val="000000"/>
        </w:rPr>
        <w:t>be made to individuals</w:t>
      </w:r>
      <w:r w:rsidR="00127F85">
        <w:rPr>
          <w:rFonts w:ascii="Calibri" w:hAnsi="Calibri"/>
          <w:color w:val="000000"/>
        </w:rPr>
        <w:t xml:space="preserve"> younger than the power holder,</w:t>
      </w:r>
      <w:r>
        <w:rPr>
          <w:rFonts w:ascii="Calibri" w:hAnsi="Calibri"/>
          <w:color w:val="000000"/>
        </w:rPr>
        <w:t xml:space="preserve"> outright</w:t>
      </w:r>
      <w:r w:rsidR="00127F85">
        <w:rPr>
          <w:rFonts w:ascii="Calibri" w:hAnsi="Calibri"/>
          <w:color w:val="000000"/>
        </w:rPr>
        <w:t>.  T</w:t>
      </w:r>
      <w:r>
        <w:rPr>
          <w:rFonts w:ascii="Calibri" w:hAnsi="Calibri"/>
          <w:color w:val="000000"/>
        </w:rPr>
        <w:t xml:space="preserve">his power shall </w:t>
      </w:r>
      <w:r w:rsidR="00D7609F">
        <w:rPr>
          <w:rFonts w:ascii="Calibri" w:hAnsi="Calibri"/>
          <w:color w:val="000000"/>
        </w:rPr>
        <w:t xml:space="preserve">NOT include </w:t>
      </w:r>
      <w:r w:rsidR="00127F85">
        <w:rPr>
          <w:rFonts w:ascii="Calibri" w:hAnsi="Calibri"/>
          <w:color w:val="000000"/>
        </w:rPr>
        <w:t>the power to appoint</w:t>
      </w:r>
      <w:r w:rsidR="00235206">
        <w:rPr>
          <w:rFonts w:ascii="Calibri" w:hAnsi="Calibri"/>
          <w:color w:val="000000"/>
        </w:rPr>
        <w:t xml:space="preserve"> such assets </w:t>
      </w:r>
      <w:r>
        <w:rPr>
          <w:rFonts w:ascii="Calibri" w:hAnsi="Calibri"/>
          <w:color w:val="000000"/>
        </w:rPr>
        <w:t>to trusts</w:t>
      </w:r>
      <w:r w:rsidR="00127F85">
        <w:rPr>
          <w:rFonts w:ascii="Calibri" w:hAnsi="Calibri"/>
          <w:color w:val="000000"/>
        </w:rPr>
        <w:t>,</w:t>
      </w:r>
      <w:r>
        <w:rPr>
          <w:rFonts w:ascii="Calibri" w:hAnsi="Calibri"/>
          <w:color w:val="000000"/>
        </w:rPr>
        <w:t xml:space="preserve"> even if state law would otherwise permit such an appointment.  </w:t>
      </w:r>
    </w:p>
    <w:p w14:paraId="0DB4611C" w14:textId="77777777" w:rsidR="001213E6" w:rsidRDefault="001213E6" w:rsidP="00BC5D3D">
      <w:pPr>
        <w:rPr>
          <w:rFonts w:ascii="Calibri" w:hAnsi="Calibri"/>
          <w:color w:val="000000"/>
        </w:rPr>
      </w:pPr>
    </w:p>
    <w:p w14:paraId="5BFE286A" w14:textId="77777777" w:rsidR="001213E6" w:rsidRDefault="001213E6" w:rsidP="00BC5D3D">
      <w:pPr>
        <w:rPr>
          <w:rFonts w:ascii="Calibri" w:hAnsi="Calibri"/>
          <w:color w:val="000000"/>
        </w:rPr>
      </w:pPr>
      <w:r>
        <w:rPr>
          <w:rFonts w:ascii="Calibri" w:hAnsi="Calibri"/>
          <w:color w:val="000000"/>
        </w:rPr>
        <w:t xml:space="preserve">In addition, such lifetime power shall not apply to any S corporation stock or </w:t>
      </w:r>
      <w:r w:rsidR="00101C64">
        <w:rPr>
          <w:rFonts w:ascii="Calibri" w:hAnsi="Calibri"/>
          <w:color w:val="000000"/>
        </w:rPr>
        <w:t xml:space="preserve">income or </w:t>
      </w:r>
      <w:r>
        <w:rPr>
          <w:rFonts w:ascii="Calibri" w:hAnsi="Calibri"/>
          <w:color w:val="000000"/>
        </w:rPr>
        <w:t>distributions therefrom over which a Qualified Subchapter S Trust (QSST) election has been made.</w:t>
      </w:r>
      <w:r w:rsidR="006C1138" w:rsidRPr="006C1138">
        <w:t xml:space="preserve"> </w:t>
      </w:r>
      <w:r w:rsidR="006C1138" w:rsidRPr="006C1138">
        <w:rPr>
          <w:rFonts w:ascii="Calibri" w:hAnsi="Calibri"/>
          <w:color w:val="000000"/>
        </w:rPr>
        <w:t>This limited power of appointment shall not be exercisable, directly or indirectly, to discharge any legal obligation of the powerholder.</w:t>
      </w:r>
    </w:p>
    <w:p w14:paraId="40616205" w14:textId="77777777" w:rsidR="00796522" w:rsidRDefault="00B65D13" w:rsidP="00BC5D3D">
      <w:pPr>
        <w:rPr>
          <w:rFonts w:ascii="Calibri" w:hAnsi="Calibri"/>
          <w:color w:val="000000"/>
        </w:rPr>
      </w:pPr>
      <w:r>
        <w:rPr>
          <w:rFonts w:ascii="Calibri" w:hAnsi="Calibri"/>
          <w:color w:val="000000"/>
        </w:rPr>
        <w:t xml:space="preserve">  </w:t>
      </w:r>
    </w:p>
    <w:p w14:paraId="72FA28CA" w14:textId="77777777" w:rsidR="00BC5D3D" w:rsidRDefault="00BC5D3D" w:rsidP="00BC5D3D">
      <w:pPr>
        <w:tabs>
          <w:tab w:val="left" w:pos="100"/>
        </w:tabs>
        <w:autoSpaceDE w:val="0"/>
        <w:autoSpaceDN w:val="0"/>
        <w:adjustRightInd w:val="0"/>
        <w:spacing w:before="120" w:after="120"/>
        <w:rPr>
          <w:rFonts w:ascii="Calibri" w:hAnsi="Calibri"/>
        </w:rPr>
      </w:pPr>
      <w:r>
        <w:rPr>
          <w:rFonts w:ascii="Calibri" w:hAnsi="Calibri"/>
        </w:rPr>
        <w:t xml:space="preserve">The above limited </w:t>
      </w:r>
      <w:r w:rsidR="00127F85">
        <w:rPr>
          <w:rFonts w:ascii="Calibri" w:hAnsi="Calibri"/>
        </w:rPr>
        <w:t xml:space="preserve">lifetime </w:t>
      </w:r>
      <w:r>
        <w:rPr>
          <w:rFonts w:ascii="Calibri" w:hAnsi="Calibri"/>
        </w:rPr>
        <w:t>power of appointment is intended to be retained while still qualifying any qualified retirement plans or IRAs made payable to this trust as a designated beneficiary pursuant to Treasury Regulation §1.401(a)(9)-5, A7</w:t>
      </w:r>
      <w:r w:rsidR="006C1138">
        <w:rPr>
          <w:rFonts w:ascii="Calibri" w:hAnsi="Calibri"/>
        </w:rPr>
        <w:t>, and enabling qualification of this trust as an eligible owner of Subchapter S stock in the event a qualified subchapter S trust election is made by the beneficiary</w:t>
      </w:r>
      <w:r>
        <w:rPr>
          <w:rFonts w:ascii="Calibri" w:hAnsi="Calibri"/>
        </w:rPr>
        <w:t>.  It shall be interpreted accordingly.</w:t>
      </w:r>
      <w:bookmarkEnd w:id="77"/>
    </w:p>
    <w:p w14:paraId="01FBB876" w14:textId="77777777" w:rsidR="00D7609F" w:rsidRDefault="00D7609F">
      <w:pPr>
        <w:rPr>
          <w:rFonts w:ascii="Calibri" w:hAnsi="Calibri"/>
          <w:b/>
        </w:rPr>
      </w:pPr>
    </w:p>
    <w:p w14:paraId="30E029B6" w14:textId="77777777" w:rsidR="00D7609F" w:rsidRDefault="00D7609F">
      <w:pPr>
        <w:rPr>
          <w:rFonts w:ascii="Calibri" w:hAnsi="Calibri"/>
          <w:b/>
        </w:rPr>
      </w:pPr>
    </w:p>
    <w:p w14:paraId="22ACF05B" w14:textId="77777777" w:rsidR="00720C7D" w:rsidRDefault="00720C7D">
      <w:pPr>
        <w:rPr>
          <w:rFonts w:ascii="Calibri" w:hAnsi="Calibri"/>
          <w:b/>
        </w:rPr>
      </w:pPr>
      <w:r>
        <w:rPr>
          <w:rFonts w:ascii="Calibri" w:hAnsi="Calibri"/>
          <w:b/>
        </w:rPr>
        <w:br w:type="page"/>
      </w:r>
    </w:p>
    <w:p w14:paraId="5F8D973E" w14:textId="77777777" w:rsidR="00C26F91" w:rsidRDefault="00C26F91" w:rsidP="00C26F91">
      <w:pPr>
        <w:ind w:firstLine="720"/>
        <w:jc w:val="center"/>
        <w:rPr>
          <w:rFonts w:ascii="Calibri" w:hAnsi="Calibri"/>
          <w:b/>
        </w:rPr>
      </w:pPr>
      <w:r w:rsidRPr="00230559">
        <w:rPr>
          <w:rFonts w:ascii="Calibri" w:hAnsi="Calibri"/>
          <w:b/>
        </w:rPr>
        <w:lastRenderedPageBreak/>
        <w:t xml:space="preserve">Sample Language for </w:t>
      </w:r>
      <w:r>
        <w:rPr>
          <w:rFonts w:ascii="Calibri" w:hAnsi="Calibri"/>
          <w:b/>
        </w:rPr>
        <w:t xml:space="preserve">a </w:t>
      </w:r>
      <w:r w:rsidR="0062164E">
        <w:rPr>
          <w:rFonts w:ascii="Calibri" w:hAnsi="Calibri"/>
          <w:b/>
        </w:rPr>
        <w:t>Partial Release</w:t>
      </w:r>
      <w:r>
        <w:rPr>
          <w:rFonts w:ascii="Calibri" w:hAnsi="Calibri"/>
          <w:b/>
        </w:rPr>
        <w:t xml:space="preserve"> </w:t>
      </w:r>
      <w:r w:rsidR="0062164E">
        <w:rPr>
          <w:rFonts w:ascii="Calibri" w:hAnsi="Calibri"/>
          <w:b/>
        </w:rPr>
        <w:t xml:space="preserve">of </w:t>
      </w:r>
      <w:r w:rsidR="00DA097B">
        <w:rPr>
          <w:rFonts w:ascii="Calibri" w:hAnsi="Calibri"/>
          <w:b/>
        </w:rPr>
        <w:t>a B</w:t>
      </w:r>
      <w:r>
        <w:rPr>
          <w:rFonts w:ascii="Calibri" w:hAnsi="Calibri"/>
          <w:b/>
        </w:rPr>
        <w:t>road L</w:t>
      </w:r>
      <w:r w:rsidRPr="00230559">
        <w:rPr>
          <w:rFonts w:ascii="Calibri" w:hAnsi="Calibri"/>
          <w:b/>
        </w:rPr>
        <w:t xml:space="preserve">POA </w:t>
      </w:r>
      <w:r>
        <w:rPr>
          <w:rFonts w:ascii="Calibri" w:hAnsi="Calibri"/>
          <w:b/>
        </w:rPr>
        <w:t>in a</w:t>
      </w:r>
      <w:r w:rsidRPr="00230559">
        <w:rPr>
          <w:rFonts w:ascii="Calibri" w:hAnsi="Calibri"/>
          <w:b/>
        </w:rPr>
        <w:t xml:space="preserve"> Bypass (Family) Trust</w:t>
      </w:r>
      <w:r>
        <w:rPr>
          <w:rFonts w:ascii="Calibri" w:hAnsi="Calibri"/>
          <w:b/>
        </w:rPr>
        <w:t xml:space="preserve"> </w:t>
      </w:r>
      <w:r w:rsidR="0062164E">
        <w:rPr>
          <w:rFonts w:ascii="Calibri" w:hAnsi="Calibri"/>
          <w:b/>
        </w:rPr>
        <w:t>where</w:t>
      </w:r>
      <w:r>
        <w:rPr>
          <w:rFonts w:ascii="Calibri" w:hAnsi="Calibri"/>
          <w:b/>
        </w:rPr>
        <w:t xml:space="preserve"> </w:t>
      </w:r>
      <w:r w:rsidR="0091190C">
        <w:rPr>
          <w:rFonts w:ascii="Calibri" w:hAnsi="Calibri"/>
          <w:b/>
        </w:rPr>
        <w:t>the Surviving Spouse Desires</w:t>
      </w:r>
      <w:r>
        <w:rPr>
          <w:rFonts w:ascii="Calibri" w:hAnsi="Calibri"/>
          <w:b/>
        </w:rPr>
        <w:t xml:space="preserve"> to Fund </w:t>
      </w:r>
      <w:r w:rsidR="002F49A2">
        <w:rPr>
          <w:rFonts w:ascii="Calibri" w:hAnsi="Calibri"/>
          <w:b/>
        </w:rPr>
        <w:t xml:space="preserve">Bypass </w:t>
      </w:r>
      <w:r>
        <w:rPr>
          <w:rFonts w:ascii="Calibri" w:hAnsi="Calibri"/>
          <w:b/>
        </w:rPr>
        <w:t xml:space="preserve">via Qualified Disclaimer – Still Allowing the Surviving Spouse Dispositive Control in Order to </w:t>
      </w:r>
      <w:r w:rsidR="000B40CD">
        <w:rPr>
          <w:rFonts w:ascii="Calibri" w:hAnsi="Calibri"/>
          <w:b/>
        </w:rPr>
        <w:t xml:space="preserve">Spray Income and/or </w:t>
      </w:r>
      <w:r>
        <w:rPr>
          <w:rFonts w:ascii="Calibri" w:hAnsi="Calibri"/>
          <w:b/>
        </w:rPr>
        <w:t xml:space="preserve">Trigger the Delaware Tax Trap </w:t>
      </w:r>
      <w:r w:rsidR="000B40CD">
        <w:rPr>
          <w:rFonts w:ascii="Calibri" w:hAnsi="Calibri"/>
          <w:b/>
        </w:rPr>
        <w:t xml:space="preserve">at Death </w:t>
      </w:r>
      <w:r>
        <w:rPr>
          <w:rFonts w:ascii="Calibri" w:hAnsi="Calibri"/>
          <w:b/>
        </w:rPr>
        <w:t xml:space="preserve">to </w:t>
      </w:r>
      <w:r w:rsidR="000B40CD">
        <w:rPr>
          <w:rFonts w:ascii="Calibri" w:hAnsi="Calibri"/>
          <w:b/>
        </w:rPr>
        <w:t>Increase</w:t>
      </w:r>
      <w:r>
        <w:rPr>
          <w:rFonts w:ascii="Calibri" w:hAnsi="Calibri"/>
          <w:b/>
        </w:rPr>
        <w:t xml:space="preserve"> Basis for Appreciated Assets</w:t>
      </w:r>
    </w:p>
    <w:p w14:paraId="55F00A9A" w14:textId="77777777" w:rsidR="00705D73" w:rsidRDefault="00705D73" w:rsidP="00705D73">
      <w:pPr>
        <w:rPr>
          <w:color w:val="993300"/>
          <w:sz w:val="20"/>
          <w:szCs w:val="20"/>
          <w:lang w:val="en"/>
        </w:rPr>
      </w:pPr>
    </w:p>
    <w:p w14:paraId="74D3910E" w14:textId="77777777" w:rsidR="00705D73" w:rsidRPr="00C43C47" w:rsidRDefault="00705D73" w:rsidP="006421B8">
      <w:pPr>
        <w:spacing w:line="360" w:lineRule="auto"/>
        <w:rPr>
          <w:rFonts w:asciiTheme="minorHAnsi" w:hAnsiTheme="minorHAnsi"/>
          <w:color w:val="993300"/>
          <w:szCs w:val="20"/>
          <w:lang w:val="en"/>
        </w:rPr>
      </w:pPr>
      <w:r w:rsidRPr="00C43C47">
        <w:rPr>
          <w:rFonts w:asciiTheme="minorHAnsi" w:hAnsiTheme="minorHAnsi"/>
          <w:color w:val="993300"/>
          <w:szCs w:val="20"/>
          <w:lang w:val="en"/>
        </w:rPr>
        <w:t>Example of when to use this: John and Jane have basic AB trusts, with broad LPOAs in the bypass trust.  The trusts are mostly unfunded, then John dies. Jane proposes to disclaim her POD/TOD/JTWROS interests, in which case the assets will pour into the Bypass, but retention of a broad LPOA would taint the disclaimer (it would result in a taxable gift, full 2036 inclusion, full step down at second death</w:t>
      </w:r>
      <w:r w:rsidR="008E26DB">
        <w:rPr>
          <w:rFonts w:asciiTheme="minorHAnsi" w:hAnsiTheme="minorHAnsi"/>
          <w:color w:val="993300"/>
          <w:szCs w:val="20"/>
          <w:lang w:val="en"/>
        </w:rPr>
        <w:t xml:space="preserve"> and depending on the state potentially</w:t>
      </w:r>
      <w:r w:rsidR="008E26DB" w:rsidRPr="008E26DB">
        <w:rPr>
          <w:rFonts w:asciiTheme="minorHAnsi" w:hAnsiTheme="minorHAnsi"/>
          <w:color w:val="993300"/>
          <w:szCs w:val="20"/>
          <w:lang w:val="en"/>
        </w:rPr>
        <w:t xml:space="preserve"> </w:t>
      </w:r>
      <w:r w:rsidR="008E26DB" w:rsidRPr="00C43C47">
        <w:rPr>
          <w:rFonts w:asciiTheme="minorHAnsi" w:hAnsiTheme="minorHAnsi"/>
          <w:color w:val="993300"/>
          <w:szCs w:val="20"/>
          <w:lang w:val="en"/>
        </w:rPr>
        <w:t>loss of asset protection</w:t>
      </w:r>
      <w:r w:rsidRPr="00C43C47">
        <w:rPr>
          <w:rFonts w:asciiTheme="minorHAnsi" w:hAnsiTheme="minorHAnsi"/>
          <w:color w:val="993300"/>
          <w:szCs w:val="20"/>
          <w:lang w:val="en"/>
        </w:rPr>
        <w:t>).  Jane could disclaim the entire LPOA, losing the tax flexibility to spray income and get a step up in basis at second death, or, for potentially better income tax results, she may execute a partial release as envisioned below.  When she then disclaims, the retained LPOA, which can only be exercised in a way to trigger estate/gift tax, should meet the exception in the qualified disclaimer reg</w:t>
      </w:r>
      <w:r w:rsidR="00C43C47">
        <w:rPr>
          <w:rFonts w:asciiTheme="minorHAnsi" w:hAnsiTheme="minorHAnsi"/>
          <w:color w:val="993300"/>
          <w:szCs w:val="20"/>
          <w:lang w:val="en"/>
        </w:rPr>
        <w:t>ulation</w:t>
      </w:r>
      <w:r w:rsidRPr="00C43C47">
        <w:rPr>
          <w:rFonts w:asciiTheme="minorHAnsi" w:hAnsiTheme="minorHAnsi"/>
          <w:color w:val="993300"/>
          <w:szCs w:val="20"/>
          <w:lang w:val="en"/>
        </w:rPr>
        <w:t>s cited below.</w:t>
      </w:r>
      <w:r w:rsidR="00430658" w:rsidRPr="00C43C47">
        <w:rPr>
          <w:rFonts w:asciiTheme="minorHAnsi" w:hAnsiTheme="minorHAnsi"/>
          <w:color w:val="993300"/>
          <w:szCs w:val="20"/>
          <w:lang w:val="en"/>
        </w:rPr>
        <w:t xml:space="preserve">  </w:t>
      </w:r>
    </w:p>
    <w:p w14:paraId="7370C17D" w14:textId="77777777" w:rsidR="00D36BCB" w:rsidRDefault="00D36BCB" w:rsidP="00C26F91">
      <w:pPr>
        <w:ind w:firstLine="720"/>
        <w:jc w:val="center"/>
        <w:rPr>
          <w:rFonts w:ascii="Calibri" w:hAnsi="Calibri"/>
          <w:b/>
        </w:rPr>
      </w:pPr>
    </w:p>
    <w:p w14:paraId="47BBDEE8" w14:textId="77777777" w:rsidR="00D36BCB" w:rsidRDefault="00D36BCB" w:rsidP="00D36BCB">
      <w:pPr>
        <w:tabs>
          <w:tab w:val="left" w:pos="100"/>
        </w:tabs>
        <w:autoSpaceDE w:val="0"/>
        <w:autoSpaceDN w:val="0"/>
        <w:adjustRightInd w:val="0"/>
        <w:spacing w:before="120" w:after="120"/>
        <w:rPr>
          <w:rFonts w:ascii="Calibri" w:hAnsi="Calibri"/>
        </w:rPr>
      </w:pPr>
      <w:r w:rsidRPr="00C62C1C">
        <w:rPr>
          <w:rFonts w:ascii="Calibri" w:hAnsi="Calibri"/>
        </w:rPr>
        <w:t xml:space="preserve">Pursuant to </w:t>
      </w:r>
      <w:r>
        <w:rPr>
          <w:rFonts w:ascii="Calibri" w:hAnsi="Calibri"/>
        </w:rPr>
        <w:t xml:space="preserve">paragraph X of my spouse’s trust dated xx/xx/xxxx, I was granted a limited </w:t>
      </w:r>
      <w:r w:rsidR="00985471">
        <w:rPr>
          <w:rFonts w:ascii="Calibri" w:hAnsi="Calibri"/>
        </w:rPr>
        <w:t xml:space="preserve">[testamentary] </w:t>
      </w:r>
      <w:r>
        <w:rPr>
          <w:rFonts w:ascii="Calibri" w:hAnsi="Calibri"/>
        </w:rPr>
        <w:t>power to appoint the assets of said trust by specifically referring to that power in my (will, living trust or other deed).  I was granted the power to a</w:t>
      </w:r>
      <w:r w:rsidR="000B40CD">
        <w:rPr>
          <w:rFonts w:ascii="Calibri" w:hAnsi="Calibri"/>
        </w:rPr>
        <w:t>ppoint to ____________________ [</w:t>
      </w:r>
      <w:r>
        <w:rPr>
          <w:rFonts w:ascii="Calibri" w:hAnsi="Calibri"/>
        </w:rPr>
        <w:t xml:space="preserve">often this will be either to descendants </w:t>
      </w:r>
      <w:r w:rsidR="00556047">
        <w:rPr>
          <w:rFonts w:ascii="Calibri" w:hAnsi="Calibri"/>
        </w:rPr>
        <w:t>or to</w:t>
      </w:r>
      <w:r>
        <w:rPr>
          <w:rFonts w:ascii="Calibri" w:hAnsi="Calibri"/>
        </w:rPr>
        <w:t xml:space="preserve"> a</w:t>
      </w:r>
      <w:r w:rsidR="00985471">
        <w:rPr>
          <w:rFonts w:ascii="Calibri" w:hAnsi="Calibri"/>
        </w:rPr>
        <w:t>nyone but the powerholder, powerholder’</w:t>
      </w:r>
      <w:r w:rsidR="000B40CD">
        <w:rPr>
          <w:rFonts w:ascii="Calibri" w:hAnsi="Calibri"/>
        </w:rPr>
        <w:t>s estate or creditors of either]</w:t>
      </w:r>
      <w:r w:rsidR="0091190C">
        <w:rPr>
          <w:rFonts w:ascii="Calibri" w:hAnsi="Calibri"/>
        </w:rPr>
        <w:t xml:space="preserve">, which includes the power to appoint to a trust therefore </w:t>
      </w:r>
      <w:r w:rsidR="0091190C" w:rsidRPr="0091190C">
        <w:rPr>
          <w:rFonts w:ascii="Calibri" w:hAnsi="Calibri"/>
          <w:color w:val="993300"/>
        </w:rPr>
        <w:t xml:space="preserve">[usually trusts include this power – if yours does not, </w:t>
      </w:r>
      <w:r w:rsidR="004F439D">
        <w:rPr>
          <w:rFonts w:ascii="Calibri" w:hAnsi="Calibri"/>
          <w:color w:val="993300"/>
        </w:rPr>
        <w:t>check</w:t>
      </w:r>
      <w:r w:rsidR="0091190C" w:rsidRPr="0091190C">
        <w:rPr>
          <w:rFonts w:ascii="Calibri" w:hAnsi="Calibri"/>
          <w:color w:val="993300"/>
        </w:rPr>
        <w:t xml:space="preserve"> state law </w:t>
      </w:r>
      <w:r w:rsidR="00705D73">
        <w:rPr>
          <w:rFonts w:ascii="Calibri" w:hAnsi="Calibri"/>
          <w:color w:val="993300"/>
        </w:rPr>
        <w:t>(common law under Restatement is favorable)</w:t>
      </w:r>
      <w:r w:rsidR="004F439D">
        <w:rPr>
          <w:rFonts w:ascii="Calibri" w:hAnsi="Calibri"/>
          <w:color w:val="993300"/>
        </w:rPr>
        <w:t>, which</w:t>
      </w:r>
      <w:r w:rsidR="0091190C" w:rsidRPr="0091190C">
        <w:rPr>
          <w:rFonts w:ascii="Calibri" w:hAnsi="Calibri"/>
          <w:color w:val="993300"/>
        </w:rPr>
        <w:t xml:space="preserve"> probably includes </w:t>
      </w:r>
      <w:r w:rsidR="004F439D">
        <w:rPr>
          <w:rFonts w:ascii="Calibri" w:hAnsi="Calibri"/>
          <w:color w:val="993300"/>
        </w:rPr>
        <w:t>it</w:t>
      </w:r>
      <w:r w:rsidR="0091190C" w:rsidRPr="0091190C">
        <w:rPr>
          <w:rFonts w:ascii="Calibri" w:hAnsi="Calibri"/>
          <w:color w:val="993300"/>
        </w:rPr>
        <w:t xml:space="preserve"> anyway]</w:t>
      </w:r>
      <w:r w:rsidR="00985471">
        <w:rPr>
          <w:rFonts w:ascii="Calibri" w:hAnsi="Calibri"/>
        </w:rPr>
        <w:t>.</w:t>
      </w:r>
    </w:p>
    <w:p w14:paraId="0D6345EC" w14:textId="77777777" w:rsidR="000B40CD" w:rsidRDefault="000B40CD" w:rsidP="000B40CD">
      <w:pPr>
        <w:tabs>
          <w:tab w:val="left" w:pos="100"/>
        </w:tabs>
        <w:autoSpaceDE w:val="0"/>
        <w:autoSpaceDN w:val="0"/>
        <w:adjustRightInd w:val="0"/>
        <w:spacing w:before="120" w:after="120"/>
        <w:rPr>
          <w:rFonts w:ascii="Calibri" w:hAnsi="Calibri"/>
        </w:rPr>
      </w:pPr>
      <w:r w:rsidRPr="000B40CD">
        <w:rPr>
          <w:rFonts w:ascii="Calibri" w:hAnsi="Calibri"/>
          <w:color w:val="993300"/>
        </w:rPr>
        <w:t xml:space="preserve">[to use if a </w:t>
      </w:r>
      <w:r w:rsidRPr="0091190C">
        <w:rPr>
          <w:rFonts w:ascii="Calibri" w:hAnsi="Calibri"/>
          <w:i/>
          <w:color w:val="993300"/>
        </w:rPr>
        <w:t>lifetime</w:t>
      </w:r>
      <w:r w:rsidRPr="000B40CD">
        <w:rPr>
          <w:rFonts w:ascii="Calibri" w:hAnsi="Calibri"/>
          <w:color w:val="993300"/>
        </w:rPr>
        <w:t xml:space="preserve"> power is granted</w:t>
      </w:r>
      <w:r w:rsidR="0091190C">
        <w:rPr>
          <w:rFonts w:ascii="Calibri" w:hAnsi="Calibri"/>
          <w:color w:val="993300"/>
        </w:rPr>
        <w:t xml:space="preserve"> in the original trust</w:t>
      </w:r>
      <w:r w:rsidRPr="000B40CD">
        <w:rPr>
          <w:rFonts w:ascii="Calibri" w:hAnsi="Calibri"/>
          <w:color w:val="993300"/>
        </w:rPr>
        <w:t xml:space="preserve">] </w:t>
      </w:r>
      <w:r w:rsidR="0091190C">
        <w:rPr>
          <w:rFonts w:ascii="Calibri" w:hAnsi="Calibri"/>
        </w:rPr>
        <w:t xml:space="preserve">As to my limited power to appoint during my lifetime, </w:t>
      </w:r>
      <w:r>
        <w:rPr>
          <w:rFonts w:ascii="Calibri" w:hAnsi="Calibri"/>
        </w:rPr>
        <w:t xml:space="preserve">I hereby partially release and disclaim the above mentioned power </w:t>
      </w:r>
      <w:r w:rsidRPr="00AF382D">
        <w:rPr>
          <w:rFonts w:ascii="Calibri" w:hAnsi="Calibri"/>
          <w:b/>
        </w:rPr>
        <w:t>except</w:t>
      </w:r>
      <w:r>
        <w:rPr>
          <w:rFonts w:ascii="Calibri" w:hAnsi="Calibri"/>
        </w:rPr>
        <w:t xml:space="preserve"> that </w:t>
      </w:r>
      <w:r w:rsidR="0091190C">
        <w:rPr>
          <w:rFonts w:ascii="Calibri" w:hAnsi="Calibri"/>
        </w:rPr>
        <w:t xml:space="preserve">I shall retain </w:t>
      </w:r>
      <w:r w:rsidRPr="00556047">
        <w:rPr>
          <w:rFonts w:ascii="Calibri" w:hAnsi="Calibri"/>
          <w:b/>
        </w:rPr>
        <w:t>only</w:t>
      </w:r>
      <w:r w:rsidR="0091190C">
        <w:rPr>
          <w:rFonts w:ascii="Calibri" w:hAnsi="Calibri"/>
          <w:b/>
        </w:rPr>
        <w:t xml:space="preserve"> </w:t>
      </w:r>
      <w:r w:rsidR="00203A70">
        <w:rPr>
          <w:rFonts w:ascii="Calibri" w:hAnsi="Calibri"/>
          <w:b/>
        </w:rPr>
        <w:t xml:space="preserve">1) </w:t>
      </w:r>
      <w:r w:rsidR="0091190C">
        <w:rPr>
          <w:rFonts w:ascii="Calibri" w:hAnsi="Calibri"/>
        </w:rPr>
        <w:t>the power to appoint to</w:t>
      </w:r>
      <w:r>
        <w:rPr>
          <w:rFonts w:ascii="Calibri" w:hAnsi="Calibri"/>
        </w:rPr>
        <w:t xml:space="preserve"> a trust for </w:t>
      </w:r>
      <w:r w:rsidR="0091190C">
        <w:rPr>
          <w:rFonts w:ascii="Calibri" w:hAnsi="Calibri"/>
        </w:rPr>
        <w:t>the permitted appointees</w:t>
      </w:r>
      <w:r>
        <w:rPr>
          <w:rFonts w:ascii="Calibri" w:hAnsi="Calibri"/>
        </w:rPr>
        <w:t xml:space="preserve"> that will trigger a federal gift tax under</w:t>
      </w:r>
      <w:r w:rsidR="0091190C">
        <w:rPr>
          <w:rFonts w:ascii="Calibri" w:hAnsi="Calibri"/>
        </w:rPr>
        <w:t xml:space="preserve"> IRC §2514(e)</w:t>
      </w:r>
      <w:r>
        <w:rPr>
          <w:rFonts w:ascii="Calibri" w:hAnsi="Calibri"/>
        </w:rPr>
        <w:t xml:space="preserve"> upon transfer</w:t>
      </w:r>
      <w:r w:rsidR="00203A70">
        <w:rPr>
          <w:rFonts w:ascii="Calibri" w:hAnsi="Calibri"/>
        </w:rPr>
        <w:t xml:space="preserve"> and 2) the power to appoint to any of the permitted appointees directly, but limited to amounts necessary for their health, education or support</w:t>
      </w:r>
      <w:r>
        <w:rPr>
          <w:rFonts w:ascii="Calibri" w:hAnsi="Calibri"/>
        </w:rPr>
        <w:t xml:space="preserve">.  I hereby release and disclaim the power to appoint </w:t>
      </w:r>
      <w:r w:rsidR="00203A70">
        <w:rPr>
          <w:rFonts w:ascii="Calibri" w:hAnsi="Calibri"/>
        </w:rPr>
        <w:t>during my lifetime beyond the appointee</w:t>
      </w:r>
      <w:r w:rsidR="000638C6">
        <w:rPr>
          <w:rFonts w:ascii="Calibri" w:hAnsi="Calibri"/>
        </w:rPr>
        <w:t>s</w:t>
      </w:r>
      <w:r w:rsidR="00203A70">
        <w:rPr>
          <w:rFonts w:ascii="Calibri" w:hAnsi="Calibri"/>
        </w:rPr>
        <w:t xml:space="preserve"> or amounts described above.</w:t>
      </w:r>
    </w:p>
    <w:p w14:paraId="347E27D5" w14:textId="77777777" w:rsidR="00AF382D" w:rsidRDefault="000B40CD" w:rsidP="00D36BCB">
      <w:pPr>
        <w:tabs>
          <w:tab w:val="left" w:pos="100"/>
        </w:tabs>
        <w:autoSpaceDE w:val="0"/>
        <w:autoSpaceDN w:val="0"/>
        <w:adjustRightInd w:val="0"/>
        <w:spacing w:before="120" w:after="120"/>
        <w:rPr>
          <w:rFonts w:ascii="Calibri" w:hAnsi="Calibri"/>
        </w:rPr>
      </w:pPr>
      <w:r w:rsidRPr="000B40CD">
        <w:rPr>
          <w:rFonts w:ascii="Calibri" w:hAnsi="Calibri"/>
          <w:color w:val="993300"/>
        </w:rPr>
        <w:t xml:space="preserve">[more common – to use if a </w:t>
      </w:r>
      <w:r w:rsidRPr="0091190C">
        <w:rPr>
          <w:rFonts w:ascii="Calibri" w:hAnsi="Calibri"/>
          <w:i/>
          <w:color w:val="993300"/>
        </w:rPr>
        <w:t>testamentary</w:t>
      </w:r>
      <w:r w:rsidRPr="000B40CD">
        <w:rPr>
          <w:rFonts w:ascii="Calibri" w:hAnsi="Calibri"/>
          <w:color w:val="993300"/>
        </w:rPr>
        <w:t xml:space="preserve"> power is granted</w:t>
      </w:r>
      <w:r w:rsidR="0091190C">
        <w:rPr>
          <w:rFonts w:ascii="Calibri" w:hAnsi="Calibri"/>
          <w:color w:val="993300"/>
        </w:rPr>
        <w:t xml:space="preserve"> in the original trust</w:t>
      </w:r>
      <w:r w:rsidRPr="000B40CD">
        <w:rPr>
          <w:rFonts w:ascii="Calibri" w:hAnsi="Calibri"/>
          <w:color w:val="993300"/>
        </w:rPr>
        <w:t>]</w:t>
      </w:r>
      <w:r>
        <w:rPr>
          <w:rFonts w:ascii="Calibri" w:hAnsi="Calibri"/>
        </w:rPr>
        <w:t xml:space="preserve"> </w:t>
      </w:r>
      <w:r w:rsidR="0091190C">
        <w:rPr>
          <w:rFonts w:ascii="Calibri" w:hAnsi="Calibri"/>
        </w:rPr>
        <w:t xml:space="preserve">As to my limited testamentary power to appoint upon my death, </w:t>
      </w:r>
      <w:r w:rsidR="00985471">
        <w:rPr>
          <w:rFonts w:ascii="Calibri" w:hAnsi="Calibri"/>
        </w:rPr>
        <w:t>I</w:t>
      </w:r>
      <w:r w:rsidR="00D36BCB">
        <w:rPr>
          <w:rFonts w:ascii="Calibri" w:hAnsi="Calibri"/>
        </w:rPr>
        <w:t xml:space="preserve"> hereby partially release and disclaim the </w:t>
      </w:r>
      <w:r w:rsidR="00985471">
        <w:rPr>
          <w:rFonts w:ascii="Calibri" w:hAnsi="Calibri"/>
        </w:rPr>
        <w:t xml:space="preserve">above mentioned power </w:t>
      </w:r>
      <w:r w:rsidR="00985471" w:rsidRPr="00AF382D">
        <w:rPr>
          <w:rFonts w:ascii="Calibri" w:hAnsi="Calibri"/>
          <w:b/>
        </w:rPr>
        <w:t>except</w:t>
      </w:r>
      <w:r w:rsidR="00AF382D">
        <w:rPr>
          <w:rFonts w:ascii="Calibri" w:hAnsi="Calibri"/>
        </w:rPr>
        <w:t xml:space="preserve"> that </w:t>
      </w:r>
      <w:r w:rsidR="00203A70">
        <w:rPr>
          <w:rFonts w:ascii="Calibri" w:hAnsi="Calibri"/>
        </w:rPr>
        <w:t xml:space="preserve">I shall retain </w:t>
      </w:r>
      <w:r w:rsidR="00556047" w:rsidRPr="00556047">
        <w:rPr>
          <w:rFonts w:ascii="Calibri" w:hAnsi="Calibri"/>
          <w:b/>
        </w:rPr>
        <w:t>only</w:t>
      </w:r>
      <w:r w:rsidR="00556047">
        <w:rPr>
          <w:rFonts w:ascii="Calibri" w:hAnsi="Calibri"/>
        </w:rPr>
        <w:t xml:space="preserve"> </w:t>
      </w:r>
      <w:r w:rsidR="00203A70">
        <w:rPr>
          <w:rFonts w:ascii="Calibri" w:hAnsi="Calibri"/>
        </w:rPr>
        <w:t xml:space="preserve">the power to appoint to </w:t>
      </w:r>
      <w:r w:rsidR="00556047">
        <w:rPr>
          <w:rFonts w:ascii="Calibri" w:hAnsi="Calibri"/>
        </w:rPr>
        <w:t>a</w:t>
      </w:r>
      <w:r w:rsidR="00AF382D">
        <w:rPr>
          <w:rFonts w:ascii="Calibri" w:hAnsi="Calibri"/>
        </w:rPr>
        <w:t xml:space="preserve"> trust for </w:t>
      </w:r>
      <w:r w:rsidR="00705D73">
        <w:rPr>
          <w:rFonts w:ascii="Calibri" w:hAnsi="Calibri"/>
        </w:rPr>
        <w:t>any or all of the permitted appointees</w:t>
      </w:r>
      <w:r w:rsidR="00AF382D">
        <w:rPr>
          <w:rFonts w:ascii="Calibri" w:hAnsi="Calibri"/>
        </w:rPr>
        <w:t xml:space="preserve"> that will trigger a federal estate tax under IRC §2041(a)(3) </w:t>
      </w:r>
      <w:r w:rsidR="00556047">
        <w:rPr>
          <w:rFonts w:ascii="Calibri" w:hAnsi="Calibri"/>
        </w:rPr>
        <w:t>upon transfer</w:t>
      </w:r>
      <w:r w:rsidR="00AF382D">
        <w:rPr>
          <w:rFonts w:ascii="Calibri" w:hAnsi="Calibri"/>
        </w:rPr>
        <w:t xml:space="preserve">.  </w:t>
      </w:r>
      <w:r w:rsidR="00556047">
        <w:rPr>
          <w:rFonts w:ascii="Calibri" w:hAnsi="Calibri"/>
        </w:rPr>
        <w:t>I hereby release and disclaim the power to appoint to any other appointee.</w:t>
      </w:r>
    </w:p>
    <w:p w14:paraId="66CAD996" w14:textId="77777777" w:rsidR="00D36BCB" w:rsidRDefault="00AF382D" w:rsidP="00237706">
      <w:pPr>
        <w:tabs>
          <w:tab w:val="left" w:pos="100"/>
        </w:tabs>
        <w:autoSpaceDE w:val="0"/>
        <w:autoSpaceDN w:val="0"/>
        <w:adjustRightInd w:val="0"/>
        <w:spacing w:line="360" w:lineRule="auto"/>
        <w:rPr>
          <w:rFonts w:ascii="Calibri" w:hAnsi="Calibri"/>
        </w:rPr>
      </w:pPr>
      <w:r>
        <w:rPr>
          <w:rFonts w:ascii="Calibri" w:hAnsi="Calibri"/>
        </w:rPr>
        <w:lastRenderedPageBreak/>
        <w:t xml:space="preserve">This </w:t>
      </w:r>
      <w:r w:rsidR="00DA097B">
        <w:rPr>
          <w:rFonts w:ascii="Calibri" w:hAnsi="Calibri"/>
        </w:rPr>
        <w:t>release</w:t>
      </w:r>
      <w:r w:rsidR="000B40CD">
        <w:rPr>
          <w:rFonts w:ascii="Calibri" w:hAnsi="Calibri"/>
        </w:rPr>
        <w:t>/disclaimer</w:t>
      </w:r>
      <w:r>
        <w:rPr>
          <w:rFonts w:ascii="Calibri" w:hAnsi="Calibri"/>
        </w:rPr>
        <w:t xml:space="preserve"> is intended to qualify any future or contemporaneously executed disclaimer </w:t>
      </w:r>
      <w:r w:rsidR="00203A70">
        <w:rPr>
          <w:rFonts w:ascii="Calibri" w:hAnsi="Calibri"/>
        </w:rPr>
        <w:t xml:space="preserve">that would cause a transfer to the trust </w:t>
      </w:r>
      <w:r w:rsidR="004F439D">
        <w:rPr>
          <w:rFonts w:ascii="Calibri" w:hAnsi="Calibri"/>
        </w:rPr>
        <w:t xml:space="preserve">referenced above, </w:t>
      </w:r>
      <w:r w:rsidR="00203A70">
        <w:rPr>
          <w:rFonts w:ascii="Calibri" w:hAnsi="Calibri"/>
        </w:rPr>
        <w:t>such</w:t>
      </w:r>
      <w:r w:rsidR="000B40CD">
        <w:rPr>
          <w:rFonts w:ascii="Calibri" w:hAnsi="Calibri"/>
        </w:rPr>
        <w:t xml:space="preserve"> that the rights </w:t>
      </w:r>
      <w:r w:rsidR="004F439D">
        <w:rPr>
          <w:rFonts w:ascii="Calibri" w:hAnsi="Calibri"/>
        </w:rPr>
        <w:t xml:space="preserve">retained after release/disclaimer </w:t>
      </w:r>
      <w:r>
        <w:rPr>
          <w:rFonts w:ascii="Calibri" w:hAnsi="Calibri"/>
        </w:rPr>
        <w:t xml:space="preserve">comply with the requirements of IRC § 2518 and the exception for retained spousal rights to direct the beneficial enjoyment of property under Treas. Reg. </w:t>
      </w:r>
      <w:r w:rsidR="00EA4084">
        <w:rPr>
          <w:rFonts w:ascii="Calibri" w:hAnsi="Calibri"/>
        </w:rPr>
        <w:t>§</w:t>
      </w:r>
      <w:r>
        <w:rPr>
          <w:rFonts w:ascii="Calibri" w:hAnsi="Calibri"/>
        </w:rPr>
        <w:t>25.2518(e)(2) and (e)(5) example</w:t>
      </w:r>
      <w:r w:rsidR="00705D73">
        <w:rPr>
          <w:rFonts w:ascii="Calibri" w:hAnsi="Calibri"/>
        </w:rPr>
        <w:t>s 6 and</w:t>
      </w:r>
      <w:r>
        <w:rPr>
          <w:rFonts w:ascii="Calibri" w:hAnsi="Calibri"/>
        </w:rPr>
        <w:t xml:space="preserve"> 7</w:t>
      </w:r>
      <w:r w:rsidR="000B40CD">
        <w:rPr>
          <w:rFonts w:ascii="Calibri" w:hAnsi="Calibri"/>
        </w:rPr>
        <w:t>.  It</w:t>
      </w:r>
      <w:r>
        <w:rPr>
          <w:rFonts w:ascii="Calibri" w:hAnsi="Calibri"/>
        </w:rPr>
        <w:t xml:space="preserve"> s</w:t>
      </w:r>
      <w:r w:rsidR="000B40CD">
        <w:rPr>
          <w:rFonts w:ascii="Calibri" w:hAnsi="Calibri"/>
        </w:rPr>
        <w:t>hall be interpreted accordingly and shall be given effect regardless of whether this release/disclaimer of interests is itself a qualified disclaimer under IRC §2518.</w:t>
      </w:r>
    </w:p>
    <w:p w14:paraId="0F0A4D13" w14:textId="77777777" w:rsidR="00D36BCB" w:rsidRDefault="00D36BCB" w:rsidP="006421B8">
      <w:pPr>
        <w:spacing w:line="360" w:lineRule="auto"/>
        <w:rPr>
          <w:sz w:val="18"/>
          <w:szCs w:val="18"/>
          <w:lang w:val="en"/>
        </w:rPr>
      </w:pPr>
    </w:p>
    <w:p w14:paraId="193B95DD" w14:textId="77777777" w:rsidR="00452D72" w:rsidRDefault="00F75E4F" w:rsidP="006421B8">
      <w:pPr>
        <w:spacing w:line="360" w:lineRule="auto"/>
        <w:rPr>
          <w:rFonts w:ascii="Calibri" w:hAnsi="Calibri"/>
          <w:color w:val="993300"/>
          <w:lang w:val="en"/>
        </w:rPr>
      </w:pPr>
      <w:r w:rsidRPr="00271AB3">
        <w:rPr>
          <w:rFonts w:ascii="Calibri" w:hAnsi="Calibri"/>
          <w:color w:val="993300"/>
          <w:lang w:val="en"/>
        </w:rPr>
        <w:t xml:space="preserve">Note – There is no example in the </w:t>
      </w:r>
      <w:r w:rsidR="001B2162">
        <w:rPr>
          <w:rFonts w:ascii="Calibri" w:hAnsi="Calibri"/>
          <w:color w:val="993300"/>
          <w:lang w:val="en"/>
        </w:rPr>
        <w:t>§</w:t>
      </w:r>
      <w:r w:rsidRPr="00271AB3">
        <w:rPr>
          <w:rFonts w:ascii="Calibri" w:hAnsi="Calibri"/>
          <w:color w:val="993300"/>
          <w:lang w:val="en"/>
        </w:rPr>
        <w:t xml:space="preserve">2518 Regs of whether such a disclaimer is </w:t>
      </w:r>
      <w:r w:rsidR="000B40CD" w:rsidRPr="00271AB3">
        <w:rPr>
          <w:rFonts w:ascii="Calibri" w:hAnsi="Calibri"/>
          <w:color w:val="993300"/>
          <w:lang w:val="en"/>
        </w:rPr>
        <w:t>“</w:t>
      </w:r>
      <w:r w:rsidRPr="00271AB3">
        <w:rPr>
          <w:rFonts w:ascii="Calibri" w:hAnsi="Calibri"/>
          <w:color w:val="993300"/>
          <w:lang w:val="en"/>
        </w:rPr>
        <w:t>qualified</w:t>
      </w:r>
      <w:r w:rsidR="000B40CD" w:rsidRPr="00271AB3">
        <w:rPr>
          <w:rFonts w:ascii="Calibri" w:hAnsi="Calibri"/>
          <w:color w:val="993300"/>
          <w:lang w:val="en"/>
        </w:rPr>
        <w:t>”</w:t>
      </w:r>
      <w:r w:rsidR="002F49A2" w:rsidRPr="00271AB3">
        <w:rPr>
          <w:rFonts w:ascii="Calibri" w:hAnsi="Calibri"/>
          <w:color w:val="993300"/>
          <w:lang w:val="en"/>
        </w:rPr>
        <w:t xml:space="preserve"> (is it “severable”</w:t>
      </w:r>
      <w:r w:rsidR="004F439D" w:rsidRPr="00271AB3">
        <w:rPr>
          <w:rFonts w:ascii="Calibri" w:hAnsi="Calibri"/>
          <w:color w:val="993300"/>
          <w:lang w:val="en"/>
        </w:rPr>
        <w:t>?</w:t>
      </w:r>
      <w:r w:rsidR="002F49A2" w:rsidRPr="00271AB3">
        <w:rPr>
          <w:rFonts w:ascii="Calibri" w:hAnsi="Calibri"/>
          <w:color w:val="993300"/>
          <w:lang w:val="en"/>
        </w:rPr>
        <w:t>)</w:t>
      </w:r>
      <w:r w:rsidR="00DA097B" w:rsidRPr="00271AB3">
        <w:rPr>
          <w:rFonts w:ascii="Calibri" w:hAnsi="Calibri"/>
          <w:color w:val="993300"/>
          <w:lang w:val="en"/>
        </w:rPr>
        <w:t>, which is why I referred to the above as a “release”</w:t>
      </w:r>
      <w:r w:rsidR="008F5AF4" w:rsidRPr="00271AB3">
        <w:rPr>
          <w:rFonts w:ascii="Calibri" w:hAnsi="Calibri"/>
          <w:color w:val="993300"/>
          <w:lang w:val="en"/>
        </w:rPr>
        <w:t xml:space="preserve"> and/</w:t>
      </w:r>
      <w:r w:rsidR="002F49A2" w:rsidRPr="00271AB3">
        <w:rPr>
          <w:rFonts w:ascii="Calibri" w:hAnsi="Calibri"/>
          <w:color w:val="993300"/>
          <w:lang w:val="en"/>
        </w:rPr>
        <w:t>or “disclaimer”</w:t>
      </w:r>
      <w:r w:rsidR="00DA097B" w:rsidRPr="00271AB3">
        <w:rPr>
          <w:rFonts w:ascii="Calibri" w:hAnsi="Calibri"/>
          <w:color w:val="993300"/>
          <w:lang w:val="en"/>
        </w:rPr>
        <w:t>, not a “qualified disclaimer”</w:t>
      </w:r>
      <w:r w:rsidRPr="00271AB3">
        <w:rPr>
          <w:rFonts w:ascii="Calibri" w:hAnsi="Calibri"/>
          <w:color w:val="993300"/>
          <w:lang w:val="en"/>
        </w:rPr>
        <w:t xml:space="preserve">.  </w:t>
      </w:r>
      <w:r w:rsidR="00DA097B" w:rsidRPr="00271AB3">
        <w:rPr>
          <w:rFonts w:ascii="Calibri" w:hAnsi="Calibri"/>
          <w:color w:val="993300"/>
          <w:lang w:val="en"/>
        </w:rPr>
        <w:t xml:space="preserve">See </w:t>
      </w:r>
      <w:r w:rsidR="001B2162">
        <w:rPr>
          <w:rFonts w:ascii="Calibri" w:hAnsi="Calibri"/>
          <w:color w:val="993300"/>
          <w:lang w:val="en"/>
        </w:rPr>
        <w:t>§</w:t>
      </w:r>
      <w:r w:rsidR="00DA097B" w:rsidRPr="00271AB3">
        <w:rPr>
          <w:rFonts w:ascii="Calibri" w:hAnsi="Calibri"/>
          <w:color w:val="993300"/>
          <w:lang w:val="en"/>
        </w:rPr>
        <w:t>25.2518-3(A)(iii)</w:t>
      </w:r>
      <w:r w:rsidR="00FE4249" w:rsidRPr="00271AB3">
        <w:rPr>
          <w:rFonts w:ascii="Calibri" w:hAnsi="Calibri"/>
          <w:color w:val="993300"/>
          <w:lang w:val="en"/>
        </w:rPr>
        <w:t xml:space="preserve"> and examples 9 and 21 in that Reg</w:t>
      </w:r>
      <w:r w:rsidR="00DA097B" w:rsidRPr="00271AB3">
        <w:rPr>
          <w:rFonts w:ascii="Calibri" w:hAnsi="Calibri"/>
          <w:color w:val="993300"/>
          <w:lang w:val="en"/>
        </w:rPr>
        <w:t xml:space="preserve"> for disclaiming POAs, which are considered as separate property interests for disclaimer purposes.  </w:t>
      </w:r>
      <w:r w:rsidR="00452D72" w:rsidRPr="00271AB3">
        <w:rPr>
          <w:rFonts w:ascii="Calibri" w:hAnsi="Calibri"/>
          <w:color w:val="993300"/>
          <w:lang w:val="en"/>
        </w:rPr>
        <w:t>Whether the above would be “qualified” is</w:t>
      </w:r>
      <w:r w:rsidR="00DA097B" w:rsidRPr="00271AB3">
        <w:rPr>
          <w:rFonts w:ascii="Calibri" w:hAnsi="Calibri"/>
          <w:color w:val="993300"/>
          <w:lang w:val="en"/>
        </w:rPr>
        <w:t xml:space="preserve"> </w:t>
      </w:r>
      <w:r w:rsidR="008F5AF4" w:rsidRPr="00271AB3">
        <w:rPr>
          <w:rFonts w:ascii="Calibri" w:hAnsi="Calibri"/>
          <w:color w:val="993300"/>
          <w:lang w:val="en"/>
        </w:rPr>
        <w:t>irrelevant</w:t>
      </w:r>
      <w:r w:rsidR="00DA097B" w:rsidRPr="00271AB3">
        <w:rPr>
          <w:rFonts w:ascii="Calibri" w:hAnsi="Calibri"/>
          <w:color w:val="993300"/>
          <w:lang w:val="en"/>
        </w:rPr>
        <w:t>, at least for the limited purpose of this Release, which is to prepare another disclaimer to be qualified</w:t>
      </w:r>
      <w:r w:rsidRPr="00271AB3">
        <w:rPr>
          <w:rFonts w:ascii="Calibri" w:hAnsi="Calibri"/>
          <w:color w:val="993300"/>
          <w:lang w:val="en"/>
        </w:rPr>
        <w:t xml:space="preserve"> – a release may accomplish the same thing</w:t>
      </w:r>
      <w:r w:rsidR="00452D72" w:rsidRPr="00271AB3">
        <w:rPr>
          <w:rFonts w:ascii="Calibri" w:hAnsi="Calibri"/>
          <w:color w:val="993300"/>
          <w:lang w:val="en"/>
        </w:rPr>
        <w:t xml:space="preserve"> as a qualified disclaimer in some cases</w:t>
      </w:r>
      <w:r w:rsidRPr="00271AB3">
        <w:rPr>
          <w:rFonts w:ascii="Calibri" w:hAnsi="Calibri"/>
          <w:color w:val="993300"/>
          <w:lang w:val="en"/>
        </w:rPr>
        <w:t xml:space="preserve"> without ill effect.  For a great example of a clever use of a </w:t>
      </w:r>
      <w:r w:rsidR="00FE4249" w:rsidRPr="00271AB3">
        <w:rPr>
          <w:rFonts w:ascii="Calibri" w:hAnsi="Calibri"/>
          <w:color w:val="993300"/>
          <w:lang w:val="en"/>
        </w:rPr>
        <w:t xml:space="preserve">partial </w:t>
      </w:r>
      <w:r w:rsidRPr="00271AB3">
        <w:rPr>
          <w:rFonts w:ascii="Calibri" w:hAnsi="Calibri"/>
          <w:b/>
          <w:color w:val="993300"/>
          <w:lang w:val="en"/>
        </w:rPr>
        <w:t>release</w:t>
      </w:r>
      <w:r w:rsidRPr="00271AB3">
        <w:rPr>
          <w:rFonts w:ascii="Calibri" w:hAnsi="Calibri"/>
          <w:color w:val="993300"/>
          <w:lang w:val="en"/>
        </w:rPr>
        <w:t xml:space="preserve"> of a GPOA</w:t>
      </w:r>
      <w:r w:rsidR="00DA097B" w:rsidRPr="00271AB3">
        <w:rPr>
          <w:rFonts w:ascii="Calibri" w:hAnsi="Calibri"/>
          <w:color w:val="993300"/>
          <w:lang w:val="en"/>
        </w:rPr>
        <w:t xml:space="preserve"> to qualify a trust as a “see through trust”</w:t>
      </w:r>
      <w:r w:rsidRPr="00271AB3">
        <w:rPr>
          <w:rFonts w:ascii="Calibri" w:hAnsi="Calibri"/>
          <w:color w:val="993300"/>
          <w:lang w:val="en"/>
        </w:rPr>
        <w:t xml:space="preserve">, see PLR </w:t>
      </w:r>
      <w:r w:rsidR="00393A03" w:rsidRPr="00271AB3">
        <w:rPr>
          <w:rFonts w:ascii="Calibri" w:hAnsi="Calibri"/>
          <w:color w:val="993300"/>
          <w:lang w:val="en"/>
        </w:rPr>
        <w:t>2012-03033</w:t>
      </w:r>
      <w:r w:rsidRPr="00271AB3">
        <w:rPr>
          <w:rFonts w:ascii="Calibri" w:hAnsi="Calibri"/>
          <w:color w:val="993300"/>
          <w:lang w:val="en"/>
        </w:rPr>
        <w:t xml:space="preserve">.  If a GPOA is released (not a qualified disclaimer), it </w:t>
      </w:r>
      <w:r w:rsidR="00452D72" w:rsidRPr="00271AB3">
        <w:rPr>
          <w:rFonts w:ascii="Calibri" w:hAnsi="Calibri"/>
          <w:color w:val="993300"/>
          <w:lang w:val="en"/>
        </w:rPr>
        <w:t>would</w:t>
      </w:r>
      <w:r w:rsidRPr="00271AB3">
        <w:rPr>
          <w:rFonts w:ascii="Calibri" w:hAnsi="Calibri"/>
          <w:color w:val="993300"/>
          <w:lang w:val="en"/>
        </w:rPr>
        <w:t xml:space="preserve"> be a gift taxable event</w:t>
      </w:r>
      <w:r w:rsidR="00452D72" w:rsidRPr="00271AB3">
        <w:rPr>
          <w:rFonts w:ascii="Calibri" w:hAnsi="Calibri"/>
          <w:color w:val="993300"/>
          <w:lang w:val="en"/>
        </w:rPr>
        <w:t xml:space="preserve"> based on the underlying assets</w:t>
      </w:r>
      <w:r w:rsidR="00FE4249" w:rsidRPr="00271AB3">
        <w:rPr>
          <w:rFonts w:ascii="Calibri" w:hAnsi="Calibri"/>
          <w:color w:val="993300"/>
          <w:lang w:val="en"/>
        </w:rPr>
        <w:t xml:space="preserve"> (see IRC </w:t>
      </w:r>
      <w:r w:rsidR="001B2162">
        <w:rPr>
          <w:rFonts w:ascii="Calibri" w:hAnsi="Calibri"/>
          <w:color w:val="993300"/>
          <w:lang w:val="en"/>
        </w:rPr>
        <w:t>§</w:t>
      </w:r>
      <w:r w:rsidR="00FE4249" w:rsidRPr="00271AB3">
        <w:rPr>
          <w:rFonts w:ascii="Calibri" w:hAnsi="Calibri"/>
          <w:color w:val="993300"/>
          <w:lang w:val="en"/>
        </w:rPr>
        <w:t>2514(b)) (</w:t>
      </w:r>
      <w:r w:rsidR="00393A03" w:rsidRPr="00271AB3">
        <w:rPr>
          <w:rFonts w:ascii="Calibri" w:hAnsi="Calibri"/>
          <w:color w:val="993300"/>
          <w:lang w:val="en"/>
        </w:rPr>
        <w:t>although</w:t>
      </w:r>
      <w:r w:rsidR="00FE4249" w:rsidRPr="00271AB3">
        <w:rPr>
          <w:rFonts w:ascii="Calibri" w:hAnsi="Calibri"/>
          <w:color w:val="993300"/>
          <w:lang w:val="en"/>
        </w:rPr>
        <w:t xml:space="preserve"> it </w:t>
      </w:r>
      <w:r w:rsidR="00393A03" w:rsidRPr="00271AB3">
        <w:rPr>
          <w:rFonts w:ascii="Calibri" w:hAnsi="Calibri"/>
          <w:color w:val="993300"/>
          <w:lang w:val="en"/>
        </w:rPr>
        <w:t>may be</w:t>
      </w:r>
      <w:r w:rsidR="00FE4249" w:rsidRPr="00271AB3">
        <w:rPr>
          <w:rFonts w:ascii="Calibri" w:hAnsi="Calibri"/>
          <w:color w:val="993300"/>
          <w:lang w:val="en"/>
        </w:rPr>
        <w:t xml:space="preserve"> delayed by being an incomplete gift</w:t>
      </w:r>
      <w:r w:rsidR="000568C6" w:rsidRPr="00271AB3">
        <w:rPr>
          <w:rFonts w:ascii="Calibri" w:hAnsi="Calibri"/>
          <w:color w:val="993300"/>
          <w:lang w:val="en"/>
        </w:rPr>
        <w:t xml:space="preserve"> if powers are retained as contemplated by a partial release</w:t>
      </w:r>
      <w:r w:rsidR="00FE4249" w:rsidRPr="00271AB3">
        <w:rPr>
          <w:rFonts w:ascii="Calibri" w:hAnsi="Calibri"/>
          <w:color w:val="993300"/>
          <w:lang w:val="en"/>
        </w:rPr>
        <w:t>)</w:t>
      </w:r>
      <w:r w:rsidRPr="00271AB3">
        <w:rPr>
          <w:rFonts w:ascii="Calibri" w:hAnsi="Calibri"/>
          <w:color w:val="993300"/>
          <w:lang w:val="en"/>
        </w:rPr>
        <w:t xml:space="preserve">, but a release of an LPOA, or portions of an LPOA, </w:t>
      </w:r>
      <w:r w:rsidR="008F5AF4" w:rsidRPr="00271AB3">
        <w:rPr>
          <w:rFonts w:ascii="Calibri" w:hAnsi="Calibri"/>
          <w:color w:val="993300"/>
          <w:lang w:val="en"/>
        </w:rPr>
        <w:t>would</w:t>
      </w:r>
      <w:r w:rsidRPr="00271AB3">
        <w:rPr>
          <w:rFonts w:ascii="Calibri" w:hAnsi="Calibri"/>
          <w:color w:val="993300"/>
          <w:lang w:val="en"/>
        </w:rPr>
        <w:t xml:space="preserve"> not be</w:t>
      </w:r>
      <w:r w:rsidR="008F5AF4" w:rsidRPr="00271AB3">
        <w:rPr>
          <w:rFonts w:ascii="Calibri" w:hAnsi="Calibri"/>
          <w:color w:val="993300"/>
          <w:lang w:val="en"/>
        </w:rPr>
        <w:t xml:space="preserve">– see Treas. Reg. </w:t>
      </w:r>
      <w:r w:rsidR="001B2162">
        <w:rPr>
          <w:rFonts w:ascii="Calibri" w:hAnsi="Calibri"/>
          <w:color w:val="993300"/>
          <w:lang w:val="en"/>
        </w:rPr>
        <w:t>§</w:t>
      </w:r>
      <w:r w:rsidR="008F5AF4" w:rsidRPr="00271AB3">
        <w:rPr>
          <w:rFonts w:ascii="Calibri" w:hAnsi="Calibri"/>
          <w:color w:val="993300"/>
          <w:lang w:val="en"/>
        </w:rPr>
        <w:t>25.2514-3(e) example 3</w:t>
      </w:r>
      <w:r w:rsidR="00DD3AAD" w:rsidRPr="00271AB3">
        <w:rPr>
          <w:rFonts w:ascii="Calibri" w:hAnsi="Calibri"/>
          <w:color w:val="333333"/>
        </w:rPr>
        <w:t xml:space="preserve"> “If in this example L had a power to cause the corpus to be distributed only to X, L would have a power of appointment which is not a general power of appointment, the exercise or release of which would not constitute a transfer of property for purposes of the gift tax.”</w:t>
      </w:r>
      <w:r w:rsidRPr="00271AB3">
        <w:rPr>
          <w:rFonts w:ascii="Calibri" w:hAnsi="Calibri"/>
          <w:color w:val="993300"/>
          <w:lang w:val="en"/>
        </w:rPr>
        <w:t xml:space="preserve"> </w:t>
      </w:r>
    </w:p>
    <w:p w14:paraId="1DF10F76" w14:textId="77777777" w:rsidR="001C31C6" w:rsidRPr="001B5245" w:rsidRDefault="00AF0627" w:rsidP="004D0C10">
      <w:pPr>
        <w:autoSpaceDE w:val="0"/>
        <w:autoSpaceDN w:val="0"/>
        <w:adjustRightInd w:val="0"/>
        <w:ind w:left="720"/>
        <w:jc w:val="center"/>
        <w:rPr>
          <w:rFonts w:ascii="Calibri" w:hAnsi="Calibri"/>
          <w:b/>
          <w:color w:val="993300"/>
          <w:lang w:val="en"/>
        </w:rPr>
      </w:pPr>
      <w:r>
        <w:rPr>
          <w:rFonts w:ascii="Calibri" w:hAnsi="Calibri"/>
          <w:color w:val="993300"/>
          <w:lang w:val="en"/>
        </w:rPr>
        <w:br w:type="page"/>
      </w:r>
      <w:r w:rsidR="001C31C6" w:rsidRPr="001B5245">
        <w:rPr>
          <w:rFonts w:ascii="Calibri" w:hAnsi="Calibri"/>
          <w:b/>
          <w:lang w:val="en"/>
        </w:rPr>
        <w:lastRenderedPageBreak/>
        <w:t>Sample Lifetime Limited Power to Appoint to Enable Surviving Spouse to Spray Income to Children and/or Charities</w:t>
      </w:r>
    </w:p>
    <w:p w14:paraId="43EAE2FB" w14:textId="77777777" w:rsidR="004D0C10" w:rsidRDefault="004D0C10" w:rsidP="003D4CEF">
      <w:pPr>
        <w:autoSpaceDE w:val="0"/>
        <w:autoSpaceDN w:val="0"/>
        <w:adjustRightInd w:val="0"/>
        <w:ind w:firstLine="720"/>
        <w:rPr>
          <w:rFonts w:ascii="Calibri" w:hAnsi="Calibri"/>
          <w:color w:val="993300"/>
          <w:lang w:val="en"/>
        </w:rPr>
      </w:pPr>
      <w:r>
        <w:rPr>
          <w:rFonts w:ascii="Calibri" w:hAnsi="Calibri"/>
          <w:color w:val="993300"/>
          <w:lang w:val="en"/>
        </w:rPr>
        <w:t xml:space="preserve">(including provisions limiting such powers for see-through trust status for retirement benefits and qualified subchapter S trusts – obviously this is not for marital trusts, </w:t>
      </w:r>
      <w:r w:rsidR="00565715">
        <w:rPr>
          <w:rFonts w:ascii="Calibri" w:hAnsi="Calibri"/>
          <w:color w:val="993300"/>
          <w:lang w:val="en"/>
        </w:rPr>
        <w:t>practitioners in states with separate state estate/inheritance taxes should investigate</w:t>
      </w:r>
      <w:r>
        <w:rPr>
          <w:rFonts w:ascii="Calibri" w:hAnsi="Calibri"/>
          <w:color w:val="993300"/>
          <w:lang w:val="en"/>
        </w:rPr>
        <w:t xml:space="preserve"> to what extent such powers might affect trusts intended to qualify for </w:t>
      </w:r>
      <w:r w:rsidR="00565715">
        <w:rPr>
          <w:rFonts w:ascii="Calibri" w:hAnsi="Calibri"/>
          <w:color w:val="993300"/>
          <w:lang w:val="en"/>
        </w:rPr>
        <w:t xml:space="preserve">that </w:t>
      </w:r>
      <w:r>
        <w:rPr>
          <w:rFonts w:ascii="Calibri" w:hAnsi="Calibri"/>
          <w:color w:val="993300"/>
          <w:lang w:val="en"/>
        </w:rPr>
        <w:t>state</w:t>
      </w:r>
      <w:r w:rsidR="00565715">
        <w:rPr>
          <w:rFonts w:ascii="Calibri" w:hAnsi="Calibri"/>
          <w:color w:val="993300"/>
          <w:lang w:val="en"/>
        </w:rPr>
        <w:t>’s separate</w:t>
      </w:r>
      <w:r>
        <w:rPr>
          <w:rFonts w:ascii="Calibri" w:hAnsi="Calibri"/>
          <w:color w:val="993300"/>
          <w:lang w:val="en"/>
        </w:rPr>
        <w:t xml:space="preserve"> estate</w:t>
      </w:r>
      <w:r w:rsidR="00565715">
        <w:rPr>
          <w:rFonts w:ascii="Calibri" w:hAnsi="Calibri"/>
          <w:color w:val="993300"/>
          <w:lang w:val="en"/>
        </w:rPr>
        <w:t>/inheritance</w:t>
      </w:r>
      <w:r>
        <w:rPr>
          <w:rFonts w:ascii="Calibri" w:hAnsi="Calibri"/>
          <w:color w:val="993300"/>
          <w:lang w:val="en"/>
        </w:rPr>
        <w:t xml:space="preserve"> tax marital deduction</w:t>
      </w:r>
      <w:r w:rsidR="00565715">
        <w:rPr>
          <w:rFonts w:ascii="Calibri" w:hAnsi="Calibri"/>
          <w:color w:val="993300"/>
          <w:lang w:val="en"/>
        </w:rPr>
        <w:t xml:space="preserve"> – practitioners in those states may divide a bypass/credit shelter trust between a “B1” share that is state estate exempt and a “B2” share that is eligible for separate state QTIP – if necessary, a lifetime limited power of appointment might be limited to only the “B1” share if that would save state estate taxes</w:t>
      </w:r>
      <w:r>
        <w:rPr>
          <w:rFonts w:ascii="Calibri" w:hAnsi="Calibri"/>
          <w:color w:val="993300"/>
          <w:lang w:val="en"/>
        </w:rPr>
        <w:t>)</w:t>
      </w:r>
    </w:p>
    <w:p w14:paraId="25128B1B" w14:textId="77777777" w:rsidR="001C31C6" w:rsidRDefault="001C31C6" w:rsidP="003D4CEF">
      <w:pPr>
        <w:autoSpaceDE w:val="0"/>
        <w:autoSpaceDN w:val="0"/>
        <w:adjustRightInd w:val="0"/>
        <w:ind w:firstLine="720"/>
        <w:rPr>
          <w:rFonts w:ascii="Calibri" w:hAnsi="Calibri"/>
          <w:color w:val="993300"/>
          <w:lang w:val="en"/>
        </w:rPr>
      </w:pPr>
    </w:p>
    <w:p w14:paraId="536F4F11" w14:textId="77777777" w:rsidR="001C31C6" w:rsidRDefault="001C31C6" w:rsidP="001C31C6">
      <w:pPr>
        <w:autoSpaceDE w:val="0"/>
        <w:autoSpaceDN w:val="0"/>
        <w:adjustRightInd w:val="0"/>
        <w:ind w:left="720"/>
        <w:rPr>
          <w:rFonts w:ascii="Calibri" w:hAnsi="Calibri" w:cs="Arial"/>
        </w:rPr>
      </w:pPr>
      <w:r>
        <w:rPr>
          <w:rFonts w:ascii="Calibri" w:hAnsi="Calibri" w:cs="Arial"/>
          <w:lang w:val="en"/>
        </w:rPr>
        <w:t>T</w:t>
      </w:r>
      <w:r>
        <w:rPr>
          <w:rFonts w:ascii="Calibri" w:hAnsi="Calibri" w:cs="Arial"/>
        </w:rPr>
        <w:t>he t</w:t>
      </w:r>
      <w:r w:rsidRPr="0040409F">
        <w:rPr>
          <w:rFonts w:ascii="Calibri" w:hAnsi="Calibri" w:cs="Arial"/>
        </w:rPr>
        <w:t xml:space="preserve">rustee shall distribute all or any portion of the trust estate, </w:t>
      </w:r>
      <w:r>
        <w:rPr>
          <w:rFonts w:ascii="Calibri" w:hAnsi="Calibri" w:cs="Arial"/>
        </w:rPr>
        <w:t>from income or</w:t>
      </w:r>
      <w:r w:rsidRPr="0040409F">
        <w:rPr>
          <w:rFonts w:ascii="Calibri" w:hAnsi="Calibri" w:cs="Arial"/>
        </w:rPr>
        <w:t xml:space="preserve"> principal, as </w:t>
      </w:r>
      <w:r>
        <w:rPr>
          <w:rFonts w:ascii="Calibri" w:hAnsi="Calibri" w:cs="Arial"/>
        </w:rPr>
        <w:t xml:space="preserve">my spouse </w:t>
      </w:r>
      <w:r w:rsidRPr="0040409F">
        <w:rPr>
          <w:rFonts w:ascii="Calibri" w:hAnsi="Calibri" w:cs="Arial"/>
        </w:rPr>
        <w:t>may appoint</w:t>
      </w:r>
      <w:r>
        <w:rPr>
          <w:rFonts w:ascii="Calibri" w:hAnsi="Calibri" w:cs="Arial"/>
        </w:rPr>
        <w:t xml:space="preserve"> </w:t>
      </w:r>
      <w:r w:rsidRPr="0040409F">
        <w:rPr>
          <w:rFonts w:ascii="Calibri" w:hAnsi="Calibri" w:cs="Arial"/>
        </w:rPr>
        <w:t xml:space="preserve">during </w:t>
      </w:r>
      <w:r>
        <w:rPr>
          <w:rFonts w:ascii="Calibri" w:hAnsi="Calibri" w:cs="Arial"/>
        </w:rPr>
        <w:t>my spouse</w:t>
      </w:r>
      <w:r w:rsidRPr="0040409F">
        <w:rPr>
          <w:rFonts w:ascii="Calibri" w:hAnsi="Calibri" w:cs="Arial"/>
        </w:rPr>
        <w:t>’s lifetime,</w:t>
      </w:r>
      <w:r>
        <w:rPr>
          <w:rFonts w:ascii="Calibri" w:hAnsi="Calibri" w:cs="Arial"/>
        </w:rPr>
        <w:t xml:space="preserve"> to any of my descendants, in trust or outright.  [Any appointment that is not equal to my children </w:t>
      </w:r>
      <w:r w:rsidR="00C5645F">
        <w:rPr>
          <w:rFonts w:ascii="Calibri" w:hAnsi="Calibri" w:cs="Arial"/>
        </w:rPr>
        <w:t xml:space="preserve">or their issue </w:t>
      </w:r>
      <w:r>
        <w:rPr>
          <w:rFonts w:ascii="Calibri" w:hAnsi="Calibri" w:cs="Arial"/>
        </w:rPr>
        <w:t xml:space="preserve">per stirpes may only be made with </w:t>
      </w:r>
      <w:r w:rsidR="00C5645F">
        <w:rPr>
          <w:rFonts w:ascii="Calibri" w:hAnsi="Calibri" w:cs="Arial"/>
        </w:rPr>
        <w:t xml:space="preserve">permission of _______, or the </w:t>
      </w:r>
      <w:r>
        <w:rPr>
          <w:rFonts w:ascii="Calibri" w:hAnsi="Calibri" w:cs="Arial"/>
        </w:rPr>
        <w:t>unanimous permission of my children, or their representative issue per stirpes.</w:t>
      </w:r>
      <w:r w:rsidR="00C5645F">
        <w:rPr>
          <w:rFonts w:ascii="Calibri" w:hAnsi="Calibri" w:cs="Arial"/>
        </w:rPr>
        <w:t xml:space="preserve"> </w:t>
      </w:r>
      <w:r w:rsidR="00C5645F" w:rsidRPr="00D65F76">
        <w:rPr>
          <w:rFonts w:ascii="Calibri" w:hAnsi="Calibri" w:cs="Arial"/>
          <w:color w:val="993300"/>
        </w:rPr>
        <w:t>– Some may fear a surviving spouse might be unduly influenced by one child to make unequal distributions thwarting an intended equal estate plan.  Some may not care if their surviving spouse does this, and there may be very good reasons to make unequal distributions.  In my experience, more than half would opt to allow their spouse more flexibility and trust their</w:t>
      </w:r>
      <w:r w:rsidR="00BE5DC2">
        <w:rPr>
          <w:rFonts w:ascii="Calibri" w:hAnsi="Calibri" w:cs="Arial"/>
          <w:color w:val="993300"/>
        </w:rPr>
        <w:t xml:space="preserve"> spouse’s</w:t>
      </w:r>
      <w:r w:rsidR="00C5645F" w:rsidRPr="00D65F76">
        <w:rPr>
          <w:rFonts w:ascii="Calibri" w:hAnsi="Calibri" w:cs="Arial"/>
          <w:color w:val="993300"/>
        </w:rPr>
        <w:t xml:space="preserve"> judgment and sense of fairness.</w:t>
      </w:r>
      <w:r w:rsidR="001E40F5">
        <w:rPr>
          <w:rFonts w:ascii="Calibri" w:hAnsi="Calibri" w:cs="Arial"/>
          <w:color w:val="993300"/>
        </w:rPr>
        <w:t xml:space="preserve">  Because a lifetime LPOA is not intended to trigger gift/estate tax, we really don’t care for tax reasons whether a non-adverse or adverse party consent is required.</w:t>
      </w:r>
      <w:r>
        <w:rPr>
          <w:rFonts w:ascii="Calibri" w:hAnsi="Calibri" w:cs="Arial"/>
        </w:rPr>
        <w:t>]</w:t>
      </w:r>
      <w:r w:rsidRPr="0040409F">
        <w:rPr>
          <w:rFonts w:ascii="Calibri" w:hAnsi="Calibri" w:cs="Arial"/>
        </w:rPr>
        <w:t xml:space="preserve"> </w:t>
      </w:r>
    </w:p>
    <w:p w14:paraId="70392B38" w14:textId="77777777" w:rsidR="0045050B" w:rsidRDefault="0045050B" w:rsidP="0045050B">
      <w:pPr>
        <w:autoSpaceDE w:val="0"/>
        <w:autoSpaceDN w:val="0"/>
        <w:adjustRightInd w:val="0"/>
        <w:ind w:left="720"/>
        <w:rPr>
          <w:rFonts w:ascii="Calibri" w:hAnsi="Calibri" w:cs="Arial"/>
        </w:rPr>
      </w:pPr>
    </w:p>
    <w:p w14:paraId="5C3C00B3" w14:textId="77777777" w:rsidR="0045050B" w:rsidRDefault="0045050B" w:rsidP="0045050B">
      <w:pPr>
        <w:autoSpaceDE w:val="0"/>
        <w:autoSpaceDN w:val="0"/>
        <w:adjustRightInd w:val="0"/>
        <w:ind w:left="720"/>
        <w:rPr>
          <w:rFonts w:ascii="Calibri" w:hAnsi="Calibri" w:cs="Arial"/>
        </w:rPr>
      </w:pPr>
      <w:r>
        <w:rPr>
          <w:rFonts w:ascii="Calibri" w:hAnsi="Calibri" w:cs="Arial"/>
        </w:rPr>
        <w:t>This limited power of appointment shall not be exercisable, directly or indirectly, to discharge any legal obligation of the powerholder.</w:t>
      </w:r>
    </w:p>
    <w:p w14:paraId="04F3A886" w14:textId="77777777" w:rsidR="00C5645F" w:rsidRDefault="00C5645F" w:rsidP="001C31C6">
      <w:pPr>
        <w:autoSpaceDE w:val="0"/>
        <w:autoSpaceDN w:val="0"/>
        <w:adjustRightInd w:val="0"/>
        <w:ind w:left="720"/>
        <w:rPr>
          <w:rFonts w:ascii="Calibri" w:hAnsi="Calibri" w:cs="Arial"/>
        </w:rPr>
      </w:pPr>
    </w:p>
    <w:p w14:paraId="1294D9D3" w14:textId="77777777" w:rsidR="003D6CE7" w:rsidRDefault="003D6CE7" w:rsidP="001C31C6">
      <w:pPr>
        <w:autoSpaceDE w:val="0"/>
        <w:autoSpaceDN w:val="0"/>
        <w:adjustRightInd w:val="0"/>
        <w:ind w:left="720"/>
        <w:rPr>
          <w:rFonts w:ascii="Calibri" w:hAnsi="Calibri" w:cs="Arial"/>
        </w:rPr>
      </w:pPr>
      <w:bookmarkStart w:id="78" w:name="_Hlk16847609"/>
      <w:r>
        <w:rPr>
          <w:rFonts w:ascii="Calibri" w:hAnsi="Calibri" w:cs="Arial"/>
        </w:rPr>
        <w:t>In addition, t</w:t>
      </w:r>
      <w:r w:rsidR="001C31C6">
        <w:rPr>
          <w:rFonts w:ascii="Calibri" w:hAnsi="Calibri" w:cs="Arial"/>
        </w:rPr>
        <w:t xml:space="preserve">he trustee </w:t>
      </w:r>
      <w:r w:rsidR="001C31C6" w:rsidRPr="0040409F">
        <w:rPr>
          <w:rFonts w:ascii="Calibri" w:hAnsi="Calibri" w:cs="Arial"/>
        </w:rPr>
        <w:t>shall distribute all or a</w:t>
      </w:r>
      <w:r>
        <w:rPr>
          <w:rFonts w:ascii="Calibri" w:hAnsi="Calibri" w:cs="Arial"/>
        </w:rPr>
        <w:t xml:space="preserve">ny portion of the trust estate </w:t>
      </w:r>
      <w:r w:rsidR="00D65F76" w:rsidRPr="0040409F">
        <w:rPr>
          <w:rFonts w:ascii="Calibri" w:hAnsi="Calibri" w:cs="Arial"/>
        </w:rPr>
        <w:t xml:space="preserve">as </w:t>
      </w:r>
      <w:r w:rsidR="00D65F76">
        <w:rPr>
          <w:rFonts w:ascii="Calibri" w:hAnsi="Calibri" w:cs="Arial"/>
        </w:rPr>
        <w:t xml:space="preserve">my spouse </w:t>
      </w:r>
      <w:r w:rsidR="00D65F76" w:rsidRPr="0040409F">
        <w:rPr>
          <w:rFonts w:ascii="Calibri" w:hAnsi="Calibri" w:cs="Arial"/>
        </w:rPr>
        <w:t>may appoint</w:t>
      </w:r>
      <w:r w:rsidR="00D65F76">
        <w:rPr>
          <w:rFonts w:ascii="Calibri" w:hAnsi="Calibri" w:cs="Arial"/>
        </w:rPr>
        <w:t xml:space="preserve"> </w:t>
      </w:r>
      <w:r w:rsidR="00D65F76" w:rsidRPr="0040409F">
        <w:rPr>
          <w:rFonts w:ascii="Calibri" w:hAnsi="Calibri" w:cs="Arial"/>
        </w:rPr>
        <w:t xml:space="preserve">during </w:t>
      </w:r>
      <w:r w:rsidR="00D65F76">
        <w:rPr>
          <w:rFonts w:ascii="Calibri" w:hAnsi="Calibri" w:cs="Arial"/>
        </w:rPr>
        <w:t>my spouse</w:t>
      </w:r>
      <w:r w:rsidR="00D65F76" w:rsidRPr="0040409F">
        <w:rPr>
          <w:rFonts w:ascii="Calibri" w:hAnsi="Calibri" w:cs="Arial"/>
        </w:rPr>
        <w:t>’s lifetime</w:t>
      </w:r>
      <w:r w:rsidR="00D65F76">
        <w:rPr>
          <w:rFonts w:ascii="Calibri" w:hAnsi="Calibri" w:cs="Arial"/>
        </w:rPr>
        <w:t xml:space="preserve">, </w:t>
      </w:r>
      <w:r w:rsidR="001C31C6">
        <w:rPr>
          <w:rFonts w:ascii="Calibri" w:hAnsi="Calibri" w:cs="Arial"/>
        </w:rPr>
        <w:t xml:space="preserve">whether such income is allocated to accounting income or principal, </w:t>
      </w:r>
      <w:r w:rsidR="001C31C6" w:rsidRPr="0040409F">
        <w:rPr>
          <w:rFonts w:ascii="Calibri" w:hAnsi="Calibri" w:cs="Arial"/>
        </w:rPr>
        <w:t>to any one or more organizations each of which is, at the time contemplated for an actual distribution to such organization, exempt from federal income taxation under § 501(a) as an organizat</w:t>
      </w:r>
      <w:r w:rsidR="00C5645F">
        <w:rPr>
          <w:rFonts w:ascii="Calibri" w:hAnsi="Calibri" w:cs="Arial"/>
        </w:rPr>
        <w:t>ion described in § 501(c)(3)</w:t>
      </w:r>
      <w:r w:rsidR="00D65F76">
        <w:rPr>
          <w:rFonts w:ascii="Calibri" w:hAnsi="Calibri" w:cs="Arial"/>
        </w:rPr>
        <w:t>.</w:t>
      </w:r>
      <w:r w:rsidR="001C31C6" w:rsidRPr="0040409F">
        <w:rPr>
          <w:rFonts w:ascii="Calibri" w:hAnsi="Calibri" w:cs="Arial"/>
        </w:rPr>
        <w:t xml:space="preserve"> </w:t>
      </w:r>
      <w:r w:rsidR="001E58E7">
        <w:rPr>
          <w:rFonts w:ascii="Calibri" w:hAnsi="Calibri" w:cs="Arial"/>
        </w:rPr>
        <w:t xml:space="preserve">  </w:t>
      </w:r>
    </w:p>
    <w:p w14:paraId="73752F84" w14:textId="77777777" w:rsidR="003D6CE7" w:rsidRDefault="003D6CE7" w:rsidP="001C31C6">
      <w:pPr>
        <w:autoSpaceDE w:val="0"/>
        <w:autoSpaceDN w:val="0"/>
        <w:adjustRightInd w:val="0"/>
        <w:ind w:left="720"/>
        <w:rPr>
          <w:rFonts w:ascii="Calibri" w:hAnsi="Calibri" w:cs="Arial"/>
        </w:rPr>
      </w:pPr>
      <w:r>
        <w:rPr>
          <w:rFonts w:ascii="Calibri" w:hAnsi="Calibri" w:cs="Arial"/>
        </w:rPr>
        <w:t>These appointive assets shall be limited further as follows:</w:t>
      </w:r>
    </w:p>
    <w:p w14:paraId="71ACE02C" w14:textId="77777777" w:rsidR="003D6CE7" w:rsidRDefault="003D6CE7" w:rsidP="00BC5D3D">
      <w:pPr>
        <w:numPr>
          <w:ilvl w:val="1"/>
          <w:numId w:val="28"/>
        </w:numPr>
        <w:autoSpaceDE w:val="0"/>
        <w:autoSpaceDN w:val="0"/>
        <w:adjustRightInd w:val="0"/>
        <w:rPr>
          <w:rFonts w:ascii="Calibri" w:hAnsi="Calibri" w:cs="Arial"/>
        </w:rPr>
      </w:pPr>
      <w:r w:rsidRPr="003D6CE7">
        <w:rPr>
          <w:rFonts w:ascii="Calibri" w:hAnsi="Calibri" w:cs="Arial"/>
        </w:rPr>
        <w:t>only from gross taxable income</w:t>
      </w:r>
      <w:r>
        <w:rPr>
          <w:rFonts w:ascii="Calibri" w:hAnsi="Calibri" w:cs="Arial"/>
        </w:rPr>
        <w:t xml:space="preserve"> as contemplated under IRC §642(c)</w:t>
      </w:r>
      <w:r w:rsidRPr="00C5645F">
        <w:rPr>
          <w:rFonts w:ascii="Calibri" w:hAnsi="Calibri" w:cs="Arial"/>
        </w:rPr>
        <w:t xml:space="preserve"> </w:t>
      </w:r>
      <w:r>
        <w:rPr>
          <w:rFonts w:ascii="Calibri" w:hAnsi="Calibri" w:cs="Arial"/>
        </w:rPr>
        <w:t xml:space="preserve">[as discussed herein, this might also be further limited to higher tax rate income, but many clients would want the broader ability to spray even </w:t>
      </w:r>
      <w:r w:rsidR="00B551B6">
        <w:rPr>
          <w:rFonts w:ascii="Calibri" w:hAnsi="Calibri" w:cs="Arial"/>
        </w:rPr>
        <w:t xml:space="preserve">“lower rate” </w:t>
      </w:r>
      <w:r>
        <w:rPr>
          <w:rFonts w:ascii="Calibri" w:hAnsi="Calibri" w:cs="Arial"/>
        </w:rPr>
        <w:t>LTCG/QD income]</w:t>
      </w:r>
      <w:r w:rsidRPr="0040409F">
        <w:rPr>
          <w:rFonts w:ascii="Calibri" w:hAnsi="Calibri" w:cs="Arial"/>
        </w:rPr>
        <w:t>,</w:t>
      </w:r>
      <w:r>
        <w:rPr>
          <w:rFonts w:ascii="Calibri" w:hAnsi="Calibri" w:cs="Arial"/>
        </w:rPr>
        <w:t xml:space="preserve"> and </w:t>
      </w:r>
    </w:p>
    <w:p w14:paraId="1020F6B1" w14:textId="77777777" w:rsidR="003D6CE7" w:rsidRDefault="003D6CE7" w:rsidP="00BC5D3D">
      <w:pPr>
        <w:numPr>
          <w:ilvl w:val="1"/>
          <w:numId w:val="28"/>
        </w:numPr>
        <w:autoSpaceDE w:val="0"/>
        <w:autoSpaceDN w:val="0"/>
        <w:adjustRightInd w:val="0"/>
        <w:rPr>
          <w:rFonts w:ascii="Calibri" w:hAnsi="Calibri" w:cs="Arial"/>
        </w:rPr>
      </w:pPr>
      <w:r>
        <w:rPr>
          <w:rFonts w:ascii="Calibri" w:hAnsi="Calibri" w:cs="Arial"/>
        </w:rPr>
        <w:t xml:space="preserve">only from gross income that would not otherwise be unrelated business income pursuant to Treas. Reg. §1.642(c)-3(d), IRC </w:t>
      </w:r>
      <w:r w:rsidR="00B551B6">
        <w:rPr>
          <w:rFonts w:ascii="Calibri" w:hAnsi="Calibri" w:cs="Arial"/>
        </w:rPr>
        <w:t>§681(a)</w:t>
      </w:r>
      <w:r>
        <w:rPr>
          <w:rFonts w:ascii="Calibri" w:hAnsi="Calibri" w:cs="Arial"/>
        </w:rPr>
        <w:t xml:space="preserve"> and regulations thereunder (such as taxable income from an </w:t>
      </w:r>
      <w:r w:rsidR="00B551B6">
        <w:rPr>
          <w:rFonts w:ascii="Calibri" w:hAnsi="Calibri" w:cs="Arial"/>
        </w:rPr>
        <w:t>ongoing closely held business)</w:t>
      </w:r>
    </w:p>
    <w:p w14:paraId="5BA49DC5" w14:textId="77777777" w:rsidR="001C31C6" w:rsidRDefault="001E58E7" w:rsidP="001C31C6">
      <w:pPr>
        <w:autoSpaceDE w:val="0"/>
        <w:autoSpaceDN w:val="0"/>
        <w:adjustRightInd w:val="0"/>
        <w:ind w:left="720"/>
        <w:rPr>
          <w:rFonts w:ascii="Calibri" w:hAnsi="Calibri" w:cs="Arial"/>
        </w:rPr>
      </w:pPr>
      <w:r>
        <w:rPr>
          <w:rFonts w:ascii="Calibri" w:hAnsi="Calibri" w:cs="Arial"/>
        </w:rPr>
        <w:t xml:space="preserve">It is my intention </w:t>
      </w:r>
      <w:r w:rsidR="003D6CE7">
        <w:rPr>
          <w:rFonts w:ascii="Calibri" w:hAnsi="Calibri" w:cs="Arial"/>
        </w:rPr>
        <w:t xml:space="preserve">under this provision </w:t>
      </w:r>
      <w:r>
        <w:rPr>
          <w:rFonts w:ascii="Calibri" w:hAnsi="Calibri" w:cs="Arial"/>
        </w:rPr>
        <w:t xml:space="preserve">that </w:t>
      </w:r>
      <w:r w:rsidR="003D6CE7">
        <w:rPr>
          <w:rFonts w:ascii="Calibri" w:hAnsi="Calibri" w:cs="Arial"/>
        </w:rPr>
        <w:t>any such appointments qualify for</w:t>
      </w:r>
      <w:r>
        <w:rPr>
          <w:rFonts w:ascii="Calibri" w:hAnsi="Calibri" w:cs="Arial"/>
        </w:rPr>
        <w:t xml:space="preserve"> an income tax deduction pursuant to IRC </w:t>
      </w:r>
      <w:r w:rsidR="003D6CE7">
        <w:rPr>
          <w:rFonts w:ascii="Calibri" w:hAnsi="Calibri" w:cs="Arial"/>
        </w:rPr>
        <w:t xml:space="preserve">§642(c), as amended, </w:t>
      </w:r>
      <w:r w:rsidR="002958A1">
        <w:rPr>
          <w:rFonts w:ascii="Calibri" w:hAnsi="Calibri" w:cs="Arial"/>
        </w:rPr>
        <w:t xml:space="preserve">for the entire amount distributed, </w:t>
      </w:r>
      <w:r w:rsidR="003D6CE7">
        <w:rPr>
          <w:rFonts w:ascii="Calibri" w:hAnsi="Calibri" w:cs="Arial"/>
        </w:rPr>
        <w:t>and this provision shall be construed and may be amended accordingly.</w:t>
      </w:r>
    </w:p>
    <w:bookmarkEnd w:id="78"/>
    <w:p w14:paraId="5545749E" w14:textId="77777777" w:rsidR="00D65F76" w:rsidRDefault="00D65F76" w:rsidP="001C31C6">
      <w:pPr>
        <w:autoSpaceDE w:val="0"/>
        <w:autoSpaceDN w:val="0"/>
        <w:adjustRightInd w:val="0"/>
        <w:ind w:left="720"/>
        <w:rPr>
          <w:rFonts w:ascii="Calibri" w:hAnsi="Calibri" w:cs="Arial"/>
        </w:rPr>
      </w:pPr>
    </w:p>
    <w:p w14:paraId="6497BA5F" w14:textId="77777777" w:rsidR="00D65F76" w:rsidRPr="00975B34" w:rsidRDefault="00D65F76" w:rsidP="001C31C6">
      <w:pPr>
        <w:autoSpaceDE w:val="0"/>
        <w:autoSpaceDN w:val="0"/>
        <w:adjustRightInd w:val="0"/>
        <w:ind w:left="720"/>
        <w:rPr>
          <w:rFonts w:ascii="Calibri" w:hAnsi="Calibri" w:cs="Arial"/>
          <w:color w:val="E36C0A"/>
        </w:rPr>
      </w:pPr>
      <w:r w:rsidRPr="00975B34">
        <w:rPr>
          <w:rFonts w:ascii="Calibri" w:hAnsi="Calibri" w:cs="Arial"/>
          <w:color w:val="E36C0A"/>
        </w:rPr>
        <w:lastRenderedPageBreak/>
        <w:t xml:space="preserve">NOTE: If the trust is intended to be a “see through trust” holding qualified plan/IRA benefits, you will want to modify lifetime powers accordingly, </w:t>
      </w:r>
      <w:r w:rsidRPr="00975B34">
        <w:rPr>
          <w:rFonts w:ascii="Calibri" w:hAnsi="Calibri" w:cs="Arial"/>
          <w:i/>
          <w:color w:val="E36C0A"/>
        </w:rPr>
        <w:t>depending on whether the trust is a conduit or accumulation trust</w:t>
      </w:r>
      <w:r w:rsidRPr="00975B34">
        <w:rPr>
          <w:rFonts w:ascii="Calibri" w:hAnsi="Calibri" w:cs="Arial"/>
          <w:color w:val="E36C0A"/>
        </w:rPr>
        <w:t>.  As noted elsewhere herein and in other articles and CLE outlines, it is probably better, especially when using more flexible tax provisions such as the above, to have such benefits in a separate trust altogether because it is unclear whether you can adequately trace or convince the IRS that you are adequately tracing</w:t>
      </w:r>
      <w:r w:rsidR="00285CE4" w:rsidRPr="00975B34">
        <w:rPr>
          <w:rFonts w:ascii="Calibri" w:hAnsi="Calibri" w:cs="Arial"/>
          <w:color w:val="E36C0A"/>
        </w:rPr>
        <w:t xml:space="preserve"> and limiting</w:t>
      </w:r>
      <w:r w:rsidRPr="00975B34">
        <w:rPr>
          <w:rFonts w:ascii="Calibri" w:hAnsi="Calibri" w:cs="Arial"/>
          <w:color w:val="E36C0A"/>
        </w:rPr>
        <w:t xml:space="preserve"> any accumulations from </w:t>
      </w:r>
      <w:r w:rsidR="00285CE4" w:rsidRPr="00975B34">
        <w:rPr>
          <w:rFonts w:ascii="Calibri" w:hAnsi="Calibri" w:cs="Arial"/>
          <w:color w:val="E36C0A"/>
        </w:rPr>
        <w:t xml:space="preserve">those retirement benefits.  Remember that a trust may qualify as a conduit for a spouse even if other younger beneficiaries might be entitled to distributions (be a “see through trust” with the spouse’s life expectancy as measuring life/”designated beneficiary”), but if younger beneficiaries might take via LPOA, the spouse would not be “sole beneficiary” and therefore would lose the other two </w:t>
      </w:r>
      <w:r w:rsidR="003C5629" w:rsidRPr="00975B34">
        <w:rPr>
          <w:rFonts w:ascii="Calibri" w:hAnsi="Calibri" w:cs="Arial"/>
          <w:color w:val="E36C0A"/>
        </w:rPr>
        <w:t xml:space="preserve">major </w:t>
      </w:r>
      <w:r w:rsidR="00285CE4" w:rsidRPr="00975B34">
        <w:rPr>
          <w:rFonts w:ascii="Calibri" w:hAnsi="Calibri" w:cs="Arial"/>
          <w:color w:val="E36C0A"/>
        </w:rPr>
        <w:t>benefits – a potentially delayed required beginning date and recalculation of life expectancy every year.</w:t>
      </w:r>
      <w:r w:rsidR="003C5629" w:rsidRPr="00975B34">
        <w:rPr>
          <w:rFonts w:ascii="Calibri" w:hAnsi="Calibri" w:cs="Arial"/>
          <w:color w:val="E36C0A"/>
        </w:rPr>
        <w:t xml:space="preserve">  However, if you have an accumulation trust, you might lose those two advantages, but you can retain a spray power, as long as the potential appointees are all younger individuals, which would allow shifting high bracket ordinary income.</w:t>
      </w:r>
    </w:p>
    <w:p w14:paraId="2BD5BAB6" w14:textId="77777777" w:rsidR="00D65F76" w:rsidRDefault="00D65F76" w:rsidP="001C31C6">
      <w:pPr>
        <w:autoSpaceDE w:val="0"/>
        <w:autoSpaceDN w:val="0"/>
        <w:adjustRightInd w:val="0"/>
        <w:ind w:left="720"/>
        <w:rPr>
          <w:rFonts w:ascii="Calibri" w:hAnsi="Calibri" w:cs="Arial"/>
        </w:rPr>
      </w:pPr>
    </w:p>
    <w:p w14:paraId="416896AF" w14:textId="77777777" w:rsidR="00285CE4" w:rsidRDefault="00285CE4" w:rsidP="001C31C6">
      <w:pPr>
        <w:autoSpaceDE w:val="0"/>
        <w:autoSpaceDN w:val="0"/>
        <w:adjustRightInd w:val="0"/>
        <w:ind w:left="720"/>
        <w:rPr>
          <w:rFonts w:ascii="Calibri" w:hAnsi="Calibri" w:cs="Arial"/>
        </w:rPr>
      </w:pPr>
    </w:p>
    <w:p w14:paraId="646984C0" w14:textId="77777777" w:rsidR="00564FC8" w:rsidRDefault="00285CE4" w:rsidP="001C31C6">
      <w:pPr>
        <w:autoSpaceDE w:val="0"/>
        <w:autoSpaceDN w:val="0"/>
        <w:adjustRightInd w:val="0"/>
        <w:ind w:left="720"/>
        <w:rPr>
          <w:rFonts w:ascii="Calibri" w:hAnsi="Calibri" w:cs="Arial"/>
        </w:rPr>
      </w:pPr>
      <w:r w:rsidRPr="00975B34">
        <w:rPr>
          <w:rFonts w:ascii="Calibri" w:hAnsi="Calibri" w:cs="Arial"/>
          <w:color w:val="984806"/>
        </w:rPr>
        <w:t xml:space="preserve">[For a conduit trust intended to achieve “sole beneficiary” status – </w:t>
      </w:r>
      <w:r w:rsidR="003C5629">
        <w:rPr>
          <w:rFonts w:ascii="Calibri" w:hAnsi="Calibri" w:cs="Arial"/>
        </w:rPr>
        <w:t xml:space="preserve">Notwithstanding the above paragraphs, my spouse’s lifetime limited powers to appoint shall not apply to any deferrable retirement benefits [you might want to have/refer to a definition for this], and such assets shall not be considered appointive assets subject to this power, nor shall this </w:t>
      </w:r>
      <w:r w:rsidR="00564FC8">
        <w:rPr>
          <w:rFonts w:ascii="Calibri" w:hAnsi="Calibri" w:cs="Arial"/>
        </w:rPr>
        <w:t xml:space="preserve">lifetime </w:t>
      </w:r>
      <w:r>
        <w:rPr>
          <w:rFonts w:ascii="Calibri" w:hAnsi="Calibri" w:cs="Arial"/>
        </w:rPr>
        <w:t xml:space="preserve">power to appoint apply to any benefits temporarily received as a distribution </w:t>
      </w:r>
      <w:r w:rsidR="00564FC8">
        <w:rPr>
          <w:rFonts w:ascii="Calibri" w:hAnsi="Calibri" w:cs="Arial"/>
        </w:rPr>
        <w:t xml:space="preserve">from a retirement plan </w:t>
      </w:r>
      <w:r>
        <w:rPr>
          <w:rFonts w:ascii="Calibri" w:hAnsi="Calibri" w:cs="Arial"/>
        </w:rPr>
        <w:t xml:space="preserve">that must be </w:t>
      </w:r>
      <w:r w:rsidR="00564FC8">
        <w:rPr>
          <w:rFonts w:ascii="Calibri" w:hAnsi="Calibri" w:cs="Arial"/>
        </w:rPr>
        <w:t>thereafter distributed to my spouse.  It is my intention that this lifetime limited power of appointment be subordinate to the conduit trust provision in paragraph ____.</w:t>
      </w:r>
    </w:p>
    <w:p w14:paraId="3F169709" w14:textId="77777777" w:rsidR="00564FC8" w:rsidRDefault="00564FC8" w:rsidP="001C31C6">
      <w:pPr>
        <w:autoSpaceDE w:val="0"/>
        <w:autoSpaceDN w:val="0"/>
        <w:adjustRightInd w:val="0"/>
        <w:ind w:left="720"/>
        <w:rPr>
          <w:rFonts w:ascii="Calibri" w:hAnsi="Calibri" w:cs="Arial"/>
        </w:rPr>
      </w:pPr>
    </w:p>
    <w:p w14:paraId="60AD1394" w14:textId="77777777" w:rsidR="00D65F76" w:rsidRDefault="00564FC8" w:rsidP="001C31C6">
      <w:pPr>
        <w:autoSpaceDE w:val="0"/>
        <w:autoSpaceDN w:val="0"/>
        <w:adjustRightInd w:val="0"/>
        <w:ind w:left="720"/>
        <w:rPr>
          <w:rFonts w:ascii="Calibri" w:hAnsi="Calibri" w:cs="Arial"/>
        </w:rPr>
      </w:pPr>
      <w:r w:rsidRPr="00975B34">
        <w:rPr>
          <w:rFonts w:ascii="Calibri" w:hAnsi="Calibri" w:cs="Arial"/>
          <w:color w:val="984806"/>
        </w:rPr>
        <w:t>[For conduit trust where “sole beneficiary” status not sought, or accumulation trust -</w:t>
      </w:r>
      <w:r>
        <w:rPr>
          <w:rFonts w:ascii="Calibri" w:hAnsi="Calibri" w:cs="Arial"/>
        </w:rPr>
        <w:t xml:space="preserve"> </w:t>
      </w:r>
      <w:r w:rsidR="00BF6769">
        <w:rPr>
          <w:rFonts w:ascii="Calibri" w:hAnsi="Calibri" w:cs="Arial"/>
        </w:rPr>
        <w:t xml:space="preserve">Notwithstanding the above paragraphs, my spouse’s lifetime limited powers to appoint shall not be further limited as to any deferrable retirement benefits [you might want to have/refer to a definition for this].  </w:t>
      </w:r>
      <w:r w:rsidR="00D65F76">
        <w:rPr>
          <w:rFonts w:ascii="Calibri" w:hAnsi="Calibri" w:cs="Arial"/>
        </w:rPr>
        <w:t xml:space="preserve">My spouse may only appoint retirement benefits </w:t>
      </w:r>
      <w:r>
        <w:rPr>
          <w:rFonts w:ascii="Calibri" w:hAnsi="Calibri" w:cs="Arial"/>
        </w:rPr>
        <w:t xml:space="preserve">during my spouse’s lifetime </w:t>
      </w:r>
      <w:r w:rsidR="00D65F76">
        <w:rPr>
          <w:rFonts w:ascii="Calibri" w:hAnsi="Calibri" w:cs="Arial"/>
        </w:rPr>
        <w:t xml:space="preserve">to </w:t>
      </w:r>
      <w:r>
        <w:rPr>
          <w:rFonts w:ascii="Calibri" w:hAnsi="Calibri" w:cs="Arial"/>
        </w:rPr>
        <w:t>my descendants</w:t>
      </w:r>
      <w:r w:rsidR="00BF6769">
        <w:rPr>
          <w:rFonts w:ascii="Calibri" w:hAnsi="Calibri" w:cs="Arial"/>
        </w:rPr>
        <w:t xml:space="preserve"> outright.  This may </w:t>
      </w:r>
      <w:r w:rsidR="000F7F5A">
        <w:rPr>
          <w:rFonts w:ascii="Calibri" w:hAnsi="Calibri" w:cs="Arial"/>
        </w:rPr>
        <w:t xml:space="preserve">include </w:t>
      </w:r>
      <w:r>
        <w:rPr>
          <w:rFonts w:ascii="Calibri" w:hAnsi="Calibri" w:cs="Arial"/>
        </w:rPr>
        <w:t xml:space="preserve">qualifying </w:t>
      </w:r>
      <w:r w:rsidR="00285CE4">
        <w:rPr>
          <w:rFonts w:ascii="Calibri" w:hAnsi="Calibri" w:cs="Arial"/>
        </w:rPr>
        <w:t xml:space="preserve">trusts </w:t>
      </w:r>
      <w:r>
        <w:rPr>
          <w:rFonts w:ascii="Calibri" w:hAnsi="Calibri" w:cs="Arial"/>
        </w:rPr>
        <w:t xml:space="preserve">for my descendants </w:t>
      </w:r>
      <w:r w:rsidR="000F7F5A">
        <w:rPr>
          <w:rFonts w:ascii="Calibri" w:hAnsi="Calibri" w:cs="Arial"/>
        </w:rPr>
        <w:t xml:space="preserve">only </w:t>
      </w:r>
      <w:r w:rsidR="00285CE4">
        <w:rPr>
          <w:rFonts w:ascii="Calibri" w:hAnsi="Calibri" w:cs="Arial"/>
        </w:rPr>
        <w:t>if a copy of the trust is given to the IRA custodian/trustee by October 31 of the year after my death and said trust would ot</w:t>
      </w:r>
      <w:r w:rsidR="000F7F5A">
        <w:rPr>
          <w:rFonts w:ascii="Calibri" w:hAnsi="Calibri" w:cs="Arial"/>
        </w:rPr>
        <w:t>herwise qualify</w:t>
      </w:r>
      <w:r w:rsidR="00285CE4">
        <w:rPr>
          <w:rFonts w:ascii="Calibri" w:hAnsi="Calibri" w:cs="Arial"/>
        </w:rPr>
        <w:t xml:space="preserve"> as a see through trust/designated beneficiary itself.</w:t>
      </w:r>
      <w:r w:rsidR="000F7F5A">
        <w:rPr>
          <w:rFonts w:ascii="Calibri" w:hAnsi="Calibri" w:cs="Arial"/>
        </w:rPr>
        <w:t>]</w:t>
      </w:r>
      <w:r w:rsidR="00285CE4">
        <w:rPr>
          <w:rFonts w:ascii="Calibri" w:hAnsi="Calibri" w:cs="Arial"/>
        </w:rPr>
        <w:t xml:space="preserve">  </w:t>
      </w:r>
    </w:p>
    <w:p w14:paraId="6AD4F067" w14:textId="77777777" w:rsidR="004D0C10" w:rsidRDefault="004D0C10" w:rsidP="001C31C6">
      <w:pPr>
        <w:autoSpaceDE w:val="0"/>
        <w:autoSpaceDN w:val="0"/>
        <w:adjustRightInd w:val="0"/>
        <w:ind w:left="720"/>
        <w:rPr>
          <w:rFonts w:ascii="Calibri" w:hAnsi="Calibri" w:cs="Arial"/>
        </w:rPr>
      </w:pPr>
    </w:p>
    <w:p w14:paraId="06177EE1" w14:textId="77777777" w:rsidR="004D0C10" w:rsidRDefault="004D0C10" w:rsidP="001C31C6">
      <w:pPr>
        <w:autoSpaceDE w:val="0"/>
        <w:autoSpaceDN w:val="0"/>
        <w:adjustRightInd w:val="0"/>
        <w:ind w:left="720"/>
        <w:rPr>
          <w:rFonts w:ascii="Calibri" w:hAnsi="Calibri" w:cs="Arial"/>
        </w:rPr>
      </w:pPr>
      <w:r>
        <w:rPr>
          <w:rFonts w:ascii="Calibri" w:hAnsi="Calibri" w:cs="Arial"/>
        </w:rPr>
        <w:t>Notwithstanding the above paragraphs, my spouse may not exercise any lifetime</w:t>
      </w:r>
      <w:r w:rsidR="00565715">
        <w:rPr>
          <w:rFonts w:ascii="Calibri" w:hAnsi="Calibri" w:cs="Arial"/>
        </w:rPr>
        <w:t xml:space="preserve"> limit</w:t>
      </w:r>
      <w:r>
        <w:rPr>
          <w:rFonts w:ascii="Calibri" w:hAnsi="Calibri" w:cs="Arial"/>
        </w:rPr>
        <w:t>ed power of appointment over any S Corporation stock or distributions therefrom, over which a qualified subchapter S corporation (QSST) election has been made</w:t>
      </w:r>
      <w:r w:rsidR="00BF6769">
        <w:rPr>
          <w:rFonts w:ascii="Calibri" w:hAnsi="Calibri" w:cs="Arial"/>
        </w:rPr>
        <w:t xml:space="preserve">, nor from any trust portion over which a marital deduction was or will be elected as qualified terminal interest property </w:t>
      </w:r>
      <w:r w:rsidR="007A7133">
        <w:rPr>
          <w:rFonts w:ascii="Calibri" w:hAnsi="Calibri" w:cs="Arial"/>
        </w:rPr>
        <w:t xml:space="preserve">(QTIP) </w:t>
      </w:r>
      <w:r w:rsidR="00BF6769">
        <w:rPr>
          <w:rFonts w:ascii="Calibri" w:hAnsi="Calibri" w:cs="Arial"/>
        </w:rPr>
        <w:t>under federal estate tax or its applicable state estate tax law equivalent</w:t>
      </w:r>
      <w:r>
        <w:rPr>
          <w:rFonts w:ascii="Calibri" w:hAnsi="Calibri" w:cs="Arial"/>
        </w:rPr>
        <w:t>.</w:t>
      </w:r>
    </w:p>
    <w:p w14:paraId="4E6B4119" w14:textId="77777777" w:rsidR="000B2DC3" w:rsidRDefault="000B2DC3" w:rsidP="001C31C6">
      <w:pPr>
        <w:autoSpaceDE w:val="0"/>
        <w:autoSpaceDN w:val="0"/>
        <w:adjustRightInd w:val="0"/>
        <w:ind w:left="720"/>
        <w:rPr>
          <w:rFonts w:ascii="Calibri" w:hAnsi="Calibri" w:cs="Arial"/>
        </w:rPr>
      </w:pPr>
    </w:p>
    <w:p w14:paraId="03AD413D" w14:textId="77777777" w:rsidR="00C66176" w:rsidRDefault="00413790" w:rsidP="00C02503">
      <w:pPr>
        <w:spacing w:after="240"/>
        <w:rPr>
          <w:rFonts w:ascii="Calibri" w:hAnsi="Calibri" w:cs="Arial"/>
          <w:color w:val="993300"/>
        </w:rPr>
      </w:pPr>
      <w:r>
        <w:rPr>
          <w:rFonts w:ascii="Calibri" w:hAnsi="Calibri" w:cs="Arial"/>
          <w:color w:val="993300"/>
        </w:rPr>
        <w:lastRenderedPageBreak/>
        <w:t xml:space="preserve">Note – if there is testamentary formula GPOA, the spouse may be triggering a taxable gift by exercising a lifetime </w:t>
      </w:r>
      <w:r w:rsidR="00953216">
        <w:rPr>
          <w:rFonts w:ascii="Calibri" w:hAnsi="Calibri" w:cs="Arial"/>
          <w:color w:val="993300"/>
        </w:rPr>
        <w:t xml:space="preserve">limited </w:t>
      </w:r>
      <w:r>
        <w:rPr>
          <w:rFonts w:ascii="Calibri" w:hAnsi="Calibri" w:cs="Arial"/>
          <w:color w:val="993300"/>
        </w:rPr>
        <w:t xml:space="preserve">power of appointment.  So </w:t>
      </w:r>
      <w:r w:rsidR="00953216">
        <w:rPr>
          <w:rFonts w:ascii="Calibri" w:hAnsi="Calibri" w:cs="Arial"/>
          <w:color w:val="993300"/>
        </w:rPr>
        <w:t>a lifetime</w:t>
      </w:r>
      <w:r>
        <w:rPr>
          <w:rFonts w:ascii="Calibri" w:hAnsi="Calibri" w:cs="Arial"/>
          <w:color w:val="993300"/>
        </w:rPr>
        <w:t xml:space="preserve"> power works optimally</w:t>
      </w:r>
      <w:r w:rsidR="003C5629">
        <w:rPr>
          <w:rFonts w:ascii="Calibri" w:hAnsi="Calibri" w:cs="Arial"/>
          <w:color w:val="993300"/>
        </w:rPr>
        <w:t xml:space="preserve"> for gifts beyond the annual exclusion amounts</w:t>
      </w:r>
      <w:r>
        <w:rPr>
          <w:rFonts w:ascii="Calibri" w:hAnsi="Calibri" w:cs="Arial"/>
          <w:color w:val="993300"/>
        </w:rPr>
        <w:t xml:space="preserve"> if the “optimal basis increase” clause is a lifetime testamentary limited power of appointment intended to trigger the Delaware Tax Trap under §2041(a)(3) to increase basis.    However, any formula testamentary GPOA will exclude certain assets, such as retirement plan/IRD.  Could we fashion a lifetime power to </w:t>
      </w:r>
      <w:r w:rsidRPr="00953216">
        <w:rPr>
          <w:rFonts w:ascii="Calibri" w:hAnsi="Calibri" w:cs="Arial"/>
          <w:b/>
          <w:color w:val="993300"/>
        </w:rPr>
        <w:t>only</w:t>
      </w:r>
      <w:r>
        <w:rPr>
          <w:rFonts w:ascii="Calibri" w:hAnsi="Calibri" w:cs="Arial"/>
          <w:color w:val="993300"/>
        </w:rPr>
        <w:t xml:space="preserve"> come from those </w:t>
      </w:r>
      <w:r w:rsidR="00953216">
        <w:rPr>
          <w:rFonts w:ascii="Calibri" w:hAnsi="Calibri" w:cs="Arial"/>
          <w:color w:val="993300"/>
        </w:rPr>
        <w:t xml:space="preserve">excluded </w:t>
      </w:r>
      <w:r>
        <w:rPr>
          <w:rFonts w:ascii="Calibri" w:hAnsi="Calibri" w:cs="Arial"/>
          <w:color w:val="993300"/>
        </w:rPr>
        <w:t xml:space="preserve">assets to avoid §2514?  </w:t>
      </w:r>
      <w:r w:rsidR="00953216">
        <w:rPr>
          <w:rFonts w:ascii="Calibri" w:hAnsi="Calibri" w:cs="Arial"/>
          <w:color w:val="993300"/>
        </w:rPr>
        <w:t xml:space="preserve">Probably, but </w:t>
      </w:r>
      <w:r>
        <w:rPr>
          <w:rFonts w:ascii="Calibri" w:hAnsi="Calibri" w:cs="Arial"/>
          <w:color w:val="993300"/>
        </w:rPr>
        <w:t>it is unclear how that would play out</w:t>
      </w:r>
      <w:r w:rsidR="00953216">
        <w:rPr>
          <w:rFonts w:ascii="Calibri" w:hAnsi="Calibri" w:cs="Arial"/>
          <w:color w:val="993300"/>
        </w:rPr>
        <w:t>, especially for assets such as cash that might be excluded from a formula TGPOA one day, and included the next</w:t>
      </w:r>
      <w:r>
        <w:rPr>
          <w:rFonts w:ascii="Calibri" w:hAnsi="Calibri" w:cs="Arial"/>
          <w:color w:val="993300"/>
        </w:rPr>
        <w:t xml:space="preserve">.  For many middle income taxpayers with plenty of estate/gift tax exclusion, this would not be an issue, and income tax savings </w:t>
      </w:r>
      <w:r w:rsidR="00953216">
        <w:rPr>
          <w:rFonts w:ascii="Calibri" w:hAnsi="Calibri" w:cs="Arial"/>
          <w:color w:val="993300"/>
        </w:rPr>
        <w:t xml:space="preserve">goals </w:t>
      </w:r>
      <w:r>
        <w:rPr>
          <w:rFonts w:ascii="Calibri" w:hAnsi="Calibri" w:cs="Arial"/>
          <w:color w:val="993300"/>
        </w:rPr>
        <w:t xml:space="preserve">would trump saving any </w:t>
      </w:r>
      <w:r w:rsidR="00953216">
        <w:rPr>
          <w:rFonts w:ascii="Calibri" w:hAnsi="Calibri" w:cs="Arial"/>
          <w:color w:val="993300"/>
        </w:rPr>
        <w:t xml:space="preserve">superfluous </w:t>
      </w:r>
      <w:r>
        <w:rPr>
          <w:rFonts w:ascii="Calibri" w:hAnsi="Calibri" w:cs="Arial"/>
          <w:color w:val="993300"/>
        </w:rPr>
        <w:t>estate/gift tax exclusion.  However, we would want to warn clients of the possibility of its application</w:t>
      </w:r>
      <w:r w:rsidR="00953216">
        <w:rPr>
          <w:rFonts w:ascii="Calibri" w:hAnsi="Calibri" w:cs="Arial"/>
          <w:color w:val="993300"/>
        </w:rPr>
        <w:t xml:space="preserve"> – and for some clients, it may matter</w:t>
      </w:r>
      <w:r>
        <w:rPr>
          <w:rFonts w:ascii="Calibri" w:hAnsi="Calibri" w:cs="Arial"/>
          <w:color w:val="993300"/>
        </w:rPr>
        <w:t xml:space="preserve">.  Similarly, if the spouse had a §678(a) power or </w:t>
      </w:r>
      <w:r w:rsidR="00953216">
        <w:rPr>
          <w:rFonts w:ascii="Calibri" w:hAnsi="Calibri" w:cs="Arial"/>
          <w:color w:val="993300"/>
        </w:rPr>
        <w:t xml:space="preserve">is otherwise entitled to </w:t>
      </w:r>
      <w:r>
        <w:rPr>
          <w:rFonts w:ascii="Calibri" w:hAnsi="Calibri" w:cs="Arial"/>
          <w:color w:val="993300"/>
        </w:rPr>
        <w:t xml:space="preserve">mandatory income, using a lifetime limited power of appointment could also trigger a gift tax or possibly even </w:t>
      </w:r>
      <w:r w:rsidR="00953216">
        <w:rPr>
          <w:rFonts w:ascii="Calibri" w:hAnsi="Calibri" w:cs="Arial"/>
          <w:color w:val="993300"/>
        </w:rPr>
        <w:t xml:space="preserve">trigger an </w:t>
      </w:r>
      <w:r>
        <w:rPr>
          <w:rFonts w:ascii="Calibri" w:hAnsi="Calibri" w:cs="Arial"/>
          <w:color w:val="993300"/>
        </w:rPr>
        <w:t xml:space="preserve">assignment of income even if there is no testamentary GPOA.  See the </w:t>
      </w:r>
      <w:r w:rsidRPr="00777926">
        <w:rPr>
          <w:rFonts w:ascii="Calibri" w:hAnsi="Calibri" w:cs="Arial"/>
          <w:i/>
          <w:color w:val="993300"/>
        </w:rPr>
        <w:t>Regester</w:t>
      </w:r>
      <w:r>
        <w:rPr>
          <w:rFonts w:ascii="Calibri" w:hAnsi="Calibri" w:cs="Arial"/>
          <w:color w:val="993300"/>
        </w:rPr>
        <w:t xml:space="preserve"> and </w:t>
      </w:r>
      <w:r w:rsidRPr="00777926">
        <w:rPr>
          <w:rFonts w:ascii="Calibri" w:hAnsi="Calibri" w:cs="Arial"/>
          <w:i/>
          <w:color w:val="993300"/>
        </w:rPr>
        <w:t>Self</w:t>
      </w:r>
      <w:r w:rsidR="008F61AB">
        <w:rPr>
          <w:rFonts w:ascii="Calibri" w:hAnsi="Calibri" w:cs="Arial"/>
          <w:color w:val="993300"/>
        </w:rPr>
        <w:t xml:space="preserve"> cases discussed in footnote 280</w:t>
      </w:r>
      <w:r>
        <w:rPr>
          <w:rFonts w:ascii="Calibri" w:hAnsi="Calibri" w:cs="Arial"/>
          <w:color w:val="993300"/>
        </w:rPr>
        <w:t>.</w:t>
      </w:r>
      <w:r w:rsidR="00C66176">
        <w:rPr>
          <w:rFonts w:ascii="Calibri" w:hAnsi="Calibri" w:cs="Arial"/>
          <w:color w:val="993300"/>
        </w:rPr>
        <w:t xml:space="preserve">  </w:t>
      </w:r>
    </w:p>
    <w:p w14:paraId="28AC7CE1" w14:textId="77777777" w:rsidR="001B5245" w:rsidRDefault="00C66176" w:rsidP="00C02503">
      <w:pPr>
        <w:spacing w:after="240"/>
        <w:rPr>
          <w:rFonts w:ascii="Calibri" w:hAnsi="Calibri"/>
          <w:b/>
          <w:color w:val="993300"/>
          <w:lang w:val="en"/>
        </w:rPr>
      </w:pPr>
      <w:r>
        <w:rPr>
          <w:rFonts w:ascii="Calibri" w:hAnsi="Calibri" w:cs="Arial"/>
          <w:color w:val="993300"/>
        </w:rPr>
        <w:t>SEE NEXT SAMPLE CLAUSE ON ANOTHER WAY TO GET AROUND THIS.</w:t>
      </w:r>
      <w:r w:rsidR="001C31C6">
        <w:rPr>
          <w:rFonts w:ascii="Calibri" w:hAnsi="Calibri"/>
          <w:color w:val="993300"/>
          <w:lang w:val="en"/>
        </w:rPr>
        <w:br w:type="page"/>
      </w:r>
      <w:r w:rsidRPr="0011155C">
        <w:rPr>
          <w:rFonts w:ascii="Calibri" w:hAnsi="Calibri"/>
          <w:b/>
          <w:color w:val="993300"/>
          <w:lang w:val="en"/>
        </w:rPr>
        <w:lastRenderedPageBreak/>
        <w:t xml:space="preserve">Sample Trustee Spray Power and/or Lifetime Limited Power to Appoint to Enable </w:t>
      </w:r>
      <w:r w:rsidR="00254995">
        <w:rPr>
          <w:rFonts w:ascii="Calibri" w:hAnsi="Calibri"/>
          <w:b/>
          <w:color w:val="993300"/>
          <w:lang w:val="en"/>
        </w:rPr>
        <w:t>a</w:t>
      </w:r>
      <w:r w:rsidR="003C5629">
        <w:rPr>
          <w:rFonts w:ascii="Calibri" w:hAnsi="Calibri"/>
          <w:b/>
          <w:color w:val="993300"/>
          <w:lang w:val="en"/>
        </w:rPr>
        <w:t xml:space="preserve"> </w:t>
      </w:r>
      <w:r w:rsidRPr="0011155C">
        <w:rPr>
          <w:rFonts w:ascii="Calibri" w:hAnsi="Calibri"/>
          <w:b/>
          <w:color w:val="993300"/>
          <w:lang w:val="en"/>
        </w:rPr>
        <w:t xml:space="preserve">Party </w:t>
      </w:r>
      <w:r w:rsidR="003C5629">
        <w:rPr>
          <w:rFonts w:ascii="Calibri" w:hAnsi="Calibri"/>
          <w:b/>
          <w:color w:val="993300"/>
          <w:lang w:val="en"/>
        </w:rPr>
        <w:t xml:space="preserve">Other than Current Beneficiary (spouse) </w:t>
      </w:r>
      <w:r w:rsidRPr="0011155C">
        <w:rPr>
          <w:rFonts w:ascii="Calibri" w:hAnsi="Calibri"/>
          <w:b/>
          <w:color w:val="993300"/>
          <w:lang w:val="en"/>
        </w:rPr>
        <w:t>to Spray Income to Children and/or Charities</w:t>
      </w:r>
    </w:p>
    <w:p w14:paraId="7C3F94A8" w14:textId="2645BB5B" w:rsidR="00C66176" w:rsidRDefault="001B5245" w:rsidP="00C02503">
      <w:pPr>
        <w:spacing w:after="240"/>
        <w:rPr>
          <w:rFonts w:ascii="Calibri" w:hAnsi="Calibri"/>
          <w:color w:val="993300"/>
          <w:lang w:val="en"/>
        </w:rPr>
      </w:pPr>
      <w:r>
        <w:rPr>
          <w:rFonts w:ascii="Calibri" w:hAnsi="Calibri"/>
          <w:b/>
          <w:color w:val="993300"/>
          <w:lang w:val="en"/>
        </w:rPr>
        <w:t>(a</w:t>
      </w:r>
      <w:r w:rsidR="007A3B81">
        <w:rPr>
          <w:rFonts w:ascii="Calibri" w:hAnsi="Calibri"/>
          <w:b/>
          <w:color w:val="993300"/>
          <w:lang w:val="en"/>
        </w:rPr>
        <w:t>.</w:t>
      </w:r>
      <w:r>
        <w:rPr>
          <w:rFonts w:ascii="Calibri" w:hAnsi="Calibri"/>
          <w:b/>
          <w:color w:val="993300"/>
          <w:lang w:val="en"/>
        </w:rPr>
        <w:t>k</w:t>
      </w:r>
      <w:r w:rsidR="007A3B81">
        <w:rPr>
          <w:rFonts w:ascii="Calibri" w:hAnsi="Calibri"/>
          <w:b/>
          <w:color w:val="993300"/>
          <w:lang w:val="en"/>
        </w:rPr>
        <w:t>.</w:t>
      </w:r>
      <w:r>
        <w:rPr>
          <w:rFonts w:ascii="Calibri" w:hAnsi="Calibri"/>
          <w:b/>
          <w:color w:val="993300"/>
          <w:lang w:val="en"/>
        </w:rPr>
        <w:t>a</w:t>
      </w:r>
      <w:r w:rsidR="007A3B81">
        <w:rPr>
          <w:rFonts w:ascii="Calibri" w:hAnsi="Calibri"/>
          <w:b/>
          <w:color w:val="993300"/>
          <w:lang w:val="en"/>
        </w:rPr>
        <w:t>.,</w:t>
      </w:r>
      <w:r>
        <w:rPr>
          <w:rFonts w:ascii="Calibri" w:hAnsi="Calibri"/>
          <w:b/>
          <w:color w:val="993300"/>
          <w:lang w:val="en"/>
        </w:rPr>
        <w:t xml:space="preserve"> collateral power)</w:t>
      </w:r>
      <w:r w:rsidR="00C66176">
        <w:rPr>
          <w:rFonts w:ascii="Calibri" w:hAnsi="Calibri"/>
          <w:color w:val="993300"/>
          <w:lang w:val="en"/>
        </w:rPr>
        <w:t xml:space="preserve"> </w:t>
      </w:r>
    </w:p>
    <w:p w14:paraId="2E36F7D4" w14:textId="77777777" w:rsidR="0011155C" w:rsidRDefault="00C66176" w:rsidP="00C02503">
      <w:pPr>
        <w:spacing w:after="240"/>
        <w:rPr>
          <w:rFonts w:ascii="Calibri" w:hAnsi="Calibri"/>
          <w:color w:val="993300"/>
          <w:lang w:val="en"/>
        </w:rPr>
      </w:pPr>
      <w:r>
        <w:rPr>
          <w:rFonts w:ascii="Calibri" w:hAnsi="Calibri"/>
          <w:color w:val="993300"/>
          <w:lang w:val="en"/>
        </w:rPr>
        <w:t>As discussed in the notes to the previous sample lifetime LPOA clause, there are some drawbacks to the surviving spouse being granted a lifetime POA – in some cases it may trigger a taxable gift or an assignment of income.  Of course, giving an independent trustee spray powers is one way to get around these rules.  However, in my experience, settlors do not want to give independent trustees such broad spray powers at the expense of the surviving spouse, trustees don’t necessarily want it because of the increased administration, due diligence and liability, and there may be additional reporting, accounting and notice requirements as well – trustees would have fiduciary duties to the beneficiaries under a traditional spray provision (which can also be viewed as a fiduciary lifetime limited power of appointment).  One way to alleviate some</w:t>
      </w:r>
      <w:r w:rsidR="00876C1C">
        <w:rPr>
          <w:rFonts w:ascii="Calibri" w:hAnsi="Calibri"/>
          <w:color w:val="993300"/>
          <w:lang w:val="en"/>
        </w:rPr>
        <w:t>, but not all,</w:t>
      </w:r>
      <w:r>
        <w:rPr>
          <w:rFonts w:ascii="Calibri" w:hAnsi="Calibri"/>
          <w:color w:val="993300"/>
          <w:lang w:val="en"/>
        </w:rPr>
        <w:t xml:space="preserve"> </w:t>
      </w:r>
      <w:r w:rsidR="00876C1C">
        <w:rPr>
          <w:rFonts w:ascii="Calibri" w:hAnsi="Calibri"/>
          <w:color w:val="993300"/>
          <w:lang w:val="en"/>
        </w:rPr>
        <w:t>of those</w:t>
      </w:r>
      <w:r>
        <w:rPr>
          <w:rFonts w:ascii="Calibri" w:hAnsi="Calibri"/>
          <w:color w:val="993300"/>
          <w:lang w:val="en"/>
        </w:rPr>
        <w:t xml:space="preserve"> concerns would be to grant a spouse a veto power regarding any such distributions</w:t>
      </w:r>
      <w:r w:rsidR="0011155C">
        <w:rPr>
          <w:rFonts w:ascii="Calibri" w:hAnsi="Calibri"/>
          <w:color w:val="993300"/>
          <w:lang w:val="en"/>
        </w:rPr>
        <w:t xml:space="preserve"> by the trustee</w:t>
      </w:r>
      <w:r>
        <w:rPr>
          <w:rFonts w:ascii="Calibri" w:hAnsi="Calibri"/>
          <w:color w:val="993300"/>
          <w:lang w:val="en"/>
        </w:rPr>
        <w:t xml:space="preserve">.  The other way, </w:t>
      </w:r>
      <w:r w:rsidR="00876C1C">
        <w:rPr>
          <w:rFonts w:ascii="Calibri" w:hAnsi="Calibri"/>
          <w:color w:val="993300"/>
          <w:lang w:val="en"/>
        </w:rPr>
        <w:t xml:space="preserve">to me, preferred, </w:t>
      </w:r>
      <w:r>
        <w:rPr>
          <w:rFonts w:ascii="Calibri" w:hAnsi="Calibri"/>
          <w:color w:val="993300"/>
          <w:lang w:val="en"/>
        </w:rPr>
        <w:t>is to grant a non-fiduciary lifetime limited power to appoint to someone other than the surviving spouse</w:t>
      </w:r>
      <w:r w:rsidR="0011155C">
        <w:rPr>
          <w:rFonts w:ascii="Calibri" w:hAnsi="Calibri"/>
          <w:color w:val="993300"/>
          <w:lang w:val="en"/>
        </w:rPr>
        <w:t xml:space="preserve"> (this is known as a collateral power)</w:t>
      </w:r>
      <w:r>
        <w:rPr>
          <w:rFonts w:ascii="Calibri" w:hAnsi="Calibri"/>
          <w:color w:val="993300"/>
          <w:lang w:val="en"/>
        </w:rPr>
        <w:t xml:space="preserve"> – this prevents many more of the issues noted above.</w:t>
      </w:r>
    </w:p>
    <w:p w14:paraId="0DCE512B" w14:textId="77777777" w:rsidR="00220BCB" w:rsidRDefault="0011155C" w:rsidP="00220BCB">
      <w:pPr>
        <w:autoSpaceDE w:val="0"/>
        <w:autoSpaceDN w:val="0"/>
        <w:adjustRightInd w:val="0"/>
        <w:rPr>
          <w:rFonts w:asciiTheme="minorHAnsi" w:hAnsiTheme="minorHAnsi"/>
        </w:rPr>
      </w:pPr>
      <w:r>
        <w:rPr>
          <w:rFonts w:ascii="Calibri" w:hAnsi="Calibri" w:cs="Arial"/>
          <w:lang w:val="en"/>
        </w:rPr>
        <w:t>T</w:t>
      </w:r>
      <w:r>
        <w:rPr>
          <w:rFonts w:ascii="Calibri" w:hAnsi="Calibri" w:cs="Arial"/>
        </w:rPr>
        <w:t>he t</w:t>
      </w:r>
      <w:r w:rsidRPr="0040409F">
        <w:rPr>
          <w:rFonts w:ascii="Calibri" w:hAnsi="Calibri" w:cs="Arial"/>
        </w:rPr>
        <w:t xml:space="preserve">rustee shall distribute all or any portion of the trust estate, </w:t>
      </w:r>
      <w:r>
        <w:rPr>
          <w:rFonts w:ascii="Calibri" w:hAnsi="Calibri" w:cs="Arial"/>
        </w:rPr>
        <w:t>from income or</w:t>
      </w:r>
      <w:r w:rsidRPr="0040409F">
        <w:rPr>
          <w:rFonts w:ascii="Calibri" w:hAnsi="Calibri" w:cs="Arial"/>
        </w:rPr>
        <w:t xml:space="preserve"> principal, as </w:t>
      </w:r>
      <w:r>
        <w:rPr>
          <w:rFonts w:ascii="Calibri" w:hAnsi="Calibri" w:cs="Arial"/>
        </w:rPr>
        <w:t xml:space="preserve">_____________ (someone other than the spouse) </w:t>
      </w:r>
      <w:r w:rsidRPr="0040409F">
        <w:rPr>
          <w:rFonts w:ascii="Calibri" w:hAnsi="Calibri" w:cs="Arial"/>
        </w:rPr>
        <w:t>may appoint</w:t>
      </w:r>
      <w:r>
        <w:rPr>
          <w:rFonts w:ascii="Calibri" w:hAnsi="Calibri" w:cs="Arial"/>
        </w:rPr>
        <w:t xml:space="preserve"> </w:t>
      </w:r>
      <w:r w:rsidRPr="0040409F">
        <w:rPr>
          <w:rFonts w:ascii="Calibri" w:hAnsi="Calibri" w:cs="Arial"/>
        </w:rPr>
        <w:t xml:space="preserve">during </w:t>
      </w:r>
      <w:r>
        <w:rPr>
          <w:rFonts w:ascii="Calibri" w:hAnsi="Calibri" w:cs="Arial"/>
        </w:rPr>
        <w:t>my spouse</w:t>
      </w:r>
      <w:r w:rsidRPr="0040409F">
        <w:rPr>
          <w:rFonts w:ascii="Calibri" w:hAnsi="Calibri" w:cs="Arial"/>
        </w:rPr>
        <w:t>’s lifetime,</w:t>
      </w:r>
      <w:r>
        <w:rPr>
          <w:rFonts w:ascii="Calibri" w:hAnsi="Calibri" w:cs="Arial"/>
        </w:rPr>
        <w:t xml:space="preserve"> to any of my descendants, in trust or outright.  </w:t>
      </w:r>
      <w:r w:rsidR="00220BCB">
        <w:rPr>
          <w:rFonts w:ascii="Calibri" w:hAnsi="Calibri" w:cs="Arial"/>
        </w:rPr>
        <w:t xml:space="preserve">The power holder may not </w:t>
      </w:r>
      <w:r w:rsidR="00220BCB">
        <w:rPr>
          <w:rFonts w:asciiTheme="minorHAnsi" w:hAnsiTheme="minorHAnsi"/>
        </w:rPr>
        <w:t>appoint</w:t>
      </w:r>
      <w:r w:rsidR="00220BCB" w:rsidRPr="00220BCB">
        <w:rPr>
          <w:rFonts w:asciiTheme="minorHAnsi" w:hAnsiTheme="minorHAnsi"/>
        </w:rPr>
        <w:t xml:space="preserve"> trust property in a</w:t>
      </w:r>
      <w:r w:rsidR="00220BCB">
        <w:rPr>
          <w:rFonts w:asciiTheme="minorHAnsi" w:hAnsiTheme="minorHAnsi"/>
        </w:rPr>
        <w:t>ny</w:t>
      </w:r>
      <w:r w:rsidR="00220BCB" w:rsidRPr="00220BCB">
        <w:rPr>
          <w:rFonts w:asciiTheme="minorHAnsi" w:hAnsiTheme="minorHAnsi"/>
        </w:rPr>
        <w:t xml:space="preserve"> manner that would discharge </w:t>
      </w:r>
      <w:r w:rsidR="00220BCB">
        <w:rPr>
          <w:rFonts w:asciiTheme="minorHAnsi" w:hAnsiTheme="minorHAnsi"/>
        </w:rPr>
        <w:t>his or her</w:t>
      </w:r>
      <w:r w:rsidR="00220BCB" w:rsidRPr="00220BCB">
        <w:rPr>
          <w:rFonts w:asciiTheme="minorHAnsi" w:hAnsiTheme="minorHAnsi"/>
        </w:rPr>
        <w:t xml:space="preserve"> obligation to</w:t>
      </w:r>
      <w:r w:rsidR="00220BCB">
        <w:rPr>
          <w:rFonts w:asciiTheme="minorHAnsi" w:hAnsiTheme="minorHAnsi"/>
        </w:rPr>
        <w:t xml:space="preserve"> support any appointee.</w:t>
      </w:r>
    </w:p>
    <w:p w14:paraId="3F0C873C" w14:textId="77777777" w:rsidR="00220BCB" w:rsidRPr="00220BCB" w:rsidRDefault="00220BCB" w:rsidP="00220BCB">
      <w:pPr>
        <w:autoSpaceDE w:val="0"/>
        <w:autoSpaceDN w:val="0"/>
        <w:adjustRightInd w:val="0"/>
        <w:rPr>
          <w:rFonts w:asciiTheme="minorHAnsi" w:hAnsiTheme="minorHAnsi"/>
        </w:rPr>
      </w:pPr>
    </w:p>
    <w:p w14:paraId="5EACCD81" w14:textId="77777777" w:rsidR="0011155C" w:rsidRDefault="0011155C" w:rsidP="0011155C">
      <w:pPr>
        <w:spacing w:after="240"/>
        <w:rPr>
          <w:rFonts w:ascii="Calibri" w:hAnsi="Calibri" w:cs="Arial"/>
        </w:rPr>
      </w:pPr>
      <w:r>
        <w:rPr>
          <w:rFonts w:ascii="Calibri" w:hAnsi="Calibri" w:cs="Arial"/>
        </w:rPr>
        <w:t xml:space="preserve">In addition, the trustee </w:t>
      </w:r>
      <w:r w:rsidRPr="0040409F">
        <w:rPr>
          <w:rFonts w:ascii="Calibri" w:hAnsi="Calibri" w:cs="Arial"/>
        </w:rPr>
        <w:t xml:space="preserve">shall distribute any portion of the trust estate, </w:t>
      </w:r>
      <w:r w:rsidRPr="00C5645F">
        <w:rPr>
          <w:rFonts w:ascii="Calibri" w:hAnsi="Calibri" w:cs="Arial"/>
          <w:i/>
        </w:rPr>
        <w:t>but only from gross taxable income</w:t>
      </w:r>
      <w:r w:rsidRPr="0040409F">
        <w:rPr>
          <w:rFonts w:ascii="Calibri" w:hAnsi="Calibri" w:cs="Arial"/>
        </w:rPr>
        <w:t>,</w:t>
      </w:r>
      <w:r>
        <w:rPr>
          <w:rFonts w:ascii="Calibri" w:hAnsi="Calibri" w:cs="Arial"/>
        </w:rPr>
        <w:t xml:space="preserve"> </w:t>
      </w:r>
      <w:r w:rsidRPr="0040409F">
        <w:rPr>
          <w:rFonts w:ascii="Calibri" w:hAnsi="Calibri" w:cs="Arial"/>
        </w:rPr>
        <w:t xml:space="preserve">as </w:t>
      </w:r>
      <w:r>
        <w:rPr>
          <w:rFonts w:ascii="Calibri" w:hAnsi="Calibri" w:cs="Arial"/>
        </w:rPr>
        <w:t xml:space="preserve">__________ </w:t>
      </w:r>
      <w:r w:rsidRPr="0040409F">
        <w:rPr>
          <w:rFonts w:ascii="Calibri" w:hAnsi="Calibri" w:cs="Arial"/>
        </w:rPr>
        <w:t>may appoint</w:t>
      </w:r>
      <w:r>
        <w:rPr>
          <w:rFonts w:ascii="Calibri" w:hAnsi="Calibri" w:cs="Arial"/>
        </w:rPr>
        <w:t xml:space="preserve"> </w:t>
      </w:r>
      <w:r w:rsidRPr="0040409F">
        <w:rPr>
          <w:rFonts w:ascii="Calibri" w:hAnsi="Calibri" w:cs="Arial"/>
        </w:rPr>
        <w:t xml:space="preserve">during </w:t>
      </w:r>
      <w:r>
        <w:rPr>
          <w:rFonts w:ascii="Calibri" w:hAnsi="Calibri" w:cs="Arial"/>
        </w:rPr>
        <w:t>my spouse</w:t>
      </w:r>
      <w:r w:rsidRPr="0040409F">
        <w:rPr>
          <w:rFonts w:ascii="Calibri" w:hAnsi="Calibri" w:cs="Arial"/>
        </w:rPr>
        <w:t>’s lifetime</w:t>
      </w:r>
      <w:r>
        <w:rPr>
          <w:rFonts w:ascii="Calibri" w:hAnsi="Calibri" w:cs="Arial"/>
        </w:rPr>
        <w:t xml:space="preserve">, whether such gross taxable income is allocated to accounting income or principal, </w:t>
      </w:r>
      <w:r w:rsidRPr="0040409F">
        <w:rPr>
          <w:rFonts w:ascii="Calibri" w:hAnsi="Calibri" w:cs="Arial"/>
        </w:rPr>
        <w:t>to any one or more organizations each of which is, at the time contemplated for an actual distribution to such organization, exempt from federal income taxation under § 501(a) as an organizat</w:t>
      </w:r>
      <w:r>
        <w:rPr>
          <w:rFonts w:ascii="Calibri" w:hAnsi="Calibri" w:cs="Arial"/>
        </w:rPr>
        <w:t>ion described in § 501(c)(3).</w:t>
      </w:r>
      <w:r w:rsidRPr="0040409F">
        <w:rPr>
          <w:rFonts w:ascii="Calibri" w:hAnsi="Calibri" w:cs="Arial"/>
        </w:rPr>
        <w:t xml:space="preserve"> </w:t>
      </w:r>
    </w:p>
    <w:p w14:paraId="2654BD5C" w14:textId="77777777" w:rsidR="0011155C" w:rsidRDefault="0011155C" w:rsidP="0011155C">
      <w:pPr>
        <w:spacing w:after="240"/>
        <w:rPr>
          <w:rFonts w:ascii="Calibri" w:hAnsi="Calibri" w:cs="Arial"/>
        </w:rPr>
      </w:pPr>
      <w:r>
        <w:rPr>
          <w:rFonts w:ascii="Calibri" w:hAnsi="Calibri" w:cs="Arial"/>
        </w:rPr>
        <w:t xml:space="preserve">Any appointment may only be made with permission of </w:t>
      </w:r>
      <w:r w:rsidR="00876C1C">
        <w:rPr>
          <w:rFonts w:ascii="Calibri" w:hAnsi="Calibri" w:cs="Arial"/>
        </w:rPr>
        <w:t>[</w:t>
      </w:r>
      <w:r>
        <w:rPr>
          <w:rFonts w:ascii="Calibri" w:hAnsi="Calibri" w:cs="Arial"/>
        </w:rPr>
        <w:t>my spouse, or my spouse’s agent, conservator or guardian</w:t>
      </w:r>
      <w:r w:rsidR="00876C1C">
        <w:rPr>
          <w:rFonts w:ascii="Calibri" w:hAnsi="Calibri" w:cs="Arial"/>
        </w:rPr>
        <w:t>][unanimous consent of my spouse’s children]</w:t>
      </w:r>
      <w:r>
        <w:rPr>
          <w:rFonts w:ascii="Calibri" w:hAnsi="Calibri" w:cs="Arial"/>
        </w:rPr>
        <w:t xml:space="preserve">.  </w:t>
      </w:r>
    </w:p>
    <w:p w14:paraId="1BF130B1" w14:textId="77777777" w:rsidR="00876C1C" w:rsidRDefault="00876C1C" w:rsidP="00C02503">
      <w:pPr>
        <w:spacing w:after="240"/>
        <w:rPr>
          <w:rFonts w:ascii="Calibri" w:hAnsi="Calibri"/>
          <w:color w:val="993300"/>
          <w:lang w:val="en"/>
        </w:rPr>
      </w:pPr>
      <w:r>
        <w:rPr>
          <w:rFonts w:ascii="Calibri" w:hAnsi="Calibri"/>
          <w:color w:val="993300"/>
          <w:lang w:val="en"/>
        </w:rPr>
        <w:t xml:space="preserve">Any lifetime power of appointment should constrain </w:t>
      </w:r>
      <w:r w:rsidR="007A7133">
        <w:rPr>
          <w:rFonts w:ascii="Calibri" w:hAnsi="Calibri"/>
          <w:color w:val="993300"/>
          <w:lang w:val="en"/>
        </w:rPr>
        <w:t>“</w:t>
      </w:r>
      <w:r>
        <w:rPr>
          <w:rFonts w:ascii="Calibri" w:hAnsi="Calibri"/>
          <w:color w:val="993300"/>
          <w:lang w:val="en"/>
        </w:rPr>
        <w:t>see through trusts</w:t>
      </w:r>
      <w:r w:rsidR="007A7133">
        <w:rPr>
          <w:rFonts w:ascii="Calibri" w:hAnsi="Calibri"/>
          <w:color w:val="993300"/>
          <w:lang w:val="en"/>
        </w:rPr>
        <w:t>” intended to qualify as designated beneficiaries per Treas. Reg. 1.401(a)(9)-5 and trusts over which beneficiaries make qualified subchapter S trusts (</w:t>
      </w:r>
      <w:r>
        <w:rPr>
          <w:rFonts w:ascii="Calibri" w:hAnsi="Calibri"/>
          <w:color w:val="993300"/>
          <w:lang w:val="en"/>
        </w:rPr>
        <w:t>QSSTs</w:t>
      </w:r>
      <w:r w:rsidR="007A7133">
        <w:rPr>
          <w:rFonts w:ascii="Calibri" w:hAnsi="Calibri"/>
          <w:color w:val="993300"/>
          <w:lang w:val="en"/>
        </w:rPr>
        <w:t>) per §1361</w:t>
      </w:r>
      <w:r>
        <w:rPr>
          <w:rFonts w:ascii="Calibri" w:hAnsi="Calibri"/>
          <w:color w:val="993300"/>
          <w:lang w:val="en"/>
        </w:rPr>
        <w:t xml:space="preserve"> as noted in prior sample language.</w:t>
      </w:r>
    </w:p>
    <w:p w14:paraId="0EE5A79B" w14:textId="77777777" w:rsidR="00C02503" w:rsidRPr="00876C1C" w:rsidRDefault="00876C1C" w:rsidP="00C02503">
      <w:pPr>
        <w:spacing w:after="240"/>
        <w:rPr>
          <w:rFonts w:ascii="Calibri" w:hAnsi="Calibri"/>
          <w:color w:val="993300"/>
          <w:lang w:val="en"/>
        </w:rPr>
      </w:pPr>
      <w:r>
        <w:rPr>
          <w:rFonts w:ascii="Calibri" w:hAnsi="Calibri"/>
          <w:color w:val="993300"/>
          <w:lang w:val="en"/>
        </w:rPr>
        <w:t xml:space="preserve">Would a spousal consent to someone else’s appointment somehow a negative ramification?  This is unlikely, but possible, depending on the issue, thus the bracketed examples of granting a spouse a veto power versus other parties who would indirectly act on behalf of a spouse.  While the former is probably sufficient, the latter would be safer in all events.  </w:t>
      </w:r>
      <w:r w:rsidR="00C66176">
        <w:rPr>
          <w:rFonts w:ascii="Calibri" w:hAnsi="Calibri"/>
          <w:color w:val="993300"/>
          <w:lang w:val="en"/>
        </w:rPr>
        <w:br w:type="page"/>
      </w:r>
      <w:r w:rsidR="00C02503" w:rsidRPr="001B5245">
        <w:rPr>
          <w:rFonts w:ascii="Calibri" w:hAnsi="Calibri"/>
          <w:b/>
          <w:color w:val="993300"/>
          <w:lang w:val="en"/>
        </w:rPr>
        <w:lastRenderedPageBreak/>
        <w:t>Draft Provision</w:t>
      </w:r>
      <w:r w:rsidR="001B5245">
        <w:rPr>
          <w:rFonts w:ascii="Calibri" w:hAnsi="Calibri"/>
          <w:b/>
          <w:color w:val="993300"/>
          <w:lang w:val="en"/>
        </w:rPr>
        <w:t>s</w:t>
      </w:r>
      <w:r w:rsidR="00C02503" w:rsidRPr="001B5245">
        <w:rPr>
          <w:rFonts w:ascii="Calibri" w:hAnsi="Calibri"/>
          <w:b/>
          <w:color w:val="993300"/>
          <w:lang w:val="en"/>
        </w:rPr>
        <w:t xml:space="preserve"> to Enable and Order Distributions</w:t>
      </w:r>
      <w:r w:rsidR="00C12AE5" w:rsidRPr="001B5245">
        <w:rPr>
          <w:rFonts w:ascii="Calibri" w:hAnsi="Calibri"/>
          <w:b/>
          <w:color w:val="993300"/>
          <w:lang w:val="en"/>
        </w:rPr>
        <w:t xml:space="preserve"> of Capital Gains</w:t>
      </w:r>
      <w:r w:rsidR="00C02503" w:rsidRPr="001B5245">
        <w:rPr>
          <w:rFonts w:ascii="Calibri" w:hAnsi="Calibri"/>
          <w:b/>
          <w:color w:val="993300"/>
          <w:lang w:val="en"/>
        </w:rPr>
        <w:t xml:space="preserve"> to be Carried Out to Beneficiaries</w:t>
      </w:r>
    </w:p>
    <w:p w14:paraId="1B5BACB8" w14:textId="77777777" w:rsidR="006F588E" w:rsidRPr="001F5B3B" w:rsidRDefault="006F588E" w:rsidP="00C02503">
      <w:pPr>
        <w:spacing w:after="240"/>
        <w:rPr>
          <w:b/>
          <w:sz w:val="22"/>
          <w:szCs w:val="20"/>
        </w:rPr>
      </w:pPr>
      <w:r w:rsidRPr="001F5B3B">
        <w:rPr>
          <w:b/>
          <w:sz w:val="22"/>
          <w:szCs w:val="20"/>
        </w:rPr>
        <w:t>Trust Accounting for Discretionary Distributions to Beneficiaries</w:t>
      </w:r>
    </w:p>
    <w:p w14:paraId="26FDC64B" w14:textId="77777777" w:rsidR="00B16BD5" w:rsidRPr="001F5B3B" w:rsidRDefault="00C02503" w:rsidP="00B16BD5">
      <w:pPr>
        <w:spacing w:line="360" w:lineRule="auto"/>
        <w:ind w:left="360"/>
        <w:rPr>
          <w:sz w:val="22"/>
          <w:szCs w:val="20"/>
        </w:rPr>
      </w:pPr>
      <w:r w:rsidRPr="001F5B3B">
        <w:rPr>
          <w:sz w:val="22"/>
          <w:szCs w:val="20"/>
        </w:rPr>
        <w:t>"To the extent that discretionary distri</w:t>
      </w:r>
      <w:r w:rsidR="00B16BD5" w:rsidRPr="001F5B3B">
        <w:rPr>
          <w:sz w:val="22"/>
          <w:szCs w:val="20"/>
        </w:rPr>
        <w:t xml:space="preserve">butions are made from </w:t>
      </w:r>
      <w:r w:rsidR="0007582A" w:rsidRPr="001F5B3B">
        <w:rPr>
          <w:sz w:val="22"/>
          <w:szCs w:val="20"/>
        </w:rPr>
        <w:t xml:space="preserve">capital gains allocated to </w:t>
      </w:r>
      <w:r w:rsidR="00B16BD5" w:rsidRPr="001F5B3B">
        <w:rPr>
          <w:sz w:val="22"/>
          <w:szCs w:val="20"/>
        </w:rPr>
        <w:t>principal,</w:t>
      </w:r>
      <w:r w:rsidRPr="001F5B3B">
        <w:rPr>
          <w:sz w:val="22"/>
          <w:szCs w:val="20"/>
        </w:rPr>
        <w:t xml:space="preserve"> the trustee shall make them and/or account for them in the books, records and tax returns of the trust in the following order: </w:t>
      </w:r>
    </w:p>
    <w:p w14:paraId="70ACEE9B" w14:textId="77777777" w:rsidR="0054521E" w:rsidRPr="001F5B3B" w:rsidRDefault="0054521E" w:rsidP="00B16BD5">
      <w:pPr>
        <w:spacing w:line="360" w:lineRule="auto"/>
        <w:ind w:left="360"/>
        <w:rPr>
          <w:sz w:val="22"/>
          <w:szCs w:val="20"/>
        </w:rPr>
      </w:pPr>
    </w:p>
    <w:p w14:paraId="354A9576" w14:textId="77777777" w:rsidR="00B16BD5" w:rsidRPr="001F5B3B" w:rsidRDefault="00C02503" w:rsidP="0054521E">
      <w:pPr>
        <w:spacing w:line="360" w:lineRule="auto"/>
        <w:ind w:left="360" w:hanging="360"/>
        <w:rPr>
          <w:sz w:val="22"/>
          <w:szCs w:val="20"/>
        </w:rPr>
      </w:pPr>
      <w:r w:rsidRPr="001F5B3B">
        <w:rPr>
          <w:sz w:val="22"/>
          <w:szCs w:val="20"/>
        </w:rPr>
        <w:t>1)</w:t>
      </w:r>
      <w:r w:rsidR="00B16BD5" w:rsidRPr="001F5B3B">
        <w:rPr>
          <w:sz w:val="22"/>
          <w:szCs w:val="20"/>
        </w:rPr>
        <w:t xml:space="preserve">    </w:t>
      </w:r>
      <w:r w:rsidRPr="001F5B3B">
        <w:rPr>
          <w:sz w:val="22"/>
          <w:szCs w:val="20"/>
        </w:rPr>
        <w:t xml:space="preserve">from any net short-term capital gains, except those net gains attributable to disposition of property held in a trade or business not described in IRC </w:t>
      </w:r>
      <w:r w:rsidR="006F588E" w:rsidRPr="001F5B3B">
        <w:rPr>
          <w:sz w:val="22"/>
          <w:szCs w:val="20"/>
        </w:rPr>
        <w:t>§</w:t>
      </w:r>
      <w:r w:rsidRPr="001F5B3B">
        <w:rPr>
          <w:sz w:val="22"/>
          <w:szCs w:val="20"/>
        </w:rPr>
        <w:t xml:space="preserve">1411(c)(2), or attributable to disposition of an active trade or business as described in IRC </w:t>
      </w:r>
      <w:r w:rsidR="006F588E" w:rsidRPr="001F5B3B">
        <w:rPr>
          <w:sz w:val="22"/>
          <w:szCs w:val="20"/>
        </w:rPr>
        <w:t>§</w:t>
      </w:r>
      <w:r w:rsidRPr="001F5B3B">
        <w:rPr>
          <w:sz w:val="22"/>
          <w:szCs w:val="20"/>
        </w:rPr>
        <w:t xml:space="preserve">1411(c)(4); </w:t>
      </w:r>
    </w:p>
    <w:p w14:paraId="0954B21A" w14:textId="77777777" w:rsidR="00FB5B13" w:rsidRPr="001F5B3B" w:rsidRDefault="00C02503" w:rsidP="00180FD1">
      <w:pPr>
        <w:pStyle w:val="ListParagraph"/>
        <w:numPr>
          <w:ilvl w:val="0"/>
          <w:numId w:val="27"/>
        </w:numPr>
        <w:spacing w:line="360" w:lineRule="auto"/>
        <w:ind w:left="360"/>
        <w:rPr>
          <w:sz w:val="22"/>
          <w:szCs w:val="20"/>
        </w:rPr>
      </w:pPr>
      <w:r w:rsidRPr="001F5B3B">
        <w:rPr>
          <w:sz w:val="22"/>
          <w:szCs w:val="20"/>
        </w:rPr>
        <w:t xml:space="preserve"> from any remaining net short term capital gains not described in </w:t>
      </w:r>
      <w:r w:rsidR="00FB5B13" w:rsidRPr="001F5B3B">
        <w:rPr>
          <w:sz w:val="22"/>
          <w:szCs w:val="20"/>
        </w:rPr>
        <w:t>the above paragraph;</w:t>
      </w:r>
    </w:p>
    <w:p w14:paraId="114147F2" w14:textId="77777777" w:rsidR="00C02503" w:rsidRPr="001F5B3B" w:rsidRDefault="00FB5B13" w:rsidP="00180FD1">
      <w:pPr>
        <w:pStyle w:val="ListParagraph"/>
        <w:numPr>
          <w:ilvl w:val="0"/>
          <w:numId w:val="27"/>
        </w:numPr>
        <w:spacing w:line="360" w:lineRule="auto"/>
        <w:ind w:left="360"/>
        <w:rPr>
          <w:sz w:val="22"/>
          <w:szCs w:val="20"/>
        </w:rPr>
      </w:pPr>
      <w:r w:rsidRPr="001F5B3B">
        <w:rPr>
          <w:sz w:val="22"/>
          <w:szCs w:val="20"/>
        </w:rPr>
        <w:t xml:space="preserve"> </w:t>
      </w:r>
      <w:r w:rsidR="00C02503" w:rsidRPr="001F5B3B">
        <w:rPr>
          <w:sz w:val="22"/>
          <w:szCs w:val="20"/>
        </w:rPr>
        <w:t>from any long-term capital gains, except those net gains attributable to disposition of property held in a trade or business not described in IRC 1411(c)(2), or attributable to disposition of an active trade or business as described in IRC 1411(c)(4);</w:t>
      </w:r>
    </w:p>
    <w:p w14:paraId="1071C0BF" w14:textId="77777777" w:rsidR="006F588E" w:rsidRPr="001F5B3B" w:rsidRDefault="00FB5B13" w:rsidP="0054521E">
      <w:pPr>
        <w:spacing w:line="360" w:lineRule="auto"/>
        <w:ind w:left="360" w:hanging="360"/>
        <w:rPr>
          <w:sz w:val="22"/>
          <w:szCs w:val="20"/>
        </w:rPr>
      </w:pPr>
      <w:r w:rsidRPr="001F5B3B">
        <w:rPr>
          <w:sz w:val="22"/>
          <w:szCs w:val="20"/>
        </w:rPr>
        <w:t>4</w:t>
      </w:r>
      <w:r w:rsidR="006F588E" w:rsidRPr="001F5B3B">
        <w:rPr>
          <w:sz w:val="22"/>
          <w:szCs w:val="20"/>
        </w:rPr>
        <w:t>)</w:t>
      </w:r>
      <w:r w:rsidR="0054521E" w:rsidRPr="001F5B3B">
        <w:rPr>
          <w:sz w:val="22"/>
          <w:szCs w:val="20"/>
        </w:rPr>
        <w:tab/>
      </w:r>
      <w:r w:rsidR="00EB4375" w:rsidRPr="001F5B3B">
        <w:rPr>
          <w:sz w:val="22"/>
          <w:szCs w:val="20"/>
        </w:rPr>
        <w:t xml:space="preserve">lastly, </w:t>
      </w:r>
      <w:r w:rsidR="006F588E" w:rsidRPr="001F5B3B">
        <w:rPr>
          <w:sz w:val="22"/>
          <w:szCs w:val="20"/>
        </w:rPr>
        <w:t>from any remaining current year long-term capital gains not described in the above paragraph.</w:t>
      </w:r>
    </w:p>
    <w:p w14:paraId="76FC0AD8" w14:textId="77777777" w:rsidR="0054521E" w:rsidRPr="001F5B3B" w:rsidRDefault="0054521E" w:rsidP="006F588E">
      <w:pPr>
        <w:spacing w:line="360" w:lineRule="auto"/>
        <w:rPr>
          <w:sz w:val="22"/>
          <w:szCs w:val="20"/>
        </w:rPr>
      </w:pPr>
    </w:p>
    <w:p w14:paraId="3E38E7CC" w14:textId="77777777" w:rsidR="006F588E" w:rsidRPr="001F5B3B" w:rsidRDefault="006F588E" w:rsidP="006F588E">
      <w:pPr>
        <w:spacing w:line="360" w:lineRule="auto"/>
        <w:rPr>
          <w:sz w:val="22"/>
          <w:szCs w:val="20"/>
        </w:rPr>
      </w:pPr>
      <w:r w:rsidRPr="001F5B3B">
        <w:rPr>
          <w:sz w:val="22"/>
          <w:szCs w:val="20"/>
        </w:rPr>
        <w:t>This paragraph is intended to ensure compliance with Treas. Reg. §1.643(a)-3(b)</w:t>
      </w:r>
      <w:r w:rsidR="000B2DC3" w:rsidRPr="001F5B3B">
        <w:rPr>
          <w:sz w:val="22"/>
          <w:szCs w:val="20"/>
        </w:rPr>
        <w:t>(2)</w:t>
      </w:r>
      <w:r w:rsidRPr="001F5B3B">
        <w:rPr>
          <w:sz w:val="22"/>
          <w:szCs w:val="20"/>
        </w:rPr>
        <w:t>”</w:t>
      </w:r>
    </w:p>
    <w:p w14:paraId="2821432B" w14:textId="77777777" w:rsidR="006A5574" w:rsidRDefault="006A5574" w:rsidP="00564FC8">
      <w:pPr>
        <w:spacing w:line="360" w:lineRule="auto"/>
        <w:rPr>
          <w:rFonts w:ascii="Calibri" w:hAnsi="Calibri"/>
          <w:color w:val="993300"/>
          <w:lang w:val="en"/>
        </w:rPr>
      </w:pPr>
      <w:r>
        <w:rPr>
          <w:rFonts w:ascii="Calibri" w:hAnsi="Calibri"/>
          <w:color w:val="993300"/>
          <w:lang w:val="en"/>
        </w:rPr>
        <w:t>Alternate</w:t>
      </w:r>
    </w:p>
    <w:p w14:paraId="1F1A9C18" w14:textId="10BCAEDA" w:rsidR="00AF0627" w:rsidRPr="008E4BB8" w:rsidRDefault="006A5574" w:rsidP="00564FC8">
      <w:pPr>
        <w:spacing w:line="360" w:lineRule="auto"/>
        <w:rPr>
          <w:rFonts w:ascii="Calibri" w:hAnsi="Calibri"/>
          <w:b/>
          <w:lang w:val="en"/>
        </w:rPr>
      </w:pPr>
      <w:r>
        <w:rPr>
          <w:rFonts w:ascii="Calibri" w:hAnsi="Calibri"/>
        </w:rPr>
        <w:t>“In exercising the trustee’s discretion to distribute principal, my trustee shall consider any capital gains realized by the trust as a</w:t>
      </w:r>
      <w:r w:rsidR="00983952">
        <w:rPr>
          <w:rFonts w:ascii="Calibri" w:hAnsi="Calibri"/>
        </w:rPr>
        <w:t>n important and</w:t>
      </w:r>
      <w:r>
        <w:rPr>
          <w:rFonts w:ascii="Calibri" w:hAnsi="Calibri"/>
        </w:rPr>
        <w:t xml:space="preserve"> relevant</w:t>
      </w:r>
      <w:r w:rsidR="00983952">
        <w:rPr>
          <w:rFonts w:ascii="Calibri" w:hAnsi="Calibri"/>
        </w:rPr>
        <w:t>, but not the sole or determinate,</w:t>
      </w:r>
      <w:r>
        <w:rPr>
          <w:rFonts w:ascii="Calibri" w:hAnsi="Calibri"/>
        </w:rPr>
        <w:t xml:space="preserve"> factor in determining </w:t>
      </w:r>
      <w:r w:rsidR="00983952">
        <w:rPr>
          <w:rFonts w:ascii="Calibri" w:hAnsi="Calibri"/>
        </w:rPr>
        <w:t>the</w:t>
      </w:r>
      <w:r>
        <w:rPr>
          <w:rFonts w:ascii="Calibri" w:hAnsi="Calibri"/>
        </w:rPr>
        <w:t xml:space="preserve"> amount </w:t>
      </w:r>
      <w:r w:rsidR="00983952">
        <w:rPr>
          <w:rFonts w:ascii="Calibri" w:hAnsi="Calibri"/>
        </w:rPr>
        <w:t xml:space="preserve">that is to be distributed </w:t>
      </w:r>
      <w:r>
        <w:rPr>
          <w:rFonts w:ascii="Calibri" w:hAnsi="Calibri"/>
        </w:rPr>
        <w:t>pursuant to its discretion</w:t>
      </w:r>
      <w:r w:rsidR="00983952">
        <w:rPr>
          <w:rFonts w:ascii="Calibri" w:hAnsi="Calibri"/>
        </w:rPr>
        <w:t>.</w:t>
      </w:r>
      <w:r>
        <w:rPr>
          <w:rFonts w:ascii="Calibri" w:hAnsi="Calibri"/>
        </w:rPr>
        <w:t xml:space="preserve">  This sentence is intended to ensure </w:t>
      </w:r>
      <w:r w:rsidR="00983952">
        <w:rPr>
          <w:rFonts w:ascii="Calibri" w:hAnsi="Calibri"/>
        </w:rPr>
        <w:t>the trustee consider this as an important issue in determining the amount of distributions and to comply</w:t>
      </w:r>
      <w:r>
        <w:rPr>
          <w:rFonts w:ascii="Calibri" w:hAnsi="Calibri"/>
        </w:rPr>
        <w:t xml:space="preserve"> with </w:t>
      </w:r>
      <w:r w:rsidRPr="006A5574">
        <w:rPr>
          <w:rFonts w:ascii="Calibri" w:hAnsi="Calibri"/>
        </w:rPr>
        <w:t>Tre</w:t>
      </w:r>
      <w:r>
        <w:rPr>
          <w:rFonts w:ascii="Calibri" w:hAnsi="Calibri"/>
        </w:rPr>
        <w:t>as. Reg. §1.643(a)-3(b)(3</w:t>
      </w:r>
      <w:r w:rsidRPr="006A5574">
        <w:rPr>
          <w:rFonts w:ascii="Calibri" w:hAnsi="Calibri"/>
        </w:rPr>
        <w:t>)</w:t>
      </w:r>
      <w:r w:rsidRPr="006A5574">
        <w:t xml:space="preserve"> </w:t>
      </w:r>
      <w:r w:rsidR="00983952">
        <w:rPr>
          <w:rFonts w:ascii="Calibri" w:hAnsi="Calibri"/>
        </w:rPr>
        <w:t>to enable maximum discretion for not only distributions, but the tax effect of any distributions</w:t>
      </w:r>
      <w:r w:rsidR="001B5245">
        <w:rPr>
          <w:rFonts w:ascii="Calibri" w:hAnsi="Calibri"/>
        </w:rPr>
        <w:t xml:space="preserve"> and whether they carry out capital gains as part of DNI</w:t>
      </w:r>
      <w:r w:rsidR="00983952">
        <w:rPr>
          <w:rFonts w:ascii="Calibri" w:hAnsi="Calibri"/>
        </w:rPr>
        <w:t>.</w:t>
      </w:r>
      <w:r w:rsidRPr="006A5574">
        <w:rPr>
          <w:rFonts w:ascii="Calibri" w:hAnsi="Calibri"/>
        </w:rPr>
        <w:t xml:space="preserve"> </w:t>
      </w:r>
      <w:r w:rsidR="00521956">
        <w:rPr>
          <w:rFonts w:ascii="Calibri" w:hAnsi="Calibri"/>
        </w:rPr>
        <w:t>“</w:t>
      </w:r>
      <w:r w:rsidR="00C02503">
        <w:rPr>
          <w:rFonts w:ascii="Calibri" w:hAnsi="Calibri"/>
          <w:color w:val="993300"/>
          <w:lang w:val="en"/>
        </w:rPr>
        <w:br w:type="page"/>
      </w:r>
      <w:r w:rsidR="00AF0627" w:rsidRPr="008E4BB8">
        <w:rPr>
          <w:rFonts w:ascii="Calibri" w:hAnsi="Calibri"/>
          <w:b/>
          <w:lang w:val="en"/>
        </w:rPr>
        <w:lastRenderedPageBreak/>
        <w:t xml:space="preserve">Draft of Proposed </w:t>
      </w:r>
      <w:r w:rsidR="00A404E2" w:rsidRPr="008E4BB8">
        <w:rPr>
          <w:rFonts w:ascii="Calibri" w:hAnsi="Calibri"/>
          <w:b/>
          <w:lang w:val="en"/>
        </w:rPr>
        <w:t>Opt-In</w:t>
      </w:r>
      <w:r w:rsidR="00AF0627" w:rsidRPr="008E4BB8">
        <w:rPr>
          <w:rFonts w:ascii="Calibri" w:hAnsi="Calibri"/>
          <w:b/>
          <w:lang w:val="en"/>
        </w:rPr>
        <w:t xml:space="preserve"> Rule Against Perpetuities </w:t>
      </w:r>
      <w:r w:rsidR="0090161F" w:rsidRPr="008E4BB8">
        <w:rPr>
          <w:rFonts w:ascii="Calibri" w:hAnsi="Calibri"/>
          <w:b/>
          <w:lang w:val="en"/>
        </w:rPr>
        <w:t>Amendment</w:t>
      </w:r>
      <w:r w:rsidR="00AF0627" w:rsidRPr="008E4BB8">
        <w:rPr>
          <w:rFonts w:ascii="Calibri" w:hAnsi="Calibri"/>
          <w:b/>
          <w:lang w:val="en"/>
        </w:rPr>
        <w:t xml:space="preserve"> for Adoption in States to Provide </w:t>
      </w:r>
      <w:r w:rsidR="0027255E" w:rsidRPr="008E4BB8">
        <w:rPr>
          <w:rFonts w:ascii="Calibri" w:hAnsi="Calibri"/>
          <w:b/>
          <w:lang w:val="en"/>
        </w:rPr>
        <w:t>Improved</w:t>
      </w:r>
      <w:r w:rsidR="00AF0627" w:rsidRPr="008E4BB8">
        <w:rPr>
          <w:rFonts w:ascii="Calibri" w:hAnsi="Calibri"/>
          <w:b/>
          <w:lang w:val="en"/>
        </w:rPr>
        <w:t xml:space="preserve"> Tax, Estate and Asset Protection Planning Options for their Citizens</w:t>
      </w:r>
    </w:p>
    <w:p w14:paraId="5AE30588" w14:textId="77777777" w:rsidR="00AF0627" w:rsidRPr="008E4BB8" w:rsidRDefault="00AF0627" w:rsidP="00AF0627">
      <w:pPr>
        <w:spacing w:line="360" w:lineRule="auto"/>
        <w:jc w:val="center"/>
        <w:rPr>
          <w:rFonts w:ascii="Calibri" w:hAnsi="Calibri"/>
          <w:b/>
          <w:lang w:val="en"/>
        </w:rPr>
      </w:pPr>
      <w:r w:rsidRPr="008E4BB8">
        <w:rPr>
          <w:rFonts w:ascii="Calibri" w:hAnsi="Calibri"/>
          <w:b/>
          <w:lang w:val="en"/>
        </w:rPr>
        <w:t>(</w:t>
      </w:r>
      <w:r w:rsidR="0027255E" w:rsidRPr="008E4BB8">
        <w:rPr>
          <w:rFonts w:ascii="Calibri" w:hAnsi="Calibri"/>
          <w:b/>
          <w:lang w:val="en"/>
        </w:rPr>
        <w:t xml:space="preserve">portions </w:t>
      </w:r>
      <w:r w:rsidR="0090161F" w:rsidRPr="008E4BB8">
        <w:rPr>
          <w:rFonts w:ascii="Calibri" w:hAnsi="Calibri"/>
          <w:b/>
          <w:lang w:val="en"/>
        </w:rPr>
        <w:t>plagiarized</w:t>
      </w:r>
      <w:r w:rsidR="0027255E" w:rsidRPr="008E4BB8">
        <w:rPr>
          <w:rFonts w:ascii="Calibri" w:hAnsi="Calibri"/>
          <w:b/>
          <w:lang w:val="en"/>
        </w:rPr>
        <w:t xml:space="preserve"> from</w:t>
      </w:r>
      <w:r w:rsidRPr="008E4BB8">
        <w:rPr>
          <w:rFonts w:ascii="Calibri" w:hAnsi="Calibri"/>
          <w:b/>
          <w:lang w:val="en"/>
        </w:rPr>
        <w:t xml:space="preserve"> </w:t>
      </w:r>
      <w:r w:rsidR="0075209E" w:rsidRPr="008E4BB8">
        <w:rPr>
          <w:rFonts w:ascii="Calibri" w:hAnsi="Calibri"/>
          <w:b/>
          <w:lang w:val="en"/>
        </w:rPr>
        <w:t xml:space="preserve">25 </w:t>
      </w:r>
      <w:r w:rsidR="006E0826" w:rsidRPr="008E4BB8">
        <w:rPr>
          <w:rFonts w:ascii="Calibri" w:hAnsi="Calibri"/>
          <w:b/>
          <w:lang w:val="en"/>
        </w:rPr>
        <w:t>Del.</w:t>
      </w:r>
      <w:r w:rsidRPr="008E4BB8">
        <w:rPr>
          <w:rFonts w:ascii="Calibri" w:hAnsi="Calibri"/>
          <w:b/>
          <w:lang w:val="en"/>
        </w:rPr>
        <w:t xml:space="preserve"> </w:t>
      </w:r>
      <w:r w:rsidR="0075209E" w:rsidRPr="008E4BB8">
        <w:rPr>
          <w:rFonts w:ascii="Calibri" w:hAnsi="Calibri"/>
          <w:b/>
          <w:lang w:val="en"/>
        </w:rPr>
        <w:t xml:space="preserve">Code </w:t>
      </w:r>
      <w:r w:rsidR="006E0826" w:rsidRPr="008E4BB8">
        <w:rPr>
          <w:rFonts w:ascii="Calibri" w:hAnsi="Calibri"/>
          <w:b/>
          <w:lang w:val="en"/>
        </w:rPr>
        <w:t>§</w:t>
      </w:r>
      <w:r w:rsidR="0090161F" w:rsidRPr="008E4BB8">
        <w:rPr>
          <w:rFonts w:ascii="Calibri" w:hAnsi="Calibri"/>
          <w:b/>
          <w:lang w:val="en"/>
        </w:rPr>
        <w:t>§</w:t>
      </w:r>
      <w:r w:rsidR="0075209E" w:rsidRPr="008E4BB8">
        <w:rPr>
          <w:rFonts w:ascii="Calibri" w:hAnsi="Calibri"/>
          <w:b/>
          <w:lang w:val="en"/>
        </w:rPr>
        <w:t xml:space="preserve"> 501, 50</w:t>
      </w:r>
      <w:r w:rsidR="00B651CA" w:rsidRPr="008E4BB8">
        <w:rPr>
          <w:rFonts w:ascii="Calibri" w:hAnsi="Calibri"/>
          <w:b/>
          <w:lang w:val="en"/>
        </w:rPr>
        <w:t>4</w:t>
      </w:r>
      <w:r w:rsidR="0090161F" w:rsidRPr="008E4BB8">
        <w:rPr>
          <w:rFonts w:ascii="Calibri" w:hAnsi="Calibri"/>
          <w:b/>
          <w:lang w:val="en"/>
        </w:rPr>
        <w:t>, with an opt in feature added</w:t>
      </w:r>
      <w:r w:rsidRPr="008E4BB8">
        <w:rPr>
          <w:rFonts w:ascii="Calibri" w:hAnsi="Calibri"/>
          <w:b/>
          <w:lang w:val="en"/>
        </w:rPr>
        <w:t>)</w:t>
      </w:r>
    </w:p>
    <w:p w14:paraId="525810D1" w14:textId="77777777" w:rsidR="00B651CA" w:rsidRDefault="00B651CA" w:rsidP="00B651CA">
      <w:pPr>
        <w:spacing w:line="360" w:lineRule="auto"/>
        <w:rPr>
          <w:rFonts w:ascii="Calibri" w:hAnsi="Calibri"/>
          <w:color w:val="993300"/>
          <w:lang w:val="en"/>
        </w:rPr>
      </w:pPr>
    </w:p>
    <w:p w14:paraId="1789F6AC" w14:textId="77777777" w:rsidR="00B651CA" w:rsidRPr="00B651CA" w:rsidRDefault="0075209E" w:rsidP="00B651CA">
      <w:pPr>
        <w:spacing w:line="360" w:lineRule="auto"/>
        <w:rPr>
          <w:rFonts w:ascii="Calibri" w:hAnsi="Calibri"/>
          <w:color w:val="993300"/>
          <w:lang w:val="en"/>
        </w:rPr>
      </w:pPr>
      <w:r w:rsidRPr="00B651CA">
        <w:rPr>
          <w:rFonts w:ascii="Calibri" w:hAnsi="Calibri"/>
          <w:color w:val="993300"/>
          <w:lang w:val="en"/>
        </w:rPr>
        <w:t xml:space="preserve">Ohio Rev. Code proposed </w:t>
      </w:r>
      <w:r w:rsidR="006E0826">
        <w:rPr>
          <w:rFonts w:ascii="Calibri" w:hAnsi="Calibri"/>
          <w:color w:val="993300"/>
          <w:lang w:val="en"/>
        </w:rPr>
        <w:t>§</w:t>
      </w:r>
      <w:r w:rsidRPr="00B651CA">
        <w:rPr>
          <w:rFonts w:ascii="Calibri" w:hAnsi="Calibri"/>
          <w:color w:val="993300"/>
          <w:lang w:val="en"/>
        </w:rPr>
        <w:t>2131.08(H):</w:t>
      </w:r>
    </w:p>
    <w:p w14:paraId="22C8E8AC" w14:textId="77777777" w:rsidR="00B651CA" w:rsidRPr="00B651CA" w:rsidRDefault="00AF0627" w:rsidP="00B651CA">
      <w:pPr>
        <w:spacing w:line="360" w:lineRule="auto"/>
        <w:rPr>
          <w:rFonts w:ascii="Calibri" w:hAnsi="Calibri"/>
        </w:rPr>
      </w:pPr>
      <w:r w:rsidRPr="00B651CA">
        <w:rPr>
          <w:rFonts w:ascii="Calibri" w:hAnsi="Calibri"/>
        </w:rPr>
        <w:t xml:space="preserve">Notwithstanding any other provision of this chapter, in the case of a </w:t>
      </w:r>
      <w:r w:rsidR="0027255E" w:rsidRPr="00B651CA">
        <w:rPr>
          <w:rFonts w:ascii="Calibri" w:hAnsi="Calibri"/>
        </w:rPr>
        <w:t xml:space="preserve">nongeneral </w:t>
      </w:r>
      <w:r w:rsidRPr="00B651CA">
        <w:rPr>
          <w:rFonts w:ascii="Calibri" w:hAnsi="Calibri"/>
        </w:rPr>
        <w:t>power of appointment over property hel</w:t>
      </w:r>
      <w:r w:rsidR="000D7C6D" w:rsidRPr="00B651CA">
        <w:rPr>
          <w:rFonts w:ascii="Calibri" w:hAnsi="Calibri"/>
        </w:rPr>
        <w:t>d in trust (the "first power")</w:t>
      </w:r>
      <w:r w:rsidRPr="00B651CA">
        <w:rPr>
          <w:rFonts w:ascii="Calibri" w:hAnsi="Calibri"/>
        </w:rPr>
        <w:t xml:space="preserve">, </w:t>
      </w:r>
      <w:r w:rsidR="00237D53" w:rsidRPr="00B651CA">
        <w:rPr>
          <w:rFonts w:ascii="Calibri" w:hAnsi="Calibri"/>
        </w:rPr>
        <w:t xml:space="preserve">and only </w:t>
      </w:r>
      <w:r w:rsidR="00C74B23" w:rsidRPr="00B651CA">
        <w:rPr>
          <w:rFonts w:ascii="Calibri" w:hAnsi="Calibri"/>
        </w:rPr>
        <w:t xml:space="preserve">wherein the instrument exercising the power </w:t>
      </w:r>
      <w:r w:rsidR="00B651CA" w:rsidRPr="00B651CA">
        <w:rPr>
          <w:rFonts w:ascii="Calibri" w:hAnsi="Calibri"/>
        </w:rPr>
        <w:t xml:space="preserve">either </w:t>
      </w:r>
    </w:p>
    <w:p w14:paraId="1092CD34" w14:textId="77777777" w:rsidR="00B651CA" w:rsidRPr="00B651CA" w:rsidRDefault="00C74B23" w:rsidP="00180FD1">
      <w:pPr>
        <w:numPr>
          <w:ilvl w:val="4"/>
          <w:numId w:val="7"/>
        </w:numPr>
        <w:spacing w:before="100" w:beforeAutospacing="1" w:after="100" w:afterAutospacing="1"/>
        <w:ind w:left="1080"/>
        <w:jc w:val="both"/>
        <w:rPr>
          <w:rFonts w:ascii="Calibri" w:hAnsi="Calibri"/>
        </w:rPr>
      </w:pPr>
      <w:r w:rsidRPr="00B651CA">
        <w:rPr>
          <w:rFonts w:ascii="Calibri" w:hAnsi="Calibri"/>
        </w:rPr>
        <w:t xml:space="preserve">specifically refers to this paragraph, or </w:t>
      </w:r>
    </w:p>
    <w:p w14:paraId="6AD6F8A3" w14:textId="77777777" w:rsidR="00B651CA" w:rsidRPr="00B651CA" w:rsidRDefault="00C74B23" w:rsidP="00180FD1">
      <w:pPr>
        <w:numPr>
          <w:ilvl w:val="4"/>
          <w:numId w:val="7"/>
        </w:numPr>
        <w:spacing w:before="100" w:beforeAutospacing="1" w:after="100" w:afterAutospacing="1"/>
        <w:ind w:left="1080"/>
        <w:jc w:val="both"/>
        <w:rPr>
          <w:rFonts w:ascii="Calibri" w:hAnsi="Calibri"/>
          <w:sz w:val="19"/>
          <w:szCs w:val="19"/>
        </w:rPr>
      </w:pPr>
      <w:r w:rsidRPr="00B651CA">
        <w:rPr>
          <w:rFonts w:ascii="Calibri" w:hAnsi="Calibri"/>
        </w:rPr>
        <w:t xml:space="preserve">specifically </w:t>
      </w:r>
      <w:r w:rsidR="00237D53" w:rsidRPr="00B651CA">
        <w:rPr>
          <w:rFonts w:ascii="Calibri" w:hAnsi="Calibri"/>
        </w:rPr>
        <w:t xml:space="preserve">asserts an intention to trigger Section 2041(a)(3) or Section 2514(e) of the Internal Revenue Code of 1986, </w:t>
      </w:r>
      <w:r w:rsidR="00B53DB6" w:rsidRPr="00B651CA">
        <w:rPr>
          <w:rFonts w:ascii="Calibri" w:hAnsi="Calibri"/>
        </w:rPr>
        <w:t xml:space="preserve">or </w:t>
      </w:r>
    </w:p>
    <w:p w14:paraId="540D809F" w14:textId="77777777" w:rsidR="00B651CA" w:rsidRPr="00B651CA" w:rsidRDefault="00B651CA" w:rsidP="00180FD1">
      <w:pPr>
        <w:numPr>
          <w:ilvl w:val="4"/>
          <w:numId w:val="7"/>
        </w:numPr>
        <w:spacing w:before="100" w:beforeAutospacing="1" w:after="100" w:afterAutospacing="1"/>
        <w:ind w:left="1080"/>
        <w:jc w:val="both"/>
        <w:rPr>
          <w:rFonts w:ascii="Calibri" w:hAnsi="Calibri"/>
          <w:sz w:val="19"/>
          <w:szCs w:val="19"/>
        </w:rPr>
      </w:pPr>
      <w:r w:rsidRPr="00B651CA">
        <w:rPr>
          <w:rFonts w:ascii="Calibri" w:hAnsi="Calibri"/>
        </w:rPr>
        <w:t xml:space="preserve">specifically asserts </w:t>
      </w:r>
      <w:r w:rsidR="00B53DB6" w:rsidRPr="00B651CA">
        <w:rPr>
          <w:rFonts w:ascii="Calibri" w:hAnsi="Calibri"/>
        </w:rPr>
        <w:t xml:space="preserve">an intention to </w:t>
      </w:r>
      <w:r w:rsidRPr="00B651CA">
        <w:rPr>
          <w:rFonts w:ascii="Calibri" w:hAnsi="Calibri" w:cs="ArialMT"/>
        </w:rPr>
        <w:t>postpone the vesting of any estate or interest in the property which was subject to the first power, or suspend the absolute ownership or power of alienation of such property, for a period ascertainable without regard to the date of the creation of the first power</w:t>
      </w:r>
    </w:p>
    <w:p w14:paraId="250C33E6" w14:textId="77777777" w:rsidR="000D7C6D" w:rsidRPr="00B651CA" w:rsidRDefault="00B651CA" w:rsidP="00B651CA">
      <w:pPr>
        <w:spacing w:before="100" w:beforeAutospacing="1" w:after="100" w:afterAutospacing="1"/>
        <w:ind w:firstLine="720"/>
        <w:jc w:val="both"/>
        <w:rPr>
          <w:rFonts w:ascii="Calibri" w:hAnsi="Calibri"/>
          <w:sz w:val="19"/>
          <w:szCs w:val="19"/>
        </w:rPr>
      </w:pPr>
      <w:r w:rsidRPr="00B651CA">
        <w:rPr>
          <w:rFonts w:ascii="Calibri" w:hAnsi="Calibri"/>
        </w:rPr>
        <w:t xml:space="preserve">then, </w:t>
      </w:r>
      <w:r w:rsidR="00890909" w:rsidRPr="00B651CA">
        <w:rPr>
          <w:rFonts w:ascii="Calibri" w:hAnsi="Calibri"/>
        </w:rPr>
        <w:t>and only to the extent intended</w:t>
      </w:r>
      <w:r w:rsidRPr="00B651CA">
        <w:rPr>
          <w:rFonts w:ascii="Calibri" w:hAnsi="Calibri"/>
        </w:rPr>
        <w:t xml:space="preserve"> and specified in the instrument</w:t>
      </w:r>
      <w:r w:rsidR="00237D53" w:rsidRPr="00B651CA">
        <w:rPr>
          <w:rFonts w:ascii="Calibri" w:hAnsi="Calibri"/>
        </w:rPr>
        <w:t xml:space="preserve">, </w:t>
      </w:r>
      <w:r w:rsidR="00890909" w:rsidRPr="00B651CA">
        <w:rPr>
          <w:rFonts w:ascii="Calibri" w:hAnsi="Calibri"/>
        </w:rPr>
        <w:t>any</w:t>
      </w:r>
      <w:r w:rsidR="00AF0627" w:rsidRPr="00B651CA">
        <w:rPr>
          <w:rFonts w:ascii="Calibri" w:hAnsi="Calibri"/>
        </w:rPr>
        <w:t xml:space="preserve"> estate or interest in property, real or personal, created through the exercise, by will, deed or other instrument, of t</w:t>
      </w:r>
      <w:r w:rsidR="00C74B23" w:rsidRPr="00B651CA">
        <w:rPr>
          <w:rFonts w:ascii="Calibri" w:hAnsi="Calibri"/>
        </w:rPr>
        <w:t>he first power, irrespective of t</w:t>
      </w:r>
      <w:r w:rsidR="00AF0627" w:rsidRPr="00B651CA">
        <w:rPr>
          <w:rFonts w:ascii="Calibri" w:hAnsi="Calibri"/>
        </w:rPr>
        <w:t>he manner in which the first power was created or may be exercised, or</w:t>
      </w:r>
      <w:r w:rsidR="00C74B23" w:rsidRPr="00B651CA">
        <w:rPr>
          <w:rFonts w:ascii="Calibri" w:hAnsi="Calibri"/>
        </w:rPr>
        <w:t xml:space="preserve"> w</w:t>
      </w:r>
      <w:r w:rsidR="00AF0627" w:rsidRPr="00B651CA">
        <w:rPr>
          <w:rFonts w:ascii="Calibri" w:hAnsi="Calibri"/>
        </w:rPr>
        <w:t>hether the first power was created before or after the passage of this section</w:t>
      </w:r>
      <w:r w:rsidR="00B53DB6" w:rsidRPr="00B651CA">
        <w:rPr>
          <w:rFonts w:ascii="Calibri" w:hAnsi="Calibri"/>
          <w:sz w:val="19"/>
          <w:szCs w:val="19"/>
        </w:rPr>
        <w:t xml:space="preserve"> </w:t>
      </w:r>
      <w:r w:rsidR="00B53DB6" w:rsidRPr="00B651CA">
        <w:rPr>
          <w:rFonts w:ascii="Calibri" w:hAnsi="Calibri"/>
          <w:sz w:val="22"/>
          <w:szCs w:val="22"/>
        </w:rPr>
        <w:t>[alternatively, “but only if the date of creation of that nongeneral power of appointment is on or after the effective date of this section]</w:t>
      </w:r>
      <w:r w:rsidR="00AF0627" w:rsidRPr="00B651CA">
        <w:rPr>
          <w:rFonts w:ascii="Calibri" w:hAnsi="Calibri"/>
        </w:rPr>
        <w:t xml:space="preserve">, </w:t>
      </w:r>
      <w:r w:rsidR="000D7C6D" w:rsidRPr="00B651CA">
        <w:rPr>
          <w:rFonts w:ascii="Calibri" w:hAnsi="Calibri"/>
        </w:rPr>
        <w:t xml:space="preserve">shall, for the purpose of any rule of law against perpetuities, remoteness in vesting, restraint upon the power of alienation or accumulations now in effect or hereafter enacted be deemed to have been created at the time of the exercise and not at the time of the creation of such power of appointment. </w:t>
      </w:r>
    </w:p>
    <w:p w14:paraId="602FB3C1" w14:textId="77777777" w:rsidR="00AF0627" w:rsidRDefault="00C74B23" w:rsidP="00AF0627">
      <w:pPr>
        <w:pStyle w:val="NormalWeb"/>
        <w:rPr>
          <w:color w:val="FF6600"/>
        </w:rPr>
      </w:pPr>
      <w:r w:rsidRPr="00C74B23">
        <w:rPr>
          <w:color w:val="FF6600"/>
        </w:rPr>
        <w:t>[Ohio defines non-general power in another statute, otherwise you might add something like “and the first power may not be exercised in favor of the donee, the donee's creditors, the donee's estate or the creditors of the donee's estate”]</w:t>
      </w:r>
    </w:p>
    <w:p w14:paraId="210FCB9B" w14:textId="77777777" w:rsidR="00237D53" w:rsidRDefault="00237D53" w:rsidP="00AF0627">
      <w:pPr>
        <w:pStyle w:val="NormalWeb"/>
        <w:rPr>
          <w:color w:val="FF6600"/>
        </w:rPr>
      </w:pPr>
      <w:r>
        <w:rPr>
          <w:color w:val="FF6600"/>
        </w:rPr>
        <w:t xml:space="preserve">Also – You might add “testamentary”, or limit to 2041(a)(3), since there would not be much use in triggering a taxable gift under 2514(e).  However, might you have a case of a GST non-exempt trust where someone wants to appoint and use their gift/GST exemption?  Perhaps someone more creative than I can find a use, but I can’t see much harm in including the </w:t>
      </w:r>
      <w:r w:rsidR="00B651CA">
        <w:rPr>
          <w:color w:val="FF6600"/>
        </w:rPr>
        <w:t xml:space="preserve">gift </w:t>
      </w:r>
      <w:r>
        <w:rPr>
          <w:color w:val="FF6600"/>
        </w:rPr>
        <w:t>possibility as long as the appointment has to affirmatively opt-in.</w:t>
      </w:r>
    </w:p>
    <w:p w14:paraId="7602C0A3" w14:textId="77777777" w:rsidR="00AF0627" w:rsidRDefault="00B53DB6" w:rsidP="00B651CA">
      <w:pPr>
        <w:pStyle w:val="NormalWeb"/>
      </w:pPr>
      <w:r>
        <w:t xml:space="preserve">I don’t think the bracketed language </w:t>
      </w:r>
      <w:r w:rsidR="00A404E2">
        <w:t xml:space="preserve">above </w:t>
      </w:r>
      <w:r>
        <w:t>is necessary, since I don’t think an opt-in statute has the danger of inadvertently causing some calamity</w:t>
      </w:r>
      <w:r w:rsidR="00A404E2">
        <w:t xml:space="preserve"> based on application to existing LPOAs</w:t>
      </w:r>
      <w:r>
        <w:t>, but I’m still thinking this over a bit.  Comments welcome.</w:t>
      </w:r>
    </w:p>
    <w:p w14:paraId="62A52A6B" w14:textId="77777777" w:rsidR="006B4B5C" w:rsidRPr="006B4B5C" w:rsidRDefault="006B4B5C" w:rsidP="006B4B5C">
      <w:pPr>
        <w:ind w:firstLine="720"/>
        <w:jc w:val="center"/>
        <w:rPr>
          <w:rFonts w:ascii="Calibri" w:hAnsi="Calibri"/>
          <w:b/>
        </w:rPr>
      </w:pPr>
      <w:r w:rsidRPr="006B4B5C">
        <w:rPr>
          <w:rFonts w:ascii="Calibri" w:hAnsi="Calibri"/>
          <w:b/>
        </w:rPr>
        <w:lastRenderedPageBreak/>
        <w:t>Decanting and Trust Agreement</w:t>
      </w:r>
    </w:p>
    <w:p w14:paraId="755938CA" w14:textId="77777777" w:rsidR="006B4B5C" w:rsidRPr="006B4B5C" w:rsidRDefault="006B4B5C" w:rsidP="006B4B5C">
      <w:pPr>
        <w:ind w:firstLine="720"/>
        <w:rPr>
          <w:rFonts w:ascii="Calibri" w:hAnsi="Calibri"/>
          <w:b/>
        </w:rPr>
      </w:pPr>
    </w:p>
    <w:p w14:paraId="7AE48920" w14:textId="77777777" w:rsidR="006B4B5C" w:rsidRPr="006B4B5C" w:rsidRDefault="006B4B5C" w:rsidP="006B4B5C">
      <w:pPr>
        <w:ind w:firstLine="720"/>
        <w:rPr>
          <w:rFonts w:ascii="Calibri" w:hAnsi="Calibri"/>
        </w:rPr>
      </w:pPr>
      <w:r w:rsidRPr="006B4B5C">
        <w:rPr>
          <w:rFonts w:ascii="Calibri" w:hAnsi="Calibri"/>
        </w:rPr>
        <w:t xml:space="preserve">This </w:t>
      </w:r>
      <w:r w:rsidR="00CE6D8E">
        <w:rPr>
          <w:rFonts w:ascii="Calibri" w:hAnsi="Calibri"/>
        </w:rPr>
        <w:t xml:space="preserve">declaration of </w:t>
      </w:r>
      <w:r w:rsidRPr="006B4B5C">
        <w:rPr>
          <w:rFonts w:ascii="Calibri" w:hAnsi="Calibri"/>
          <w:b/>
        </w:rPr>
        <w:t>decanting and trust agreement</w:t>
      </w:r>
      <w:r w:rsidRPr="006B4B5C">
        <w:rPr>
          <w:rFonts w:ascii="Calibri" w:hAnsi="Calibri"/>
        </w:rPr>
        <w:t xml:space="preserve"> is executed in the State of </w:t>
      </w:r>
      <w:r>
        <w:rPr>
          <w:rFonts w:ascii="Calibri" w:hAnsi="Calibri"/>
        </w:rPr>
        <w:t>__________</w:t>
      </w:r>
      <w:r w:rsidRPr="006B4B5C">
        <w:rPr>
          <w:rFonts w:ascii="Calibri" w:hAnsi="Calibri"/>
        </w:rPr>
        <w:t xml:space="preserve">, on the date hereafter set forth, by </w:t>
      </w:r>
      <w:r>
        <w:rPr>
          <w:rFonts w:ascii="Calibri" w:hAnsi="Calibri"/>
          <w:b/>
        </w:rPr>
        <w:t>___________________________</w:t>
      </w:r>
      <w:r w:rsidRPr="006B4B5C">
        <w:rPr>
          <w:rFonts w:ascii="Calibri" w:hAnsi="Calibri"/>
        </w:rPr>
        <w:t xml:space="preserve">, as Trustee.  </w:t>
      </w:r>
    </w:p>
    <w:p w14:paraId="2C6D989F" w14:textId="77777777" w:rsidR="006B4B5C" w:rsidRPr="006B4B5C" w:rsidRDefault="006B4B5C" w:rsidP="006B4B5C">
      <w:pPr>
        <w:rPr>
          <w:rFonts w:ascii="Calibri" w:hAnsi="Calibri"/>
        </w:rPr>
      </w:pPr>
    </w:p>
    <w:p w14:paraId="0384D951" w14:textId="77777777" w:rsidR="006B4B5C" w:rsidRPr="006B4B5C" w:rsidRDefault="006B4B5C" w:rsidP="006B4B5C">
      <w:pPr>
        <w:ind w:firstLine="720"/>
        <w:rPr>
          <w:rFonts w:ascii="Calibri" w:hAnsi="Calibri"/>
          <w:b/>
        </w:rPr>
      </w:pPr>
      <w:r w:rsidRPr="006B4B5C">
        <w:rPr>
          <w:rFonts w:ascii="Calibri" w:hAnsi="Calibri"/>
          <w:b/>
        </w:rPr>
        <w:t>Whereas:</w:t>
      </w:r>
    </w:p>
    <w:p w14:paraId="1A91ABD4" w14:textId="77777777" w:rsidR="006B4B5C" w:rsidRPr="006B4B5C" w:rsidRDefault="006B4B5C" w:rsidP="006B4B5C">
      <w:pPr>
        <w:ind w:firstLine="720"/>
        <w:rPr>
          <w:rFonts w:ascii="Calibri" w:hAnsi="Calibri"/>
        </w:rPr>
      </w:pPr>
    </w:p>
    <w:p w14:paraId="6179AEB8" w14:textId="77777777" w:rsidR="006B4B5C" w:rsidRPr="006B4B5C" w:rsidRDefault="009B62DB" w:rsidP="006B4B5C">
      <w:pPr>
        <w:ind w:firstLine="720"/>
        <w:rPr>
          <w:rFonts w:ascii="Calibri" w:hAnsi="Calibri"/>
        </w:rPr>
      </w:pPr>
      <w:r>
        <w:rPr>
          <w:rFonts w:ascii="Calibri" w:hAnsi="Calibri"/>
        </w:rPr>
        <w:t>1</w:t>
      </w:r>
      <w:r w:rsidR="006B4B5C" w:rsidRPr="006B4B5C">
        <w:rPr>
          <w:rFonts w:ascii="Calibri" w:hAnsi="Calibri"/>
        </w:rPr>
        <w:t>.</w:t>
      </w:r>
      <w:r w:rsidR="006B4B5C" w:rsidRPr="006B4B5C">
        <w:rPr>
          <w:rFonts w:ascii="Calibri" w:hAnsi="Calibri"/>
        </w:rPr>
        <w:tab/>
        <w:t xml:space="preserve">The </w:t>
      </w:r>
      <w:r w:rsidR="006B4B5C">
        <w:rPr>
          <w:rFonts w:ascii="Calibri" w:hAnsi="Calibri"/>
        </w:rPr>
        <w:t>Settlor</w:t>
      </w:r>
      <w:r w:rsidR="006B4B5C" w:rsidRPr="006B4B5C">
        <w:rPr>
          <w:rFonts w:ascii="Calibri" w:hAnsi="Calibri"/>
        </w:rPr>
        <w:t xml:space="preserve">, </w:t>
      </w:r>
      <w:r w:rsidR="006B4B5C">
        <w:rPr>
          <w:rFonts w:ascii="Calibri" w:hAnsi="Calibri"/>
        </w:rPr>
        <w:t>_______________________________</w:t>
      </w:r>
      <w:r w:rsidR="008608C7">
        <w:rPr>
          <w:rFonts w:ascii="Calibri" w:hAnsi="Calibri"/>
        </w:rPr>
        <w:t xml:space="preserve">, created an irrevocable </w:t>
      </w:r>
      <w:r w:rsidR="006B4B5C" w:rsidRPr="006B4B5C">
        <w:rPr>
          <w:rFonts w:ascii="Calibri" w:hAnsi="Calibri"/>
        </w:rPr>
        <w:t>trust</w:t>
      </w:r>
      <w:r w:rsidR="008608C7">
        <w:rPr>
          <w:rFonts w:ascii="Calibri" w:hAnsi="Calibri"/>
        </w:rPr>
        <w:t xml:space="preserve"> [revocable trust made irrevocable by the settlor’s death on XX/XX/XXXX]</w:t>
      </w:r>
      <w:r w:rsidR="006B4B5C" w:rsidRPr="006B4B5C">
        <w:rPr>
          <w:rFonts w:ascii="Calibri" w:hAnsi="Calibri"/>
        </w:rPr>
        <w:t xml:space="preserve">, the </w:t>
      </w:r>
      <w:r w:rsidR="008608C7">
        <w:rPr>
          <w:rFonts w:ascii="Calibri" w:hAnsi="Calibri"/>
        </w:rPr>
        <w:t xml:space="preserve">__________________________trust </w:t>
      </w:r>
      <w:r w:rsidR="006B4B5C" w:rsidRPr="006B4B5C">
        <w:rPr>
          <w:rFonts w:ascii="Calibri" w:hAnsi="Calibri"/>
        </w:rPr>
        <w:t>(“First Trust”)</w:t>
      </w:r>
      <w:r w:rsidR="008608C7">
        <w:rPr>
          <w:rFonts w:ascii="Calibri" w:hAnsi="Calibri"/>
        </w:rPr>
        <w:t>, attached hereto</w:t>
      </w:r>
      <w:r w:rsidR="006B4B5C" w:rsidRPr="006B4B5C">
        <w:rPr>
          <w:rFonts w:ascii="Calibri" w:hAnsi="Calibri"/>
        </w:rPr>
        <w:t>.</w:t>
      </w:r>
    </w:p>
    <w:p w14:paraId="1430A65B" w14:textId="77777777" w:rsidR="006B4B5C" w:rsidRPr="006B4B5C" w:rsidRDefault="006B4B5C" w:rsidP="006B4B5C">
      <w:pPr>
        <w:rPr>
          <w:rFonts w:ascii="Calibri" w:hAnsi="Calibri"/>
        </w:rPr>
      </w:pPr>
    </w:p>
    <w:p w14:paraId="296ABEE9" w14:textId="77777777" w:rsidR="006B4B5C" w:rsidRPr="006B4B5C" w:rsidRDefault="009B62DB" w:rsidP="006B4B5C">
      <w:pPr>
        <w:ind w:firstLine="720"/>
        <w:rPr>
          <w:rFonts w:ascii="Calibri" w:hAnsi="Calibri"/>
        </w:rPr>
      </w:pPr>
      <w:r w:rsidRPr="009B62DB">
        <w:rPr>
          <w:rFonts w:ascii="Calibri" w:hAnsi="Calibri"/>
        </w:rPr>
        <w:t>2</w:t>
      </w:r>
      <w:r w:rsidR="006B4B5C" w:rsidRPr="009B62DB">
        <w:rPr>
          <w:rFonts w:ascii="Calibri" w:hAnsi="Calibri"/>
        </w:rPr>
        <w:t>.</w:t>
      </w:r>
      <w:r w:rsidR="006B4B5C" w:rsidRPr="006B4B5C">
        <w:rPr>
          <w:rFonts w:ascii="Calibri" w:hAnsi="Calibri"/>
          <w:b/>
        </w:rPr>
        <w:tab/>
      </w:r>
      <w:r w:rsidR="006B4B5C">
        <w:rPr>
          <w:rFonts w:ascii="Calibri" w:hAnsi="Calibri"/>
          <w:b/>
        </w:rPr>
        <w:t>____________________________</w:t>
      </w:r>
      <w:r w:rsidR="006B4B5C">
        <w:rPr>
          <w:rFonts w:ascii="Calibri" w:hAnsi="Calibri"/>
        </w:rPr>
        <w:t xml:space="preserve"> is now acting as </w:t>
      </w:r>
      <w:r w:rsidR="008608C7">
        <w:rPr>
          <w:rFonts w:ascii="Calibri" w:hAnsi="Calibri"/>
        </w:rPr>
        <w:t xml:space="preserve">sole </w:t>
      </w:r>
      <w:r w:rsidR="006B4B5C">
        <w:rPr>
          <w:rFonts w:ascii="Calibri" w:hAnsi="Calibri"/>
        </w:rPr>
        <w:t>t</w:t>
      </w:r>
      <w:r w:rsidR="006B4B5C" w:rsidRPr="006B4B5C">
        <w:rPr>
          <w:rFonts w:ascii="Calibri" w:hAnsi="Calibri"/>
        </w:rPr>
        <w:t>rustee of the First Trust, which is now in existence.</w:t>
      </w:r>
      <w:r w:rsidR="008608C7">
        <w:rPr>
          <w:rFonts w:ascii="Calibri" w:hAnsi="Calibri"/>
        </w:rPr>
        <w:t xml:space="preserve"> [or amend for co-trustees accordingly]</w:t>
      </w:r>
    </w:p>
    <w:p w14:paraId="7F2ABFEA" w14:textId="77777777" w:rsidR="006B4B5C" w:rsidRPr="006B4B5C" w:rsidRDefault="006B4B5C" w:rsidP="006B4B5C">
      <w:pPr>
        <w:ind w:firstLine="720"/>
        <w:rPr>
          <w:rFonts w:ascii="Calibri" w:hAnsi="Calibri"/>
        </w:rPr>
      </w:pPr>
    </w:p>
    <w:p w14:paraId="26117AF5" w14:textId="77777777" w:rsidR="006B4B5C" w:rsidRPr="006B4B5C" w:rsidRDefault="009B62DB" w:rsidP="009B62DB">
      <w:pPr>
        <w:ind w:firstLine="720"/>
        <w:rPr>
          <w:rFonts w:ascii="Calibri" w:hAnsi="Calibri"/>
        </w:rPr>
      </w:pPr>
      <w:r w:rsidRPr="009B62DB">
        <w:rPr>
          <w:rFonts w:ascii="Calibri" w:hAnsi="Calibri"/>
        </w:rPr>
        <w:t>3</w:t>
      </w:r>
      <w:r w:rsidR="006B4B5C" w:rsidRPr="009B62DB">
        <w:rPr>
          <w:rFonts w:ascii="Calibri" w:hAnsi="Calibri"/>
        </w:rPr>
        <w:t>.</w:t>
      </w:r>
      <w:r w:rsidR="006B4B5C" w:rsidRPr="006B4B5C">
        <w:rPr>
          <w:rFonts w:ascii="Calibri" w:hAnsi="Calibri"/>
          <w:b/>
        </w:rPr>
        <w:tab/>
      </w:r>
      <w:r w:rsidR="00AE3042">
        <w:rPr>
          <w:rFonts w:ascii="Calibri" w:hAnsi="Calibri"/>
        </w:rPr>
        <w:t>Pursuant to Article XX, Paragraph YY,</w:t>
      </w:r>
      <w:r w:rsidR="008608C7">
        <w:rPr>
          <w:rFonts w:ascii="Calibri" w:hAnsi="Calibri"/>
        </w:rPr>
        <w:t xml:space="preserve"> the First Trust provide</w:t>
      </w:r>
      <w:r w:rsidR="00AE3042">
        <w:rPr>
          <w:rFonts w:ascii="Calibri" w:hAnsi="Calibri"/>
        </w:rPr>
        <w:t>s</w:t>
      </w:r>
      <w:r w:rsidR="006B4B5C" w:rsidRPr="006B4B5C">
        <w:rPr>
          <w:rFonts w:ascii="Calibri" w:hAnsi="Calibri"/>
        </w:rPr>
        <w:t xml:space="preserve"> that the Trustee may in its discretion make distributions to </w:t>
      </w:r>
      <w:r w:rsidR="008608C7">
        <w:rPr>
          <w:rFonts w:ascii="Calibri" w:hAnsi="Calibri"/>
        </w:rPr>
        <w:t>Settlor’s</w:t>
      </w:r>
      <w:r w:rsidR="006B4B5C" w:rsidRPr="006B4B5C">
        <w:rPr>
          <w:rFonts w:ascii="Calibri" w:hAnsi="Calibri"/>
        </w:rPr>
        <w:t xml:space="preserve"> spouse, </w:t>
      </w:r>
      <w:r w:rsidR="008608C7">
        <w:rPr>
          <w:rFonts w:ascii="Calibri" w:hAnsi="Calibri"/>
        </w:rPr>
        <w:t>________________________</w:t>
      </w:r>
      <w:r w:rsidR="006B4B5C" w:rsidRPr="006B4B5C">
        <w:rPr>
          <w:rFonts w:ascii="Calibri" w:hAnsi="Calibri"/>
        </w:rPr>
        <w:t>, for her “</w:t>
      </w:r>
      <w:r w:rsidR="008608C7">
        <w:rPr>
          <w:rFonts w:ascii="Calibri" w:hAnsi="Calibri"/>
        </w:rPr>
        <w:t xml:space="preserve">[insert terms from trust that indicate broad </w:t>
      </w:r>
      <w:r w:rsidR="00AE3042">
        <w:rPr>
          <w:rFonts w:ascii="Calibri" w:hAnsi="Calibri"/>
        </w:rPr>
        <w:t xml:space="preserve">trustee </w:t>
      </w:r>
      <w:r w:rsidR="008608C7">
        <w:rPr>
          <w:rFonts w:ascii="Calibri" w:hAnsi="Calibri"/>
        </w:rPr>
        <w:t>discretion to distribute]</w:t>
      </w:r>
      <w:r w:rsidR="006B4B5C" w:rsidRPr="006B4B5C">
        <w:rPr>
          <w:rFonts w:ascii="Calibri" w:hAnsi="Calibri"/>
        </w:rPr>
        <w:t xml:space="preserve">.”  </w:t>
      </w:r>
      <w:r w:rsidR="005476CE" w:rsidRPr="005476CE">
        <w:rPr>
          <w:rFonts w:ascii="Calibri" w:hAnsi="Calibri"/>
          <w:color w:val="C00000"/>
        </w:rPr>
        <w:t>(if you don’t have broad discretion, but HEMS, then go to plan B</w:t>
      </w:r>
      <w:r w:rsidR="00F7361D">
        <w:rPr>
          <w:rFonts w:ascii="Calibri" w:hAnsi="Calibri"/>
          <w:color w:val="C00000"/>
        </w:rPr>
        <w:t>, see subsequent sample</w:t>
      </w:r>
      <w:r w:rsidR="005476CE" w:rsidRPr="005476CE">
        <w:rPr>
          <w:rFonts w:ascii="Calibri" w:hAnsi="Calibri"/>
          <w:color w:val="C00000"/>
        </w:rPr>
        <w:t>)</w:t>
      </w:r>
      <w:r w:rsidR="005476CE">
        <w:rPr>
          <w:rFonts w:ascii="Calibri" w:hAnsi="Calibri"/>
        </w:rPr>
        <w:t>.</w:t>
      </w:r>
    </w:p>
    <w:p w14:paraId="07A6C1BA" w14:textId="77777777" w:rsidR="006B4B5C" w:rsidRPr="006B4B5C" w:rsidRDefault="006B4B5C" w:rsidP="006B4B5C">
      <w:pPr>
        <w:ind w:left="720" w:firstLine="720"/>
        <w:rPr>
          <w:rFonts w:ascii="Calibri" w:hAnsi="Calibri"/>
        </w:rPr>
      </w:pPr>
    </w:p>
    <w:p w14:paraId="2362C34E" w14:textId="77777777" w:rsidR="00CE6D8E" w:rsidRDefault="008608C7" w:rsidP="007174A1">
      <w:pPr>
        <w:pStyle w:val="FootnoteText"/>
        <w:numPr>
          <w:ilvl w:val="1"/>
          <w:numId w:val="34"/>
        </w:numPr>
        <w:ind w:left="0" w:firstLine="720"/>
        <w:rPr>
          <w:rFonts w:ascii="Calibri" w:hAnsi="Calibri"/>
          <w:color w:val="993300"/>
          <w:sz w:val="24"/>
          <w:szCs w:val="24"/>
        </w:rPr>
      </w:pPr>
      <w:r w:rsidRPr="00CE6D8E">
        <w:rPr>
          <w:rFonts w:ascii="Calibri" w:hAnsi="Calibri"/>
          <w:sz w:val="24"/>
          <w:szCs w:val="24"/>
        </w:rPr>
        <w:t>Ohio R.C. §</w:t>
      </w:r>
      <w:r w:rsidR="006B3E82">
        <w:rPr>
          <w:rFonts w:ascii="Calibri" w:hAnsi="Calibri"/>
          <w:sz w:val="24"/>
          <w:szCs w:val="24"/>
        </w:rPr>
        <w:t>5808.18(A)</w:t>
      </w:r>
      <w:r w:rsidR="006B4B5C" w:rsidRPr="00CE6D8E">
        <w:rPr>
          <w:rFonts w:ascii="Calibri" w:hAnsi="Calibri"/>
          <w:sz w:val="24"/>
          <w:szCs w:val="24"/>
        </w:rPr>
        <w:t xml:space="preserve"> provides in pertinent part, that “If a trustee of a trust</w:t>
      </w:r>
      <w:r w:rsidR="009B62DB">
        <w:rPr>
          <w:rFonts w:ascii="Calibri" w:hAnsi="Calibri"/>
          <w:sz w:val="24"/>
          <w:szCs w:val="24"/>
        </w:rPr>
        <w:t>, *** has absolute power***</w:t>
      </w:r>
      <w:r w:rsidR="006B4B5C" w:rsidRPr="00CE6D8E">
        <w:rPr>
          <w:rFonts w:ascii="Calibri" w:hAnsi="Calibri"/>
          <w:sz w:val="24"/>
          <w:szCs w:val="24"/>
        </w:rPr>
        <w:t xml:space="preserve">to make distributions of principal to one or more current beneficiaries, that trustee may exercise that power by distributing all or any part of the principal subject to the power, and all or any part of any income that is not otherwise currently required to be distributed, to the trustee of another trust, </w:t>
      </w:r>
      <w:r w:rsidR="009B62DB">
        <w:rPr>
          <w:rFonts w:ascii="Calibri" w:hAnsi="Calibri"/>
          <w:sz w:val="24"/>
          <w:szCs w:val="24"/>
        </w:rPr>
        <w:t>***</w:t>
      </w:r>
      <w:r w:rsidR="006B4B5C" w:rsidRPr="00CE6D8E">
        <w:rPr>
          <w:rFonts w:ascii="Calibri" w:hAnsi="Calibri"/>
          <w:sz w:val="24"/>
          <w:szCs w:val="24"/>
        </w:rPr>
        <w:t>that is for the benefit of one or more current ben</w:t>
      </w:r>
      <w:r w:rsidRPr="00CE6D8E">
        <w:rPr>
          <w:rFonts w:ascii="Calibri" w:hAnsi="Calibri"/>
          <w:sz w:val="24"/>
          <w:szCs w:val="24"/>
        </w:rPr>
        <w:t xml:space="preserve">eficiaries of the first trust*** </w:t>
      </w:r>
      <w:r w:rsidR="006B4B5C" w:rsidRPr="00CE6D8E">
        <w:rPr>
          <w:rFonts w:ascii="Calibri" w:hAnsi="Calibri"/>
          <w:sz w:val="24"/>
          <w:szCs w:val="24"/>
        </w:rPr>
        <w:t>If property is distributed pursuant to the authority described in division (A) of this section, the governing instrument may</w:t>
      </w:r>
      <w:r w:rsidR="009B62DB">
        <w:rPr>
          <w:rFonts w:ascii="Calibri" w:hAnsi="Calibri"/>
          <w:sz w:val="24"/>
          <w:szCs w:val="24"/>
        </w:rPr>
        <w:t xml:space="preserve"> </w:t>
      </w:r>
      <w:r w:rsidR="006B4B5C" w:rsidRPr="00CE6D8E">
        <w:rPr>
          <w:rFonts w:ascii="Calibri" w:hAnsi="Calibri"/>
          <w:sz w:val="24"/>
          <w:szCs w:val="24"/>
        </w:rPr>
        <w:t>do</w:t>
      </w:r>
      <w:r w:rsidR="009B62DB">
        <w:rPr>
          <w:rFonts w:ascii="Calibri" w:hAnsi="Calibri"/>
          <w:sz w:val="24"/>
          <w:szCs w:val="24"/>
        </w:rPr>
        <w:t>***th</w:t>
      </w:r>
      <w:r w:rsidR="006B4B5C" w:rsidRPr="00CE6D8E">
        <w:rPr>
          <w:rFonts w:ascii="Calibri" w:hAnsi="Calibri"/>
          <w:sz w:val="24"/>
          <w:szCs w:val="24"/>
        </w:rPr>
        <w:t xml:space="preserve">e following:  (a)  Grant a power of appointment to one or more of the beneficiaries for whose benefit the property was so distributed, including a power to appoint trust property </w:t>
      </w:r>
      <w:r w:rsidRPr="00CE6D8E">
        <w:rPr>
          <w:rFonts w:ascii="Calibri" w:hAnsi="Calibri"/>
          <w:sz w:val="24"/>
          <w:szCs w:val="24"/>
        </w:rPr>
        <w:t xml:space="preserve">to </w:t>
      </w:r>
      <w:r w:rsidR="00FD5959" w:rsidRPr="00FD5959">
        <w:rPr>
          <w:rFonts w:ascii="Calibri" w:hAnsi="Calibri"/>
          <w:sz w:val="24"/>
          <w:szCs w:val="24"/>
        </w:rPr>
        <w:t>the power holder, the power holder's creditors, the power holder's estate, the creditors of the power holder's estate</w:t>
      </w:r>
      <w:r w:rsidR="009B62DB">
        <w:rPr>
          <w:rFonts w:ascii="Calibri" w:hAnsi="Calibri"/>
          <w:sz w:val="24"/>
          <w:szCs w:val="24"/>
        </w:rPr>
        <w:t>,</w:t>
      </w:r>
      <w:r w:rsidR="00F04071" w:rsidRPr="00FD5959">
        <w:rPr>
          <w:rFonts w:ascii="Calibri" w:hAnsi="Calibri"/>
          <w:sz w:val="24"/>
          <w:szCs w:val="24"/>
        </w:rPr>
        <w:t>”</w:t>
      </w:r>
      <w:r w:rsidR="00F04071" w:rsidRPr="00CE6D8E">
        <w:rPr>
          <w:rFonts w:ascii="Calibri" w:hAnsi="Calibri"/>
          <w:sz w:val="24"/>
          <w:szCs w:val="24"/>
        </w:rPr>
        <w:t xml:space="preserve"> </w:t>
      </w:r>
      <w:r w:rsidR="00F04071" w:rsidRPr="00CE6D8E">
        <w:rPr>
          <w:rFonts w:ascii="Calibri" w:hAnsi="Calibri"/>
          <w:color w:val="993300"/>
          <w:sz w:val="24"/>
          <w:szCs w:val="24"/>
        </w:rPr>
        <w:t xml:space="preserve">[note: most state decanting </w:t>
      </w:r>
      <w:r w:rsidR="00AE3042">
        <w:rPr>
          <w:rFonts w:ascii="Calibri" w:hAnsi="Calibri"/>
          <w:color w:val="993300"/>
          <w:sz w:val="24"/>
          <w:szCs w:val="24"/>
        </w:rPr>
        <w:t>laws</w:t>
      </w:r>
      <w:r w:rsidR="00F04071" w:rsidRPr="00CE6D8E">
        <w:rPr>
          <w:rFonts w:ascii="Calibri" w:hAnsi="Calibri"/>
          <w:color w:val="993300"/>
          <w:sz w:val="24"/>
          <w:szCs w:val="24"/>
        </w:rPr>
        <w:t xml:space="preserve"> allow granting an LPOA/GPOA if the trustee has broad discretion.  </w:t>
      </w:r>
      <w:r w:rsidR="00CE6D8E" w:rsidRPr="00CE6D8E">
        <w:rPr>
          <w:rFonts w:ascii="Calibri" w:hAnsi="Calibri"/>
          <w:color w:val="993300"/>
          <w:sz w:val="24"/>
          <w:szCs w:val="24"/>
        </w:rPr>
        <w:t xml:space="preserve">Consult this list of decanting statutes with analysis of </w:t>
      </w:r>
      <w:r w:rsidR="00AE3042">
        <w:rPr>
          <w:rFonts w:ascii="Calibri" w:hAnsi="Calibri"/>
          <w:color w:val="993300"/>
          <w:sz w:val="24"/>
          <w:szCs w:val="24"/>
        </w:rPr>
        <w:t>each state’s</w:t>
      </w:r>
      <w:r w:rsidR="00CE6D8E" w:rsidRPr="00CE6D8E">
        <w:rPr>
          <w:rFonts w:ascii="Calibri" w:hAnsi="Calibri"/>
          <w:color w:val="993300"/>
          <w:sz w:val="24"/>
          <w:szCs w:val="24"/>
        </w:rPr>
        <w:t xml:space="preserve"> power to add POAs at </w:t>
      </w:r>
      <w:hyperlink r:id="rId63" w:history="1">
        <w:r w:rsidR="00CE6D8E" w:rsidRPr="00CE6D8E">
          <w:rPr>
            <w:rStyle w:val="Hyperlink"/>
            <w:rFonts w:ascii="Calibri" w:hAnsi="Calibri"/>
            <w:color w:val="993300"/>
            <w:sz w:val="24"/>
            <w:szCs w:val="24"/>
          </w:rPr>
          <w:t>http://www.sidley.com/state-decanting-statutes/</w:t>
        </w:r>
      </w:hyperlink>
      <w:r w:rsidR="00CE6D8E">
        <w:rPr>
          <w:rFonts w:ascii="Calibri" w:hAnsi="Calibri"/>
          <w:color w:val="993300"/>
          <w:sz w:val="24"/>
          <w:szCs w:val="24"/>
        </w:rPr>
        <w:t xml:space="preserve"> and insert your applicable </w:t>
      </w:r>
      <w:r w:rsidR="00AE3042">
        <w:rPr>
          <w:rFonts w:ascii="Calibri" w:hAnsi="Calibri"/>
          <w:color w:val="993300"/>
          <w:sz w:val="24"/>
          <w:szCs w:val="24"/>
        </w:rPr>
        <w:t xml:space="preserve">state </w:t>
      </w:r>
      <w:r w:rsidR="00CE6D8E">
        <w:rPr>
          <w:rFonts w:ascii="Calibri" w:hAnsi="Calibri"/>
          <w:color w:val="993300"/>
          <w:sz w:val="24"/>
          <w:szCs w:val="24"/>
        </w:rPr>
        <w:t xml:space="preserve">statute </w:t>
      </w:r>
      <w:r w:rsidR="00AE3042">
        <w:rPr>
          <w:rFonts w:ascii="Calibri" w:hAnsi="Calibri"/>
          <w:color w:val="993300"/>
          <w:sz w:val="24"/>
          <w:szCs w:val="24"/>
        </w:rPr>
        <w:t xml:space="preserve">or case law </w:t>
      </w:r>
      <w:r w:rsidR="00CE6D8E">
        <w:rPr>
          <w:rFonts w:ascii="Calibri" w:hAnsi="Calibri"/>
          <w:color w:val="993300"/>
          <w:sz w:val="24"/>
          <w:szCs w:val="24"/>
        </w:rPr>
        <w:t xml:space="preserve">citation in lieu of </w:t>
      </w:r>
      <w:r w:rsidR="00AE3042">
        <w:rPr>
          <w:rFonts w:ascii="Calibri" w:hAnsi="Calibri"/>
          <w:color w:val="993300"/>
          <w:sz w:val="24"/>
          <w:szCs w:val="24"/>
        </w:rPr>
        <w:t>the Ohio statute</w:t>
      </w:r>
      <w:r w:rsidR="00CE6D8E">
        <w:rPr>
          <w:rFonts w:ascii="Calibri" w:hAnsi="Calibri"/>
          <w:color w:val="993300"/>
          <w:sz w:val="24"/>
          <w:szCs w:val="24"/>
        </w:rPr>
        <w:t xml:space="preserve"> above.</w:t>
      </w:r>
      <w:r w:rsidR="00AE3042">
        <w:rPr>
          <w:rFonts w:ascii="Calibri" w:hAnsi="Calibri"/>
          <w:color w:val="993300"/>
          <w:sz w:val="24"/>
          <w:szCs w:val="24"/>
        </w:rPr>
        <w:t xml:space="preserve">  If your state has no decanting power, you may be able to change situs to one that does using a nonjudicial settlement agreement or other trust power.</w:t>
      </w:r>
      <w:r w:rsidR="00CE6D8E" w:rsidRPr="00CE6D8E">
        <w:rPr>
          <w:rFonts w:ascii="Calibri" w:hAnsi="Calibri"/>
          <w:color w:val="993300"/>
          <w:sz w:val="24"/>
          <w:szCs w:val="24"/>
        </w:rPr>
        <w:t>]</w:t>
      </w:r>
    </w:p>
    <w:p w14:paraId="1EEB4CCC" w14:textId="77777777" w:rsidR="003A773A" w:rsidRDefault="003A773A" w:rsidP="003A773A">
      <w:pPr>
        <w:pStyle w:val="FootnoteText"/>
        <w:ind w:left="720"/>
        <w:rPr>
          <w:rFonts w:ascii="Calibri" w:hAnsi="Calibri"/>
          <w:color w:val="993300"/>
          <w:sz w:val="24"/>
          <w:szCs w:val="24"/>
        </w:rPr>
      </w:pPr>
    </w:p>
    <w:p w14:paraId="43EDF032" w14:textId="77777777" w:rsidR="003A773A" w:rsidRPr="00CE6D8E" w:rsidRDefault="00BA6821" w:rsidP="007174A1">
      <w:pPr>
        <w:pStyle w:val="FootnoteText"/>
        <w:numPr>
          <w:ilvl w:val="1"/>
          <w:numId w:val="34"/>
        </w:numPr>
        <w:ind w:left="0" w:firstLine="720"/>
        <w:rPr>
          <w:color w:val="993300"/>
          <w:sz w:val="24"/>
          <w:szCs w:val="24"/>
        </w:rPr>
      </w:pPr>
      <w:r>
        <w:rPr>
          <w:rFonts w:ascii="Calibri" w:hAnsi="Calibri"/>
          <w:color w:val="993300"/>
          <w:sz w:val="24"/>
          <w:szCs w:val="24"/>
        </w:rPr>
        <w:t xml:space="preserve">[Use if state law requires notice to beneficiary, but frankly even if </w:t>
      </w:r>
      <w:r w:rsidR="009B62DB">
        <w:rPr>
          <w:rFonts w:ascii="Calibri" w:hAnsi="Calibri"/>
          <w:color w:val="993300"/>
          <w:sz w:val="24"/>
          <w:szCs w:val="24"/>
        </w:rPr>
        <w:t xml:space="preserve">prior </w:t>
      </w:r>
      <w:r>
        <w:rPr>
          <w:rFonts w:ascii="Calibri" w:hAnsi="Calibri"/>
          <w:color w:val="993300"/>
          <w:sz w:val="24"/>
          <w:szCs w:val="24"/>
        </w:rPr>
        <w:t>notice is not required pursuant to statute it’s probably a good idea</w:t>
      </w:r>
      <w:r w:rsidR="009B62DB">
        <w:rPr>
          <w:rFonts w:ascii="Calibri" w:hAnsi="Calibri"/>
          <w:color w:val="993300"/>
          <w:sz w:val="24"/>
          <w:szCs w:val="24"/>
        </w:rPr>
        <w:t xml:space="preserve"> or may even be required under other fiduciary duties</w:t>
      </w:r>
      <w:r>
        <w:rPr>
          <w:rFonts w:ascii="Calibri" w:hAnsi="Calibri"/>
          <w:color w:val="993300"/>
          <w:sz w:val="24"/>
          <w:szCs w:val="24"/>
        </w:rPr>
        <w:t>.]  Pursuant to Ohio R.C. §5808.18(F), all current beneficiaries are entitled to at least 30 days written notice of this distribution unless all current beneficiaries waive this.  Evidence of this notice and/or waiver is attached herein.</w:t>
      </w:r>
    </w:p>
    <w:p w14:paraId="1A248FF3" w14:textId="77777777" w:rsidR="006B4B5C" w:rsidRPr="006B4B5C" w:rsidRDefault="006B4B5C" w:rsidP="006B4B5C">
      <w:pPr>
        <w:rPr>
          <w:rFonts w:ascii="Calibri" w:hAnsi="Calibri"/>
        </w:rPr>
      </w:pPr>
    </w:p>
    <w:p w14:paraId="07B31255" w14:textId="77777777" w:rsidR="006B4B5C" w:rsidRPr="006B4B5C" w:rsidRDefault="006B4B5C" w:rsidP="006B4B5C">
      <w:pPr>
        <w:rPr>
          <w:rFonts w:ascii="Calibri" w:hAnsi="Calibri"/>
        </w:rPr>
      </w:pPr>
      <w:r w:rsidRPr="006B4B5C">
        <w:rPr>
          <w:rFonts w:ascii="Calibri" w:hAnsi="Calibri"/>
        </w:rPr>
        <w:tab/>
      </w:r>
      <w:r w:rsidRPr="006B4B5C">
        <w:rPr>
          <w:rFonts w:ascii="Calibri" w:hAnsi="Calibri"/>
          <w:b/>
        </w:rPr>
        <w:t>Now Therefore</w:t>
      </w:r>
      <w:r w:rsidRPr="006B4B5C">
        <w:rPr>
          <w:rFonts w:ascii="Calibri" w:hAnsi="Calibri"/>
        </w:rPr>
        <w:t xml:space="preserve">:  </w:t>
      </w:r>
      <w:r w:rsidRPr="006B4B5C">
        <w:rPr>
          <w:rFonts w:ascii="Calibri" w:hAnsi="Calibri"/>
        </w:rPr>
        <w:tab/>
      </w:r>
    </w:p>
    <w:p w14:paraId="7BD2EB11" w14:textId="77777777" w:rsidR="006B4B5C" w:rsidRPr="006B4B5C" w:rsidRDefault="006B4B5C" w:rsidP="006B4B5C">
      <w:pPr>
        <w:ind w:firstLine="720"/>
        <w:rPr>
          <w:rFonts w:ascii="Calibri" w:hAnsi="Calibri"/>
        </w:rPr>
      </w:pPr>
    </w:p>
    <w:p w14:paraId="6590E11C" w14:textId="77777777" w:rsidR="006B4B5C" w:rsidRPr="006B4B5C" w:rsidRDefault="006B4B5C" w:rsidP="006B4B5C">
      <w:pPr>
        <w:ind w:firstLine="720"/>
        <w:rPr>
          <w:rFonts w:ascii="Calibri" w:hAnsi="Calibri"/>
        </w:rPr>
      </w:pPr>
      <w:r w:rsidRPr="006B4B5C">
        <w:rPr>
          <w:rFonts w:ascii="Calibri" w:hAnsi="Calibri"/>
        </w:rPr>
        <w:lastRenderedPageBreak/>
        <w:t xml:space="preserve">The undersigned Trustee </w:t>
      </w:r>
      <w:r w:rsidR="00CE6D8E">
        <w:rPr>
          <w:rFonts w:ascii="Calibri" w:hAnsi="Calibri"/>
        </w:rPr>
        <w:t>hereby</w:t>
      </w:r>
      <w:r w:rsidRPr="006B4B5C">
        <w:rPr>
          <w:rFonts w:ascii="Calibri" w:hAnsi="Calibri"/>
        </w:rPr>
        <w:t xml:space="preserve"> direct</w:t>
      </w:r>
      <w:r w:rsidR="00CE6D8E">
        <w:rPr>
          <w:rFonts w:ascii="Calibri" w:hAnsi="Calibri"/>
        </w:rPr>
        <w:t>s</w:t>
      </w:r>
      <w:r w:rsidRPr="006B4B5C">
        <w:rPr>
          <w:rFonts w:ascii="Calibri" w:hAnsi="Calibri"/>
        </w:rPr>
        <w:t xml:space="preserve"> that all </w:t>
      </w:r>
      <w:r w:rsidR="00CE6D8E" w:rsidRPr="00CE6D8E">
        <w:rPr>
          <w:rFonts w:ascii="Calibri" w:hAnsi="Calibri"/>
          <w:color w:val="993300"/>
        </w:rPr>
        <w:t xml:space="preserve">[or, alternatively, </w:t>
      </w:r>
      <w:r w:rsidR="00AE3042">
        <w:rPr>
          <w:rFonts w:ascii="Calibri" w:hAnsi="Calibri"/>
          <w:color w:val="993300"/>
        </w:rPr>
        <w:t>a trustee</w:t>
      </w:r>
      <w:r w:rsidR="00CE6D8E" w:rsidRPr="00CE6D8E">
        <w:rPr>
          <w:rFonts w:ascii="Calibri" w:hAnsi="Calibri"/>
          <w:color w:val="993300"/>
        </w:rPr>
        <w:t xml:space="preserve"> might only decant </w:t>
      </w:r>
      <w:r w:rsidR="00CE6D8E">
        <w:rPr>
          <w:rFonts w:ascii="Calibri" w:hAnsi="Calibri"/>
          <w:color w:val="993300"/>
        </w:rPr>
        <w:t xml:space="preserve">those </w:t>
      </w:r>
      <w:r w:rsidR="00CE6D8E" w:rsidRPr="00CE6D8E">
        <w:rPr>
          <w:rFonts w:ascii="Calibri" w:hAnsi="Calibri"/>
          <w:color w:val="993300"/>
        </w:rPr>
        <w:t xml:space="preserve">assets capable </w:t>
      </w:r>
      <w:r w:rsidR="00CE6D8E">
        <w:rPr>
          <w:rFonts w:ascii="Calibri" w:hAnsi="Calibri"/>
          <w:color w:val="993300"/>
        </w:rPr>
        <w:t xml:space="preserve">or desiring </w:t>
      </w:r>
      <w:r w:rsidR="00CE6D8E" w:rsidRPr="00CE6D8E">
        <w:rPr>
          <w:rFonts w:ascii="Calibri" w:hAnsi="Calibri"/>
          <w:color w:val="993300"/>
        </w:rPr>
        <w:t>of a step up in basis]</w:t>
      </w:r>
      <w:r w:rsidR="00CE6D8E">
        <w:rPr>
          <w:rFonts w:ascii="Calibri" w:hAnsi="Calibri"/>
        </w:rPr>
        <w:t xml:space="preserve"> </w:t>
      </w:r>
      <w:r w:rsidRPr="006B4B5C">
        <w:rPr>
          <w:rFonts w:ascii="Calibri" w:hAnsi="Calibri"/>
        </w:rPr>
        <w:t xml:space="preserve">of the Trust assets of the First Trust shall be distributed to </w:t>
      </w:r>
      <w:r w:rsidR="00CE6D8E">
        <w:rPr>
          <w:rFonts w:ascii="Calibri" w:hAnsi="Calibri"/>
        </w:rPr>
        <w:t>___________________________________</w:t>
      </w:r>
      <w:r w:rsidRPr="006B4B5C">
        <w:rPr>
          <w:rFonts w:ascii="Calibri" w:hAnsi="Calibri"/>
        </w:rPr>
        <w:t xml:space="preserve">, as Trustee of the Second Trust (as defined herein), to be administered as a part thereof. </w:t>
      </w:r>
    </w:p>
    <w:p w14:paraId="0218EBC8" w14:textId="77777777" w:rsidR="006B4B5C" w:rsidRPr="006B4B5C" w:rsidRDefault="006B4B5C" w:rsidP="006B4B5C">
      <w:pPr>
        <w:ind w:firstLine="720"/>
        <w:rPr>
          <w:rFonts w:ascii="Calibri" w:hAnsi="Calibri"/>
        </w:rPr>
      </w:pPr>
    </w:p>
    <w:p w14:paraId="111A0DC2" w14:textId="77777777" w:rsidR="006B4B5C" w:rsidRPr="006B4B5C" w:rsidRDefault="006B4B5C" w:rsidP="006B4B5C">
      <w:pPr>
        <w:ind w:firstLine="720"/>
        <w:rPr>
          <w:rFonts w:ascii="Calibri" w:hAnsi="Calibri"/>
        </w:rPr>
      </w:pPr>
      <w:r w:rsidRPr="006B4B5C">
        <w:rPr>
          <w:rFonts w:ascii="Calibri" w:hAnsi="Calibri"/>
        </w:rPr>
        <w:t xml:space="preserve">“Second Trust” means </w:t>
      </w:r>
      <w:r w:rsidR="00CE6D8E">
        <w:rPr>
          <w:rFonts w:ascii="Calibri" w:hAnsi="Calibri"/>
        </w:rPr>
        <w:t xml:space="preserve">the </w:t>
      </w:r>
      <w:r w:rsidRPr="006B4B5C">
        <w:rPr>
          <w:rFonts w:ascii="Calibri" w:hAnsi="Calibri"/>
        </w:rPr>
        <w:t xml:space="preserve">trust created under this instrument.  The terms of the Second Trust shall be the same as the terms of the First Trust, which terms are incorporated herein by reference, except </w:t>
      </w:r>
      <w:r w:rsidR="00AE3042">
        <w:rPr>
          <w:rFonts w:ascii="Calibri" w:hAnsi="Calibri"/>
        </w:rPr>
        <w:t>for the additional</w:t>
      </w:r>
      <w:r w:rsidRPr="006B4B5C">
        <w:rPr>
          <w:rFonts w:ascii="Calibri" w:hAnsi="Calibri"/>
        </w:rPr>
        <w:t xml:space="preserve"> </w:t>
      </w:r>
      <w:r w:rsidR="00AE3042">
        <w:rPr>
          <w:rFonts w:ascii="Calibri" w:hAnsi="Calibri"/>
        </w:rPr>
        <w:t>provisions</w:t>
      </w:r>
      <w:r w:rsidRPr="006B4B5C">
        <w:rPr>
          <w:rFonts w:ascii="Calibri" w:hAnsi="Calibri"/>
        </w:rPr>
        <w:t xml:space="preserve"> as set forth below:</w:t>
      </w:r>
    </w:p>
    <w:p w14:paraId="2F8E8480" w14:textId="77777777" w:rsidR="006B4B5C" w:rsidRPr="006B4B5C" w:rsidRDefault="006B4B5C" w:rsidP="006B4B5C">
      <w:pPr>
        <w:ind w:firstLine="720"/>
        <w:rPr>
          <w:rFonts w:ascii="Calibri" w:hAnsi="Calibri"/>
        </w:rPr>
      </w:pPr>
    </w:p>
    <w:p w14:paraId="097DF5C0" w14:textId="77777777" w:rsidR="006B4B5C" w:rsidRPr="006B4B5C" w:rsidRDefault="006B4B5C" w:rsidP="006B4B5C">
      <w:pPr>
        <w:ind w:firstLine="720"/>
        <w:rPr>
          <w:rFonts w:ascii="Calibri" w:hAnsi="Calibri"/>
        </w:rPr>
      </w:pPr>
      <w:r w:rsidRPr="006B4B5C">
        <w:rPr>
          <w:rFonts w:ascii="Calibri" w:hAnsi="Calibri"/>
        </w:rPr>
        <w:t>1.</w:t>
      </w:r>
      <w:r w:rsidRPr="006B4B5C">
        <w:rPr>
          <w:rFonts w:ascii="Calibri" w:hAnsi="Calibri"/>
        </w:rPr>
        <w:tab/>
        <w:t>T</w:t>
      </w:r>
      <w:r w:rsidR="006B3E82">
        <w:rPr>
          <w:rFonts w:ascii="Calibri" w:hAnsi="Calibri"/>
        </w:rPr>
        <w:t xml:space="preserve">rustee hereby grants to ___________________ </w:t>
      </w:r>
      <w:r w:rsidR="006B3E82" w:rsidRPr="006B3E82">
        <w:rPr>
          <w:rFonts w:ascii="Calibri" w:hAnsi="Calibri"/>
          <w:color w:val="993300"/>
        </w:rPr>
        <w:t>[settlor’s spouse or other beneficiary]</w:t>
      </w:r>
      <w:r w:rsidR="006B3E82">
        <w:rPr>
          <w:rFonts w:ascii="Calibri" w:hAnsi="Calibri"/>
        </w:rPr>
        <w:t xml:space="preserve"> </w:t>
      </w:r>
      <w:r w:rsidRPr="006B4B5C">
        <w:rPr>
          <w:rFonts w:ascii="Calibri" w:hAnsi="Calibri"/>
        </w:rPr>
        <w:t xml:space="preserve">a </w:t>
      </w:r>
      <w:r w:rsidR="00CE6D8E">
        <w:rPr>
          <w:rFonts w:ascii="Calibri" w:hAnsi="Calibri"/>
        </w:rPr>
        <w:t xml:space="preserve">testamentary </w:t>
      </w:r>
      <w:r w:rsidRPr="006B4B5C">
        <w:rPr>
          <w:rFonts w:ascii="Calibri" w:hAnsi="Calibri"/>
        </w:rPr>
        <w:t>general power of appointment</w:t>
      </w:r>
      <w:r w:rsidR="006B3E82">
        <w:rPr>
          <w:rFonts w:ascii="Calibri" w:hAnsi="Calibri"/>
        </w:rPr>
        <w:t xml:space="preserve"> [limited power of appointment] as follows</w:t>
      </w:r>
      <w:r w:rsidRPr="006B4B5C">
        <w:rPr>
          <w:rFonts w:ascii="Calibri" w:hAnsi="Calibri"/>
        </w:rPr>
        <w:t>:</w:t>
      </w:r>
    </w:p>
    <w:p w14:paraId="404972A9" w14:textId="77777777" w:rsidR="006B4B5C" w:rsidRPr="006B4B5C" w:rsidRDefault="006B4B5C" w:rsidP="006B4B5C">
      <w:pPr>
        <w:ind w:firstLine="720"/>
        <w:rPr>
          <w:rFonts w:ascii="Calibri" w:hAnsi="Calibri"/>
        </w:rPr>
      </w:pPr>
    </w:p>
    <w:p w14:paraId="5CC081CD" w14:textId="77777777" w:rsidR="006B4B5C" w:rsidRPr="006B3E82" w:rsidRDefault="006B3E82" w:rsidP="006B4B5C">
      <w:pPr>
        <w:rPr>
          <w:rFonts w:ascii="Calibri" w:hAnsi="Calibri"/>
          <w:color w:val="993300"/>
        </w:rPr>
      </w:pPr>
      <w:r>
        <w:rPr>
          <w:rFonts w:ascii="Calibri" w:hAnsi="Calibri"/>
        </w:rPr>
        <w:tab/>
      </w:r>
      <w:r w:rsidRPr="006B3E82">
        <w:rPr>
          <w:rFonts w:ascii="Calibri" w:hAnsi="Calibri"/>
          <w:color w:val="993300"/>
        </w:rPr>
        <w:t>INSERT PARAGRAPH</w:t>
      </w:r>
      <w:r w:rsidR="00AE7995">
        <w:rPr>
          <w:rFonts w:ascii="Calibri" w:hAnsi="Calibri"/>
          <w:color w:val="993300"/>
        </w:rPr>
        <w:t>S</w:t>
      </w:r>
      <w:r w:rsidRPr="006B3E82">
        <w:rPr>
          <w:rFonts w:ascii="Calibri" w:hAnsi="Calibri"/>
          <w:color w:val="993300"/>
        </w:rPr>
        <w:t xml:space="preserve"> GRANTING GPOA or LPOA TO TRIGGER §2041(a)(3) HERE</w:t>
      </w:r>
    </w:p>
    <w:p w14:paraId="60408F74" w14:textId="77777777" w:rsidR="006B3E82" w:rsidRPr="006B4B5C" w:rsidRDefault="006B3E82" w:rsidP="006B4B5C">
      <w:pPr>
        <w:rPr>
          <w:rFonts w:ascii="Calibri" w:hAnsi="Calibri"/>
        </w:rPr>
      </w:pPr>
    </w:p>
    <w:p w14:paraId="27CC4A41" w14:textId="77777777" w:rsidR="006B4B5C" w:rsidRPr="003A773A" w:rsidRDefault="006B4B5C" w:rsidP="006B4B5C">
      <w:pPr>
        <w:rPr>
          <w:rFonts w:ascii="Calibri" w:hAnsi="Calibri"/>
          <w:color w:val="993300"/>
        </w:rPr>
      </w:pPr>
      <w:r w:rsidRPr="006B4B5C">
        <w:rPr>
          <w:rFonts w:ascii="Calibri" w:hAnsi="Calibri"/>
        </w:rPr>
        <w:tab/>
      </w:r>
      <w:r w:rsidR="00AE3042" w:rsidRPr="003A773A">
        <w:rPr>
          <w:rFonts w:ascii="Calibri" w:hAnsi="Calibri"/>
          <w:color w:val="993300"/>
        </w:rPr>
        <w:t xml:space="preserve">Consider – if the state </w:t>
      </w:r>
      <w:r w:rsidR="003A773A">
        <w:rPr>
          <w:rFonts w:ascii="Calibri" w:hAnsi="Calibri"/>
          <w:color w:val="993300"/>
        </w:rPr>
        <w:t xml:space="preserve">decanting </w:t>
      </w:r>
      <w:r w:rsidR="00AE3042" w:rsidRPr="003A773A">
        <w:rPr>
          <w:rFonts w:ascii="Calibri" w:hAnsi="Calibri"/>
          <w:color w:val="993300"/>
        </w:rPr>
        <w:t>statute does not allow for removal of a GPOA/LPOA (</w:t>
      </w:r>
      <w:r w:rsidR="009B62DB">
        <w:rPr>
          <w:rFonts w:ascii="Calibri" w:hAnsi="Calibri"/>
          <w:color w:val="993300"/>
        </w:rPr>
        <w:t>many decanting statutes</w:t>
      </w:r>
      <w:r w:rsidR="00AE3042" w:rsidRPr="003A773A">
        <w:rPr>
          <w:rFonts w:ascii="Calibri" w:hAnsi="Calibri"/>
          <w:color w:val="993300"/>
        </w:rPr>
        <w:t xml:space="preserve"> are silent on this issue and only specifically </w:t>
      </w:r>
      <w:r w:rsidR="009B62DB">
        <w:rPr>
          <w:rFonts w:ascii="Calibri" w:hAnsi="Calibri"/>
          <w:color w:val="993300"/>
        </w:rPr>
        <w:t>permit</w:t>
      </w:r>
      <w:r w:rsidR="00AE3042" w:rsidRPr="003A773A">
        <w:rPr>
          <w:rFonts w:ascii="Calibri" w:hAnsi="Calibri"/>
          <w:color w:val="993300"/>
        </w:rPr>
        <w:t xml:space="preserve"> ADDING one</w:t>
      </w:r>
      <w:r w:rsidR="009B62DB">
        <w:rPr>
          <w:rFonts w:ascii="Calibri" w:hAnsi="Calibri"/>
          <w:color w:val="993300"/>
        </w:rPr>
        <w:t xml:space="preserve"> rather than removing one)</w:t>
      </w:r>
      <w:r w:rsidR="00AE3042" w:rsidRPr="003A773A">
        <w:rPr>
          <w:rFonts w:ascii="Calibri" w:hAnsi="Calibri"/>
          <w:color w:val="993300"/>
        </w:rPr>
        <w:t xml:space="preserve">, then you might add an expiration </w:t>
      </w:r>
      <w:r w:rsidR="003A773A" w:rsidRPr="003A773A">
        <w:rPr>
          <w:rFonts w:ascii="Calibri" w:hAnsi="Calibri"/>
          <w:color w:val="993300"/>
        </w:rPr>
        <w:t xml:space="preserve">period </w:t>
      </w:r>
      <w:r w:rsidR="00AE3042" w:rsidRPr="003A773A">
        <w:rPr>
          <w:rFonts w:ascii="Calibri" w:hAnsi="Calibri"/>
          <w:color w:val="993300"/>
        </w:rPr>
        <w:t>(aka “Boomerang clause”)</w:t>
      </w:r>
      <w:r w:rsidR="003A773A" w:rsidRPr="003A773A">
        <w:rPr>
          <w:rFonts w:ascii="Calibri" w:hAnsi="Calibri"/>
          <w:color w:val="993300"/>
        </w:rPr>
        <w:t xml:space="preserve">, which </w:t>
      </w:r>
      <w:r w:rsidR="009B62DB">
        <w:rPr>
          <w:rFonts w:ascii="Calibri" w:hAnsi="Calibri"/>
          <w:color w:val="993300"/>
        </w:rPr>
        <w:t>let</w:t>
      </w:r>
      <w:r w:rsidR="00AE7995">
        <w:rPr>
          <w:rFonts w:ascii="Calibri" w:hAnsi="Calibri"/>
          <w:color w:val="993300"/>
        </w:rPr>
        <w:t>s</w:t>
      </w:r>
      <w:r w:rsidR="009B62DB">
        <w:rPr>
          <w:rFonts w:ascii="Calibri" w:hAnsi="Calibri"/>
          <w:color w:val="993300"/>
        </w:rPr>
        <w:t xml:space="preserve"> the trust lapse back to its original state and </w:t>
      </w:r>
      <w:r w:rsidR="003A773A" w:rsidRPr="003A773A">
        <w:rPr>
          <w:rFonts w:ascii="Calibri" w:hAnsi="Calibri"/>
          <w:color w:val="993300"/>
        </w:rPr>
        <w:t xml:space="preserve">would force the trustee to </w:t>
      </w:r>
      <w:r w:rsidR="00AE7995">
        <w:rPr>
          <w:rFonts w:ascii="Calibri" w:hAnsi="Calibri"/>
          <w:color w:val="993300"/>
        </w:rPr>
        <w:t xml:space="preserve">keep on top of the issue and </w:t>
      </w:r>
      <w:r w:rsidR="003A773A" w:rsidRPr="003A773A">
        <w:rPr>
          <w:rFonts w:ascii="Calibri" w:hAnsi="Calibri"/>
          <w:color w:val="993300"/>
        </w:rPr>
        <w:t>p</w:t>
      </w:r>
      <w:r w:rsidR="009B62DB">
        <w:rPr>
          <w:rFonts w:ascii="Calibri" w:hAnsi="Calibri"/>
          <w:color w:val="993300"/>
        </w:rPr>
        <w:t>eriodically renew the decanting</w:t>
      </w:r>
      <w:r w:rsidR="00AE7995">
        <w:rPr>
          <w:rFonts w:ascii="Calibri" w:hAnsi="Calibri"/>
          <w:color w:val="993300"/>
        </w:rPr>
        <w:t xml:space="preserve"> (or better, a default might be to lapse only upon trustee’s affirmative action)</w:t>
      </w:r>
      <w:r w:rsidR="009B62DB">
        <w:rPr>
          <w:rFonts w:ascii="Calibri" w:hAnsi="Calibri"/>
          <w:color w:val="993300"/>
        </w:rPr>
        <w:t>.  Another solution would be to</w:t>
      </w:r>
      <w:r w:rsidR="003A773A" w:rsidRPr="003A773A">
        <w:rPr>
          <w:rFonts w:ascii="Calibri" w:hAnsi="Calibri"/>
          <w:color w:val="993300"/>
        </w:rPr>
        <w:t xml:space="preserve"> add </w:t>
      </w:r>
      <w:r w:rsidR="003A773A">
        <w:rPr>
          <w:rFonts w:ascii="Calibri" w:hAnsi="Calibri"/>
          <w:color w:val="993300"/>
        </w:rPr>
        <w:t xml:space="preserve">as part of the decanting </w:t>
      </w:r>
      <w:r w:rsidR="003A773A" w:rsidRPr="003A773A">
        <w:rPr>
          <w:rFonts w:ascii="Calibri" w:hAnsi="Calibri"/>
          <w:color w:val="993300"/>
        </w:rPr>
        <w:t>a trust protector</w:t>
      </w:r>
      <w:r w:rsidR="003A773A">
        <w:rPr>
          <w:rFonts w:ascii="Calibri" w:hAnsi="Calibri"/>
          <w:color w:val="993300"/>
        </w:rPr>
        <w:t>/amendment</w:t>
      </w:r>
      <w:r w:rsidR="003A773A" w:rsidRPr="003A773A">
        <w:rPr>
          <w:rFonts w:ascii="Calibri" w:hAnsi="Calibri"/>
          <w:color w:val="993300"/>
        </w:rPr>
        <w:t xml:space="preserve"> provision that would allow the </w:t>
      </w:r>
      <w:r w:rsidR="003A773A">
        <w:rPr>
          <w:rFonts w:ascii="Calibri" w:hAnsi="Calibri"/>
          <w:color w:val="993300"/>
        </w:rPr>
        <w:t>subsequent removal, addition or amendment</w:t>
      </w:r>
      <w:r w:rsidR="003A773A" w:rsidRPr="003A773A">
        <w:rPr>
          <w:rFonts w:ascii="Calibri" w:hAnsi="Calibri"/>
          <w:color w:val="993300"/>
        </w:rPr>
        <w:t xml:space="preserve"> of the POA</w:t>
      </w:r>
      <w:r w:rsidR="003A773A">
        <w:rPr>
          <w:rFonts w:ascii="Calibri" w:hAnsi="Calibri"/>
          <w:color w:val="993300"/>
        </w:rPr>
        <w:t xml:space="preserve"> (this would be my preference)</w:t>
      </w:r>
      <w:r w:rsidR="003A773A" w:rsidRPr="003A773A">
        <w:rPr>
          <w:rFonts w:ascii="Calibri" w:hAnsi="Calibri"/>
          <w:color w:val="993300"/>
        </w:rPr>
        <w:t>.</w:t>
      </w:r>
      <w:r w:rsidR="003A773A">
        <w:rPr>
          <w:rFonts w:ascii="Calibri" w:hAnsi="Calibri"/>
          <w:color w:val="993300"/>
        </w:rPr>
        <w:t xml:space="preserve">  Why?  What if Congress amended §1014/§2041 someday</w:t>
      </w:r>
      <w:r w:rsidR="00AE7995">
        <w:rPr>
          <w:rFonts w:ascii="Calibri" w:hAnsi="Calibri"/>
          <w:color w:val="993300"/>
        </w:rPr>
        <w:t xml:space="preserve"> or the powerholder incurs significant debt</w:t>
      </w:r>
      <w:r w:rsidR="003A773A">
        <w:rPr>
          <w:rFonts w:ascii="Calibri" w:hAnsi="Calibri"/>
          <w:color w:val="993300"/>
        </w:rPr>
        <w:t xml:space="preserve">?  Along those lines, see the statement of settlor intent embedded in some of the sample clauses to permit the </w:t>
      </w:r>
      <w:r w:rsidR="009B62DB">
        <w:rPr>
          <w:rFonts w:ascii="Calibri" w:hAnsi="Calibri"/>
          <w:color w:val="993300"/>
        </w:rPr>
        <w:t>POA</w:t>
      </w:r>
      <w:r w:rsidR="003A773A">
        <w:rPr>
          <w:rFonts w:ascii="Calibri" w:hAnsi="Calibri"/>
          <w:color w:val="993300"/>
        </w:rPr>
        <w:t xml:space="preserve"> to be amended to conform with that intent.</w:t>
      </w:r>
    </w:p>
    <w:p w14:paraId="634975C7" w14:textId="77777777" w:rsidR="006B4B5C" w:rsidRPr="006B4B5C" w:rsidRDefault="006B4B5C" w:rsidP="006B4B5C">
      <w:pPr>
        <w:ind w:firstLine="720"/>
        <w:rPr>
          <w:rFonts w:ascii="Calibri" w:hAnsi="Calibri"/>
        </w:rPr>
      </w:pPr>
      <w:bookmarkStart w:id="79" w:name="_wd_lastPlace"/>
      <w:bookmarkEnd w:id="79"/>
    </w:p>
    <w:p w14:paraId="14384F27" w14:textId="77777777" w:rsidR="006B4B5C" w:rsidRPr="006B4B5C" w:rsidRDefault="006B4B5C" w:rsidP="006B4B5C">
      <w:pPr>
        <w:ind w:firstLine="720"/>
        <w:rPr>
          <w:rFonts w:ascii="Calibri" w:hAnsi="Calibri"/>
        </w:rPr>
      </w:pPr>
      <w:r w:rsidRPr="006B4B5C">
        <w:rPr>
          <w:rFonts w:ascii="Calibri" w:hAnsi="Calibri"/>
        </w:rPr>
        <w:t xml:space="preserve">IN WITNESS WHEREOF, </w:t>
      </w:r>
      <w:r w:rsidR="006B3E82">
        <w:rPr>
          <w:rFonts w:ascii="Calibri" w:hAnsi="Calibri"/>
          <w:b/>
        </w:rPr>
        <w:t>________________________</w:t>
      </w:r>
      <w:r w:rsidRPr="006B4B5C">
        <w:rPr>
          <w:rFonts w:ascii="Calibri" w:hAnsi="Calibri"/>
        </w:rPr>
        <w:t xml:space="preserve"> </w:t>
      </w:r>
      <w:r w:rsidR="003A773A">
        <w:rPr>
          <w:rFonts w:ascii="Calibri" w:hAnsi="Calibri"/>
        </w:rPr>
        <w:t>[through</w:t>
      </w:r>
      <w:r w:rsidRPr="006B4B5C">
        <w:rPr>
          <w:rFonts w:ascii="Calibri" w:hAnsi="Calibri"/>
        </w:rPr>
        <w:t xml:space="preserve"> its duly authorized representative</w:t>
      </w:r>
      <w:r w:rsidR="003A773A">
        <w:rPr>
          <w:rFonts w:ascii="Calibri" w:hAnsi="Calibri"/>
        </w:rPr>
        <w:t>], hereby</w:t>
      </w:r>
      <w:r w:rsidRPr="006B4B5C">
        <w:rPr>
          <w:rFonts w:ascii="Calibri" w:hAnsi="Calibri"/>
        </w:rPr>
        <w:t xml:space="preserve"> sign</w:t>
      </w:r>
      <w:r w:rsidR="003A773A">
        <w:rPr>
          <w:rFonts w:ascii="Calibri" w:hAnsi="Calibri"/>
        </w:rPr>
        <w:t>s</w:t>
      </w:r>
      <w:r w:rsidRPr="006B4B5C">
        <w:rPr>
          <w:rFonts w:ascii="Calibri" w:hAnsi="Calibri"/>
        </w:rPr>
        <w:t xml:space="preserve"> this instrument </w:t>
      </w:r>
      <w:r w:rsidR="005476CE">
        <w:rPr>
          <w:rFonts w:ascii="Calibri" w:hAnsi="Calibri"/>
        </w:rPr>
        <w:t xml:space="preserve">in its (his/her) capacity </w:t>
      </w:r>
      <w:r w:rsidRPr="006B4B5C">
        <w:rPr>
          <w:rFonts w:ascii="Calibri" w:hAnsi="Calibri"/>
        </w:rPr>
        <w:t xml:space="preserve">as </w:t>
      </w:r>
      <w:r w:rsidR="005476CE">
        <w:rPr>
          <w:rFonts w:ascii="Calibri" w:hAnsi="Calibri"/>
        </w:rPr>
        <w:t xml:space="preserve">both </w:t>
      </w:r>
      <w:r w:rsidRPr="006B4B5C">
        <w:rPr>
          <w:rFonts w:ascii="Calibri" w:hAnsi="Calibri"/>
        </w:rPr>
        <w:t>Trustee of the First Trust and as the Trustee of the Second Trust,</w:t>
      </w:r>
      <w:r w:rsidR="009B62DB">
        <w:rPr>
          <w:rFonts w:ascii="Calibri" w:hAnsi="Calibri"/>
        </w:rPr>
        <w:t xml:space="preserve"> on</w:t>
      </w:r>
      <w:r w:rsidRPr="006B4B5C">
        <w:rPr>
          <w:rFonts w:ascii="Calibri" w:hAnsi="Calibri"/>
        </w:rPr>
        <w:t xml:space="preserve"> the date hereinafter set forth.  </w:t>
      </w:r>
    </w:p>
    <w:p w14:paraId="4F41484F" w14:textId="77777777" w:rsidR="006B4B5C" w:rsidRPr="006B4B5C" w:rsidRDefault="006B4B5C" w:rsidP="006B4B5C">
      <w:pPr>
        <w:rPr>
          <w:rFonts w:ascii="Calibri" w:hAnsi="Calibri"/>
        </w:rPr>
      </w:pPr>
    </w:p>
    <w:p w14:paraId="167FE0EF" w14:textId="77777777" w:rsidR="006B4B5C" w:rsidRPr="006B4B5C" w:rsidRDefault="006B4B5C" w:rsidP="006B4B5C">
      <w:pPr>
        <w:rPr>
          <w:rFonts w:ascii="Calibri" w:hAnsi="Calibri"/>
        </w:rPr>
      </w:pPr>
    </w:p>
    <w:p w14:paraId="42E4E952" w14:textId="77777777" w:rsidR="006B4B5C" w:rsidRPr="006B4B5C" w:rsidRDefault="006B4B5C" w:rsidP="006B4B5C">
      <w:pPr>
        <w:rPr>
          <w:rFonts w:ascii="Calibri" w:hAnsi="Calibri"/>
        </w:rPr>
      </w:pP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006B3E82">
        <w:rPr>
          <w:rFonts w:ascii="Calibri" w:hAnsi="Calibri"/>
          <w:b/>
        </w:rPr>
        <w:t>___________________________</w:t>
      </w:r>
      <w:r w:rsidRPr="006B4B5C">
        <w:rPr>
          <w:rFonts w:ascii="Calibri" w:hAnsi="Calibri"/>
        </w:rPr>
        <w:t>, Trustee</w:t>
      </w:r>
    </w:p>
    <w:p w14:paraId="62D7C6FA" w14:textId="77777777" w:rsidR="006B4B5C" w:rsidRPr="006B4B5C" w:rsidRDefault="006B4B5C" w:rsidP="006B4B5C">
      <w:pPr>
        <w:rPr>
          <w:rFonts w:ascii="Calibri" w:hAnsi="Calibri"/>
        </w:rPr>
      </w:pPr>
    </w:p>
    <w:p w14:paraId="0AF95D02" w14:textId="77777777" w:rsidR="006B4B5C" w:rsidRPr="006B4B5C" w:rsidRDefault="006B4B5C" w:rsidP="006B4B5C">
      <w:pPr>
        <w:rPr>
          <w:rFonts w:ascii="Calibri" w:hAnsi="Calibri"/>
        </w:rPr>
      </w:pP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t>By:  _______________________________</w:t>
      </w:r>
    </w:p>
    <w:p w14:paraId="1B71D6B1" w14:textId="77777777" w:rsidR="006B4B5C" w:rsidRPr="006B4B5C" w:rsidRDefault="006B4B5C" w:rsidP="006B4B5C">
      <w:pPr>
        <w:rPr>
          <w:rFonts w:ascii="Calibri" w:hAnsi="Calibri"/>
        </w:rPr>
      </w:pPr>
    </w:p>
    <w:p w14:paraId="79460A48" w14:textId="77777777" w:rsidR="006B4B5C" w:rsidRPr="006B4B5C" w:rsidRDefault="006B4B5C" w:rsidP="006B4B5C">
      <w:pPr>
        <w:ind w:firstLine="5040"/>
        <w:rPr>
          <w:rFonts w:ascii="Calibri" w:hAnsi="Calibri"/>
        </w:rPr>
      </w:pPr>
      <w:r w:rsidRPr="006B4B5C">
        <w:rPr>
          <w:rFonts w:ascii="Calibri" w:hAnsi="Calibri"/>
        </w:rPr>
        <w:t>Date:  _____________________________</w:t>
      </w:r>
    </w:p>
    <w:p w14:paraId="0F055F06" w14:textId="77777777" w:rsidR="006B4B5C" w:rsidRPr="006B4B5C" w:rsidRDefault="006B4B5C" w:rsidP="006B4B5C">
      <w:pPr>
        <w:rPr>
          <w:rFonts w:ascii="Calibri" w:hAnsi="Calibri"/>
        </w:rPr>
      </w:pPr>
    </w:p>
    <w:p w14:paraId="5C1B2E30" w14:textId="77777777" w:rsidR="006B4B5C" w:rsidRPr="006B4B5C" w:rsidRDefault="006B4B5C" w:rsidP="006B4B5C">
      <w:pPr>
        <w:rPr>
          <w:rFonts w:ascii="Calibri" w:hAnsi="Calibri"/>
        </w:rPr>
      </w:pPr>
      <w:r w:rsidRPr="006B4B5C">
        <w:rPr>
          <w:rFonts w:ascii="Calibri" w:hAnsi="Calibri"/>
        </w:rPr>
        <w:t>STATE OF OHIO</w:t>
      </w:r>
      <w:r w:rsidRPr="006B4B5C">
        <w:rPr>
          <w:rFonts w:ascii="Calibri" w:hAnsi="Calibri"/>
        </w:rPr>
        <w:tab/>
      </w:r>
      <w:r w:rsidRPr="006B4B5C">
        <w:rPr>
          <w:rFonts w:ascii="Calibri" w:hAnsi="Calibri"/>
        </w:rPr>
        <w:tab/>
        <w:t>)</w:t>
      </w:r>
    </w:p>
    <w:p w14:paraId="19C7CC72" w14:textId="77777777" w:rsidR="006B4B5C" w:rsidRPr="006B4B5C" w:rsidRDefault="006B4B5C" w:rsidP="006B4B5C">
      <w:pPr>
        <w:ind w:firstLine="2880"/>
        <w:rPr>
          <w:rFonts w:ascii="Calibri" w:hAnsi="Calibri"/>
        </w:rPr>
      </w:pPr>
      <w:r w:rsidRPr="006B4B5C">
        <w:rPr>
          <w:rFonts w:ascii="Calibri" w:hAnsi="Calibri"/>
        </w:rPr>
        <w:t>)</w:t>
      </w:r>
      <w:r w:rsidRPr="006B4B5C">
        <w:rPr>
          <w:rFonts w:ascii="Calibri" w:hAnsi="Calibri"/>
        </w:rPr>
        <w:tab/>
        <w:t>SS.</w:t>
      </w:r>
    </w:p>
    <w:p w14:paraId="20FADF33" w14:textId="77777777" w:rsidR="006B4B5C" w:rsidRPr="006B4B5C" w:rsidRDefault="006B4B5C" w:rsidP="006B4B5C">
      <w:pPr>
        <w:rPr>
          <w:rFonts w:ascii="Calibri" w:hAnsi="Calibri"/>
        </w:rPr>
      </w:pPr>
      <w:r w:rsidRPr="006B4B5C">
        <w:rPr>
          <w:rFonts w:ascii="Calibri" w:hAnsi="Calibri"/>
        </w:rPr>
        <w:t xml:space="preserve">COUNTY OF </w:t>
      </w:r>
      <w:r w:rsidR="006B3E82">
        <w:rPr>
          <w:rFonts w:ascii="Calibri" w:hAnsi="Calibri"/>
        </w:rPr>
        <w:t>WARREN</w:t>
      </w:r>
      <w:r w:rsidRPr="006B4B5C">
        <w:rPr>
          <w:rFonts w:ascii="Calibri" w:hAnsi="Calibri"/>
        </w:rPr>
        <w:tab/>
      </w:r>
      <w:r w:rsidR="006B3E82">
        <w:rPr>
          <w:rFonts w:ascii="Calibri" w:hAnsi="Calibri"/>
        </w:rPr>
        <w:tab/>
      </w:r>
      <w:r w:rsidRPr="006B4B5C">
        <w:rPr>
          <w:rFonts w:ascii="Calibri" w:hAnsi="Calibri"/>
        </w:rPr>
        <w:t>)</w:t>
      </w:r>
    </w:p>
    <w:p w14:paraId="53515A54" w14:textId="77777777" w:rsidR="006B4B5C" w:rsidRPr="006B4B5C" w:rsidRDefault="006B4B5C" w:rsidP="006B4B5C">
      <w:pPr>
        <w:rPr>
          <w:rFonts w:ascii="Calibri" w:hAnsi="Calibri"/>
        </w:rPr>
      </w:pPr>
    </w:p>
    <w:p w14:paraId="73032832" w14:textId="77777777" w:rsidR="006B4B5C" w:rsidRPr="006B4B5C" w:rsidRDefault="006B4B5C" w:rsidP="006B4B5C">
      <w:pPr>
        <w:rPr>
          <w:rFonts w:ascii="Calibri" w:hAnsi="Calibri"/>
        </w:rPr>
      </w:pPr>
    </w:p>
    <w:p w14:paraId="5B2A04A4" w14:textId="77777777" w:rsidR="006B4B5C" w:rsidRPr="006B4B5C" w:rsidRDefault="006B4B5C" w:rsidP="006B4B5C">
      <w:pPr>
        <w:ind w:firstLine="720"/>
        <w:rPr>
          <w:rFonts w:ascii="Calibri" w:hAnsi="Calibri"/>
        </w:rPr>
      </w:pPr>
      <w:r w:rsidRPr="006B4B5C">
        <w:rPr>
          <w:rFonts w:ascii="Calibri" w:hAnsi="Calibri"/>
        </w:rPr>
        <w:lastRenderedPageBreak/>
        <w:t xml:space="preserve">The foregoing instrument was acknowledged before me by ________________________ </w:t>
      </w:r>
      <w:r w:rsidR="009B62DB">
        <w:rPr>
          <w:rFonts w:ascii="Calibri" w:hAnsi="Calibri"/>
        </w:rPr>
        <w:t>[</w:t>
      </w:r>
      <w:r w:rsidRPr="006B4B5C">
        <w:rPr>
          <w:rFonts w:ascii="Calibri" w:hAnsi="Calibri"/>
        </w:rPr>
        <w:t xml:space="preserve">on behalf of </w:t>
      </w:r>
      <w:r w:rsidR="006B3E82">
        <w:rPr>
          <w:rFonts w:ascii="Calibri" w:hAnsi="Calibri"/>
          <w:b/>
        </w:rPr>
        <w:t>________________________________</w:t>
      </w:r>
      <w:r w:rsidR="009B62DB">
        <w:rPr>
          <w:rFonts w:ascii="Calibri" w:hAnsi="Calibri"/>
          <w:b/>
        </w:rPr>
        <w:t>]</w:t>
      </w:r>
      <w:r w:rsidRPr="006B4B5C">
        <w:rPr>
          <w:rFonts w:ascii="Calibri" w:hAnsi="Calibri"/>
        </w:rPr>
        <w:t>, Trustee on ___________________, 2014.</w:t>
      </w:r>
    </w:p>
    <w:p w14:paraId="7600F8CB" w14:textId="77777777" w:rsidR="006B4B5C" w:rsidRPr="006B4B5C" w:rsidRDefault="006B4B5C" w:rsidP="006B4B5C">
      <w:pPr>
        <w:rPr>
          <w:rFonts w:ascii="Calibri" w:hAnsi="Calibri"/>
        </w:rPr>
      </w:pPr>
    </w:p>
    <w:p w14:paraId="1E556F32" w14:textId="77777777" w:rsidR="006B4B5C" w:rsidRPr="006B4B5C" w:rsidRDefault="006B4B5C" w:rsidP="006B4B5C">
      <w:pPr>
        <w:rPr>
          <w:rFonts w:ascii="Calibri" w:hAnsi="Calibri"/>
        </w:rPr>
      </w:pPr>
    </w:p>
    <w:p w14:paraId="4E9796EC" w14:textId="77777777" w:rsidR="006B4B5C" w:rsidRPr="006B4B5C" w:rsidRDefault="006B4B5C" w:rsidP="006B4B5C">
      <w:pPr>
        <w:rPr>
          <w:rFonts w:ascii="Calibri" w:hAnsi="Calibri"/>
        </w:rPr>
      </w:pPr>
      <w:r w:rsidRPr="006B4B5C">
        <w:rPr>
          <w:rFonts w:ascii="Calibri" w:hAnsi="Calibri"/>
        </w:rPr>
        <w:t>(SEAL)</w:t>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t>____________________________________</w:t>
      </w:r>
    </w:p>
    <w:p w14:paraId="2885B9B2" w14:textId="77777777" w:rsidR="006B4B5C" w:rsidRPr="006B4B5C" w:rsidRDefault="006B4B5C" w:rsidP="006B3E82">
      <w:pPr>
        <w:ind w:left="3600" w:firstLine="720"/>
        <w:rPr>
          <w:rFonts w:ascii="Calibri" w:hAnsi="Calibri"/>
        </w:rPr>
      </w:pPr>
      <w:r w:rsidRPr="006B4B5C">
        <w:rPr>
          <w:rFonts w:ascii="Calibri" w:hAnsi="Calibri"/>
        </w:rPr>
        <w:t>Notary Public</w:t>
      </w:r>
    </w:p>
    <w:p w14:paraId="2D31B2F6" w14:textId="77777777" w:rsidR="006B4B5C" w:rsidRPr="006B4B5C" w:rsidRDefault="006B4B5C" w:rsidP="006B4B5C">
      <w:pPr>
        <w:rPr>
          <w:rFonts w:ascii="Calibri" w:hAnsi="Calibri"/>
        </w:rPr>
      </w:pPr>
    </w:p>
    <w:p w14:paraId="66AB6447" w14:textId="77777777" w:rsidR="006B3E82" w:rsidRDefault="006B3E82" w:rsidP="006B4B5C">
      <w:pPr>
        <w:rPr>
          <w:rFonts w:ascii="Calibri" w:hAnsi="Calibri"/>
        </w:rPr>
      </w:pPr>
    </w:p>
    <w:p w14:paraId="5832DA9F" w14:textId="77777777" w:rsidR="006B3E82" w:rsidRDefault="006B3E82" w:rsidP="006B4B5C">
      <w:pPr>
        <w:rPr>
          <w:rFonts w:ascii="Calibri" w:hAnsi="Calibri"/>
        </w:rPr>
      </w:pPr>
    </w:p>
    <w:p w14:paraId="31F9F601" w14:textId="77777777" w:rsidR="006B3E82" w:rsidRDefault="006B3E82" w:rsidP="006B4B5C">
      <w:pPr>
        <w:rPr>
          <w:rFonts w:ascii="Calibri" w:hAnsi="Calibri"/>
        </w:rPr>
      </w:pPr>
    </w:p>
    <w:p w14:paraId="5D5F61F2" w14:textId="77777777" w:rsidR="006B4B5C" w:rsidRPr="006B4B5C" w:rsidRDefault="006B4B5C" w:rsidP="006B4B5C">
      <w:pPr>
        <w:rPr>
          <w:rFonts w:ascii="Calibri" w:hAnsi="Calibri"/>
        </w:rPr>
      </w:pPr>
      <w:r w:rsidRPr="006B4B5C">
        <w:rPr>
          <w:rFonts w:ascii="Calibri" w:hAnsi="Calibri"/>
        </w:rPr>
        <w:t>This Instrument was Prepared By:</w:t>
      </w:r>
    </w:p>
    <w:p w14:paraId="2F3D7C19" w14:textId="77777777" w:rsidR="006B4B5C" w:rsidRPr="006B4B5C" w:rsidRDefault="006B3E82" w:rsidP="006B4B5C">
      <w:pPr>
        <w:rPr>
          <w:rFonts w:ascii="Calibri" w:hAnsi="Calibri"/>
        </w:rPr>
      </w:pPr>
      <w:r>
        <w:rPr>
          <w:rFonts w:ascii="Calibri" w:hAnsi="Calibri"/>
        </w:rPr>
        <w:t>___________________________</w:t>
      </w:r>
    </w:p>
    <w:p w14:paraId="64CE963C" w14:textId="77777777" w:rsidR="006B4B5C" w:rsidRDefault="00EB0CAE" w:rsidP="00333467">
      <w:pPr>
        <w:pStyle w:val="NormalWeb"/>
        <w:spacing w:before="0" w:beforeAutospacing="0" w:after="0" w:afterAutospacing="0"/>
        <w:jc w:val="center"/>
        <w:rPr>
          <w:rFonts w:ascii="Calibri" w:hAnsi="Calibri"/>
          <w:b/>
          <w:color w:val="993300"/>
          <w:lang w:val="en"/>
        </w:rPr>
      </w:pPr>
      <w:r>
        <w:rPr>
          <w:rFonts w:ascii="Calibri" w:hAnsi="Calibri"/>
          <w:color w:val="993300"/>
          <w:lang w:val="en"/>
        </w:rPr>
        <w:br w:type="page"/>
      </w:r>
      <w:r w:rsidRPr="00EB0CAE">
        <w:rPr>
          <w:rFonts w:ascii="Calibri" w:hAnsi="Calibri"/>
          <w:b/>
          <w:color w:val="993300"/>
          <w:lang w:val="en"/>
        </w:rPr>
        <w:lastRenderedPageBreak/>
        <w:t>Notice Letter to Current Trust Beneficiary regarding Decanting</w:t>
      </w:r>
    </w:p>
    <w:p w14:paraId="64665CC1" w14:textId="77777777" w:rsidR="00333467" w:rsidRPr="00EB0CAE" w:rsidRDefault="00333467" w:rsidP="00333467">
      <w:pPr>
        <w:pStyle w:val="NormalWeb"/>
        <w:spacing w:before="0" w:beforeAutospacing="0" w:after="0" w:afterAutospacing="0"/>
        <w:jc w:val="center"/>
        <w:rPr>
          <w:rFonts w:ascii="Calibri" w:hAnsi="Calibri"/>
          <w:b/>
          <w:color w:val="993300"/>
          <w:lang w:val="en"/>
        </w:rPr>
      </w:pPr>
      <w:r>
        <w:rPr>
          <w:rFonts w:ascii="Calibri" w:hAnsi="Calibri"/>
          <w:b/>
          <w:color w:val="993300"/>
          <w:lang w:val="en"/>
        </w:rPr>
        <w:t>(some states require, and for others notice may be suggested anyway under duty to inform)</w:t>
      </w:r>
    </w:p>
    <w:p w14:paraId="4601339A" w14:textId="77777777" w:rsidR="00333467" w:rsidRDefault="00333467" w:rsidP="00EB0CAE"/>
    <w:p w14:paraId="37256C78" w14:textId="77777777" w:rsidR="0088054F" w:rsidRDefault="0088054F" w:rsidP="00EB0CAE">
      <w:r>
        <w:t>Date</w:t>
      </w:r>
    </w:p>
    <w:p w14:paraId="31BF030C" w14:textId="77777777" w:rsidR="0088054F" w:rsidRDefault="0088054F" w:rsidP="00EB0CAE"/>
    <w:p w14:paraId="07E4B9D5" w14:textId="77777777" w:rsidR="00EB0CAE" w:rsidRDefault="00EB0CAE" w:rsidP="00EB0CAE">
      <w:r>
        <w:t>Re:  XYZ Trust dated XX/XX/XXXX</w:t>
      </w:r>
    </w:p>
    <w:p w14:paraId="6CB9C504" w14:textId="77777777" w:rsidR="00EB0CAE" w:rsidRDefault="00EB0CAE" w:rsidP="00EB0CAE"/>
    <w:p w14:paraId="2DC823D7" w14:textId="77777777" w:rsidR="00EB0CAE" w:rsidRDefault="00EB0CAE" w:rsidP="00EB0CAE">
      <w:r w:rsidRPr="00396670">
        <w:t>Dear _________</w:t>
      </w:r>
      <w:r>
        <w:t xml:space="preserve"> ,</w:t>
      </w:r>
    </w:p>
    <w:p w14:paraId="7213AC78" w14:textId="77777777" w:rsidR="00EB0CAE" w:rsidRDefault="00EB0CAE" w:rsidP="00EB0CAE"/>
    <w:p w14:paraId="77CC6EBA" w14:textId="77777777" w:rsidR="00EB0CAE" w:rsidRDefault="00EB0CAE" w:rsidP="00EB0CAE">
      <w:r>
        <w:t xml:space="preserve">As we have previously discussed, this letter is to give you formal notice of our intention to distribute all [or, as discussed above, only certain assets] of the assets of the above trust to a new trust.  The terms of the new trust will be identical to the terms of the old trust except that the new trust will </w:t>
      </w:r>
      <w:r w:rsidR="0088054F">
        <w:t>grant</w:t>
      </w:r>
      <w:r>
        <w:t xml:space="preserve"> you a general power to appoint the assets in the trust at your death to the creditors of your estate [alternately, the decanting might only grant a limited power].</w:t>
      </w:r>
      <w:r w:rsidR="0088054F">
        <w:t xml:space="preserve">  The proposed amendment and distribution, called a “decanting” is attached </w:t>
      </w:r>
      <w:r w:rsidR="003F7119">
        <w:t>to</w:t>
      </w:r>
      <w:r w:rsidR="0088054F">
        <w:t xml:space="preserve"> this notice.</w:t>
      </w:r>
    </w:p>
    <w:p w14:paraId="78C0CE94" w14:textId="77777777" w:rsidR="00EB0CAE" w:rsidRDefault="00EB0CAE" w:rsidP="00EB0CAE"/>
    <w:p w14:paraId="17C1EB18" w14:textId="77777777" w:rsidR="00EB0CAE" w:rsidRDefault="00EB0CAE" w:rsidP="00EB0CAE">
      <w:r>
        <w:t xml:space="preserve">You have given us an approximate net worth statement attesting to your solvency and have told us that you are not co-signed on any loans or know of any outstanding debts or potential claims against you other then those on the net worth statement.  </w:t>
      </w:r>
      <w:r w:rsidR="0088054F">
        <w:t xml:space="preserve">The reason we asked you questions regarding this was to protect the trust and beneficiaries from any potential future creditors of your estate.  </w:t>
      </w:r>
      <w:r>
        <w:t xml:space="preserve">The purpose of adding this clause is to ultimately benefit your children and/or grandchildren who will be entitled to receive the assets of the trust upon your death.  </w:t>
      </w:r>
    </w:p>
    <w:p w14:paraId="0564BDC8" w14:textId="77777777" w:rsidR="00EB0CAE" w:rsidRDefault="00EB0CAE" w:rsidP="00EB0CAE"/>
    <w:p w14:paraId="04D14EC4" w14:textId="77777777" w:rsidR="00EB0CAE" w:rsidRDefault="0088054F" w:rsidP="00EB0CAE">
      <w:r>
        <w:t>Under the current trust</w:t>
      </w:r>
      <w:r w:rsidR="00EB0CAE">
        <w:t xml:space="preserve">, the assets of this trust </w:t>
      </w:r>
      <w:r w:rsidR="00BC182A">
        <w:t>would</w:t>
      </w:r>
      <w:r w:rsidR="00EB0CAE">
        <w:t xml:space="preserve"> not included in your </w:t>
      </w:r>
      <w:r w:rsidR="00BC182A">
        <w:t xml:space="preserve">taxable estate, and they would not receive a step up in basis at your death.  The approximate amount of this appreciation as of the last end of quarter was $800,000 [insert approximate value].  </w:t>
      </w:r>
    </w:p>
    <w:p w14:paraId="6CC77604" w14:textId="77777777" w:rsidR="00EB0CAE" w:rsidRDefault="00EB0CAE" w:rsidP="00EB0CAE"/>
    <w:p w14:paraId="3B0755DD" w14:textId="77777777" w:rsidR="00BC182A" w:rsidRDefault="00BC182A" w:rsidP="00EB0CAE">
      <w:r>
        <w:t>This</w:t>
      </w:r>
      <w:r w:rsidR="00EB0CAE">
        <w:t xml:space="preserve"> </w:t>
      </w:r>
      <w:r w:rsidR="003F7119">
        <w:t xml:space="preserve">newly added </w:t>
      </w:r>
      <w:r w:rsidR="00EB0CAE">
        <w:t>general power of appointment</w:t>
      </w:r>
      <w:r>
        <w:t xml:space="preserve"> should</w:t>
      </w:r>
      <w:r w:rsidR="00EB0CAE">
        <w:t xml:space="preserve"> cause the assets of this trust to be included in </w:t>
      </w:r>
      <w:r>
        <w:t>your</w:t>
      </w:r>
      <w:r w:rsidR="00EB0CAE">
        <w:t xml:space="preserve"> estate </w:t>
      </w:r>
      <w:r>
        <w:t>for</w:t>
      </w:r>
      <w:r w:rsidR="00EB0CAE">
        <w:t xml:space="preserve"> federal estate tax purposes</w:t>
      </w:r>
      <w:r>
        <w:t xml:space="preserve"> at your death</w:t>
      </w:r>
      <w:r w:rsidR="00EB0CAE">
        <w:t xml:space="preserve">, but only to the extent it does not cause an estate tax liability to occur.  </w:t>
      </w:r>
      <w:r>
        <w:t>More importantly, this should</w:t>
      </w:r>
      <w:r w:rsidR="00EB0CAE">
        <w:t xml:space="preserve"> cause any appreciated trust assets held in the trust to receive </w:t>
      </w:r>
      <w:r w:rsidR="0088054F">
        <w:t>a step up in</w:t>
      </w:r>
      <w:r w:rsidR="00EB0CAE">
        <w:t xml:space="preserve"> basis for income tax purposes. </w:t>
      </w:r>
    </w:p>
    <w:p w14:paraId="2375D408" w14:textId="77777777" w:rsidR="00BC182A" w:rsidRDefault="00BC182A" w:rsidP="00EB0CAE"/>
    <w:p w14:paraId="7A53FB16" w14:textId="77777777" w:rsidR="00EB0CAE" w:rsidRDefault="00BC182A" w:rsidP="00EB0CAE">
      <w:r>
        <w:t xml:space="preserve">This may ultimately save the children and/or grandchildren approximately </w:t>
      </w:r>
      <w:r w:rsidR="007D2C35">
        <w:t>15-30% income</w:t>
      </w:r>
      <w:r>
        <w:t xml:space="preserve"> tax on th</w:t>
      </w:r>
      <w:r w:rsidR="0088054F">
        <w:t>is</w:t>
      </w:r>
      <w:r>
        <w:t xml:space="preserve"> </w:t>
      </w:r>
      <w:r w:rsidR="0088054F">
        <w:t>appreciation</w:t>
      </w:r>
      <w:r>
        <w:t xml:space="preserve">, </w:t>
      </w:r>
      <w:r w:rsidR="0088054F">
        <w:t xml:space="preserve">potentially saving them hundreds of thousands of dollars, </w:t>
      </w:r>
      <w:r>
        <w:t>depending on where they reside</w:t>
      </w:r>
      <w:r w:rsidR="0088054F">
        <w:t>, the nature of the gain and asset appreciation</w:t>
      </w:r>
      <w:r>
        <w:t xml:space="preserve"> at the time, </w:t>
      </w:r>
      <w:r w:rsidR="00333467">
        <w:t xml:space="preserve">state and federal tax law at the time, </w:t>
      </w:r>
      <w:r>
        <w:t>when they sell the assets and other factors.</w:t>
      </w:r>
      <w:r w:rsidR="0088054F">
        <w:t xml:space="preserve">  </w:t>
      </w:r>
    </w:p>
    <w:p w14:paraId="02D48670" w14:textId="77777777" w:rsidR="003F7119" w:rsidRDefault="003F7119" w:rsidP="00EB0CAE"/>
    <w:p w14:paraId="2E362B83" w14:textId="77777777" w:rsidR="003F7119" w:rsidRDefault="003F7119" w:rsidP="00EB0CAE">
      <w:r>
        <w:t>This amendment will be effective 30 days from this letter.  However, you may not want to delay the amendment this long.  Should you prefer to make it effective immediately, you may waive</w:t>
      </w:r>
      <w:r w:rsidR="007D2C35">
        <w:t xml:space="preserve"> the</w:t>
      </w:r>
      <w:r>
        <w:t xml:space="preserve"> 30 day notice requirement by emailing or sending us a short note such as “I hereby waive the 30 day notice requirement mentioned in your letter and proposed agreement dated ______”.</w:t>
      </w:r>
    </w:p>
    <w:p w14:paraId="6F301C9A" w14:textId="77777777" w:rsidR="00EB0CAE" w:rsidRDefault="00EB0CAE" w:rsidP="00EB0CAE"/>
    <w:p w14:paraId="23C632E3" w14:textId="77777777" w:rsidR="00EB0CAE" w:rsidRDefault="0088054F" w:rsidP="00EB0CAE">
      <w:r>
        <w:t xml:space="preserve">Sincerely, </w:t>
      </w:r>
    </w:p>
    <w:p w14:paraId="059AFA85" w14:textId="77777777" w:rsidR="003F7119" w:rsidRDefault="003F7119" w:rsidP="00EB0CAE"/>
    <w:p w14:paraId="258981CE" w14:textId="77777777" w:rsidR="00EB0CAE" w:rsidRDefault="0088054F" w:rsidP="007D2C35">
      <w:r>
        <w:t>Trustee</w:t>
      </w:r>
      <w:r w:rsidR="00EB0CAE">
        <w:t xml:space="preserve"> </w:t>
      </w:r>
    </w:p>
    <w:p w14:paraId="27458C3C" w14:textId="77777777" w:rsidR="00F7361D" w:rsidRDefault="00F7361D" w:rsidP="00F7361D">
      <w:pPr>
        <w:ind w:firstLine="720"/>
        <w:jc w:val="center"/>
        <w:rPr>
          <w:rFonts w:ascii="Calibri" w:hAnsi="Calibri"/>
          <w:b/>
        </w:rPr>
      </w:pPr>
      <w:r>
        <w:rPr>
          <w:rFonts w:ascii="Calibri" w:hAnsi="Calibri"/>
          <w:b/>
        </w:rPr>
        <w:br w:type="page"/>
      </w:r>
      <w:r w:rsidRPr="006B4B5C">
        <w:rPr>
          <w:rFonts w:ascii="Calibri" w:hAnsi="Calibri"/>
          <w:b/>
        </w:rPr>
        <w:lastRenderedPageBreak/>
        <w:t>Decanting and Trust Agreement</w:t>
      </w:r>
    </w:p>
    <w:p w14:paraId="3221AFD1" w14:textId="77777777" w:rsidR="009D34C1" w:rsidRDefault="00F7361D" w:rsidP="00F7361D">
      <w:pPr>
        <w:ind w:firstLine="720"/>
        <w:jc w:val="center"/>
        <w:rPr>
          <w:rFonts w:ascii="Calibri" w:hAnsi="Calibri"/>
          <w:b/>
        </w:rPr>
      </w:pPr>
      <w:r>
        <w:rPr>
          <w:rFonts w:ascii="Calibri" w:hAnsi="Calibri"/>
          <w:b/>
        </w:rPr>
        <w:t>(where trust</w:t>
      </w:r>
      <w:r w:rsidR="00624394">
        <w:rPr>
          <w:rFonts w:ascii="Calibri" w:hAnsi="Calibri"/>
          <w:b/>
        </w:rPr>
        <w:t xml:space="preserve"> pays all net income or has </w:t>
      </w:r>
      <w:r w:rsidR="009D34C1">
        <w:rPr>
          <w:rFonts w:ascii="Calibri" w:hAnsi="Calibri"/>
          <w:b/>
        </w:rPr>
        <w:t xml:space="preserve">HEMS type ascertainable standards – </w:t>
      </w:r>
    </w:p>
    <w:p w14:paraId="5162AC7B" w14:textId="77777777" w:rsidR="00F7361D" w:rsidRPr="006B4B5C" w:rsidRDefault="00333467" w:rsidP="00F7361D">
      <w:pPr>
        <w:ind w:firstLine="720"/>
        <w:jc w:val="center"/>
        <w:rPr>
          <w:rFonts w:ascii="Calibri" w:hAnsi="Calibri"/>
          <w:b/>
        </w:rPr>
      </w:pPr>
      <w:r>
        <w:rPr>
          <w:rFonts w:ascii="Calibri" w:hAnsi="Calibri"/>
          <w:b/>
        </w:rPr>
        <w:t xml:space="preserve">Ohio R.C. </w:t>
      </w:r>
      <w:r w:rsidR="009D34C1">
        <w:rPr>
          <w:rFonts w:ascii="Calibri" w:hAnsi="Calibri"/>
          <w:b/>
        </w:rPr>
        <w:t>§5808.18 “paragraph B” decanting)</w:t>
      </w:r>
    </w:p>
    <w:p w14:paraId="517FD66E" w14:textId="77777777" w:rsidR="00F7361D" w:rsidRPr="006B4B5C" w:rsidRDefault="00F7361D" w:rsidP="00F7361D">
      <w:pPr>
        <w:ind w:firstLine="720"/>
        <w:rPr>
          <w:rFonts w:ascii="Calibri" w:hAnsi="Calibri"/>
          <w:b/>
        </w:rPr>
      </w:pPr>
    </w:p>
    <w:p w14:paraId="30521B72" w14:textId="77777777" w:rsidR="00F7361D" w:rsidRPr="006B4B5C" w:rsidRDefault="00F7361D" w:rsidP="00F7361D">
      <w:pPr>
        <w:ind w:firstLine="720"/>
        <w:rPr>
          <w:rFonts w:ascii="Calibri" w:hAnsi="Calibri"/>
        </w:rPr>
      </w:pPr>
      <w:r w:rsidRPr="006B4B5C">
        <w:rPr>
          <w:rFonts w:ascii="Calibri" w:hAnsi="Calibri"/>
        </w:rPr>
        <w:t xml:space="preserve">This </w:t>
      </w:r>
      <w:r>
        <w:rPr>
          <w:rFonts w:ascii="Calibri" w:hAnsi="Calibri"/>
        </w:rPr>
        <w:t xml:space="preserve">declaration of </w:t>
      </w:r>
      <w:r w:rsidRPr="006B4B5C">
        <w:rPr>
          <w:rFonts w:ascii="Calibri" w:hAnsi="Calibri"/>
          <w:b/>
        </w:rPr>
        <w:t>decanting and trust agreement</w:t>
      </w:r>
      <w:r w:rsidRPr="006B4B5C">
        <w:rPr>
          <w:rFonts w:ascii="Calibri" w:hAnsi="Calibri"/>
        </w:rPr>
        <w:t xml:space="preserve"> is executed in the State of </w:t>
      </w:r>
      <w:r>
        <w:rPr>
          <w:rFonts w:ascii="Calibri" w:hAnsi="Calibri"/>
        </w:rPr>
        <w:t>__________</w:t>
      </w:r>
      <w:r w:rsidRPr="006B4B5C">
        <w:rPr>
          <w:rFonts w:ascii="Calibri" w:hAnsi="Calibri"/>
        </w:rPr>
        <w:t xml:space="preserve">, on the date hereafter set forth, by </w:t>
      </w:r>
      <w:r>
        <w:rPr>
          <w:rFonts w:ascii="Calibri" w:hAnsi="Calibri"/>
          <w:b/>
        </w:rPr>
        <w:t>___________________________</w:t>
      </w:r>
      <w:r w:rsidRPr="006B4B5C">
        <w:rPr>
          <w:rFonts w:ascii="Calibri" w:hAnsi="Calibri"/>
        </w:rPr>
        <w:t xml:space="preserve">, as Trustee.  </w:t>
      </w:r>
    </w:p>
    <w:p w14:paraId="58F3A3F4" w14:textId="77777777" w:rsidR="00F7361D" w:rsidRPr="006B4B5C" w:rsidRDefault="00F7361D" w:rsidP="00F7361D">
      <w:pPr>
        <w:rPr>
          <w:rFonts w:ascii="Calibri" w:hAnsi="Calibri"/>
        </w:rPr>
      </w:pPr>
    </w:p>
    <w:p w14:paraId="15E5A2AE" w14:textId="77777777" w:rsidR="00F7361D" w:rsidRPr="006B4B5C" w:rsidRDefault="00F7361D" w:rsidP="00F7361D">
      <w:pPr>
        <w:ind w:firstLine="720"/>
        <w:rPr>
          <w:rFonts w:ascii="Calibri" w:hAnsi="Calibri"/>
          <w:b/>
        </w:rPr>
      </w:pPr>
      <w:r w:rsidRPr="006B4B5C">
        <w:rPr>
          <w:rFonts w:ascii="Calibri" w:hAnsi="Calibri"/>
          <w:b/>
        </w:rPr>
        <w:t>Whereas:</w:t>
      </w:r>
    </w:p>
    <w:p w14:paraId="259EBB4A" w14:textId="77777777" w:rsidR="00F7361D" w:rsidRPr="006B4B5C" w:rsidRDefault="00F7361D" w:rsidP="00F7361D">
      <w:pPr>
        <w:ind w:firstLine="720"/>
        <w:rPr>
          <w:rFonts w:ascii="Calibri" w:hAnsi="Calibri"/>
        </w:rPr>
      </w:pPr>
    </w:p>
    <w:p w14:paraId="5583C3B3" w14:textId="77777777" w:rsidR="00F7361D" w:rsidRPr="006B4B5C" w:rsidRDefault="00F7361D" w:rsidP="00F7361D">
      <w:pPr>
        <w:ind w:firstLine="720"/>
        <w:rPr>
          <w:rFonts w:ascii="Calibri" w:hAnsi="Calibri"/>
        </w:rPr>
      </w:pPr>
      <w:r>
        <w:rPr>
          <w:rFonts w:ascii="Calibri" w:hAnsi="Calibri"/>
        </w:rPr>
        <w:t>1</w:t>
      </w:r>
      <w:r w:rsidRPr="006B4B5C">
        <w:rPr>
          <w:rFonts w:ascii="Calibri" w:hAnsi="Calibri"/>
        </w:rPr>
        <w:t>.</w:t>
      </w:r>
      <w:r w:rsidRPr="006B4B5C">
        <w:rPr>
          <w:rFonts w:ascii="Calibri" w:hAnsi="Calibri"/>
        </w:rPr>
        <w:tab/>
        <w:t xml:space="preserve">The </w:t>
      </w:r>
      <w:r>
        <w:rPr>
          <w:rFonts w:ascii="Calibri" w:hAnsi="Calibri"/>
        </w:rPr>
        <w:t>Settlor</w:t>
      </w:r>
      <w:r w:rsidRPr="006B4B5C">
        <w:rPr>
          <w:rFonts w:ascii="Calibri" w:hAnsi="Calibri"/>
        </w:rPr>
        <w:t xml:space="preserve">, </w:t>
      </w:r>
      <w:r>
        <w:rPr>
          <w:rFonts w:ascii="Calibri" w:hAnsi="Calibri"/>
        </w:rPr>
        <w:t xml:space="preserve">_______________________________, created an irrevocable </w:t>
      </w:r>
      <w:r w:rsidRPr="006B4B5C">
        <w:rPr>
          <w:rFonts w:ascii="Calibri" w:hAnsi="Calibri"/>
        </w:rPr>
        <w:t>trust</w:t>
      </w:r>
      <w:r>
        <w:rPr>
          <w:rFonts w:ascii="Calibri" w:hAnsi="Calibri"/>
        </w:rPr>
        <w:t xml:space="preserve"> [revocable trust made irrevocable by the settlor’s death on XX/XX/XXXX]</w:t>
      </w:r>
      <w:r w:rsidRPr="006B4B5C">
        <w:rPr>
          <w:rFonts w:ascii="Calibri" w:hAnsi="Calibri"/>
        </w:rPr>
        <w:t xml:space="preserve">, the </w:t>
      </w:r>
      <w:r>
        <w:rPr>
          <w:rFonts w:ascii="Calibri" w:hAnsi="Calibri"/>
        </w:rPr>
        <w:t xml:space="preserve">__________________________trust </w:t>
      </w:r>
      <w:r w:rsidRPr="006B4B5C">
        <w:rPr>
          <w:rFonts w:ascii="Calibri" w:hAnsi="Calibri"/>
        </w:rPr>
        <w:t>(“First Trust”)</w:t>
      </w:r>
      <w:r>
        <w:rPr>
          <w:rFonts w:ascii="Calibri" w:hAnsi="Calibri"/>
        </w:rPr>
        <w:t>, attached hereto</w:t>
      </w:r>
      <w:r w:rsidRPr="006B4B5C">
        <w:rPr>
          <w:rFonts w:ascii="Calibri" w:hAnsi="Calibri"/>
        </w:rPr>
        <w:t>.</w:t>
      </w:r>
    </w:p>
    <w:p w14:paraId="3AF77E3F" w14:textId="77777777" w:rsidR="00F7361D" w:rsidRPr="006B4B5C" w:rsidRDefault="00F7361D" w:rsidP="00F7361D">
      <w:pPr>
        <w:rPr>
          <w:rFonts w:ascii="Calibri" w:hAnsi="Calibri"/>
        </w:rPr>
      </w:pPr>
    </w:p>
    <w:p w14:paraId="43B31705" w14:textId="77777777" w:rsidR="00F7361D" w:rsidRPr="006B4B5C" w:rsidRDefault="00F7361D" w:rsidP="00F7361D">
      <w:pPr>
        <w:ind w:firstLine="720"/>
        <w:rPr>
          <w:rFonts w:ascii="Calibri" w:hAnsi="Calibri"/>
        </w:rPr>
      </w:pPr>
      <w:r w:rsidRPr="009B62DB">
        <w:rPr>
          <w:rFonts w:ascii="Calibri" w:hAnsi="Calibri"/>
        </w:rPr>
        <w:t>2.</w:t>
      </w:r>
      <w:r w:rsidRPr="006B4B5C">
        <w:rPr>
          <w:rFonts w:ascii="Calibri" w:hAnsi="Calibri"/>
          <w:b/>
        </w:rPr>
        <w:tab/>
      </w:r>
      <w:r>
        <w:rPr>
          <w:rFonts w:ascii="Calibri" w:hAnsi="Calibri"/>
          <w:b/>
        </w:rPr>
        <w:t>____________________________</w:t>
      </w:r>
      <w:r>
        <w:rPr>
          <w:rFonts w:ascii="Calibri" w:hAnsi="Calibri"/>
        </w:rPr>
        <w:t xml:space="preserve"> is now acting as sole t</w:t>
      </w:r>
      <w:r w:rsidRPr="006B4B5C">
        <w:rPr>
          <w:rFonts w:ascii="Calibri" w:hAnsi="Calibri"/>
        </w:rPr>
        <w:t>rustee of the First Trust, which is now in existence.</w:t>
      </w:r>
      <w:r>
        <w:rPr>
          <w:rFonts w:ascii="Calibri" w:hAnsi="Calibri"/>
        </w:rPr>
        <w:t xml:space="preserve"> [or amend for co-trustees accordingly]</w:t>
      </w:r>
    </w:p>
    <w:p w14:paraId="4886F661" w14:textId="77777777" w:rsidR="00F7361D" w:rsidRPr="006B4B5C" w:rsidRDefault="00F7361D" w:rsidP="00F7361D">
      <w:pPr>
        <w:ind w:firstLine="720"/>
        <w:rPr>
          <w:rFonts w:ascii="Calibri" w:hAnsi="Calibri"/>
        </w:rPr>
      </w:pPr>
    </w:p>
    <w:p w14:paraId="7CA6BFBA" w14:textId="77777777" w:rsidR="00F7361D" w:rsidRPr="006B4B5C" w:rsidRDefault="00F7361D" w:rsidP="00F7361D">
      <w:pPr>
        <w:ind w:firstLine="720"/>
        <w:rPr>
          <w:rFonts w:ascii="Calibri" w:hAnsi="Calibri"/>
        </w:rPr>
      </w:pPr>
      <w:r w:rsidRPr="009B62DB">
        <w:rPr>
          <w:rFonts w:ascii="Calibri" w:hAnsi="Calibri"/>
        </w:rPr>
        <w:t>3.</w:t>
      </w:r>
      <w:r w:rsidRPr="006B4B5C">
        <w:rPr>
          <w:rFonts w:ascii="Calibri" w:hAnsi="Calibri"/>
          <w:b/>
        </w:rPr>
        <w:tab/>
      </w:r>
      <w:r>
        <w:rPr>
          <w:rFonts w:ascii="Calibri" w:hAnsi="Calibri"/>
        </w:rPr>
        <w:t>Pursuant to Article XX, Paragraph YY, the First Trust provides</w:t>
      </w:r>
      <w:r w:rsidRPr="006B4B5C">
        <w:rPr>
          <w:rFonts w:ascii="Calibri" w:hAnsi="Calibri"/>
        </w:rPr>
        <w:t xml:space="preserve"> that the Trustee </w:t>
      </w:r>
      <w:r w:rsidR="00624394">
        <w:rPr>
          <w:rFonts w:ascii="Calibri" w:hAnsi="Calibri"/>
        </w:rPr>
        <w:t>shall pay all net income at least annually, plus in its discretion may pay additional sums</w:t>
      </w:r>
      <w:r w:rsidRPr="006B4B5C">
        <w:rPr>
          <w:rFonts w:ascii="Calibri" w:hAnsi="Calibri"/>
        </w:rPr>
        <w:t xml:space="preserve"> </w:t>
      </w:r>
      <w:r w:rsidR="00624394">
        <w:rPr>
          <w:rFonts w:ascii="Calibri" w:hAnsi="Calibri"/>
        </w:rPr>
        <w:t>of principal</w:t>
      </w:r>
      <w:r w:rsidR="008B72D9">
        <w:rPr>
          <w:rFonts w:ascii="Calibri" w:hAnsi="Calibri"/>
        </w:rPr>
        <w:t>, up to the entire trust,</w:t>
      </w:r>
      <w:r w:rsidR="00624394">
        <w:rPr>
          <w:rFonts w:ascii="Calibri" w:hAnsi="Calibri"/>
        </w:rPr>
        <w:t xml:space="preserve"> </w:t>
      </w:r>
      <w:r w:rsidRPr="006B4B5C">
        <w:rPr>
          <w:rFonts w:ascii="Calibri" w:hAnsi="Calibri"/>
        </w:rPr>
        <w:t xml:space="preserve">to </w:t>
      </w:r>
      <w:r>
        <w:rPr>
          <w:rFonts w:ascii="Calibri" w:hAnsi="Calibri"/>
        </w:rPr>
        <w:t>Settlor’s</w:t>
      </w:r>
      <w:r w:rsidRPr="006B4B5C">
        <w:rPr>
          <w:rFonts w:ascii="Calibri" w:hAnsi="Calibri"/>
        </w:rPr>
        <w:t xml:space="preserve"> spouse, </w:t>
      </w:r>
      <w:r>
        <w:rPr>
          <w:rFonts w:ascii="Calibri" w:hAnsi="Calibri"/>
        </w:rPr>
        <w:t>________________________</w:t>
      </w:r>
      <w:r w:rsidRPr="006B4B5C">
        <w:rPr>
          <w:rFonts w:ascii="Calibri" w:hAnsi="Calibri"/>
        </w:rPr>
        <w:t>, for her “</w:t>
      </w:r>
      <w:r w:rsidR="00624394">
        <w:rPr>
          <w:rFonts w:ascii="Calibri" w:hAnsi="Calibri"/>
        </w:rPr>
        <w:t xml:space="preserve">health, education, maintenance and support </w:t>
      </w:r>
      <w:r>
        <w:rPr>
          <w:rFonts w:ascii="Calibri" w:hAnsi="Calibri"/>
        </w:rPr>
        <w:t>[insert terms from trust]</w:t>
      </w:r>
      <w:r w:rsidRPr="006B4B5C">
        <w:rPr>
          <w:rFonts w:ascii="Calibri" w:hAnsi="Calibri"/>
        </w:rPr>
        <w:t xml:space="preserve">.”  </w:t>
      </w:r>
    </w:p>
    <w:p w14:paraId="24163044" w14:textId="77777777" w:rsidR="00F7361D" w:rsidRPr="006B4B5C" w:rsidRDefault="00F7361D" w:rsidP="00F7361D">
      <w:pPr>
        <w:ind w:left="720" w:firstLine="720"/>
        <w:rPr>
          <w:rFonts w:ascii="Calibri" w:hAnsi="Calibri"/>
        </w:rPr>
      </w:pPr>
    </w:p>
    <w:p w14:paraId="0246778D" w14:textId="77777777" w:rsidR="00F445A4" w:rsidRDefault="00F7361D" w:rsidP="00180FD1">
      <w:pPr>
        <w:pStyle w:val="FootnoteText"/>
        <w:numPr>
          <w:ilvl w:val="0"/>
          <w:numId w:val="15"/>
        </w:numPr>
        <w:ind w:left="0" w:firstLine="720"/>
        <w:rPr>
          <w:rFonts w:ascii="Calibri" w:hAnsi="Calibri"/>
          <w:color w:val="993300"/>
          <w:sz w:val="24"/>
          <w:szCs w:val="24"/>
        </w:rPr>
      </w:pPr>
      <w:r w:rsidRPr="00CE6D8E">
        <w:rPr>
          <w:rFonts w:ascii="Calibri" w:hAnsi="Calibri"/>
          <w:sz w:val="24"/>
          <w:szCs w:val="24"/>
        </w:rPr>
        <w:t>Ohio R.C. §</w:t>
      </w:r>
      <w:r w:rsidR="00624394">
        <w:rPr>
          <w:rFonts w:ascii="Calibri" w:hAnsi="Calibri"/>
          <w:sz w:val="24"/>
          <w:szCs w:val="24"/>
        </w:rPr>
        <w:t>5808.18(B</w:t>
      </w:r>
      <w:r>
        <w:rPr>
          <w:rFonts w:ascii="Calibri" w:hAnsi="Calibri"/>
          <w:sz w:val="24"/>
          <w:szCs w:val="24"/>
        </w:rPr>
        <w:t>)</w:t>
      </w:r>
      <w:r w:rsidRPr="00CE6D8E">
        <w:rPr>
          <w:rFonts w:ascii="Calibri" w:hAnsi="Calibri"/>
          <w:sz w:val="24"/>
          <w:szCs w:val="24"/>
        </w:rPr>
        <w:t xml:space="preserve"> provides in pertinent part, that “</w:t>
      </w:r>
      <w:r w:rsidR="00624394">
        <w:rPr>
          <w:rFonts w:ascii="Verdana" w:hAnsi="Verdana"/>
          <w:sz w:val="19"/>
          <w:szCs w:val="19"/>
        </w:rPr>
        <w:t xml:space="preserve">Unless the trust instrument expressly provides otherwise and subject to the limitations set forth in this section, a trustee of a first trust who has power, other than absolute power as described in division (A) of this section, under the terms of the first trust to make distributions of principal to one or more current beneficiaries may exercise that power by distributing all or any part of the principal subject to the power, and all or any part of any income that is not otherwise currently required to be distributed, to the trustee of a second trust.”  The trustee hereby states that as of this decanting, all currently distributable net income has been paid.   </w:t>
      </w:r>
      <w:r w:rsidR="00B21047" w:rsidRPr="00CE6D8E">
        <w:rPr>
          <w:rFonts w:ascii="Calibri" w:hAnsi="Calibri"/>
          <w:sz w:val="24"/>
          <w:szCs w:val="24"/>
        </w:rPr>
        <w:t>Ohio R.C. §</w:t>
      </w:r>
      <w:r w:rsidR="00B21047">
        <w:rPr>
          <w:rFonts w:ascii="Calibri" w:hAnsi="Calibri"/>
          <w:sz w:val="24"/>
          <w:szCs w:val="24"/>
        </w:rPr>
        <w:t>5808.18(B)</w:t>
      </w:r>
      <w:r w:rsidR="00B21047" w:rsidRPr="00CE6D8E">
        <w:rPr>
          <w:rFonts w:ascii="Calibri" w:hAnsi="Calibri"/>
          <w:sz w:val="24"/>
          <w:szCs w:val="24"/>
        </w:rPr>
        <w:t xml:space="preserve"> </w:t>
      </w:r>
      <w:r w:rsidR="00B21047">
        <w:rPr>
          <w:rFonts w:ascii="Calibri" w:hAnsi="Calibri"/>
          <w:sz w:val="24"/>
          <w:szCs w:val="24"/>
        </w:rPr>
        <w:t xml:space="preserve">further </w:t>
      </w:r>
      <w:r w:rsidR="00B21047" w:rsidRPr="00CE6D8E">
        <w:rPr>
          <w:rFonts w:ascii="Calibri" w:hAnsi="Calibri"/>
          <w:sz w:val="24"/>
          <w:szCs w:val="24"/>
        </w:rPr>
        <w:t>provides</w:t>
      </w:r>
      <w:r w:rsidR="00B21047">
        <w:rPr>
          <w:rFonts w:ascii="Verdana" w:hAnsi="Verdana"/>
          <w:sz w:val="19"/>
          <w:szCs w:val="19"/>
        </w:rPr>
        <w:t xml:space="preserve"> “</w:t>
      </w:r>
      <w:r w:rsidR="00624394">
        <w:rPr>
          <w:rFonts w:ascii="Verdana" w:hAnsi="Verdana"/>
          <w:sz w:val="19"/>
          <w:szCs w:val="19"/>
        </w:rPr>
        <w:t xml:space="preserve">The second trust may be a trust </w:t>
      </w:r>
      <w:r w:rsidR="00B21047">
        <w:rPr>
          <w:rFonts w:ascii="Verdana" w:hAnsi="Verdana"/>
          <w:sz w:val="19"/>
          <w:szCs w:val="19"/>
        </w:rPr>
        <w:t>*****</w:t>
      </w:r>
      <w:r w:rsidR="00624394">
        <w:rPr>
          <w:rFonts w:ascii="Verdana" w:hAnsi="Verdana"/>
          <w:sz w:val="19"/>
          <w:szCs w:val="19"/>
        </w:rPr>
        <w:t xml:space="preserve"> created by the trustee of the first trust. The power described in this division may be exercised whether or not there is a current need to distribute trust principal under any standard contained in the first trust. The exercise of a trustee's power under this division is valid only if the governing instrument for the second trust does not materially change the interests of the beneficiaries of the first trust.</w:t>
      </w:r>
      <w:r w:rsidRPr="00FD5959">
        <w:rPr>
          <w:rFonts w:ascii="Calibri" w:hAnsi="Calibri"/>
          <w:sz w:val="24"/>
          <w:szCs w:val="24"/>
        </w:rPr>
        <w:t>”</w:t>
      </w:r>
      <w:r w:rsidRPr="00CE6D8E">
        <w:rPr>
          <w:rFonts w:ascii="Calibri" w:hAnsi="Calibri"/>
          <w:sz w:val="24"/>
          <w:szCs w:val="24"/>
        </w:rPr>
        <w:t xml:space="preserve"> </w:t>
      </w:r>
      <w:r w:rsidRPr="00CE6D8E">
        <w:rPr>
          <w:rFonts w:ascii="Calibri" w:hAnsi="Calibri"/>
          <w:color w:val="993300"/>
          <w:sz w:val="24"/>
          <w:szCs w:val="24"/>
        </w:rPr>
        <w:t xml:space="preserve">[note: </w:t>
      </w:r>
      <w:r w:rsidR="00624394">
        <w:rPr>
          <w:rFonts w:ascii="Calibri" w:hAnsi="Calibri"/>
          <w:color w:val="993300"/>
          <w:sz w:val="24"/>
          <w:szCs w:val="24"/>
        </w:rPr>
        <w:t>see points regarding decanting statutes in general in previous sample</w:t>
      </w:r>
      <w:r w:rsidRPr="00CE6D8E">
        <w:rPr>
          <w:rFonts w:ascii="Calibri" w:hAnsi="Calibri"/>
          <w:color w:val="993300"/>
          <w:sz w:val="24"/>
          <w:szCs w:val="24"/>
        </w:rPr>
        <w:t>]</w:t>
      </w:r>
      <w:r w:rsidR="00B21047">
        <w:rPr>
          <w:rFonts w:ascii="Calibri" w:hAnsi="Calibri"/>
          <w:color w:val="993300"/>
          <w:sz w:val="24"/>
          <w:szCs w:val="24"/>
        </w:rPr>
        <w:t>.</w:t>
      </w:r>
    </w:p>
    <w:p w14:paraId="6464FD57" w14:textId="77777777" w:rsidR="00F445A4" w:rsidRPr="00F445A4" w:rsidRDefault="00B21047" w:rsidP="00F445A4">
      <w:pPr>
        <w:pStyle w:val="FootnoteText"/>
        <w:ind w:left="720"/>
        <w:rPr>
          <w:rFonts w:ascii="Calibri" w:hAnsi="Calibri"/>
          <w:color w:val="993300"/>
          <w:sz w:val="24"/>
          <w:szCs w:val="24"/>
        </w:rPr>
      </w:pPr>
      <w:r w:rsidRPr="00B21047">
        <w:rPr>
          <w:rFonts w:ascii="Calibri" w:hAnsi="Calibri"/>
          <w:sz w:val="24"/>
          <w:szCs w:val="24"/>
        </w:rPr>
        <w:t xml:space="preserve"> </w:t>
      </w:r>
    </w:p>
    <w:p w14:paraId="1157D764" w14:textId="77777777" w:rsidR="00F7361D" w:rsidRDefault="00F445A4" w:rsidP="00180FD1">
      <w:pPr>
        <w:pStyle w:val="FootnoteText"/>
        <w:numPr>
          <w:ilvl w:val="0"/>
          <w:numId w:val="15"/>
        </w:numPr>
        <w:ind w:left="0" w:firstLine="720"/>
        <w:rPr>
          <w:rFonts w:ascii="Calibri" w:hAnsi="Calibri"/>
          <w:color w:val="993300"/>
          <w:sz w:val="24"/>
          <w:szCs w:val="24"/>
        </w:rPr>
      </w:pPr>
      <w:r>
        <w:rPr>
          <w:rFonts w:ascii="Calibri" w:hAnsi="Calibri"/>
          <w:sz w:val="24"/>
          <w:szCs w:val="24"/>
        </w:rPr>
        <w:t>Due to the limited nature and limited changes below, t</w:t>
      </w:r>
      <w:r w:rsidR="00B21047">
        <w:rPr>
          <w:rFonts w:ascii="Calibri" w:hAnsi="Calibri"/>
          <w:sz w:val="24"/>
          <w:szCs w:val="24"/>
        </w:rPr>
        <w:t>his decanting will not affect the beneficiary’s entitlement to income nor the trustee’s distribution standards, nor materially change the interests of the beneficiaries of the first trust.</w:t>
      </w:r>
    </w:p>
    <w:p w14:paraId="71EEC734" w14:textId="77777777" w:rsidR="00F7361D" w:rsidRDefault="00F7361D" w:rsidP="00F7361D">
      <w:pPr>
        <w:pStyle w:val="FootnoteText"/>
        <w:ind w:left="720"/>
        <w:rPr>
          <w:rFonts w:ascii="Calibri" w:hAnsi="Calibri"/>
          <w:color w:val="993300"/>
          <w:sz w:val="24"/>
          <w:szCs w:val="24"/>
        </w:rPr>
      </w:pPr>
    </w:p>
    <w:p w14:paraId="705D18B6" w14:textId="77777777" w:rsidR="00F7361D" w:rsidRPr="00CE6D8E" w:rsidRDefault="00F7361D" w:rsidP="00180FD1">
      <w:pPr>
        <w:pStyle w:val="FootnoteText"/>
        <w:numPr>
          <w:ilvl w:val="0"/>
          <w:numId w:val="15"/>
        </w:numPr>
        <w:ind w:left="0" w:firstLine="720"/>
        <w:rPr>
          <w:color w:val="993300"/>
          <w:sz w:val="24"/>
          <w:szCs w:val="24"/>
        </w:rPr>
      </w:pPr>
      <w:r>
        <w:rPr>
          <w:rFonts w:ascii="Calibri" w:hAnsi="Calibri"/>
          <w:color w:val="993300"/>
          <w:sz w:val="24"/>
          <w:szCs w:val="24"/>
        </w:rPr>
        <w:t>[Use if state law requires notice to beneficiary, but frankly even if prior notice is not required pursuant to statute it’s probably a good idea or may even be required under other fiduciary duties.]  Pursuant to Ohio R.C. §5808.18(F), all current beneficiaries are entitled to at least 30 days written notice of this distribution unless all current beneficiaries waive this.  Evidence of this notice and/or waiver is attached herein.</w:t>
      </w:r>
    </w:p>
    <w:p w14:paraId="3E8A0404" w14:textId="77777777" w:rsidR="00F7361D" w:rsidRPr="006B4B5C" w:rsidRDefault="00F7361D" w:rsidP="00F7361D">
      <w:pPr>
        <w:rPr>
          <w:rFonts w:ascii="Calibri" w:hAnsi="Calibri"/>
        </w:rPr>
      </w:pPr>
    </w:p>
    <w:p w14:paraId="4FC8D7B5" w14:textId="77777777" w:rsidR="00F7361D" w:rsidRPr="006B4B5C" w:rsidRDefault="00F7361D" w:rsidP="00F7361D">
      <w:pPr>
        <w:rPr>
          <w:rFonts w:ascii="Calibri" w:hAnsi="Calibri"/>
        </w:rPr>
      </w:pPr>
      <w:r w:rsidRPr="006B4B5C">
        <w:rPr>
          <w:rFonts w:ascii="Calibri" w:hAnsi="Calibri"/>
        </w:rPr>
        <w:lastRenderedPageBreak/>
        <w:tab/>
      </w:r>
      <w:r w:rsidRPr="006B4B5C">
        <w:rPr>
          <w:rFonts w:ascii="Calibri" w:hAnsi="Calibri"/>
          <w:b/>
        </w:rPr>
        <w:t>Now Therefore</w:t>
      </w:r>
      <w:r w:rsidRPr="006B4B5C">
        <w:rPr>
          <w:rFonts w:ascii="Calibri" w:hAnsi="Calibri"/>
        </w:rPr>
        <w:t xml:space="preserve">:  </w:t>
      </w:r>
      <w:r w:rsidRPr="006B4B5C">
        <w:rPr>
          <w:rFonts w:ascii="Calibri" w:hAnsi="Calibri"/>
        </w:rPr>
        <w:tab/>
      </w:r>
    </w:p>
    <w:p w14:paraId="670814D1" w14:textId="77777777" w:rsidR="00F7361D" w:rsidRPr="006B4B5C" w:rsidRDefault="00F7361D" w:rsidP="00F7361D">
      <w:pPr>
        <w:ind w:firstLine="720"/>
        <w:rPr>
          <w:rFonts w:ascii="Calibri" w:hAnsi="Calibri"/>
        </w:rPr>
      </w:pPr>
    </w:p>
    <w:p w14:paraId="3C137C81" w14:textId="77777777" w:rsidR="00F7361D" w:rsidRPr="006B4B5C" w:rsidRDefault="00F7361D" w:rsidP="00F7361D">
      <w:pPr>
        <w:ind w:firstLine="720"/>
        <w:rPr>
          <w:rFonts w:ascii="Calibri" w:hAnsi="Calibri"/>
        </w:rPr>
      </w:pPr>
      <w:r w:rsidRPr="006B4B5C">
        <w:rPr>
          <w:rFonts w:ascii="Calibri" w:hAnsi="Calibri"/>
        </w:rPr>
        <w:t xml:space="preserve">The undersigned Trustee </w:t>
      </w:r>
      <w:r>
        <w:rPr>
          <w:rFonts w:ascii="Calibri" w:hAnsi="Calibri"/>
        </w:rPr>
        <w:t>hereby</w:t>
      </w:r>
      <w:r w:rsidRPr="006B4B5C">
        <w:rPr>
          <w:rFonts w:ascii="Calibri" w:hAnsi="Calibri"/>
        </w:rPr>
        <w:t xml:space="preserve"> direct</w:t>
      </w:r>
      <w:r>
        <w:rPr>
          <w:rFonts w:ascii="Calibri" w:hAnsi="Calibri"/>
        </w:rPr>
        <w:t>s</w:t>
      </w:r>
      <w:r w:rsidRPr="006B4B5C">
        <w:rPr>
          <w:rFonts w:ascii="Calibri" w:hAnsi="Calibri"/>
        </w:rPr>
        <w:t xml:space="preserve"> that all </w:t>
      </w:r>
      <w:r w:rsidRPr="00CE6D8E">
        <w:rPr>
          <w:rFonts w:ascii="Calibri" w:hAnsi="Calibri"/>
          <w:color w:val="993300"/>
        </w:rPr>
        <w:t xml:space="preserve">[or, alternatively, </w:t>
      </w:r>
      <w:r>
        <w:rPr>
          <w:rFonts w:ascii="Calibri" w:hAnsi="Calibri"/>
          <w:color w:val="993300"/>
        </w:rPr>
        <w:t>a trustee</w:t>
      </w:r>
      <w:r w:rsidRPr="00CE6D8E">
        <w:rPr>
          <w:rFonts w:ascii="Calibri" w:hAnsi="Calibri"/>
          <w:color w:val="993300"/>
        </w:rPr>
        <w:t xml:space="preserve"> might only decant </w:t>
      </w:r>
      <w:r>
        <w:rPr>
          <w:rFonts w:ascii="Calibri" w:hAnsi="Calibri"/>
          <w:color w:val="993300"/>
        </w:rPr>
        <w:t xml:space="preserve">those </w:t>
      </w:r>
      <w:r w:rsidRPr="00CE6D8E">
        <w:rPr>
          <w:rFonts w:ascii="Calibri" w:hAnsi="Calibri"/>
          <w:color w:val="993300"/>
        </w:rPr>
        <w:t xml:space="preserve">assets capable </w:t>
      </w:r>
      <w:r>
        <w:rPr>
          <w:rFonts w:ascii="Calibri" w:hAnsi="Calibri"/>
          <w:color w:val="993300"/>
        </w:rPr>
        <w:t xml:space="preserve">or desiring </w:t>
      </w:r>
      <w:r w:rsidRPr="00CE6D8E">
        <w:rPr>
          <w:rFonts w:ascii="Calibri" w:hAnsi="Calibri"/>
          <w:color w:val="993300"/>
        </w:rPr>
        <w:t>of a step up in basis]</w:t>
      </w:r>
      <w:r>
        <w:rPr>
          <w:rFonts w:ascii="Calibri" w:hAnsi="Calibri"/>
        </w:rPr>
        <w:t xml:space="preserve"> </w:t>
      </w:r>
      <w:r w:rsidRPr="006B4B5C">
        <w:rPr>
          <w:rFonts w:ascii="Calibri" w:hAnsi="Calibri"/>
        </w:rPr>
        <w:t xml:space="preserve">of the Trust assets of the First Trust shall be distributed to </w:t>
      </w:r>
      <w:r>
        <w:rPr>
          <w:rFonts w:ascii="Calibri" w:hAnsi="Calibri"/>
        </w:rPr>
        <w:t>___________________________________</w:t>
      </w:r>
      <w:r w:rsidRPr="006B4B5C">
        <w:rPr>
          <w:rFonts w:ascii="Calibri" w:hAnsi="Calibri"/>
        </w:rPr>
        <w:t xml:space="preserve">, as Trustee of the Second Trust (as defined herein), to be administered as a part thereof. </w:t>
      </w:r>
    </w:p>
    <w:p w14:paraId="529C2DE4" w14:textId="77777777" w:rsidR="00F7361D" w:rsidRPr="006B4B5C" w:rsidRDefault="00F7361D" w:rsidP="00F7361D">
      <w:pPr>
        <w:ind w:firstLine="720"/>
        <w:rPr>
          <w:rFonts w:ascii="Calibri" w:hAnsi="Calibri"/>
        </w:rPr>
      </w:pPr>
    </w:p>
    <w:p w14:paraId="4C99532D" w14:textId="77777777" w:rsidR="00F7361D" w:rsidRPr="006B4B5C" w:rsidRDefault="00F7361D" w:rsidP="00F7361D">
      <w:pPr>
        <w:ind w:firstLine="720"/>
        <w:rPr>
          <w:rFonts w:ascii="Calibri" w:hAnsi="Calibri"/>
        </w:rPr>
      </w:pPr>
      <w:r w:rsidRPr="006B4B5C">
        <w:rPr>
          <w:rFonts w:ascii="Calibri" w:hAnsi="Calibri"/>
        </w:rPr>
        <w:t xml:space="preserve">“Second Trust” means </w:t>
      </w:r>
      <w:r>
        <w:rPr>
          <w:rFonts w:ascii="Calibri" w:hAnsi="Calibri"/>
        </w:rPr>
        <w:t xml:space="preserve">the </w:t>
      </w:r>
      <w:r w:rsidRPr="006B4B5C">
        <w:rPr>
          <w:rFonts w:ascii="Calibri" w:hAnsi="Calibri"/>
        </w:rPr>
        <w:t xml:space="preserve">trust created under this instrument.  The terms of the Second Trust shall be the same as the terms of the First Trust, which terms are incorporated herein by reference, except </w:t>
      </w:r>
      <w:r>
        <w:rPr>
          <w:rFonts w:ascii="Calibri" w:hAnsi="Calibri"/>
        </w:rPr>
        <w:t>for the additional</w:t>
      </w:r>
      <w:r w:rsidRPr="006B4B5C">
        <w:rPr>
          <w:rFonts w:ascii="Calibri" w:hAnsi="Calibri"/>
        </w:rPr>
        <w:t xml:space="preserve"> </w:t>
      </w:r>
      <w:r>
        <w:rPr>
          <w:rFonts w:ascii="Calibri" w:hAnsi="Calibri"/>
        </w:rPr>
        <w:t>provisions</w:t>
      </w:r>
      <w:r w:rsidRPr="006B4B5C">
        <w:rPr>
          <w:rFonts w:ascii="Calibri" w:hAnsi="Calibri"/>
        </w:rPr>
        <w:t xml:space="preserve"> as set forth below:</w:t>
      </w:r>
    </w:p>
    <w:p w14:paraId="3118CCE6" w14:textId="77777777" w:rsidR="00F7361D" w:rsidRPr="006B4B5C" w:rsidRDefault="00F7361D" w:rsidP="00F7361D">
      <w:pPr>
        <w:ind w:firstLine="720"/>
        <w:rPr>
          <w:rFonts w:ascii="Calibri" w:hAnsi="Calibri"/>
        </w:rPr>
      </w:pPr>
    </w:p>
    <w:p w14:paraId="1F796E72" w14:textId="77777777" w:rsidR="00F7361D" w:rsidRPr="006B4B5C" w:rsidRDefault="00F7361D" w:rsidP="00F7361D">
      <w:pPr>
        <w:ind w:firstLine="720"/>
        <w:rPr>
          <w:rFonts w:ascii="Calibri" w:hAnsi="Calibri"/>
        </w:rPr>
      </w:pPr>
      <w:r w:rsidRPr="006B4B5C">
        <w:rPr>
          <w:rFonts w:ascii="Calibri" w:hAnsi="Calibri"/>
        </w:rPr>
        <w:t>1.</w:t>
      </w:r>
      <w:r w:rsidRPr="006B4B5C">
        <w:rPr>
          <w:rFonts w:ascii="Calibri" w:hAnsi="Calibri"/>
        </w:rPr>
        <w:tab/>
        <w:t>T</w:t>
      </w:r>
      <w:r>
        <w:rPr>
          <w:rFonts w:ascii="Calibri" w:hAnsi="Calibri"/>
        </w:rPr>
        <w:t xml:space="preserve">rustee hereby grants to ___________________ </w:t>
      </w:r>
      <w:r w:rsidRPr="006B3E82">
        <w:rPr>
          <w:rFonts w:ascii="Calibri" w:hAnsi="Calibri"/>
          <w:color w:val="993300"/>
        </w:rPr>
        <w:t>[settlor’s spouse or other beneficiary]</w:t>
      </w:r>
      <w:r>
        <w:rPr>
          <w:rFonts w:ascii="Calibri" w:hAnsi="Calibri"/>
        </w:rPr>
        <w:t xml:space="preserve"> </w:t>
      </w:r>
      <w:r w:rsidRPr="006B4B5C">
        <w:rPr>
          <w:rFonts w:ascii="Calibri" w:hAnsi="Calibri"/>
        </w:rPr>
        <w:t xml:space="preserve">a </w:t>
      </w:r>
      <w:r>
        <w:rPr>
          <w:rFonts w:ascii="Calibri" w:hAnsi="Calibri"/>
        </w:rPr>
        <w:t xml:space="preserve">testamentary </w:t>
      </w:r>
      <w:r w:rsidRPr="006B4B5C">
        <w:rPr>
          <w:rFonts w:ascii="Calibri" w:hAnsi="Calibri"/>
        </w:rPr>
        <w:t>general power of appointment</w:t>
      </w:r>
      <w:r>
        <w:rPr>
          <w:rFonts w:ascii="Calibri" w:hAnsi="Calibri"/>
        </w:rPr>
        <w:t xml:space="preserve"> [limited power of appointment] as follows</w:t>
      </w:r>
      <w:r w:rsidRPr="006B4B5C">
        <w:rPr>
          <w:rFonts w:ascii="Calibri" w:hAnsi="Calibri"/>
        </w:rPr>
        <w:t>:</w:t>
      </w:r>
    </w:p>
    <w:p w14:paraId="108ECB8E" w14:textId="77777777" w:rsidR="00F7361D" w:rsidRPr="006B4B5C" w:rsidRDefault="00F7361D" w:rsidP="00F7361D">
      <w:pPr>
        <w:ind w:firstLine="720"/>
        <w:rPr>
          <w:rFonts w:ascii="Calibri" w:hAnsi="Calibri"/>
        </w:rPr>
      </w:pPr>
    </w:p>
    <w:p w14:paraId="5123CCA5" w14:textId="77777777" w:rsidR="00F7361D" w:rsidRDefault="00F7361D" w:rsidP="00F7361D">
      <w:pPr>
        <w:rPr>
          <w:rFonts w:ascii="Calibri" w:hAnsi="Calibri"/>
          <w:color w:val="993300"/>
        </w:rPr>
      </w:pPr>
      <w:r>
        <w:rPr>
          <w:rFonts w:ascii="Calibri" w:hAnsi="Calibri"/>
        </w:rPr>
        <w:tab/>
      </w:r>
      <w:r w:rsidRPr="006B3E82">
        <w:rPr>
          <w:rFonts w:ascii="Calibri" w:hAnsi="Calibri"/>
          <w:color w:val="993300"/>
        </w:rPr>
        <w:t>INSERT PARAGRAPH</w:t>
      </w:r>
      <w:r>
        <w:rPr>
          <w:rFonts w:ascii="Calibri" w:hAnsi="Calibri"/>
          <w:color w:val="993300"/>
        </w:rPr>
        <w:t>S</w:t>
      </w:r>
      <w:r w:rsidRPr="006B3E82">
        <w:rPr>
          <w:rFonts w:ascii="Calibri" w:hAnsi="Calibri"/>
          <w:color w:val="993300"/>
        </w:rPr>
        <w:t xml:space="preserve"> GRANTING </w:t>
      </w:r>
      <w:r w:rsidR="008B72D9">
        <w:rPr>
          <w:rFonts w:ascii="Calibri" w:hAnsi="Calibri"/>
          <w:color w:val="993300"/>
        </w:rPr>
        <w:t>NARROW</w:t>
      </w:r>
      <w:r w:rsidR="00B21047">
        <w:rPr>
          <w:rFonts w:ascii="Calibri" w:hAnsi="Calibri"/>
          <w:color w:val="993300"/>
        </w:rPr>
        <w:t xml:space="preserve"> TESTAMENTARY </w:t>
      </w:r>
      <w:r w:rsidRPr="006B3E82">
        <w:rPr>
          <w:rFonts w:ascii="Calibri" w:hAnsi="Calibri"/>
          <w:color w:val="993300"/>
        </w:rPr>
        <w:t>GPOA or LPOA TO TRIGGER §2041(a)(3) HERE</w:t>
      </w:r>
    </w:p>
    <w:p w14:paraId="656EA969" w14:textId="77777777" w:rsidR="00B21047" w:rsidRPr="006B3E82" w:rsidRDefault="00B21047" w:rsidP="00F7361D">
      <w:pPr>
        <w:rPr>
          <w:rFonts w:ascii="Calibri" w:hAnsi="Calibri"/>
          <w:color w:val="993300"/>
        </w:rPr>
      </w:pPr>
      <w:r>
        <w:rPr>
          <w:rFonts w:ascii="Calibri" w:hAnsi="Calibri"/>
          <w:color w:val="993300"/>
        </w:rPr>
        <w:tab/>
        <w:t xml:space="preserve">Some may argue that adding a </w:t>
      </w:r>
      <w:r w:rsidR="008B72D9">
        <w:rPr>
          <w:rFonts w:ascii="Calibri" w:hAnsi="Calibri"/>
          <w:color w:val="993300"/>
        </w:rPr>
        <w:t xml:space="preserve">narrow </w:t>
      </w:r>
      <w:r>
        <w:rPr>
          <w:rFonts w:ascii="Calibri" w:hAnsi="Calibri"/>
          <w:color w:val="993300"/>
        </w:rPr>
        <w:t xml:space="preserve">testamentary </w:t>
      </w:r>
      <w:r w:rsidR="008B72D9">
        <w:rPr>
          <w:rFonts w:ascii="Calibri" w:hAnsi="Calibri"/>
          <w:color w:val="993300"/>
        </w:rPr>
        <w:t>power of appointment would “materially change the interests of the beneficiaries of the first trust”, principally of course the remaindermen.  For certain, it would make their vested interests subject to divestment, or at least some form of divestment – if, for example, the trustee added an LPOA that only allowed appointment to trusts for children in equal per stirpes shares, granting them a PEG power, as opposed to the residuary of the trust which simply distributes to the children outright, is this really a “material change” for purposes of Ohio’s decanting statute?  I doubt any beneficiary or Ohio court would see that as material, but it’s still enough to trigger the Delaware Tax Trap and may save the family hundreds of thousands of dollars in income tax.</w:t>
      </w:r>
    </w:p>
    <w:p w14:paraId="61660852" w14:textId="77777777" w:rsidR="00F7361D" w:rsidRPr="006B4B5C" w:rsidRDefault="00F7361D" w:rsidP="00F7361D">
      <w:pPr>
        <w:rPr>
          <w:rFonts w:ascii="Calibri" w:hAnsi="Calibri"/>
        </w:rPr>
      </w:pPr>
    </w:p>
    <w:p w14:paraId="225A1033" w14:textId="77777777" w:rsidR="00F7361D" w:rsidRPr="003A773A" w:rsidRDefault="00F7361D" w:rsidP="00F7361D">
      <w:pPr>
        <w:rPr>
          <w:rFonts w:ascii="Calibri" w:hAnsi="Calibri"/>
          <w:color w:val="993300"/>
        </w:rPr>
      </w:pPr>
      <w:r w:rsidRPr="006B4B5C">
        <w:rPr>
          <w:rFonts w:ascii="Calibri" w:hAnsi="Calibri"/>
        </w:rPr>
        <w:tab/>
      </w:r>
    </w:p>
    <w:p w14:paraId="742C4945" w14:textId="77777777" w:rsidR="00F7361D" w:rsidRPr="006B4B5C" w:rsidRDefault="00F7361D" w:rsidP="00F7361D">
      <w:pPr>
        <w:ind w:firstLine="720"/>
        <w:rPr>
          <w:rFonts w:ascii="Calibri" w:hAnsi="Calibri"/>
        </w:rPr>
      </w:pPr>
    </w:p>
    <w:p w14:paraId="6203C69D" w14:textId="77777777" w:rsidR="00F7361D" w:rsidRPr="006B4B5C" w:rsidRDefault="00F7361D" w:rsidP="00F7361D">
      <w:pPr>
        <w:ind w:firstLine="720"/>
        <w:rPr>
          <w:rFonts w:ascii="Calibri" w:hAnsi="Calibri"/>
        </w:rPr>
      </w:pPr>
      <w:r w:rsidRPr="006B4B5C">
        <w:rPr>
          <w:rFonts w:ascii="Calibri" w:hAnsi="Calibri"/>
        </w:rPr>
        <w:t xml:space="preserve">IN WITNESS WHEREOF, </w:t>
      </w:r>
      <w:r>
        <w:rPr>
          <w:rFonts w:ascii="Calibri" w:hAnsi="Calibri"/>
          <w:b/>
        </w:rPr>
        <w:t>________________________</w:t>
      </w:r>
      <w:r w:rsidRPr="006B4B5C">
        <w:rPr>
          <w:rFonts w:ascii="Calibri" w:hAnsi="Calibri"/>
        </w:rPr>
        <w:t xml:space="preserve"> </w:t>
      </w:r>
      <w:r>
        <w:rPr>
          <w:rFonts w:ascii="Calibri" w:hAnsi="Calibri"/>
        </w:rPr>
        <w:t>[through</w:t>
      </w:r>
      <w:r w:rsidRPr="006B4B5C">
        <w:rPr>
          <w:rFonts w:ascii="Calibri" w:hAnsi="Calibri"/>
        </w:rPr>
        <w:t xml:space="preserve"> its duly authorized representative</w:t>
      </w:r>
      <w:r>
        <w:rPr>
          <w:rFonts w:ascii="Calibri" w:hAnsi="Calibri"/>
        </w:rPr>
        <w:t>], hereby</w:t>
      </w:r>
      <w:r w:rsidRPr="006B4B5C">
        <w:rPr>
          <w:rFonts w:ascii="Calibri" w:hAnsi="Calibri"/>
        </w:rPr>
        <w:t xml:space="preserve"> sign</w:t>
      </w:r>
      <w:r>
        <w:rPr>
          <w:rFonts w:ascii="Calibri" w:hAnsi="Calibri"/>
        </w:rPr>
        <w:t>s</w:t>
      </w:r>
      <w:r w:rsidRPr="006B4B5C">
        <w:rPr>
          <w:rFonts w:ascii="Calibri" w:hAnsi="Calibri"/>
        </w:rPr>
        <w:t xml:space="preserve"> this instrument </w:t>
      </w:r>
      <w:r>
        <w:rPr>
          <w:rFonts w:ascii="Calibri" w:hAnsi="Calibri"/>
        </w:rPr>
        <w:t xml:space="preserve">in its (his/her) capacity </w:t>
      </w:r>
      <w:r w:rsidRPr="006B4B5C">
        <w:rPr>
          <w:rFonts w:ascii="Calibri" w:hAnsi="Calibri"/>
        </w:rPr>
        <w:t xml:space="preserve">as </w:t>
      </w:r>
      <w:r>
        <w:rPr>
          <w:rFonts w:ascii="Calibri" w:hAnsi="Calibri"/>
        </w:rPr>
        <w:t xml:space="preserve">both </w:t>
      </w:r>
      <w:r w:rsidRPr="006B4B5C">
        <w:rPr>
          <w:rFonts w:ascii="Calibri" w:hAnsi="Calibri"/>
        </w:rPr>
        <w:t>Trustee of the First Trust and as the Trustee of the Second Trust,</w:t>
      </w:r>
      <w:r>
        <w:rPr>
          <w:rFonts w:ascii="Calibri" w:hAnsi="Calibri"/>
        </w:rPr>
        <w:t xml:space="preserve"> on</w:t>
      </w:r>
      <w:r w:rsidRPr="006B4B5C">
        <w:rPr>
          <w:rFonts w:ascii="Calibri" w:hAnsi="Calibri"/>
        </w:rPr>
        <w:t xml:space="preserve"> the date hereinafter set forth.  </w:t>
      </w:r>
    </w:p>
    <w:p w14:paraId="45E75A43" w14:textId="77777777" w:rsidR="00F7361D" w:rsidRPr="006B4B5C" w:rsidRDefault="00F7361D" w:rsidP="00F7361D">
      <w:pPr>
        <w:rPr>
          <w:rFonts w:ascii="Calibri" w:hAnsi="Calibri"/>
        </w:rPr>
      </w:pPr>
    </w:p>
    <w:p w14:paraId="577EA563" w14:textId="77777777" w:rsidR="00F7361D" w:rsidRPr="006B4B5C" w:rsidRDefault="00F7361D" w:rsidP="00F7361D">
      <w:pPr>
        <w:rPr>
          <w:rFonts w:ascii="Calibri" w:hAnsi="Calibri"/>
        </w:rPr>
      </w:pPr>
    </w:p>
    <w:p w14:paraId="309BBA22" w14:textId="77777777" w:rsidR="00F7361D" w:rsidRPr="006B4B5C" w:rsidRDefault="00F7361D" w:rsidP="00F7361D">
      <w:pPr>
        <w:rPr>
          <w:rFonts w:ascii="Calibri" w:hAnsi="Calibri"/>
        </w:rPr>
      </w:pP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Pr>
          <w:rFonts w:ascii="Calibri" w:hAnsi="Calibri"/>
          <w:b/>
        </w:rPr>
        <w:t>___________________________</w:t>
      </w:r>
      <w:r w:rsidRPr="006B4B5C">
        <w:rPr>
          <w:rFonts w:ascii="Calibri" w:hAnsi="Calibri"/>
        </w:rPr>
        <w:t>, Trustee</w:t>
      </w:r>
    </w:p>
    <w:p w14:paraId="614064CB" w14:textId="77777777" w:rsidR="00F7361D" w:rsidRPr="006B4B5C" w:rsidRDefault="00F7361D" w:rsidP="00F7361D">
      <w:pPr>
        <w:rPr>
          <w:rFonts w:ascii="Calibri" w:hAnsi="Calibri"/>
        </w:rPr>
      </w:pPr>
    </w:p>
    <w:p w14:paraId="7E67B3A8" w14:textId="77777777" w:rsidR="00F7361D" w:rsidRPr="006B4B5C" w:rsidRDefault="00F7361D" w:rsidP="00F7361D">
      <w:pPr>
        <w:rPr>
          <w:rFonts w:ascii="Calibri" w:hAnsi="Calibri"/>
        </w:rPr>
      </w:pP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t>By:  _______________________________</w:t>
      </w:r>
    </w:p>
    <w:p w14:paraId="6B643428" w14:textId="77777777" w:rsidR="00F7361D" w:rsidRPr="006B4B5C" w:rsidRDefault="00F7361D" w:rsidP="00F7361D">
      <w:pPr>
        <w:rPr>
          <w:rFonts w:ascii="Calibri" w:hAnsi="Calibri"/>
        </w:rPr>
      </w:pPr>
    </w:p>
    <w:p w14:paraId="7E31D3BF" w14:textId="77777777" w:rsidR="00F7361D" w:rsidRPr="006B4B5C" w:rsidRDefault="00F7361D" w:rsidP="00F7361D">
      <w:pPr>
        <w:ind w:firstLine="5040"/>
        <w:rPr>
          <w:rFonts w:ascii="Calibri" w:hAnsi="Calibri"/>
        </w:rPr>
      </w:pPr>
      <w:r w:rsidRPr="006B4B5C">
        <w:rPr>
          <w:rFonts w:ascii="Calibri" w:hAnsi="Calibri"/>
        </w:rPr>
        <w:t>Date:  _____________________________</w:t>
      </w:r>
    </w:p>
    <w:p w14:paraId="589531E8" w14:textId="77777777" w:rsidR="00F7361D" w:rsidRPr="006B4B5C" w:rsidRDefault="00F7361D" w:rsidP="00F7361D">
      <w:pPr>
        <w:rPr>
          <w:rFonts w:ascii="Calibri" w:hAnsi="Calibri"/>
        </w:rPr>
      </w:pPr>
    </w:p>
    <w:p w14:paraId="6EA8844B" w14:textId="77777777" w:rsidR="00F7361D" w:rsidRPr="006B4B5C" w:rsidRDefault="00F7361D" w:rsidP="00F7361D">
      <w:pPr>
        <w:rPr>
          <w:rFonts w:ascii="Calibri" w:hAnsi="Calibri"/>
        </w:rPr>
      </w:pPr>
      <w:r w:rsidRPr="006B4B5C">
        <w:rPr>
          <w:rFonts w:ascii="Calibri" w:hAnsi="Calibri"/>
        </w:rPr>
        <w:t>STATE OF OHIO</w:t>
      </w:r>
      <w:r w:rsidRPr="006B4B5C">
        <w:rPr>
          <w:rFonts w:ascii="Calibri" w:hAnsi="Calibri"/>
        </w:rPr>
        <w:tab/>
      </w:r>
      <w:r w:rsidRPr="006B4B5C">
        <w:rPr>
          <w:rFonts w:ascii="Calibri" w:hAnsi="Calibri"/>
        </w:rPr>
        <w:tab/>
        <w:t>)</w:t>
      </w:r>
    </w:p>
    <w:p w14:paraId="51E82A7B" w14:textId="77777777" w:rsidR="00F7361D" w:rsidRPr="006B4B5C" w:rsidRDefault="00F7361D" w:rsidP="00F7361D">
      <w:pPr>
        <w:ind w:firstLine="2880"/>
        <w:rPr>
          <w:rFonts w:ascii="Calibri" w:hAnsi="Calibri"/>
        </w:rPr>
      </w:pPr>
      <w:r w:rsidRPr="006B4B5C">
        <w:rPr>
          <w:rFonts w:ascii="Calibri" w:hAnsi="Calibri"/>
        </w:rPr>
        <w:t>)</w:t>
      </w:r>
      <w:r w:rsidRPr="006B4B5C">
        <w:rPr>
          <w:rFonts w:ascii="Calibri" w:hAnsi="Calibri"/>
        </w:rPr>
        <w:tab/>
        <w:t>SS.</w:t>
      </w:r>
    </w:p>
    <w:p w14:paraId="52B286A0" w14:textId="77777777" w:rsidR="00F7361D" w:rsidRPr="006B4B5C" w:rsidRDefault="00F7361D" w:rsidP="00F7361D">
      <w:pPr>
        <w:rPr>
          <w:rFonts w:ascii="Calibri" w:hAnsi="Calibri"/>
        </w:rPr>
      </w:pPr>
      <w:r w:rsidRPr="006B4B5C">
        <w:rPr>
          <w:rFonts w:ascii="Calibri" w:hAnsi="Calibri"/>
        </w:rPr>
        <w:t xml:space="preserve">COUNTY OF </w:t>
      </w:r>
      <w:r>
        <w:rPr>
          <w:rFonts w:ascii="Calibri" w:hAnsi="Calibri"/>
        </w:rPr>
        <w:t>WARREN</w:t>
      </w:r>
      <w:r w:rsidRPr="006B4B5C">
        <w:rPr>
          <w:rFonts w:ascii="Calibri" w:hAnsi="Calibri"/>
        </w:rPr>
        <w:tab/>
      </w:r>
      <w:r>
        <w:rPr>
          <w:rFonts w:ascii="Calibri" w:hAnsi="Calibri"/>
        </w:rPr>
        <w:tab/>
      </w:r>
      <w:r w:rsidRPr="006B4B5C">
        <w:rPr>
          <w:rFonts w:ascii="Calibri" w:hAnsi="Calibri"/>
        </w:rPr>
        <w:t>)</w:t>
      </w:r>
    </w:p>
    <w:p w14:paraId="25E38F14" w14:textId="77777777" w:rsidR="00F7361D" w:rsidRPr="006B4B5C" w:rsidRDefault="00F7361D" w:rsidP="00F7361D">
      <w:pPr>
        <w:rPr>
          <w:rFonts w:ascii="Calibri" w:hAnsi="Calibri"/>
        </w:rPr>
      </w:pPr>
    </w:p>
    <w:p w14:paraId="25F4BBC6" w14:textId="77777777" w:rsidR="00F7361D" w:rsidRPr="006B4B5C" w:rsidRDefault="00F7361D" w:rsidP="00F7361D">
      <w:pPr>
        <w:rPr>
          <w:rFonts w:ascii="Calibri" w:hAnsi="Calibri"/>
        </w:rPr>
      </w:pPr>
    </w:p>
    <w:p w14:paraId="38D455AD" w14:textId="77777777" w:rsidR="00F7361D" w:rsidRPr="006B4B5C" w:rsidRDefault="00F7361D" w:rsidP="00F7361D">
      <w:pPr>
        <w:ind w:firstLine="720"/>
        <w:rPr>
          <w:rFonts w:ascii="Calibri" w:hAnsi="Calibri"/>
        </w:rPr>
      </w:pPr>
      <w:r w:rsidRPr="006B4B5C">
        <w:rPr>
          <w:rFonts w:ascii="Calibri" w:hAnsi="Calibri"/>
        </w:rPr>
        <w:t xml:space="preserve">The foregoing instrument was acknowledged before me by ________________________ </w:t>
      </w:r>
      <w:r>
        <w:rPr>
          <w:rFonts w:ascii="Calibri" w:hAnsi="Calibri"/>
        </w:rPr>
        <w:t>[</w:t>
      </w:r>
      <w:r w:rsidRPr="006B4B5C">
        <w:rPr>
          <w:rFonts w:ascii="Calibri" w:hAnsi="Calibri"/>
        </w:rPr>
        <w:t xml:space="preserve">on behalf of </w:t>
      </w:r>
      <w:r>
        <w:rPr>
          <w:rFonts w:ascii="Calibri" w:hAnsi="Calibri"/>
          <w:b/>
        </w:rPr>
        <w:t>________________________________]</w:t>
      </w:r>
      <w:r w:rsidRPr="006B4B5C">
        <w:rPr>
          <w:rFonts w:ascii="Calibri" w:hAnsi="Calibri"/>
        </w:rPr>
        <w:t>, Trustee on ___________________, 2014.</w:t>
      </w:r>
    </w:p>
    <w:p w14:paraId="44E790E9" w14:textId="77777777" w:rsidR="00F7361D" w:rsidRPr="006B4B5C" w:rsidRDefault="00F7361D" w:rsidP="00F7361D">
      <w:pPr>
        <w:rPr>
          <w:rFonts w:ascii="Calibri" w:hAnsi="Calibri"/>
        </w:rPr>
      </w:pPr>
    </w:p>
    <w:p w14:paraId="02AF03EE" w14:textId="77777777" w:rsidR="00F7361D" w:rsidRPr="006B4B5C" w:rsidRDefault="00F7361D" w:rsidP="00F7361D">
      <w:pPr>
        <w:rPr>
          <w:rFonts w:ascii="Calibri" w:hAnsi="Calibri"/>
        </w:rPr>
      </w:pPr>
    </w:p>
    <w:p w14:paraId="0F36674E" w14:textId="77777777" w:rsidR="00F7361D" w:rsidRPr="006B4B5C" w:rsidRDefault="00F7361D" w:rsidP="00F7361D">
      <w:pPr>
        <w:rPr>
          <w:rFonts w:ascii="Calibri" w:hAnsi="Calibri"/>
        </w:rPr>
      </w:pPr>
      <w:r w:rsidRPr="006B4B5C">
        <w:rPr>
          <w:rFonts w:ascii="Calibri" w:hAnsi="Calibri"/>
        </w:rPr>
        <w:t>(SEAL)</w:t>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r>
      <w:r w:rsidRPr="006B4B5C">
        <w:rPr>
          <w:rFonts w:ascii="Calibri" w:hAnsi="Calibri"/>
        </w:rPr>
        <w:tab/>
        <w:t>____________________________________</w:t>
      </w:r>
    </w:p>
    <w:p w14:paraId="3525C466" w14:textId="77777777" w:rsidR="00F7361D" w:rsidRPr="006B4B5C" w:rsidRDefault="00F7361D" w:rsidP="00F7361D">
      <w:pPr>
        <w:ind w:left="3600" w:firstLine="720"/>
        <w:rPr>
          <w:rFonts w:ascii="Calibri" w:hAnsi="Calibri"/>
        </w:rPr>
      </w:pPr>
      <w:r w:rsidRPr="006B4B5C">
        <w:rPr>
          <w:rFonts w:ascii="Calibri" w:hAnsi="Calibri"/>
        </w:rPr>
        <w:t>Notary Public</w:t>
      </w:r>
    </w:p>
    <w:p w14:paraId="04EC5C38" w14:textId="77777777" w:rsidR="00F7361D" w:rsidRPr="006B4B5C" w:rsidRDefault="00F7361D" w:rsidP="00F7361D">
      <w:pPr>
        <w:rPr>
          <w:rFonts w:ascii="Calibri" w:hAnsi="Calibri"/>
        </w:rPr>
      </w:pPr>
    </w:p>
    <w:p w14:paraId="7A9A77AE" w14:textId="77777777" w:rsidR="00F7361D" w:rsidRDefault="00F7361D" w:rsidP="00F7361D">
      <w:pPr>
        <w:rPr>
          <w:rFonts w:ascii="Calibri" w:hAnsi="Calibri"/>
        </w:rPr>
      </w:pPr>
    </w:p>
    <w:p w14:paraId="12EE35EA" w14:textId="77777777" w:rsidR="00F7361D" w:rsidRDefault="00F7361D" w:rsidP="00F7361D">
      <w:pPr>
        <w:rPr>
          <w:rFonts w:ascii="Calibri" w:hAnsi="Calibri"/>
        </w:rPr>
      </w:pPr>
    </w:p>
    <w:p w14:paraId="57971478" w14:textId="77777777" w:rsidR="00F7361D" w:rsidRDefault="00F7361D" w:rsidP="00F7361D">
      <w:pPr>
        <w:rPr>
          <w:rFonts w:ascii="Calibri" w:hAnsi="Calibri"/>
        </w:rPr>
      </w:pPr>
    </w:p>
    <w:p w14:paraId="59F91DDA" w14:textId="77777777" w:rsidR="00F7361D" w:rsidRPr="006B4B5C" w:rsidRDefault="00F7361D" w:rsidP="00F7361D">
      <w:pPr>
        <w:rPr>
          <w:rFonts w:ascii="Calibri" w:hAnsi="Calibri"/>
        </w:rPr>
      </w:pPr>
      <w:r w:rsidRPr="006B4B5C">
        <w:rPr>
          <w:rFonts w:ascii="Calibri" w:hAnsi="Calibri"/>
        </w:rPr>
        <w:t>This Instrument was Prepared By:</w:t>
      </w:r>
    </w:p>
    <w:p w14:paraId="44FB215E" w14:textId="77777777" w:rsidR="00F7361D" w:rsidRDefault="00F7361D" w:rsidP="00F7361D">
      <w:pPr>
        <w:rPr>
          <w:rFonts w:ascii="Calibri" w:hAnsi="Calibri"/>
        </w:rPr>
      </w:pPr>
      <w:r>
        <w:rPr>
          <w:rFonts w:ascii="Calibri" w:hAnsi="Calibri"/>
        </w:rPr>
        <w:t>___________________________</w:t>
      </w:r>
    </w:p>
    <w:p w14:paraId="713BDF93" w14:textId="77777777" w:rsidR="00B21047" w:rsidRPr="006B4B5C" w:rsidRDefault="00B21047" w:rsidP="00F7361D">
      <w:pPr>
        <w:rPr>
          <w:rFonts w:ascii="Calibri" w:hAnsi="Calibri"/>
        </w:rPr>
      </w:pPr>
      <w:r>
        <w:rPr>
          <w:rFonts w:ascii="Calibri" w:hAnsi="Calibri"/>
        </w:rPr>
        <w:t>___________________________</w:t>
      </w:r>
    </w:p>
    <w:p w14:paraId="20FCEEBC" w14:textId="77777777" w:rsidR="00053BBB" w:rsidRDefault="00053BBB" w:rsidP="00F7361D">
      <w:pPr>
        <w:rPr>
          <w:rFonts w:ascii="Calibri" w:hAnsi="Calibri"/>
          <w:color w:val="993300"/>
          <w:lang w:val="en"/>
        </w:rPr>
      </w:pPr>
    </w:p>
    <w:p w14:paraId="225F5E2B" w14:textId="77777777" w:rsidR="00053BBB" w:rsidRDefault="00053BBB" w:rsidP="00F7361D">
      <w:pPr>
        <w:rPr>
          <w:rFonts w:ascii="Calibri" w:hAnsi="Calibri"/>
          <w:color w:val="993300"/>
          <w:lang w:val="en"/>
        </w:rPr>
      </w:pPr>
    </w:p>
    <w:p w14:paraId="3FAC501E" w14:textId="77777777" w:rsidR="00A30DC3" w:rsidRPr="00960925" w:rsidRDefault="00053BBB" w:rsidP="00F7361D">
      <w:pPr>
        <w:rPr>
          <w:rFonts w:ascii="Calibri" w:hAnsi="Calibri"/>
          <w:b/>
        </w:rPr>
      </w:pPr>
      <w:r>
        <w:rPr>
          <w:rFonts w:ascii="Calibri" w:hAnsi="Calibri"/>
          <w:color w:val="993300"/>
          <w:lang w:val="en"/>
        </w:rPr>
        <w:t>If you are in Ohio or a state like Ohio, attach notice or waivers of notice.</w:t>
      </w:r>
      <w:r w:rsidR="00F7361D">
        <w:rPr>
          <w:rFonts w:ascii="Calibri" w:hAnsi="Calibri"/>
          <w:color w:val="993300"/>
          <w:lang w:val="en"/>
        </w:rPr>
        <w:br w:type="page"/>
      </w:r>
      <w:r w:rsidR="00A30DC3" w:rsidRPr="00960925">
        <w:rPr>
          <w:rFonts w:ascii="Calibri" w:hAnsi="Calibri"/>
          <w:b/>
        </w:rPr>
        <w:lastRenderedPageBreak/>
        <w:t>Examining Irrevocable Trusts for Opportunities to Step Up Basis at Death of Beneficiary</w:t>
      </w:r>
    </w:p>
    <w:p w14:paraId="508A6717" w14:textId="77777777" w:rsidR="00A30DC3" w:rsidRPr="00960925" w:rsidRDefault="00A30DC3" w:rsidP="00A30DC3">
      <w:pPr>
        <w:rPr>
          <w:rFonts w:ascii="Calibri" w:hAnsi="Calibri"/>
        </w:rPr>
      </w:pPr>
    </w:p>
    <w:p w14:paraId="68A1AF2D" w14:textId="77777777" w:rsidR="00A30DC3" w:rsidRDefault="00A30DC3" w:rsidP="00180FD1">
      <w:pPr>
        <w:numPr>
          <w:ilvl w:val="0"/>
          <w:numId w:val="13"/>
        </w:numPr>
        <w:ind w:left="0" w:firstLine="0"/>
        <w:rPr>
          <w:rFonts w:ascii="Calibri" w:hAnsi="Calibri"/>
        </w:rPr>
      </w:pPr>
      <w:r w:rsidRPr="00960925">
        <w:rPr>
          <w:rFonts w:ascii="Calibri" w:hAnsi="Calibri"/>
        </w:rPr>
        <w:t xml:space="preserve">Does the trust grant the beneficiary a </w:t>
      </w:r>
      <w:r w:rsidRPr="00960925">
        <w:rPr>
          <w:rFonts w:ascii="Calibri" w:hAnsi="Calibri"/>
          <w:i/>
        </w:rPr>
        <w:t>general</w:t>
      </w:r>
      <w:r w:rsidRPr="00960925">
        <w:rPr>
          <w:rFonts w:ascii="Calibri" w:hAnsi="Calibri"/>
        </w:rPr>
        <w:t xml:space="preserve"> power of appointment, allowing the beneficiary to appoint to himself, his estate or creditors or either?  Or, does the trust direct the trustee to pay debts/creditors of the decedent/beneficiary?  If yes, then </w:t>
      </w:r>
      <w:r w:rsidRPr="00960925">
        <w:rPr>
          <w:rFonts w:ascii="Calibri" w:hAnsi="Calibri"/>
          <w:b/>
        </w:rPr>
        <w:t>stop</w:t>
      </w:r>
      <w:r w:rsidRPr="00960925">
        <w:rPr>
          <w:rFonts w:ascii="Calibri" w:hAnsi="Calibri"/>
        </w:rPr>
        <w:t xml:space="preserve"> – the assets in the trust will receive a date of death basis.</w:t>
      </w:r>
      <w:r w:rsidRPr="00960925">
        <w:rPr>
          <w:rStyle w:val="FootnoteReference"/>
          <w:rFonts w:ascii="Calibri" w:hAnsi="Calibri"/>
        </w:rPr>
        <w:footnoteReference w:id="529"/>
      </w:r>
      <w:r w:rsidRPr="00960925">
        <w:rPr>
          <w:rFonts w:ascii="Calibri" w:hAnsi="Calibri"/>
        </w:rPr>
        <w:t xml:space="preserve"> </w:t>
      </w:r>
    </w:p>
    <w:p w14:paraId="71ED0AD4" w14:textId="77777777" w:rsidR="00724CE6" w:rsidRPr="00960925" w:rsidRDefault="00724CE6" w:rsidP="00724CE6">
      <w:pPr>
        <w:rPr>
          <w:rFonts w:ascii="Calibri" w:hAnsi="Calibri"/>
        </w:rPr>
      </w:pPr>
    </w:p>
    <w:p w14:paraId="2DC559E2" w14:textId="73074962" w:rsidR="00A30DC3" w:rsidRDefault="00A30DC3" w:rsidP="00180FD1">
      <w:pPr>
        <w:numPr>
          <w:ilvl w:val="0"/>
          <w:numId w:val="13"/>
        </w:numPr>
        <w:ind w:left="0" w:firstLine="0"/>
        <w:rPr>
          <w:rFonts w:ascii="Calibri" w:hAnsi="Calibri"/>
        </w:rPr>
      </w:pPr>
      <w:r w:rsidRPr="00960925">
        <w:rPr>
          <w:rFonts w:ascii="Calibri" w:hAnsi="Calibri"/>
        </w:rPr>
        <w:t xml:space="preserve">Does the trust name the beneficiary as controlling trustee, or allow the beneficiary to name themselves as controlling trustee, without any ascertainable standards as to distribution to that beneficiary?  And, is the trust sitused in a state that does not have a savings statute to graft ascertainable standards upon the trust?  If yes, then </w:t>
      </w:r>
      <w:r w:rsidRPr="00960925">
        <w:rPr>
          <w:rFonts w:ascii="Calibri" w:hAnsi="Calibri"/>
          <w:b/>
        </w:rPr>
        <w:t>stop</w:t>
      </w:r>
      <w:r w:rsidRPr="00960925">
        <w:rPr>
          <w:rFonts w:ascii="Calibri" w:hAnsi="Calibri"/>
        </w:rPr>
        <w:t xml:space="preserve"> – the assets in the trust will receive a new basis on the beneficiary’s death.  These would be very rare, </w:t>
      </w:r>
      <w:r w:rsidR="00342E46">
        <w:rPr>
          <w:rFonts w:ascii="Calibri" w:hAnsi="Calibri"/>
        </w:rPr>
        <w:t>as</w:t>
      </w:r>
      <w:r w:rsidRPr="00960925">
        <w:rPr>
          <w:rFonts w:ascii="Calibri" w:hAnsi="Calibri"/>
        </w:rPr>
        <w:t xml:space="preserve"> trusts often have a savings clause preventing this result</w:t>
      </w:r>
      <w:r w:rsidR="00342E46">
        <w:rPr>
          <w:rFonts w:ascii="Calibri" w:hAnsi="Calibri"/>
        </w:rPr>
        <w:t>, and many states have savings statutes</w:t>
      </w:r>
      <w:r w:rsidRPr="00960925">
        <w:rPr>
          <w:rFonts w:ascii="Calibri" w:hAnsi="Calibri"/>
        </w:rPr>
        <w:t>.</w:t>
      </w:r>
    </w:p>
    <w:p w14:paraId="0715F81D" w14:textId="77777777" w:rsidR="00724CE6" w:rsidRDefault="00724CE6" w:rsidP="00724CE6">
      <w:pPr>
        <w:rPr>
          <w:rFonts w:ascii="Calibri" w:hAnsi="Calibri"/>
        </w:rPr>
      </w:pPr>
    </w:p>
    <w:p w14:paraId="70DC2F2C" w14:textId="77777777" w:rsidR="00EA56DD" w:rsidRDefault="00AA3902" w:rsidP="00180FD1">
      <w:pPr>
        <w:numPr>
          <w:ilvl w:val="0"/>
          <w:numId w:val="13"/>
        </w:numPr>
        <w:ind w:left="0" w:firstLine="0"/>
        <w:rPr>
          <w:rFonts w:ascii="Calibri" w:hAnsi="Calibri"/>
        </w:rPr>
      </w:pPr>
      <w:r w:rsidRPr="00EA56DD">
        <w:rPr>
          <w:rFonts w:ascii="Calibri" w:hAnsi="Calibri"/>
        </w:rPr>
        <w:t xml:space="preserve">Could the trust have otherwise </w:t>
      </w:r>
      <w:r w:rsidR="00EA56DD" w:rsidRPr="00EA56DD">
        <w:rPr>
          <w:rFonts w:ascii="Calibri" w:hAnsi="Calibri"/>
        </w:rPr>
        <w:t xml:space="preserve">initially </w:t>
      </w:r>
      <w:r w:rsidRPr="00EA56DD">
        <w:rPr>
          <w:rFonts w:ascii="Calibri" w:hAnsi="Calibri"/>
        </w:rPr>
        <w:t xml:space="preserve">qualified for a QTIP election (all income to spouse, no other beneficiary, etc) </w:t>
      </w:r>
      <w:r w:rsidRPr="009D34C1">
        <w:rPr>
          <w:rFonts w:ascii="Calibri" w:hAnsi="Calibri"/>
          <w:i/>
        </w:rPr>
        <w:t xml:space="preserve">and no Form 706 </w:t>
      </w:r>
      <w:r w:rsidR="00EA56DD" w:rsidRPr="009D34C1">
        <w:rPr>
          <w:rFonts w:ascii="Calibri" w:hAnsi="Calibri"/>
          <w:i/>
        </w:rPr>
        <w:t xml:space="preserve">was </w:t>
      </w:r>
      <w:r w:rsidRPr="009D34C1">
        <w:rPr>
          <w:rFonts w:ascii="Calibri" w:hAnsi="Calibri"/>
          <w:i/>
        </w:rPr>
        <w:t>filed</w:t>
      </w:r>
      <w:r w:rsidRPr="00EA56DD">
        <w:rPr>
          <w:rFonts w:ascii="Calibri" w:hAnsi="Calibri"/>
        </w:rPr>
        <w:t xml:space="preserve">? </w:t>
      </w:r>
      <w:r w:rsidR="004D58C0" w:rsidRPr="00EA56DD">
        <w:rPr>
          <w:rFonts w:ascii="Calibri" w:hAnsi="Calibri"/>
        </w:rPr>
        <w:t xml:space="preserve">  </w:t>
      </w:r>
      <w:r w:rsidR="00EA56DD">
        <w:rPr>
          <w:rFonts w:ascii="Calibri" w:hAnsi="Calibri"/>
        </w:rPr>
        <w:t>Consider</w:t>
      </w:r>
      <w:r w:rsidR="004D58C0" w:rsidRPr="00EA56DD">
        <w:rPr>
          <w:rFonts w:ascii="Calibri" w:hAnsi="Calibri"/>
        </w:rPr>
        <w:t xml:space="preserve"> </w:t>
      </w:r>
      <w:r w:rsidR="009D34C1">
        <w:rPr>
          <w:rFonts w:ascii="Calibri" w:hAnsi="Calibri"/>
        </w:rPr>
        <w:t xml:space="preserve">filing Form 706 with </w:t>
      </w:r>
      <w:r w:rsidR="004D58C0" w:rsidRPr="00EA56DD">
        <w:rPr>
          <w:rFonts w:ascii="Calibri" w:hAnsi="Calibri"/>
        </w:rPr>
        <w:t xml:space="preserve">a </w:t>
      </w:r>
      <w:r w:rsidR="00EA56DD">
        <w:rPr>
          <w:rFonts w:ascii="Calibri" w:hAnsi="Calibri"/>
        </w:rPr>
        <w:t>late QTIP election, so that trust gets a second step up in basis when the surviving spouse dies.</w:t>
      </w:r>
    </w:p>
    <w:p w14:paraId="4A0AA57E" w14:textId="77777777" w:rsidR="00724CE6" w:rsidRDefault="00724CE6" w:rsidP="00724CE6">
      <w:pPr>
        <w:rPr>
          <w:rFonts w:ascii="Calibri" w:hAnsi="Calibri"/>
        </w:rPr>
      </w:pPr>
    </w:p>
    <w:p w14:paraId="157BAC04" w14:textId="4948A444" w:rsidR="00724CE6" w:rsidRDefault="00724CE6" w:rsidP="00180FD1">
      <w:pPr>
        <w:numPr>
          <w:ilvl w:val="0"/>
          <w:numId w:val="13"/>
        </w:numPr>
        <w:ind w:left="0" w:firstLine="0"/>
        <w:rPr>
          <w:rFonts w:ascii="Calibri" w:hAnsi="Calibri"/>
        </w:rPr>
      </w:pPr>
      <w:r w:rsidRPr="00237F14">
        <w:rPr>
          <w:rFonts w:ascii="Calibri" w:hAnsi="Calibri"/>
        </w:rPr>
        <w:t>Does the trust have a trust protector/advisor or other clause permitting a trust protector</w:t>
      </w:r>
      <w:r w:rsidR="00D97972" w:rsidRPr="00237F14">
        <w:rPr>
          <w:rFonts w:ascii="Calibri" w:hAnsi="Calibri"/>
        </w:rPr>
        <w:t>, trustee</w:t>
      </w:r>
      <w:r w:rsidRPr="00237F14">
        <w:rPr>
          <w:rFonts w:ascii="Calibri" w:hAnsi="Calibri"/>
        </w:rPr>
        <w:t xml:space="preserve"> or other non-adverse party the ability to </w:t>
      </w:r>
      <w:r w:rsidR="009870BF" w:rsidRPr="00237F14">
        <w:rPr>
          <w:rFonts w:ascii="Calibri" w:hAnsi="Calibri"/>
        </w:rPr>
        <w:t xml:space="preserve">add a </w:t>
      </w:r>
      <w:r w:rsidR="00237F14" w:rsidRPr="00237F14">
        <w:rPr>
          <w:rFonts w:ascii="Calibri" w:hAnsi="Calibri"/>
        </w:rPr>
        <w:t>GPOA</w:t>
      </w:r>
      <w:r w:rsidR="00237F14">
        <w:rPr>
          <w:rFonts w:ascii="Calibri" w:hAnsi="Calibri"/>
        </w:rPr>
        <w:t xml:space="preserve"> or LPOA</w:t>
      </w:r>
      <w:r w:rsidR="00D97972" w:rsidRPr="00237F14">
        <w:rPr>
          <w:rFonts w:ascii="Calibri" w:hAnsi="Calibri"/>
        </w:rPr>
        <w:t xml:space="preserve">?  </w:t>
      </w:r>
      <w:r w:rsidR="00237F14" w:rsidRPr="00237F14">
        <w:rPr>
          <w:rFonts w:ascii="Calibri" w:hAnsi="Calibri"/>
        </w:rPr>
        <w:t xml:space="preserve">If the powerholder is still alive, add it but release/disclaim any power to add a GPOA over cash, loss assets, IRD, etc, or </w:t>
      </w:r>
      <w:r w:rsidR="00237F14">
        <w:rPr>
          <w:rFonts w:ascii="Calibri" w:hAnsi="Calibri"/>
        </w:rPr>
        <w:t>assets exceeding a powerholder’s</w:t>
      </w:r>
      <w:r w:rsidR="00237F14" w:rsidRPr="00237F14">
        <w:rPr>
          <w:rFonts w:ascii="Calibri" w:hAnsi="Calibri"/>
        </w:rPr>
        <w:t xml:space="preserve"> available AEA.  If not, and it was not added, </w:t>
      </w:r>
      <w:r w:rsidR="00D97972" w:rsidRPr="00237F14">
        <w:rPr>
          <w:rFonts w:ascii="Calibri" w:hAnsi="Calibri"/>
        </w:rPr>
        <w:t>argue that such a power in itself is a GPOA held by spouse merely requiring the consent of a non-adverse party, hence a GPOA per §2041(b)(1)(C)(ii</w:t>
      </w:r>
      <w:r w:rsidR="00237F14">
        <w:rPr>
          <w:rFonts w:ascii="Calibri" w:hAnsi="Calibri"/>
        </w:rPr>
        <w:t>)</w:t>
      </w:r>
      <w:r w:rsidR="00B23B3D">
        <w:rPr>
          <w:rFonts w:ascii="Calibri" w:hAnsi="Calibri"/>
        </w:rPr>
        <w:t>.</w:t>
      </w:r>
    </w:p>
    <w:p w14:paraId="4482D5BE" w14:textId="77777777" w:rsidR="00237F14" w:rsidRPr="00237F14" w:rsidRDefault="00237F14" w:rsidP="00237F14">
      <w:pPr>
        <w:rPr>
          <w:rFonts w:ascii="Calibri" w:hAnsi="Calibri"/>
        </w:rPr>
      </w:pPr>
    </w:p>
    <w:p w14:paraId="6A4EAE04" w14:textId="77777777" w:rsidR="00A30DC3" w:rsidRDefault="00A30DC3" w:rsidP="00180FD1">
      <w:pPr>
        <w:numPr>
          <w:ilvl w:val="0"/>
          <w:numId w:val="13"/>
        </w:numPr>
        <w:ind w:left="0" w:firstLine="0"/>
        <w:rPr>
          <w:rFonts w:ascii="Calibri" w:hAnsi="Calibri"/>
        </w:rPr>
      </w:pPr>
      <w:r w:rsidRPr="00EA56DD">
        <w:rPr>
          <w:rFonts w:ascii="Calibri" w:hAnsi="Calibri"/>
        </w:rPr>
        <w:t xml:space="preserve">Does the trust grant the beneficiary a </w:t>
      </w:r>
      <w:r w:rsidRPr="00EA56DD">
        <w:rPr>
          <w:rFonts w:ascii="Calibri" w:hAnsi="Calibri"/>
          <w:i/>
        </w:rPr>
        <w:t>limited</w:t>
      </w:r>
      <w:r w:rsidRPr="00EA56DD">
        <w:rPr>
          <w:rFonts w:ascii="Calibri" w:hAnsi="Calibri"/>
        </w:rPr>
        <w:t xml:space="preserve"> testamentary power of appointment?  The clause does not have to use those words precisely; it must merely allow the beneficiary to direct where assets go at their d</w:t>
      </w:r>
      <w:r w:rsidR="00AB5CFE">
        <w:rPr>
          <w:rFonts w:ascii="Calibri" w:hAnsi="Calibri"/>
        </w:rPr>
        <w:t xml:space="preserve">eath.  If yes, then </w:t>
      </w:r>
      <w:r w:rsidR="00237F14">
        <w:rPr>
          <w:rFonts w:ascii="Calibri" w:hAnsi="Calibri"/>
        </w:rPr>
        <w:t>d</w:t>
      </w:r>
      <w:r w:rsidRPr="00960925">
        <w:rPr>
          <w:rFonts w:ascii="Calibri" w:hAnsi="Calibri"/>
        </w:rPr>
        <w:t xml:space="preserve">oes the trust permit the beneficiary powerholder to appoint to a trust or “for the benefit of” individual beneficiaries?  Most state laws will allow appointment to trust if the </w:t>
      </w:r>
      <w:r w:rsidR="00E756BE">
        <w:rPr>
          <w:rFonts w:ascii="Calibri" w:hAnsi="Calibri"/>
        </w:rPr>
        <w:t>trust/</w:t>
      </w:r>
      <w:r w:rsidRPr="00960925">
        <w:rPr>
          <w:rFonts w:ascii="Calibri" w:hAnsi="Calibri"/>
        </w:rPr>
        <w:t>power is silent.  See Restatement of Property, Third, Donative Transfers, §19.</w:t>
      </w:r>
      <w:r w:rsidR="000831BD">
        <w:rPr>
          <w:rFonts w:ascii="Calibri" w:hAnsi="Calibri"/>
        </w:rPr>
        <w:t>1</w:t>
      </w:r>
      <w:r w:rsidRPr="00960925">
        <w:rPr>
          <w:rFonts w:ascii="Calibri" w:hAnsi="Calibri"/>
        </w:rPr>
        <w:t xml:space="preserve">3 and </w:t>
      </w:r>
      <w:r w:rsidR="00AB5CFE">
        <w:rPr>
          <w:rFonts w:ascii="Calibri" w:hAnsi="Calibri"/>
        </w:rPr>
        <w:t>§19.</w:t>
      </w:r>
      <w:r w:rsidR="000831BD">
        <w:rPr>
          <w:rFonts w:ascii="Calibri" w:hAnsi="Calibri"/>
        </w:rPr>
        <w:t>1</w:t>
      </w:r>
      <w:r w:rsidR="00AB5CFE">
        <w:rPr>
          <w:rFonts w:ascii="Calibri" w:hAnsi="Calibri"/>
        </w:rPr>
        <w:t>4. If yes, then go to step 6</w:t>
      </w:r>
      <w:r w:rsidRPr="00960925">
        <w:rPr>
          <w:rFonts w:ascii="Calibri" w:hAnsi="Calibri"/>
        </w:rPr>
        <w:t xml:space="preserve">.  If no, go to step </w:t>
      </w:r>
      <w:r w:rsidR="00AB5CFE">
        <w:rPr>
          <w:rFonts w:ascii="Calibri" w:hAnsi="Calibri"/>
        </w:rPr>
        <w:t>7</w:t>
      </w:r>
      <w:r w:rsidRPr="00960925">
        <w:rPr>
          <w:rFonts w:ascii="Calibri" w:hAnsi="Calibri"/>
        </w:rPr>
        <w:t>.</w:t>
      </w:r>
    </w:p>
    <w:p w14:paraId="6776C10B" w14:textId="77777777" w:rsidR="00724CE6" w:rsidRPr="00960925" w:rsidRDefault="00724CE6" w:rsidP="00724CE6">
      <w:pPr>
        <w:rPr>
          <w:rFonts w:ascii="Calibri" w:hAnsi="Calibri"/>
        </w:rPr>
      </w:pPr>
    </w:p>
    <w:p w14:paraId="51D8AAEC" w14:textId="77777777" w:rsidR="00A30DC3" w:rsidRDefault="00A30DC3" w:rsidP="00180FD1">
      <w:pPr>
        <w:numPr>
          <w:ilvl w:val="0"/>
          <w:numId w:val="13"/>
        </w:numPr>
        <w:ind w:left="0" w:firstLine="0"/>
        <w:rPr>
          <w:rFonts w:ascii="Calibri" w:hAnsi="Calibri"/>
        </w:rPr>
      </w:pPr>
      <w:r w:rsidRPr="00960925">
        <w:rPr>
          <w:rFonts w:ascii="Calibri" w:hAnsi="Calibri"/>
        </w:rPr>
        <w:t>Has the powerholder appointed to a trust or subtrust for intended permissible beneficiaries, granting one or more of them a presently exercisable general power of appointment</w:t>
      </w:r>
      <w:r w:rsidR="00724CE6">
        <w:rPr>
          <w:rFonts w:ascii="Calibri" w:hAnsi="Calibri"/>
        </w:rPr>
        <w:t xml:space="preserve"> (withdrawal right, such as a Crummey power,</w:t>
      </w:r>
      <w:r w:rsidR="00237F14">
        <w:rPr>
          <w:rFonts w:ascii="Calibri" w:hAnsi="Calibri"/>
        </w:rPr>
        <w:t xml:space="preserve"> or</w:t>
      </w:r>
      <w:r w:rsidR="00724CE6">
        <w:rPr>
          <w:rFonts w:ascii="Calibri" w:hAnsi="Calibri"/>
        </w:rPr>
        <w:t xml:space="preserve"> power of revocation</w:t>
      </w:r>
      <w:r w:rsidR="00237F14">
        <w:rPr>
          <w:rFonts w:ascii="Calibri" w:hAnsi="Calibri"/>
        </w:rPr>
        <w:t>), even if it’s only a present power of the remainder of the trust coupled with an income interest</w:t>
      </w:r>
      <w:r w:rsidRPr="00960925">
        <w:rPr>
          <w:rFonts w:ascii="Calibri" w:hAnsi="Calibri"/>
        </w:rPr>
        <w:t xml:space="preserve">?  If yes, then any assets so appointed will receive a new </w:t>
      </w:r>
      <w:r w:rsidR="00724CE6">
        <w:rPr>
          <w:rFonts w:ascii="Calibri" w:hAnsi="Calibri"/>
        </w:rPr>
        <w:t xml:space="preserve">date of death </w:t>
      </w:r>
      <w:r w:rsidRPr="00960925">
        <w:rPr>
          <w:rFonts w:ascii="Calibri" w:hAnsi="Calibri"/>
        </w:rPr>
        <w:t>basis.</w:t>
      </w:r>
      <w:r w:rsidR="00617A71">
        <w:rPr>
          <w:rFonts w:ascii="Calibri" w:hAnsi="Calibri"/>
        </w:rPr>
        <w:t xml:space="preserve">  </w:t>
      </w:r>
      <w:r w:rsidR="00724CE6">
        <w:rPr>
          <w:rFonts w:ascii="Calibri" w:hAnsi="Calibri"/>
        </w:rPr>
        <w:t xml:space="preserve">If the appointive </w:t>
      </w:r>
      <w:r w:rsidR="00724CE6">
        <w:rPr>
          <w:rFonts w:ascii="Calibri" w:hAnsi="Calibri"/>
        </w:rPr>
        <w:lastRenderedPageBreak/>
        <w:t>trust has only a partial power, such as a</w:t>
      </w:r>
      <w:r w:rsidR="00237F14">
        <w:rPr>
          <w:rFonts w:ascii="Calibri" w:hAnsi="Calibri"/>
        </w:rPr>
        <w:t xml:space="preserve"> withdrawal right limited to a</w:t>
      </w:r>
      <w:r w:rsidR="00724CE6">
        <w:rPr>
          <w:rFonts w:ascii="Calibri" w:hAnsi="Calibri"/>
        </w:rPr>
        <w:t xml:space="preserve"> 5/5</w:t>
      </w:r>
      <w:r w:rsidR="00D97972">
        <w:rPr>
          <w:rFonts w:ascii="Calibri" w:hAnsi="Calibri"/>
        </w:rPr>
        <w:t xml:space="preserve"> power, then this is likely pro-</w:t>
      </w:r>
      <w:r w:rsidR="00724CE6">
        <w:rPr>
          <w:rFonts w:ascii="Calibri" w:hAnsi="Calibri"/>
        </w:rPr>
        <w:t>rated</w:t>
      </w:r>
      <w:r w:rsidR="00237F14">
        <w:rPr>
          <w:rFonts w:ascii="Calibri" w:hAnsi="Calibri"/>
        </w:rPr>
        <w:t xml:space="preserve"> to only cause inclusion of 5% of the trust</w:t>
      </w:r>
      <w:r w:rsidR="00724CE6">
        <w:rPr>
          <w:rFonts w:ascii="Calibri" w:hAnsi="Calibri"/>
        </w:rPr>
        <w:t xml:space="preserve">.  </w:t>
      </w:r>
      <w:r w:rsidR="00617A71">
        <w:rPr>
          <w:rFonts w:ascii="Calibri" w:hAnsi="Calibri"/>
        </w:rPr>
        <w:t>If no, then do so.</w:t>
      </w:r>
    </w:p>
    <w:p w14:paraId="0021F71B" w14:textId="77777777" w:rsidR="00D97972" w:rsidRPr="00960925" w:rsidRDefault="00D97972" w:rsidP="00D97972">
      <w:pPr>
        <w:rPr>
          <w:rFonts w:ascii="Calibri" w:hAnsi="Calibri"/>
        </w:rPr>
      </w:pPr>
    </w:p>
    <w:p w14:paraId="32117258" w14:textId="77777777" w:rsidR="00A30DC3" w:rsidRDefault="00A30DC3" w:rsidP="00180FD1">
      <w:pPr>
        <w:numPr>
          <w:ilvl w:val="0"/>
          <w:numId w:val="13"/>
        </w:numPr>
        <w:ind w:left="0" w:firstLine="0"/>
        <w:rPr>
          <w:rFonts w:ascii="Calibri" w:hAnsi="Calibri"/>
        </w:rPr>
      </w:pPr>
      <w:r w:rsidRPr="00960925">
        <w:rPr>
          <w:rFonts w:ascii="Calibri" w:hAnsi="Calibri"/>
        </w:rPr>
        <w:t>Does the trust</w:t>
      </w:r>
      <w:r w:rsidR="00237F14">
        <w:rPr>
          <w:rFonts w:ascii="Calibri" w:hAnsi="Calibri"/>
        </w:rPr>
        <w:t>ee</w:t>
      </w:r>
      <w:r w:rsidRPr="00960925">
        <w:rPr>
          <w:rFonts w:ascii="Calibri" w:hAnsi="Calibri"/>
        </w:rPr>
        <w:t xml:space="preserve"> have wide discretionary power to distribute corpus to the beneficiary and is governed by a state law that permits decanting?  If yes, then the trustee may decant to add a GPOA/LPOA to enable a new basis at the death of the powerholder.</w:t>
      </w:r>
      <w:r w:rsidRPr="00960925">
        <w:rPr>
          <w:rStyle w:val="FootnoteReference"/>
          <w:rFonts w:ascii="Calibri" w:hAnsi="Calibri"/>
        </w:rPr>
        <w:footnoteReference w:id="530"/>
      </w:r>
      <w:r w:rsidRPr="00960925">
        <w:rPr>
          <w:rFonts w:ascii="Calibri" w:hAnsi="Calibri"/>
        </w:rPr>
        <w:t xml:space="preserve">  </w:t>
      </w:r>
    </w:p>
    <w:p w14:paraId="0D24AB2B" w14:textId="77777777" w:rsidR="00724CE6" w:rsidRPr="00960925" w:rsidRDefault="00724CE6" w:rsidP="00724CE6">
      <w:pPr>
        <w:rPr>
          <w:rFonts w:ascii="Calibri" w:hAnsi="Calibri"/>
        </w:rPr>
      </w:pPr>
    </w:p>
    <w:p w14:paraId="52C758B4" w14:textId="77777777" w:rsidR="00617A71" w:rsidRDefault="00A30DC3" w:rsidP="00180FD1">
      <w:pPr>
        <w:numPr>
          <w:ilvl w:val="0"/>
          <w:numId w:val="13"/>
        </w:numPr>
        <w:ind w:left="0" w:firstLine="0"/>
        <w:rPr>
          <w:rFonts w:ascii="Calibri" w:hAnsi="Calibri"/>
        </w:rPr>
      </w:pPr>
      <w:r w:rsidRPr="00EA56DD">
        <w:rPr>
          <w:rFonts w:ascii="Calibri" w:hAnsi="Calibri"/>
        </w:rPr>
        <w:t xml:space="preserve">Is the trust governed by the UTC or other state law that would allow a trustee or beneficiary to petition the court for an amendment to add a GPOA/LPOA?  If yes, then the trustee may petition the court (or a beneficiary might, but see </w:t>
      </w:r>
      <w:r w:rsidR="00617A71">
        <w:rPr>
          <w:rFonts w:ascii="Calibri" w:hAnsi="Calibri"/>
        </w:rPr>
        <w:t>Part VII</w:t>
      </w:r>
      <w:r w:rsidRPr="00EA56DD">
        <w:rPr>
          <w:rFonts w:ascii="Calibri" w:hAnsi="Calibri"/>
        </w:rPr>
        <w:t xml:space="preserve"> of article cautioning </w:t>
      </w:r>
      <w:r w:rsidR="00237F14">
        <w:rPr>
          <w:rFonts w:ascii="Calibri" w:hAnsi="Calibri"/>
        </w:rPr>
        <w:t>against the potential adverse effect of</w:t>
      </w:r>
      <w:r w:rsidRPr="00EA56DD">
        <w:rPr>
          <w:rFonts w:ascii="Calibri" w:hAnsi="Calibri"/>
        </w:rPr>
        <w:t xml:space="preserve"> beneficiary actions) to amend the trust to add a</w:t>
      </w:r>
      <w:r w:rsidR="00237F14">
        <w:rPr>
          <w:rFonts w:ascii="Calibri" w:hAnsi="Calibri"/>
        </w:rPr>
        <w:t xml:space="preserve"> narrowly crafted</w:t>
      </w:r>
      <w:r w:rsidRPr="00EA56DD">
        <w:rPr>
          <w:rFonts w:ascii="Calibri" w:hAnsi="Calibri"/>
        </w:rPr>
        <w:t xml:space="preserve"> GPOA/LPOA to enable a new basis on the death of the powerholder.</w:t>
      </w:r>
    </w:p>
    <w:p w14:paraId="44A2C130" w14:textId="77777777" w:rsidR="00C201C5" w:rsidRDefault="00C201C5" w:rsidP="00C201C5">
      <w:pPr>
        <w:pStyle w:val="ListParagraph"/>
        <w:rPr>
          <w:rFonts w:ascii="Calibri" w:hAnsi="Calibri"/>
        </w:rPr>
      </w:pPr>
    </w:p>
    <w:p w14:paraId="32DA3970" w14:textId="77777777" w:rsidR="00C201C5" w:rsidRDefault="00C201C5">
      <w:pPr>
        <w:rPr>
          <w:rFonts w:ascii="Calibri" w:hAnsi="Calibri"/>
        </w:rPr>
      </w:pPr>
      <w:r>
        <w:rPr>
          <w:rFonts w:ascii="Calibri" w:hAnsi="Calibri"/>
        </w:rPr>
        <w:br w:type="page"/>
      </w:r>
    </w:p>
    <w:p w14:paraId="78DA3FD9" w14:textId="77777777" w:rsidR="00C201C5" w:rsidRDefault="001500CA" w:rsidP="00C201C5">
      <w:pPr>
        <w:rPr>
          <w:rFonts w:ascii="Calibri" w:hAnsi="Calibri"/>
          <w:b/>
        </w:rPr>
      </w:pPr>
      <w:r>
        <w:rPr>
          <w:rFonts w:ascii="Calibri" w:hAnsi="Calibri"/>
          <w:b/>
        </w:rPr>
        <w:lastRenderedPageBreak/>
        <w:t>Forfeiture provision to add to s</w:t>
      </w:r>
      <w:r w:rsidR="00C201C5" w:rsidRPr="00813E0A">
        <w:rPr>
          <w:rFonts w:ascii="Calibri" w:hAnsi="Calibri"/>
          <w:b/>
        </w:rPr>
        <w:t xml:space="preserve">pendthrift </w:t>
      </w:r>
      <w:r>
        <w:rPr>
          <w:rFonts w:ascii="Calibri" w:hAnsi="Calibri"/>
          <w:b/>
        </w:rPr>
        <w:t>c</w:t>
      </w:r>
      <w:r w:rsidR="00D63082">
        <w:rPr>
          <w:rFonts w:ascii="Calibri" w:hAnsi="Calibri"/>
          <w:b/>
        </w:rPr>
        <w:t>lause</w:t>
      </w:r>
      <w:r>
        <w:rPr>
          <w:rFonts w:ascii="Calibri" w:hAnsi="Calibri"/>
          <w:b/>
        </w:rPr>
        <w:t xml:space="preserve"> for better asset p</w:t>
      </w:r>
      <w:r w:rsidR="00C201C5" w:rsidRPr="00813E0A">
        <w:rPr>
          <w:rFonts w:ascii="Calibri" w:hAnsi="Calibri"/>
          <w:b/>
        </w:rPr>
        <w:t xml:space="preserve">rotection, with an appropriate carve out for </w:t>
      </w:r>
      <w:r>
        <w:rPr>
          <w:rFonts w:ascii="Calibri" w:hAnsi="Calibri"/>
          <w:b/>
        </w:rPr>
        <w:t xml:space="preserve">marital deduction trusts, </w:t>
      </w:r>
      <w:r w:rsidR="00C201C5" w:rsidRPr="00813E0A">
        <w:rPr>
          <w:rFonts w:ascii="Calibri" w:hAnsi="Calibri"/>
          <w:b/>
        </w:rPr>
        <w:t xml:space="preserve">QSST, IRA, </w:t>
      </w:r>
      <w:r w:rsidR="009F6243">
        <w:rPr>
          <w:rFonts w:ascii="Calibri" w:hAnsi="Calibri"/>
          <w:b/>
        </w:rPr>
        <w:t>§</w:t>
      </w:r>
      <w:r w:rsidR="00C201C5" w:rsidRPr="00813E0A">
        <w:rPr>
          <w:rFonts w:ascii="Calibri" w:hAnsi="Calibri"/>
          <w:b/>
        </w:rPr>
        <w:t>678(a)</w:t>
      </w:r>
      <w:r w:rsidR="00D63082">
        <w:rPr>
          <w:rFonts w:ascii="Calibri" w:hAnsi="Calibri"/>
          <w:b/>
        </w:rPr>
        <w:t xml:space="preserve"> </w:t>
      </w:r>
    </w:p>
    <w:p w14:paraId="67D05094" w14:textId="77777777" w:rsidR="00C9751E" w:rsidRPr="00A45532" w:rsidRDefault="00C9751E" w:rsidP="00C201C5">
      <w:pPr>
        <w:rPr>
          <w:rFonts w:ascii="Calibri" w:hAnsi="Calibri"/>
          <w:sz w:val="22"/>
          <w:szCs w:val="22"/>
        </w:rPr>
      </w:pPr>
    </w:p>
    <w:p w14:paraId="3DB03B92" w14:textId="77777777" w:rsidR="00C201C5" w:rsidRPr="00A45532" w:rsidRDefault="00C201C5" w:rsidP="00C201C5">
      <w:pPr>
        <w:rPr>
          <w:rFonts w:ascii="Calibri" w:hAnsi="Calibri"/>
          <w:sz w:val="22"/>
          <w:szCs w:val="22"/>
        </w:rPr>
      </w:pPr>
      <w:r w:rsidRPr="00A45532">
        <w:rPr>
          <w:rFonts w:ascii="Calibri" w:hAnsi="Calibri"/>
          <w:sz w:val="22"/>
          <w:szCs w:val="22"/>
        </w:rPr>
        <w:t xml:space="preserve">If by reason of any act of any such beneficiary, or by operation of law, or by the happening of any event, or for any other reason except an act of the Trustee authorized hereunder, any of such income or principal shall, or except for this provision would, cease to be enjoyed by such beneficiary, or if, by reason of an attempt of any such beneficiary to alienate, charge or encumber the same, or by reason of the bankruptcy or insolvency of such beneficiary, or because of any attachment, garnishment or other proceeding, or any order, finding or judgment of court either in law or in equity, the same, except for this provision, would vest in or be enjoyed by some other person, firm or corporation otherwise than as provided herein, then any mandatory </w:t>
      </w:r>
      <w:hyperlink r:id="rId64" w:anchor="hit41#hit41" w:history="1"/>
      <w:r w:rsidRPr="00A45532">
        <w:rPr>
          <w:rFonts w:ascii="Calibri" w:hAnsi="Calibri"/>
          <w:sz w:val="22"/>
          <w:szCs w:val="22"/>
        </w:rPr>
        <w:t xml:space="preserve">trust </w:t>
      </w:r>
      <w:r w:rsidR="00051AB3">
        <w:rPr>
          <w:rFonts w:ascii="Calibri" w:hAnsi="Calibri"/>
          <w:sz w:val="22"/>
          <w:szCs w:val="22"/>
        </w:rPr>
        <w:t xml:space="preserve">distribution </w:t>
      </w:r>
      <w:r w:rsidRPr="00A45532">
        <w:rPr>
          <w:rFonts w:ascii="Calibri" w:hAnsi="Calibri"/>
          <w:sz w:val="22"/>
          <w:szCs w:val="22"/>
        </w:rPr>
        <w:t xml:space="preserve">provisions </w:t>
      </w:r>
      <w:r w:rsidR="00051AB3">
        <w:rPr>
          <w:rFonts w:ascii="Calibri" w:hAnsi="Calibri"/>
          <w:sz w:val="22"/>
          <w:szCs w:val="22"/>
        </w:rPr>
        <w:t xml:space="preserve">(including a terminating distribution, unless required by the applicable rule against perpetuities) </w:t>
      </w:r>
      <w:r w:rsidRPr="00A45532">
        <w:rPr>
          <w:rFonts w:ascii="Calibri" w:hAnsi="Calibri"/>
          <w:sz w:val="22"/>
          <w:szCs w:val="22"/>
        </w:rPr>
        <w:t>or withdrawal rights herein expressed concerning such income and/or principal shall cease and such beneficiary may only receive distributions at the sole and absolute discretion of the trustee</w:t>
      </w:r>
      <w:r w:rsidR="00813E0A" w:rsidRPr="00A45532">
        <w:rPr>
          <w:rFonts w:ascii="Calibri" w:hAnsi="Calibri"/>
          <w:sz w:val="22"/>
          <w:szCs w:val="22"/>
        </w:rPr>
        <w:t>.</w:t>
      </w:r>
      <w:r w:rsidR="0089612F">
        <w:rPr>
          <w:rFonts w:ascii="Calibri" w:hAnsi="Calibri"/>
          <w:sz w:val="22"/>
          <w:szCs w:val="22"/>
        </w:rPr>
        <w:t xml:space="preserve">  In such event, the trustee may, in its sole discretion, make distributions to any descendants of the beneficiary, and if there are no descendants of the beneficiary, to</w:t>
      </w:r>
      <w:r w:rsidR="00051AB3">
        <w:rPr>
          <w:rFonts w:ascii="Calibri" w:hAnsi="Calibri"/>
          <w:sz w:val="22"/>
          <w:szCs w:val="22"/>
        </w:rPr>
        <w:t xml:space="preserve"> any of</w:t>
      </w:r>
      <w:r w:rsidR="0089612F">
        <w:rPr>
          <w:rFonts w:ascii="Calibri" w:hAnsi="Calibri"/>
          <w:sz w:val="22"/>
          <w:szCs w:val="22"/>
        </w:rPr>
        <w:t xml:space="preserve"> my descendants.</w:t>
      </w:r>
    </w:p>
    <w:p w14:paraId="2CEA28E8" w14:textId="516E54B4" w:rsidR="00C201C5" w:rsidRPr="00A45532" w:rsidRDefault="00C201C5" w:rsidP="00C201C5">
      <w:pPr>
        <w:rPr>
          <w:rFonts w:ascii="Calibri" w:hAnsi="Calibri"/>
          <w:sz w:val="22"/>
          <w:szCs w:val="22"/>
        </w:rPr>
      </w:pPr>
      <w:r w:rsidRPr="00A45532">
        <w:rPr>
          <w:rFonts w:ascii="Calibri" w:hAnsi="Calibri"/>
          <w:sz w:val="22"/>
          <w:szCs w:val="22"/>
        </w:rPr>
        <w:t>In addition to the above events triggering a forfeiture and voiding of a beneficiary’s mandatory interests and/or withdrawal rights, any filing in a court of domestic relations against a beneficiary or by a beneficiary</w:t>
      </w:r>
      <w:r w:rsidR="00FA6694">
        <w:rPr>
          <w:rFonts w:ascii="Calibri" w:hAnsi="Calibri"/>
          <w:sz w:val="22"/>
          <w:szCs w:val="22"/>
        </w:rPr>
        <w:t xml:space="preserve"> against a spouse</w:t>
      </w:r>
      <w:r w:rsidRPr="00A45532">
        <w:rPr>
          <w:rFonts w:ascii="Calibri" w:hAnsi="Calibri"/>
          <w:sz w:val="22"/>
          <w:szCs w:val="22"/>
        </w:rPr>
        <w:t>, other than a petition for adoption</w:t>
      </w:r>
      <w:r w:rsidR="00A45532" w:rsidRPr="00A45532">
        <w:rPr>
          <w:rFonts w:ascii="Calibri" w:hAnsi="Calibri"/>
          <w:sz w:val="22"/>
          <w:szCs w:val="22"/>
        </w:rPr>
        <w:t xml:space="preserve"> or name change</w:t>
      </w:r>
      <w:r w:rsidRPr="00A45532">
        <w:rPr>
          <w:rFonts w:ascii="Calibri" w:hAnsi="Calibri"/>
          <w:sz w:val="22"/>
          <w:szCs w:val="22"/>
        </w:rPr>
        <w:t xml:space="preserve">, such as for a divorce, dissolution or restraining order, shall expressly have the same effect as above.  </w:t>
      </w:r>
    </w:p>
    <w:p w14:paraId="2E301018" w14:textId="77777777" w:rsidR="00813E0A" w:rsidRPr="008B3B53" w:rsidRDefault="008B3B53" w:rsidP="00C201C5">
      <w:pPr>
        <w:rPr>
          <w:rFonts w:ascii="Calibri" w:hAnsi="Calibri"/>
          <w:color w:val="984806" w:themeColor="accent6" w:themeShade="80"/>
          <w:sz w:val="22"/>
          <w:szCs w:val="22"/>
        </w:rPr>
      </w:pPr>
      <w:r w:rsidRPr="008B3B53">
        <w:rPr>
          <w:rFonts w:ascii="Calibri" w:hAnsi="Calibri"/>
          <w:color w:val="984806" w:themeColor="accent6" w:themeShade="80"/>
          <w:sz w:val="22"/>
          <w:szCs w:val="22"/>
        </w:rPr>
        <w:t>Also – if you have trustee/beneficiary, “interested trustee” clauses, they might be integrated with this section to remove HEMS standards and require independent trustee to be appointed.</w:t>
      </w:r>
    </w:p>
    <w:p w14:paraId="04E62AF6" w14:textId="7EACA65E" w:rsidR="00C201C5" w:rsidRPr="00A45532" w:rsidRDefault="00C201C5" w:rsidP="00C201C5">
      <w:pPr>
        <w:rPr>
          <w:rFonts w:ascii="Calibri" w:hAnsi="Calibri"/>
          <w:sz w:val="22"/>
          <w:szCs w:val="22"/>
        </w:rPr>
      </w:pPr>
      <w:r w:rsidRPr="00A45532">
        <w:rPr>
          <w:rFonts w:ascii="Calibri" w:hAnsi="Calibri"/>
          <w:sz w:val="22"/>
          <w:szCs w:val="22"/>
        </w:rPr>
        <w:t>The death of a beneficiary shall also constitute a complete termination of such beneficiary’s interest in the trust and any payments accrued or undistributed by the trustee at the time of death of such beneficiary shall be distributed to the succeeding beneficiaries otherwise entitled to distr</w:t>
      </w:r>
      <w:r w:rsidR="00813E0A" w:rsidRPr="00A45532">
        <w:rPr>
          <w:rFonts w:ascii="Calibri" w:hAnsi="Calibri"/>
          <w:sz w:val="22"/>
          <w:szCs w:val="22"/>
        </w:rPr>
        <w:t>ibutions from the trust.</w:t>
      </w:r>
      <w:r w:rsidR="00BD2292" w:rsidRPr="00A45532">
        <w:rPr>
          <w:rFonts w:ascii="Calibri" w:hAnsi="Calibri"/>
          <w:sz w:val="22"/>
          <w:szCs w:val="22"/>
        </w:rPr>
        <w:t xml:space="preserve">  This paragraph shall not override any </w:t>
      </w:r>
      <w:r w:rsidR="008568C1" w:rsidRPr="00A45532">
        <w:rPr>
          <w:rFonts w:ascii="Calibri" w:hAnsi="Calibri"/>
          <w:sz w:val="22"/>
          <w:szCs w:val="22"/>
        </w:rPr>
        <w:t xml:space="preserve">exercise of a </w:t>
      </w:r>
      <w:r w:rsidR="00BD2292" w:rsidRPr="00A45532">
        <w:rPr>
          <w:rFonts w:ascii="Calibri" w:hAnsi="Calibri"/>
          <w:sz w:val="22"/>
          <w:szCs w:val="22"/>
        </w:rPr>
        <w:t>testamentary power of appointment.</w:t>
      </w:r>
    </w:p>
    <w:p w14:paraId="0D0AC25D" w14:textId="77777777" w:rsidR="00813E0A" w:rsidRPr="00A45532" w:rsidRDefault="00813E0A" w:rsidP="00C201C5">
      <w:pPr>
        <w:rPr>
          <w:rFonts w:ascii="Calibri" w:hAnsi="Calibri"/>
          <w:sz w:val="22"/>
          <w:szCs w:val="22"/>
        </w:rPr>
      </w:pPr>
    </w:p>
    <w:p w14:paraId="70CF1697" w14:textId="36109A77" w:rsidR="00C201C5" w:rsidRPr="00A45532" w:rsidRDefault="00813E0A" w:rsidP="00C201C5">
      <w:pPr>
        <w:rPr>
          <w:rFonts w:ascii="Calibri" w:hAnsi="Calibri"/>
          <w:sz w:val="22"/>
          <w:szCs w:val="22"/>
        </w:rPr>
      </w:pPr>
      <w:r w:rsidRPr="00A45532">
        <w:rPr>
          <w:rFonts w:ascii="Calibri" w:hAnsi="Calibri"/>
          <w:sz w:val="22"/>
          <w:szCs w:val="22"/>
        </w:rPr>
        <w:t>T</w:t>
      </w:r>
      <w:r w:rsidR="00C201C5" w:rsidRPr="00A45532">
        <w:rPr>
          <w:rFonts w:ascii="Calibri" w:hAnsi="Calibri"/>
          <w:sz w:val="22"/>
          <w:szCs w:val="22"/>
        </w:rPr>
        <w:t>he above provision</w:t>
      </w:r>
      <w:r w:rsidRPr="00A45532">
        <w:rPr>
          <w:rFonts w:ascii="Calibri" w:hAnsi="Calibri"/>
          <w:sz w:val="22"/>
          <w:szCs w:val="22"/>
        </w:rPr>
        <w:t>s</w:t>
      </w:r>
      <w:r w:rsidR="00C201C5" w:rsidRPr="00A45532">
        <w:rPr>
          <w:rFonts w:ascii="Calibri" w:hAnsi="Calibri"/>
          <w:sz w:val="22"/>
          <w:szCs w:val="22"/>
        </w:rPr>
        <w:t xml:space="preserve"> shall not apply to remove a mandatory income interest from any trust share </w:t>
      </w:r>
      <w:r w:rsidRPr="00A45532">
        <w:rPr>
          <w:rFonts w:ascii="Calibri" w:hAnsi="Calibri"/>
          <w:sz w:val="22"/>
          <w:szCs w:val="22"/>
        </w:rPr>
        <w:t>previously</w:t>
      </w:r>
      <w:r w:rsidR="00D63082">
        <w:rPr>
          <w:rFonts w:ascii="Calibri" w:hAnsi="Calibri"/>
          <w:sz w:val="22"/>
          <w:szCs w:val="22"/>
        </w:rPr>
        <w:t xml:space="preserve"> or currently</w:t>
      </w:r>
      <w:r w:rsidRPr="00A45532">
        <w:rPr>
          <w:rFonts w:ascii="Calibri" w:hAnsi="Calibri"/>
          <w:sz w:val="22"/>
          <w:szCs w:val="22"/>
        </w:rPr>
        <w:t xml:space="preserve"> qualified as a marital deduction trust or qualified subchapter S trust, or </w:t>
      </w:r>
      <w:r w:rsidR="00C201C5" w:rsidRPr="00A45532">
        <w:rPr>
          <w:rFonts w:ascii="Calibri" w:hAnsi="Calibri"/>
          <w:sz w:val="22"/>
          <w:szCs w:val="22"/>
        </w:rPr>
        <w:t>otherwise intended to qualify for the marital deduction or as a qualified subchapter S trust.</w:t>
      </w:r>
      <w:r w:rsidR="00BD2292" w:rsidRPr="00A45532">
        <w:rPr>
          <w:rFonts w:ascii="Calibri" w:hAnsi="Calibri"/>
          <w:sz w:val="22"/>
          <w:szCs w:val="22"/>
        </w:rPr>
        <w:t xml:space="preserve">  The trustee’s filing of an ESBT election shall conclusively be presumed to indicate an intent not to qualify as a QSST </w:t>
      </w:r>
      <w:r w:rsidR="008568C1" w:rsidRPr="00A45532">
        <w:rPr>
          <w:rFonts w:ascii="Calibri" w:hAnsi="Calibri"/>
          <w:sz w:val="22"/>
          <w:szCs w:val="22"/>
        </w:rPr>
        <w:t xml:space="preserve">and hence the above forfeiture provisions shall apply to any trust over which an ESBT election has been made.  The trustee/executor’s failure to file </w:t>
      </w:r>
      <w:r w:rsidR="00D63082">
        <w:rPr>
          <w:rFonts w:ascii="Calibri" w:hAnsi="Calibri"/>
          <w:sz w:val="22"/>
          <w:szCs w:val="22"/>
        </w:rPr>
        <w:t>Form 706/709</w:t>
      </w:r>
      <w:r w:rsidR="008568C1" w:rsidRPr="00A45532">
        <w:rPr>
          <w:rFonts w:ascii="Calibri" w:hAnsi="Calibri"/>
          <w:sz w:val="22"/>
          <w:szCs w:val="22"/>
        </w:rPr>
        <w:t xml:space="preserve"> QTIP election for a trust that might otherwise qualify by the extended due date of the </w:t>
      </w:r>
      <w:r w:rsidR="00D63082">
        <w:rPr>
          <w:rFonts w:ascii="Calibri" w:hAnsi="Calibri"/>
          <w:sz w:val="22"/>
          <w:szCs w:val="22"/>
        </w:rPr>
        <w:t>return</w:t>
      </w:r>
      <w:r w:rsidR="008568C1" w:rsidRPr="00A45532">
        <w:rPr>
          <w:rFonts w:ascii="Calibri" w:hAnsi="Calibri"/>
          <w:sz w:val="22"/>
          <w:szCs w:val="22"/>
        </w:rPr>
        <w:t xml:space="preserve"> shall be presumed to indicate an intent not to qualify for the marital deduction.</w:t>
      </w:r>
    </w:p>
    <w:p w14:paraId="53A29085" w14:textId="77777777" w:rsidR="00813E0A" w:rsidRPr="00A45532" w:rsidRDefault="00813E0A" w:rsidP="00C201C5">
      <w:pPr>
        <w:rPr>
          <w:rFonts w:ascii="Calibri" w:hAnsi="Calibri"/>
          <w:sz w:val="22"/>
          <w:szCs w:val="22"/>
        </w:rPr>
      </w:pPr>
    </w:p>
    <w:p w14:paraId="1E8F2D4A" w14:textId="304B18F0" w:rsidR="00813E0A" w:rsidRPr="00A45532" w:rsidRDefault="00B17487" w:rsidP="00C201C5">
      <w:pPr>
        <w:rPr>
          <w:rFonts w:ascii="Calibri" w:hAnsi="Calibri"/>
          <w:sz w:val="22"/>
          <w:szCs w:val="22"/>
        </w:rPr>
      </w:pPr>
      <w:r>
        <w:rPr>
          <w:rFonts w:ascii="Calibri" w:hAnsi="Calibri"/>
          <w:sz w:val="22"/>
          <w:szCs w:val="22"/>
        </w:rPr>
        <w:t>[</w:t>
      </w:r>
      <w:r w:rsidR="00813E0A" w:rsidRPr="00A45532">
        <w:rPr>
          <w:rFonts w:ascii="Calibri" w:hAnsi="Calibri"/>
          <w:sz w:val="22"/>
          <w:szCs w:val="22"/>
        </w:rPr>
        <w:t>In addition, the</w:t>
      </w:r>
      <w:r w:rsidR="00BA47CD">
        <w:rPr>
          <w:rFonts w:ascii="Calibri" w:hAnsi="Calibri"/>
          <w:sz w:val="22"/>
          <w:szCs w:val="22"/>
        </w:rPr>
        <w:t xml:space="preserve"> effect of the</w:t>
      </w:r>
      <w:r w:rsidR="00813E0A" w:rsidRPr="00A45532">
        <w:rPr>
          <w:rFonts w:ascii="Calibri" w:hAnsi="Calibri"/>
          <w:sz w:val="22"/>
          <w:szCs w:val="22"/>
        </w:rPr>
        <w:t xml:space="preserve"> above provisions shall </w:t>
      </w:r>
      <w:r>
        <w:rPr>
          <w:rFonts w:ascii="Calibri" w:hAnsi="Calibri"/>
          <w:sz w:val="22"/>
          <w:szCs w:val="22"/>
        </w:rPr>
        <w:t>be delayed</w:t>
      </w:r>
      <w:r w:rsidR="00813E0A" w:rsidRPr="00A45532">
        <w:rPr>
          <w:rFonts w:ascii="Calibri" w:hAnsi="Calibri"/>
          <w:sz w:val="22"/>
          <w:szCs w:val="22"/>
        </w:rPr>
        <w:t xml:space="preserve"> </w:t>
      </w:r>
      <w:r w:rsidR="00BA47CD">
        <w:rPr>
          <w:rFonts w:ascii="Calibri" w:hAnsi="Calibri"/>
          <w:sz w:val="22"/>
          <w:szCs w:val="22"/>
        </w:rPr>
        <w:t>in removing</w:t>
      </w:r>
      <w:r w:rsidR="00813E0A" w:rsidRPr="00A45532">
        <w:rPr>
          <w:rFonts w:ascii="Calibri" w:hAnsi="Calibri"/>
          <w:sz w:val="22"/>
          <w:szCs w:val="22"/>
        </w:rPr>
        <w:t xml:space="preserve"> a beneficiary</w:t>
      </w:r>
      <w:r w:rsidR="00BD2292" w:rsidRPr="00A45532">
        <w:rPr>
          <w:rFonts w:ascii="Calibri" w:hAnsi="Calibri"/>
          <w:sz w:val="22"/>
          <w:szCs w:val="22"/>
        </w:rPr>
        <w:t xml:space="preserve">’s </w:t>
      </w:r>
      <w:r w:rsidR="00813E0A" w:rsidRPr="00A45532">
        <w:rPr>
          <w:rFonts w:ascii="Calibri" w:hAnsi="Calibri"/>
          <w:sz w:val="22"/>
          <w:szCs w:val="22"/>
        </w:rPr>
        <w:t xml:space="preserve">sole power to withdraw </w:t>
      </w:r>
      <w:r w:rsidR="0063479F">
        <w:rPr>
          <w:rFonts w:ascii="Calibri" w:hAnsi="Calibri"/>
          <w:sz w:val="22"/>
          <w:szCs w:val="22"/>
        </w:rPr>
        <w:t xml:space="preserve">current year </w:t>
      </w:r>
      <w:r w:rsidR="00813E0A" w:rsidRPr="00A45532">
        <w:rPr>
          <w:rFonts w:ascii="Calibri" w:hAnsi="Calibri"/>
          <w:sz w:val="22"/>
          <w:szCs w:val="22"/>
        </w:rPr>
        <w:t>income pursuant to Paragraph XXX</w:t>
      </w:r>
      <w:r w:rsidR="0063479F">
        <w:rPr>
          <w:rFonts w:ascii="Calibri" w:hAnsi="Calibri"/>
          <w:sz w:val="22"/>
          <w:szCs w:val="22"/>
        </w:rPr>
        <w:t xml:space="preserve"> [cite BDOT provision]</w:t>
      </w:r>
      <w:r w:rsidR="00813E0A" w:rsidRPr="00A45532">
        <w:rPr>
          <w:rFonts w:ascii="Calibri" w:hAnsi="Calibri"/>
          <w:sz w:val="22"/>
          <w:szCs w:val="22"/>
        </w:rPr>
        <w:t xml:space="preserve">.  In such case, the above provisions shall only apply prospectively </w:t>
      </w:r>
      <w:r w:rsidR="00EB4921">
        <w:rPr>
          <w:rFonts w:ascii="Calibri" w:hAnsi="Calibri"/>
          <w:sz w:val="22"/>
          <w:szCs w:val="22"/>
        </w:rPr>
        <w:t xml:space="preserve">to </w:t>
      </w:r>
      <w:r w:rsidR="00C71E10">
        <w:rPr>
          <w:rFonts w:ascii="Calibri" w:hAnsi="Calibri"/>
          <w:sz w:val="22"/>
          <w:szCs w:val="22"/>
        </w:rPr>
        <w:t>future income (or if it is anticipated that a BDOT may engage in an installment sale with its deemed owner, it may be best for the forfeiture clause to apply as of January 1 of the following year, to give some time to unwind any such transaction)</w:t>
      </w:r>
      <w:r w:rsidR="00BD2292" w:rsidRPr="00A45532">
        <w:rPr>
          <w:rFonts w:ascii="Calibri" w:hAnsi="Calibri"/>
          <w:sz w:val="22"/>
          <w:szCs w:val="22"/>
        </w:rPr>
        <w:t>.</w:t>
      </w:r>
      <w:r w:rsidR="00C71E10">
        <w:rPr>
          <w:rFonts w:ascii="Calibri" w:hAnsi="Calibri"/>
          <w:sz w:val="22"/>
          <w:szCs w:val="22"/>
        </w:rPr>
        <w:t>]</w:t>
      </w:r>
    </w:p>
    <w:p w14:paraId="75C923BB" w14:textId="1CA3A174" w:rsidR="00C201C5" w:rsidRDefault="00BD2292" w:rsidP="00C201C5">
      <w:pPr>
        <w:rPr>
          <w:rFonts w:ascii="Calibri" w:hAnsi="Calibri"/>
          <w:sz w:val="22"/>
          <w:szCs w:val="22"/>
        </w:rPr>
      </w:pPr>
      <w:r w:rsidRPr="00A45532">
        <w:rPr>
          <w:rFonts w:ascii="Calibri" w:hAnsi="Calibri"/>
          <w:sz w:val="22"/>
          <w:szCs w:val="22"/>
        </w:rPr>
        <w:t xml:space="preserve">The above provisions shall </w:t>
      </w:r>
      <w:r w:rsidR="00D63082">
        <w:rPr>
          <w:rFonts w:ascii="Calibri" w:hAnsi="Calibri"/>
          <w:sz w:val="22"/>
          <w:szCs w:val="22"/>
        </w:rPr>
        <w:t>expressly a</w:t>
      </w:r>
      <w:r w:rsidRPr="00A45532">
        <w:rPr>
          <w:rFonts w:ascii="Calibri" w:hAnsi="Calibri"/>
          <w:sz w:val="22"/>
          <w:szCs w:val="22"/>
        </w:rPr>
        <w:t xml:space="preserve">pply to powers of revocation, </w:t>
      </w:r>
      <w:r w:rsidR="009C72FD">
        <w:rPr>
          <w:rFonts w:ascii="Calibri" w:hAnsi="Calibri"/>
          <w:sz w:val="22"/>
          <w:szCs w:val="22"/>
        </w:rPr>
        <w:t xml:space="preserve">rights to corpus, </w:t>
      </w:r>
      <w:r w:rsidR="000662A0">
        <w:rPr>
          <w:rFonts w:ascii="Calibri" w:hAnsi="Calibri"/>
          <w:sz w:val="22"/>
          <w:szCs w:val="22"/>
        </w:rPr>
        <w:t xml:space="preserve">powers of </w:t>
      </w:r>
      <w:r w:rsidRPr="00A45532">
        <w:rPr>
          <w:rFonts w:ascii="Calibri" w:hAnsi="Calibri"/>
          <w:sz w:val="22"/>
          <w:szCs w:val="22"/>
        </w:rPr>
        <w:t>withdrawal or any presently exercisable general power of appointment.</w:t>
      </w:r>
      <w:r w:rsidR="00D63082">
        <w:rPr>
          <w:rFonts w:ascii="Calibri" w:hAnsi="Calibri"/>
          <w:sz w:val="22"/>
          <w:szCs w:val="22"/>
        </w:rPr>
        <w:t xml:space="preserve"> [note – see the </w:t>
      </w:r>
      <w:r w:rsidR="00D63082" w:rsidRPr="00051AB3">
        <w:rPr>
          <w:rFonts w:ascii="Calibri" w:hAnsi="Calibri"/>
          <w:i/>
          <w:sz w:val="22"/>
          <w:szCs w:val="22"/>
        </w:rPr>
        <w:t>Castellano</w:t>
      </w:r>
      <w:r w:rsidR="00D63082">
        <w:rPr>
          <w:rFonts w:ascii="Calibri" w:hAnsi="Calibri"/>
          <w:sz w:val="22"/>
          <w:szCs w:val="22"/>
        </w:rPr>
        <w:t xml:space="preserve"> case as to why this is included)</w:t>
      </w:r>
    </w:p>
    <w:p w14:paraId="406CB173" w14:textId="77777777" w:rsidR="00A45532" w:rsidRDefault="00A45532" w:rsidP="00C201C5">
      <w:pPr>
        <w:rPr>
          <w:rFonts w:ascii="Calibri" w:hAnsi="Calibri"/>
          <w:color w:val="E36C0A" w:themeColor="accent6" w:themeShade="BF"/>
          <w:sz w:val="22"/>
          <w:szCs w:val="22"/>
        </w:rPr>
      </w:pPr>
      <w:r w:rsidRPr="00A45532">
        <w:rPr>
          <w:rFonts w:ascii="Calibri" w:hAnsi="Calibri"/>
          <w:color w:val="E36C0A" w:themeColor="accent6" w:themeShade="BF"/>
          <w:sz w:val="22"/>
          <w:szCs w:val="22"/>
        </w:rPr>
        <w:t>NOTE: I have seen several spendthrift clauses state that the entire clause does not apply to a marital trust or QSST</w:t>
      </w:r>
      <w:r>
        <w:rPr>
          <w:rFonts w:ascii="Calibri" w:hAnsi="Calibri"/>
          <w:color w:val="E36C0A" w:themeColor="accent6" w:themeShade="BF"/>
          <w:sz w:val="22"/>
          <w:szCs w:val="22"/>
        </w:rPr>
        <w:t xml:space="preserve"> or conduit trust</w:t>
      </w:r>
      <w:r w:rsidRPr="00A45532">
        <w:rPr>
          <w:rFonts w:ascii="Calibri" w:hAnsi="Calibri"/>
          <w:color w:val="E36C0A" w:themeColor="accent6" w:themeShade="BF"/>
          <w:sz w:val="22"/>
          <w:szCs w:val="22"/>
        </w:rPr>
        <w:t>.  DON’T DO THAT.</w:t>
      </w:r>
      <w:r>
        <w:rPr>
          <w:rFonts w:ascii="Calibri" w:hAnsi="Calibri"/>
          <w:color w:val="E36C0A" w:themeColor="accent6" w:themeShade="BF"/>
          <w:sz w:val="22"/>
          <w:szCs w:val="22"/>
        </w:rPr>
        <w:t xml:space="preserve">  </w:t>
      </w:r>
      <w:r w:rsidR="008B3B53">
        <w:rPr>
          <w:rFonts w:ascii="Calibri" w:hAnsi="Calibri"/>
          <w:color w:val="E36C0A" w:themeColor="accent6" w:themeShade="BF"/>
          <w:sz w:val="22"/>
          <w:szCs w:val="22"/>
        </w:rPr>
        <w:t>Treas</w:t>
      </w:r>
      <w:r w:rsidR="00D70BA0">
        <w:rPr>
          <w:rFonts w:ascii="Calibri" w:hAnsi="Calibri"/>
          <w:color w:val="E36C0A" w:themeColor="accent6" w:themeShade="BF"/>
          <w:sz w:val="22"/>
          <w:szCs w:val="22"/>
        </w:rPr>
        <w:t>ury</w:t>
      </w:r>
      <w:r>
        <w:rPr>
          <w:rFonts w:ascii="Calibri" w:hAnsi="Calibri"/>
          <w:color w:val="E36C0A" w:themeColor="accent6" w:themeShade="BF"/>
          <w:sz w:val="22"/>
          <w:szCs w:val="22"/>
        </w:rPr>
        <w:t xml:space="preserve"> Reg</w:t>
      </w:r>
      <w:r w:rsidR="00D70BA0">
        <w:rPr>
          <w:rFonts w:ascii="Calibri" w:hAnsi="Calibri"/>
          <w:color w:val="E36C0A" w:themeColor="accent6" w:themeShade="BF"/>
          <w:sz w:val="22"/>
          <w:szCs w:val="22"/>
        </w:rPr>
        <w:t>ulations</w:t>
      </w:r>
      <w:r>
        <w:rPr>
          <w:rFonts w:ascii="Calibri" w:hAnsi="Calibri"/>
          <w:color w:val="E36C0A" w:themeColor="accent6" w:themeShade="BF"/>
          <w:sz w:val="22"/>
          <w:szCs w:val="22"/>
        </w:rPr>
        <w:t xml:space="preserve"> specifically </w:t>
      </w:r>
      <w:r w:rsidR="008B3B53">
        <w:rPr>
          <w:rFonts w:ascii="Calibri" w:hAnsi="Calibri"/>
          <w:color w:val="E36C0A" w:themeColor="accent6" w:themeShade="BF"/>
          <w:sz w:val="22"/>
          <w:szCs w:val="22"/>
        </w:rPr>
        <w:t>authorize</w:t>
      </w:r>
      <w:r>
        <w:rPr>
          <w:rFonts w:ascii="Calibri" w:hAnsi="Calibri"/>
          <w:color w:val="E36C0A" w:themeColor="accent6" w:themeShade="BF"/>
          <w:sz w:val="22"/>
          <w:szCs w:val="22"/>
        </w:rPr>
        <w:t xml:space="preserve"> a basic spendthrift clause preventing assignment, alienation, etc, just not one that goes further to </w:t>
      </w:r>
      <w:r w:rsidR="001500CA">
        <w:rPr>
          <w:rFonts w:ascii="Calibri" w:hAnsi="Calibri"/>
          <w:color w:val="E36C0A" w:themeColor="accent6" w:themeShade="BF"/>
          <w:sz w:val="22"/>
          <w:szCs w:val="22"/>
        </w:rPr>
        <w:t>cause</w:t>
      </w:r>
      <w:r>
        <w:rPr>
          <w:rFonts w:ascii="Calibri" w:hAnsi="Calibri"/>
          <w:color w:val="E36C0A" w:themeColor="accent6" w:themeShade="BF"/>
          <w:sz w:val="22"/>
          <w:szCs w:val="22"/>
        </w:rPr>
        <w:t xml:space="preserve"> a</w:t>
      </w:r>
      <w:r w:rsidR="00D63082">
        <w:rPr>
          <w:rFonts w:ascii="Calibri" w:hAnsi="Calibri"/>
          <w:color w:val="E36C0A" w:themeColor="accent6" w:themeShade="BF"/>
          <w:sz w:val="22"/>
          <w:szCs w:val="22"/>
        </w:rPr>
        <w:t>n actual</w:t>
      </w:r>
      <w:r>
        <w:rPr>
          <w:rFonts w:ascii="Calibri" w:hAnsi="Calibri"/>
          <w:color w:val="E36C0A" w:themeColor="accent6" w:themeShade="BF"/>
          <w:sz w:val="22"/>
          <w:szCs w:val="22"/>
        </w:rPr>
        <w:t xml:space="preserve"> forfeiture of the </w:t>
      </w:r>
      <w:r w:rsidR="00D63082">
        <w:rPr>
          <w:rFonts w:ascii="Calibri" w:hAnsi="Calibri"/>
          <w:color w:val="E36C0A" w:themeColor="accent6" w:themeShade="BF"/>
          <w:sz w:val="22"/>
          <w:szCs w:val="22"/>
        </w:rPr>
        <w:t xml:space="preserve">mandatory </w:t>
      </w:r>
      <w:r>
        <w:rPr>
          <w:rFonts w:ascii="Calibri" w:hAnsi="Calibri"/>
          <w:color w:val="E36C0A" w:themeColor="accent6" w:themeShade="BF"/>
          <w:sz w:val="22"/>
          <w:szCs w:val="22"/>
        </w:rPr>
        <w:t>income interest.</w:t>
      </w:r>
      <w:r w:rsidR="008B3B53">
        <w:rPr>
          <w:rFonts w:ascii="Calibri" w:hAnsi="Calibri"/>
          <w:color w:val="E36C0A" w:themeColor="accent6" w:themeShade="BF"/>
          <w:sz w:val="22"/>
          <w:szCs w:val="22"/>
        </w:rPr>
        <w:t xml:space="preserve">  </w:t>
      </w:r>
    </w:p>
    <w:p w14:paraId="24E04DA3" w14:textId="77777777" w:rsidR="00FF4C1A" w:rsidRPr="00FF4C1A" w:rsidRDefault="00FF4C1A" w:rsidP="00FF4C1A">
      <w:pPr>
        <w:jc w:val="center"/>
        <w:rPr>
          <w:rFonts w:ascii="Calibri" w:hAnsi="Calibri"/>
          <w:b/>
          <w:szCs w:val="22"/>
        </w:rPr>
      </w:pPr>
      <w:r w:rsidRPr="00FF4C1A">
        <w:rPr>
          <w:rFonts w:ascii="Calibri" w:hAnsi="Calibri"/>
          <w:b/>
          <w:szCs w:val="22"/>
        </w:rPr>
        <w:lastRenderedPageBreak/>
        <w:t>Alternative disposition to save exclusion if DSEU/706 filing is botched</w:t>
      </w:r>
    </w:p>
    <w:p w14:paraId="4C0F3D48" w14:textId="77777777" w:rsidR="00FF4C1A" w:rsidRPr="00FF4C1A" w:rsidRDefault="00FF4C1A" w:rsidP="00FF4C1A">
      <w:pPr>
        <w:jc w:val="center"/>
        <w:rPr>
          <w:rFonts w:ascii="Calibri" w:hAnsi="Calibri"/>
          <w:szCs w:val="22"/>
        </w:rPr>
      </w:pPr>
      <w:r w:rsidRPr="00FF4C1A">
        <w:rPr>
          <w:rFonts w:ascii="Calibri" w:hAnsi="Calibri"/>
          <w:szCs w:val="22"/>
        </w:rPr>
        <w:t>(see Part II, page 10, footnote 22)</w:t>
      </w:r>
    </w:p>
    <w:p w14:paraId="7FAECF8A" w14:textId="77777777" w:rsidR="00FF4C1A" w:rsidRDefault="00FF4C1A" w:rsidP="00C201C5">
      <w:pPr>
        <w:rPr>
          <w:rFonts w:ascii="Calibri" w:hAnsi="Calibri"/>
          <w:sz w:val="22"/>
          <w:szCs w:val="22"/>
        </w:rPr>
      </w:pPr>
    </w:p>
    <w:p w14:paraId="705CDFE9" w14:textId="77777777" w:rsidR="00FF4C1A" w:rsidRPr="007C7E16" w:rsidRDefault="00FF4C1A" w:rsidP="00C201C5">
      <w:pPr>
        <w:rPr>
          <w:rFonts w:ascii="Calibri" w:hAnsi="Calibri"/>
          <w:szCs w:val="22"/>
        </w:rPr>
      </w:pPr>
      <w:r w:rsidRPr="007C7E16">
        <w:rPr>
          <w:rFonts w:ascii="Calibri" w:hAnsi="Calibri"/>
          <w:szCs w:val="22"/>
        </w:rPr>
        <w:t>Drafting Example: “I leave my entire residuary outright to my surviving spouse, on the precondition that my personal representative (or my trustee if no personal representative is appointed, pursuant to IRC § 2203) makes an effective election on an estate tax return pursuant to IRC §2010(c) to grant my spouse the use of my Deceased Spousal Unused Exclusion Amount.  Should for any reason (intentional or unintentional), such an election is not effectively made, or is made for less than maximum amount available, I hereby leave the maximum amount possible without incurring a federal estate tax to the Bypass Trust described in Paragraph __, and any remaining residuary above this amount shall pass to my surviving spouse outright”.  [I hereby indemnify my executor from any such election or failure to elect (be it partial, to the maximum extent or not made at all) made in good faith.] [NB: fractional formula variations on this, or a pecuniary marital, residual bypass would be desirable if IRD such as large deferred compensation plans might be involved].</w:t>
      </w:r>
    </w:p>
    <w:p w14:paraId="3606D45F" w14:textId="77777777" w:rsidR="00B21DDE" w:rsidRDefault="00B21DDE" w:rsidP="00C201C5">
      <w:pPr>
        <w:rPr>
          <w:rFonts w:ascii="Calibri" w:hAnsi="Calibri"/>
          <w:sz w:val="22"/>
          <w:szCs w:val="22"/>
        </w:rPr>
      </w:pPr>
    </w:p>
    <w:p w14:paraId="3F0E1B8D" w14:textId="77777777" w:rsidR="00B21DDE" w:rsidRDefault="00B21DDE" w:rsidP="00C201C5">
      <w:pPr>
        <w:rPr>
          <w:rFonts w:ascii="Calibri" w:hAnsi="Calibri"/>
          <w:sz w:val="22"/>
          <w:szCs w:val="22"/>
        </w:rPr>
      </w:pPr>
    </w:p>
    <w:p w14:paraId="1B43BE4D" w14:textId="77777777" w:rsidR="00B21DDE" w:rsidRDefault="00B21DDE">
      <w:pPr>
        <w:rPr>
          <w:rFonts w:ascii="Calibri" w:hAnsi="Calibri"/>
          <w:sz w:val="22"/>
          <w:szCs w:val="22"/>
        </w:rPr>
      </w:pPr>
      <w:r>
        <w:rPr>
          <w:rFonts w:ascii="Calibri" w:hAnsi="Calibri"/>
          <w:sz w:val="22"/>
          <w:szCs w:val="22"/>
        </w:rPr>
        <w:br w:type="page"/>
      </w:r>
    </w:p>
    <w:p w14:paraId="10E84DCB" w14:textId="77777777" w:rsidR="00B21DDE" w:rsidRPr="00B21DDE" w:rsidRDefault="00B21DDE" w:rsidP="00C201C5">
      <w:pPr>
        <w:rPr>
          <w:rFonts w:ascii="Calibri" w:hAnsi="Calibri"/>
          <w:b/>
          <w:sz w:val="22"/>
          <w:szCs w:val="22"/>
        </w:rPr>
      </w:pPr>
      <w:r w:rsidRPr="00B21DDE">
        <w:rPr>
          <w:rFonts w:ascii="Calibri" w:hAnsi="Calibri"/>
          <w:b/>
          <w:sz w:val="22"/>
          <w:szCs w:val="22"/>
        </w:rPr>
        <w:lastRenderedPageBreak/>
        <w:t>Formula GPOA for GST non-exempt trust to optimize between GST and Estate Tax Efficiency</w:t>
      </w:r>
    </w:p>
    <w:p w14:paraId="3AFD129A" w14:textId="77777777" w:rsidR="00B21DDE" w:rsidRDefault="00B21DDE" w:rsidP="00C201C5">
      <w:pPr>
        <w:rPr>
          <w:rFonts w:ascii="Calibri" w:hAnsi="Calibri"/>
          <w:sz w:val="22"/>
          <w:szCs w:val="22"/>
        </w:rPr>
      </w:pPr>
    </w:p>
    <w:p w14:paraId="19BF7E15" w14:textId="178DADD3" w:rsidR="00B21DDE" w:rsidRDefault="00B21DDE" w:rsidP="00C201C5">
      <w:pPr>
        <w:rPr>
          <w:rFonts w:ascii="Calibri" w:hAnsi="Calibri"/>
          <w:sz w:val="22"/>
          <w:szCs w:val="22"/>
        </w:rPr>
      </w:pPr>
      <w:r w:rsidRPr="00B21DDE">
        <w:rPr>
          <w:rFonts w:ascii="Calibri" w:hAnsi="Calibri"/>
          <w:sz w:val="22"/>
          <w:szCs w:val="22"/>
        </w:rPr>
        <w:t xml:space="preserve">Contingent Testamentary General Power of Appointment. </w:t>
      </w:r>
      <w:r>
        <w:rPr>
          <w:rFonts w:ascii="Calibri" w:hAnsi="Calibri"/>
          <w:sz w:val="22"/>
          <w:szCs w:val="22"/>
        </w:rPr>
        <w:t>I</w:t>
      </w:r>
      <w:r w:rsidRPr="00B21DDE">
        <w:rPr>
          <w:rFonts w:ascii="Calibri" w:hAnsi="Calibri"/>
          <w:sz w:val="22"/>
          <w:szCs w:val="22"/>
        </w:rPr>
        <w:t xml:space="preserve">f upon the death of a </w:t>
      </w:r>
      <w:r>
        <w:rPr>
          <w:rFonts w:ascii="Calibri" w:hAnsi="Calibri"/>
          <w:sz w:val="22"/>
          <w:szCs w:val="22"/>
        </w:rPr>
        <w:t>beneficiary of this</w:t>
      </w:r>
      <w:r w:rsidRPr="00B21DDE">
        <w:rPr>
          <w:rFonts w:ascii="Calibri" w:hAnsi="Calibri"/>
          <w:sz w:val="22"/>
          <w:szCs w:val="22"/>
        </w:rPr>
        <w:t xml:space="preserve"> trust a taxable termination would occur (either directly, or indirectly by the beneficiary's failure to exercise a power of appointment), then the beneficiary shall have the testamentary general power to appoint to the creditors of the beneficiary's estate the smallest fractional share of the trust property that would reduce to a minimum the aggregate </w:t>
      </w:r>
      <w:r>
        <w:rPr>
          <w:rFonts w:ascii="Calibri" w:hAnsi="Calibri"/>
          <w:sz w:val="22"/>
          <w:szCs w:val="22"/>
        </w:rPr>
        <w:t>state and federal estate, inheritance and</w:t>
      </w:r>
      <w:r w:rsidRPr="00B21DDE">
        <w:rPr>
          <w:rFonts w:ascii="Calibri" w:hAnsi="Calibri"/>
          <w:sz w:val="22"/>
          <w:szCs w:val="22"/>
        </w:rPr>
        <w:t xml:space="preserve"> generation skipping</w:t>
      </w:r>
      <w:r w:rsidR="00332CD8">
        <w:rPr>
          <w:rFonts w:ascii="Calibri" w:hAnsi="Calibri"/>
          <w:sz w:val="22"/>
          <w:szCs w:val="22"/>
        </w:rPr>
        <w:t xml:space="preserve"> transfer</w:t>
      </w:r>
      <w:r w:rsidRPr="00B21DDE">
        <w:rPr>
          <w:rFonts w:ascii="Calibri" w:hAnsi="Calibri"/>
          <w:sz w:val="22"/>
          <w:szCs w:val="22"/>
        </w:rPr>
        <w:t xml:space="preserve"> taxes payable upon the beneficiary's death. Such fractional share shall be determined as if any power of appointment granted to the beneficiary (under this provision or otherwise) is not exercised and such taxable termination </w:t>
      </w:r>
      <w:r w:rsidR="002638ED">
        <w:rPr>
          <w:rFonts w:ascii="Calibri" w:hAnsi="Calibri"/>
          <w:sz w:val="22"/>
          <w:szCs w:val="22"/>
        </w:rPr>
        <w:t xml:space="preserve">would otherwise </w:t>
      </w:r>
      <w:r w:rsidRPr="00B21DDE">
        <w:rPr>
          <w:rFonts w:ascii="Calibri" w:hAnsi="Calibri"/>
          <w:sz w:val="22"/>
          <w:szCs w:val="22"/>
        </w:rPr>
        <w:t>occur.</w:t>
      </w:r>
    </w:p>
    <w:p w14:paraId="6254A0D4" w14:textId="77777777" w:rsidR="00B21DDE" w:rsidRDefault="00B21DDE" w:rsidP="00C201C5">
      <w:pPr>
        <w:rPr>
          <w:rFonts w:ascii="Calibri" w:hAnsi="Calibri"/>
          <w:sz w:val="22"/>
          <w:szCs w:val="22"/>
        </w:rPr>
      </w:pPr>
    </w:p>
    <w:p w14:paraId="63AABD81" w14:textId="5C25B93F" w:rsidR="00D02786" w:rsidRDefault="00B21DDE" w:rsidP="00C201C5">
      <w:pPr>
        <w:rPr>
          <w:rFonts w:ascii="Calibri" w:hAnsi="Calibri"/>
          <w:color w:val="984806" w:themeColor="accent6" w:themeShade="80"/>
          <w:sz w:val="22"/>
          <w:szCs w:val="22"/>
        </w:rPr>
      </w:pPr>
      <w:r w:rsidRPr="00B21DDE">
        <w:rPr>
          <w:rFonts w:ascii="Calibri" w:hAnsi="Calibri"/>
          <w:color w:val="984806" w:themeColor="accent6" w:themeShade="80"/>
          <w:sz w:val="22"/>
          <w:szCs w:val="22"/>
        </w:rPr>
        <w:t>This particular clause is</w:t>
      </w:r>
      <w:r>
        <w:rPr>
          <w:rFonts w:ascii="Calibri" w:hAnsi="Calibri"/>
          <w:color w:val="984806" w:themeColor="accent6" w:themeShade="80"/>
          <w:sz w:val="22"/>
          <w:szCs w:val="22"/>
        </w:rPr>
        <w:t xml:space="preserve"> very basic and has no ordering rule and no preference for</w:t>
      </w:r>
      <w:r w:rsidR="004E0FDC">
        <w:rPr>
          <w:rFonts w:ascii="Calibri" w:hAnsi="Calibri"/>
          <w:color w:val="984806" w:themeColor="accent6" w:themeShade="80"/>
          <w:sz w:val="22"/>
          <w:szCs w:val="22"/>
        </w:rPr>
        <w:t xml:space="preserve"> any particular</w:t>
      </w:r>
      <w:r>
        <w:rPr>
          <w:rFonts w:ascii="Calibri" w:hAnsi="Calibri"/>
          <w:color w:val="984806" w:themeColor="accent6" w:themeShade="80"/>
          <w:sz w:val="22"/>
          <w:szCs w:val="22"/>
        </w:rPr>
        <w:t xml:space="preserve"> assets over which </w:t>
      </w:r>
      <w:r w:rsidR="004E0FDC">
        <w:rPr>
          <w:rFonts w:ascii="Calibri" w:hAnsi="Calibri"/>
          <w:color w:val="984806" w:themeColor="accent6" w:themeShade="80"/>
          <w:sz w:val="22"/>
          <w:szCs w:val="22"/>
        </w:rPr>
        <w:t xml:space="preserve">the </w:t>
      </w:r>
      <w:r>
        <w:rPr>
          <w:rFonts w:ascii="Calibri" w:hAnsi="Calibri"/>
          <w:color w:val="984806" w:themeColor="accent6" w:themeShade="80"/>
          <w:sz w:val="22"/>
          <w:szCs w:val="22"/>
        </w:rPr>
        <w:t xml:space="preserve">GPOA would </w:t>
      </w:r>
      <w:r w:rsidR="004E0FDC">
        <w:rPr>
          <w:rFonts w:ascii="Calibri" w:hAnsi="Calibri"/>
          <w:color w:val="984806" w:themeColor="accent6" w:themeShade="80"/>
          <w:sz w:val="22"/>
          <w:szCs w:val="22"/>
        </w:rPr>
        <w:t xml:space="preserve">apply </w:t>
      </w:r>
      <w:r>
        <w:rPr>
          <w:rFonts w:ascii="Calibri" w:hAnsi="Calibri"/>
          <w:color w:val="984806" w:themeColor="accent6" w:themeShade="80"/>
          <w:sz w:val="22"/>
          <w:szCs w:val="22"/>
        </w:rPr>
        <w:t>(e.g.</w:t>
      </w:r>
      <w:r w:rsidR="00465E16">
        <w:rPr>
          <w:rFonts w:ascii="Calibri" w:hAnsi="Calibri"/>
          <w:color w:val="984806" w:themeColor="accent6" w:themeShade="80"/>
          <w:sz w:val="22"/>
          <w:szCs w:val="22"/>
        </w:rPr>
        <w:t>,</w:t>
      </w:r>
      <w:r w:rsidR="005606BA">
        <w:rPr>
          <w:rFonts w:ascii="Calibri" w:hAnsi="Calibri"/>
          <w:color w:val="984806" w:themeColor="accent6" w:themeShade="80"/>
          <w:sz w:val="22"/>
          <w:szCs w:val="22"/>
        </w:rPr>
        <w:t xml:space="preserve"> as discussed herein, it would ideally</w:t>
      </w:r>
      <w:r>
        <w:rPr>
          <w:rFonts w:ascii="Calibri" w:hAnsi="Calibri"/>
          <w:color w:val="984806" w:themeColor="accent6" w:themeShade="80"/>
          <w:sz w:val="22"/>
          <w:szCs w:val="22"/>
        </w:rPr>
        <w:t xml:space="preserve"> </w:t>
      </w:r>
      <w:r w:rsidR="00336C45">
        <w:rPr>
          <w:rFonts w:ascii="Calibri" w:hAnsi="Calibri"/>
          <w:color w:val="984806" w:themeColor="accent6" w:themeShade="80"/>
          <w:sz w:val="22"/>
          <w:szCs w:val="22"/>
        </w:rPr>
        <w:t>apply to depreciable assets, collectibles, lower basis assets</w:t>
      </w:r>
      <w:r w:rsidR="00694D0B">
        <w:rPr>
          <w:rFonts w:ascii="Calibri" w:hAnsi="Calibri"/>
          <w:color w:val="984806" w:themeColor="accent6" w:themeShade="80"/>
          <w:sz w:val="22"/>
          <w:szCs w:val="22"/>
        </w:rPr>
        <w:t>, then</w:t>
      </w:r>
      <w:r>
        <w:rPr>
          <w:rFonts w:ascii="Calibri" w:hAnsi="Calibri"/>
          <w:color w:val="984806" w:themeColor="accent6" w:themeShade="80"/>
          <w:sz w:val="22"/>
          <w:szCs w:val="22"/>
        </w:rPr>
        <w:t xml:space="preserve"> cash, IRD, </w:t>
      </w:r>
      <w:r w:rsidR="00694D0B">
        <w:rPr>
          <w:rFonts w:ascii="Calibri" w:hAnsi="Calibri"/>
          <w:color w:val="984806" w:themeColor="accent6" w:themeShade="80"/>
          <w:sz w:val="22"/>
          <w:szCs w:val="22"/>
        </w:rPr>
        <w:t xml:space="preserve">and lastly to any </w:t>
      </w:r>
      <w:r>
        <w:rPr>
          <w:rFonts w:ascii="Calibri" w:hAnsi="Calibri"/>
          <w:color w:val="984806" w:themeColor="accent6" w:themeShade="80"/>
          <w:sz w:val="22"/>
          <w:szCs w:val="22"/>
        </w:rPr>
        <w:t>loss assets</w:t>
      </w:r>
      <w:r w:rsidR="0080692E">
        <w:rPr>
          <w:rFonts w:ascii="Calibri" w:hAnsi="Calibri"/>
          <w:color w:val="984806" w:themeColor="accent6" w:themeShade="80"/>
          <w:sz w:val="22"/>
          <w:szCs w:val="22"/>
        </w:rPr>
        <w:t xml:space="preserve"> that would step down in basis</w:t>
      </w:r>
      <w:r w:rsidR="00465E16">
        <w:rPr>
          <w:rFonts w:ascii="Calibri" w:hAnsi="Calibri"/>
          <w:color w:val="984806" w:themeColor="accent6" w:themeShade="80"/>
          <w:sz w:val="22"/>
          <w:szCs w:val="22"/>
        </w:rPr>
        <w:t>,</w:t>
      </w:r>
      <w:r>
        <w:rPr>
          <w:rFonts w:ascii="Calibri" w:hAnsi="Calibri"/>
          <w:color w:val="984806" w:themeColor="accent6" w:themeShade="80"/>
          <w:sz w:val="22"/>
          <w:szCs w:val="22"/>
        </w:rPr>
        <w:t xml:space="preserve"> etc</w:t>
      </w:r>
      <w:r w:rsidR="00465E16">
        <w:rPr>
          <w:rFonts w:ascii="Calibri" w:hAnsi="Calibri"/>
          <w:color w:val="984806" w:themeColor="accent6" w:themeShade="80"/>
          <w:sz w:val="22"/>
          <w:szCs w:val="22"/>
        </w:rPr>
        <w:t>.</w:t>
      </w:r>
      <w:r>
        <w:rPr>
          <w:rFonts w:ascii="Calibri" w:hAnsi="Calibri"/>
          <w:color w:val="984806" w:themeColor="accent6" w:themeShade="80"/>
          <w:sz w:val="22"/>
          <w:szCs w:val="22"/>
        </w:rPr>
        <w:t xml:space="preserve">).  Again, like the very basic formula GPOAs over GST non-exempt trusts, it probably works just as well in many cases where a cap is not needed and it is likely to be 0% or 100%, and involve no loss assets.  However, why risk this?  See </w:t>
      </w:r>
      <w:r w:rsidR="005D3282">
        <w:rPr>
          <w:rFonts w:ascii="Calibri" w:hAnsi="Calibri"/>
          <w:color w:val="984806" w:themeColor="accent6" w:themeShade="80"/>
          <w:sz w:val="22"/>
          <w:szCs w:val="22"/>
        </w:rPr>
        <w:t xml:space="preserve">the </w:t>
      </w:r>
      <w:r>
        <w:rPr>
          <w:rFonts w:ascii="Calibri" w:hAnsi="Calibri"/>
          <w:color w:val="984806" w:themeColor="accent6" w:themeShade="80"/>
          <w:sz w:val="22"/>
          <w:szCs w:val="22"/>
        </w:rPr>
        <w:t xml:space="preserve">following for a more nuanced approach incorporating </w:t>
      </w:r>
      <w:r w:rsidR="003522F5">
        <w:rPr>
          <w:rFonts w:ascii="Calibri" w:hAnsi="Calibri"/>
          <w:color w:val="984806" w:themeColor="accent6" w:themeShade="80"/>
          <w:sz w:val="22"/>
          <w:szCs w:val="22"/>
        </w:rPr>
        <w:t>both these ideas.</w:t>
      </w:r>
    </w:p>
    <w:p w14:paraId="2834EB8F" w14:textId="77777777" w:rsidR="00D02786" w:rsidRDefault="00D02786">
      <w:pPr>
        <w:rPr>
          <w:rFonts w:ascii="Calibri" w:hAnsi="Calibri"/>
          <w:color w:val="984806" w:themeColor="accent6" w:themeShade="80"/>
          <w:sz w:val="22"/>
          <w:szCs w:val="22"/>
        </w:rPr>
      </w:pPr>
      <w:r>
        <w:rPr>
          <w:rFonts w:ascii="Calibri" w:hAnsi="Calibri"/>
          <w:color w:val="984806" w:themeColor="accent6" w:themeShade="80"/>
          <w:sz w:val="22"/>
          <w:szCs w:val="22"/>
        </w:rPr>
        <w:br w:type="page"/>
      </w:r>
    </w:p>
    <w:p w14:paraId="113DA3CB" w14:textId="77777777" w:rsidR="00B21DDE" w:rsidRPr="003D4CEF" w:rsidRDefault="003D4CEF" w:rsidP="00C201C5">
      <w:pPr>
        <w:rPr>
          <w:rFonts w:ascii="Calibri" w:hAnsi="Calibri"/>
          <w:b/>
          <w:szCs w:val="22"/>
        </w:rPr>
      </w:pPr>
      <w:r>
        <w:rPr>
          <w:rFonts w:ascii="Calibri" w:hAnsi="Calibri"/>
          <w:b/>
          <w:szCs w:val="22"/>
        </w:rPr>
        <w:lastRenderedPageBreak/>
        <w:t xml:space="preserve">Spousal waiver for </w:t>
      </w:r>
      <w:r w:rsidR="00D02786" w:rsidRPr="003D4CEF">
        <w:rPr>
          <w:rFonts w:ascii="Calibri" w:hAnsi="Calibri"/>
          <w:b/>
          <w:szCs w:val="22"/>
        </w:rPr>
        <w:t>INGs</w:t>
      </w:r>
      <w:r w:rsidR="00050C15">
        <w:rPr>
          <w:rFonts w:ascii="Calibri" w:hAnsi="Calibri"/>
          <w:b/>
          <w:szCs w:val="22"/>
        </w:rPr>
        <w:t xml:space="preserve"> </w:t>
      </w:r>
      <w:r w:rsidR="00D02786" w:rsidRPr="003D4CEF">
        <w:rPr>
          <w:rFonts w:ascii="Calibri" w:hAnsi="Calibri"/>
          <w:b/>
          <w:szCs w:val="22"/>
        </w:rPr>
        <w:t xml:space="preserve">to prevent argument </w:t>
      </w:r>
      <w:r w:rsidR="00050C15">
        <w:rPr>
          <w:rFonts w:ascii="Calibri" w:hAnsi="Calibri"/>
          <w:b/>
          <w:szCs w:val="22"/>
        </w:rPr>
        <w:t>there is a</w:t>
      </w:r>
      <w:r w:rsidR="00D02786" w:rsidRPr="003D4CEF">
        <w:rPr>
          <w:rFonts w:ascii="Calibri" w:hAnsi="Calibri"/>
          <w:b/>
          <w:szCs w:val="22"/>
        </w:rPr>
        <w:t xml:space="preserve"> grantor trust based on spousal interest,</w:t>
      </w:r>
      <w:r w:rsidR="00050C15">
        <w:rPr>
          <w:rFonts w:ascii="Calibri" w:hAnsi="Calibri"/>
          <w:b/>
          <w:szCs w:val="22"/>
        </w:rPr>
        <w:t xml:space="preserve"> to prevent</w:t>
      </w:r>
      <w:r w:rsidR="00D02786" w:rsidRPr="003D4CEF">
        <w:rPr>
          <w:rFonts w:ascii="Calibri" w:hAnsi="Calibri"/>
          <w:b/>
          <w:szCs w:val="22"/>
        </w:rPr>
        <w:t xml:space="preserve"> </w:t>
      </w:r>
      <w:r w:rsidRPr="00864554">
        <w:rPr>
          <w:rFonts w:ascii="Calibri" w:hAnsi="Calibri"/>
          <w:b/>
          <w:i/>
          <w:szCs w:val="22"/>
        </w:rPr>
        <w:t>Kloiber/Dahl</w:t>
      </w:r>
      <w:r>
        <w:rPr>
          <w:rFonts w:ascii="Calibri" w:hAnsi="Calibri"/>
          <w:b/>
          <w:szCs w:val="22"/>
        </w:rPr>
        <w:t xml:space="preserve"> arguments upon divorce, </w:t>
      </w:r>
      <w:r w:rsidR="00050C15">
        <w:rPr>
          <w:rFonts w:ascii="Calibri" w:hAnsi="Calibri"/>
          <w:b/>
          <w:szCs w:val="22"/>
        </w:rPr>
        <w:t>or</w:t>
      </w:r>
      <w:r w:rsidR="00D02786" w:rsidRPr="003D4CEF">
        <w:rPr>
          <w:rFonts w:ascii="Calibri" w:hAnsi="Calibri"/>
          <w:b/>
          <w:szCs w:val="22"/>
        </w:rPr>
        <w:t xml:space="preserve"> </w:t>
      </w:r>
      <w:r w:rsidR="00050C15">
        <w:rPr>
          <w:rFonts w:ascii="Calibri" w:hAnsi="Calibri"/>
          <w:b/>
          <w:szCs w:val="22"/>
        </w:rPr>
        <w:t>to help ensure completed gift for DAPTs</w:t>
      </w:r>
      <w:r w:rsidR="00050C15" w:rsidRPr="003D4CEF">
        <w:rPr>
          <w:rFonts w:ascii="Calibri" w:hAnsi="Calibri"/>
          <w:b/>
          <w:szCs w:val="22"/>
        </w:rPr>
        <w:t xml:space="preserve"> </w:t>
      </w:r>
      <w:r w:rsidR="00050C15">
        <w:rPr>
          <w:rFonts w:ascii="Calibri" w:hAnsi="Calibri"/>
          <w:b/>
          <w:szCs w:val="22"/>
        </w:rPr>
        <w:t xml:space="preserve">or other irrevocable trusts not naming spouse </w:t>
      </w:r>
      <w:r w:rsidR="00D02786" w:rsidRPr="003D4CEF">
        <w:rPr>
          <w:rFonts w:ascii="Calibri" w:hAnsi="Calibri"/>
          <w:b/>
          <w:szCs w:val="22"/>
        </w:rPr>
        <w:t>where completed gift desired</w:t>
      </w:r>
    </w:p>
    <w:p w14:paraId="04C16A3B" w14:textId="77777777" w:rsidR="00D02786" w:rsidRPr="00D02786" w:rsidRDefault="00D02786" w:rsidP="00D02786">
      <w:pPr>
        <w:rPr>
          <w:rFonts w:ascii="Calibri" w:hAnsi="Calibri"/>
          <w:sz w:val="22"/>
          <w:szCs w:val="22"/>
        </w:rPr>
      </w:pPr>
    </w:p>
    <w:p w14:paraId="0B1517DA" w14:textId="77777777" w:rsidR="00D02786" w:rsidRPr="00D02786" w:rsidRDefault="00D02786" w:rsidP="00D02786">
      <w:pPr>
        <w:rPr>
          <w:rFonts w:ascii="Calibri" w:hAnsi="Calibri"/>
          <w:sz w:val="22"/>
          <w:szCs w:val="22"/>
        </w:rPr>
      </w:pPr>
      <w:r w:rsidRPr="00D02786">
        <w:rPr>
          <w:rFonts w:ascii="Calibri" w:hAnsi="Calibri"/>
          <w:sz w:val="22"/>
          <w:szCs w:val="22"/>
        </w:rPr>
        <w:t>WAIVER OF CERTAIN RIGHTS</w:t>
      </w:r>
    </w:p>
    <w:p w14:paraId="4340C56F" w14:textId="77777777" w:rsidR="00864554" w:rsidRDefault="00864554" w:rsidP="00D02786">
      <w:pPr>
        <w:rPr>
          <w:rFonts w:ascii="Calibri" w:hAnsi="Calibri"/>
          <w:sz w:val="22"/>
          <w:szCs w:val="22"/>
        </w:rPr>
      </w:pPr>
    </w:p>
    <w:p w14:paraId="26E318DB" w14:textId="77777777" w:rsidR="00DA1DEF" w:rsidRDefault="00D02786" w:rsidP="00D02786">
      <w:pPr>
        <w:rPr>
          <w:rFonts w:ascii="Calibri" w:hAnsi="Calibri"/>
          <w:sz w:val="22"/>
          <w:szCs w:val="22"/>
        </w:rPr>
      </w:pPr>
      <w:r w:rsidRPr="00D02786">
        <w:rPr>
          <w:rFonts w:ascii="Calibri" w:hAnsi="Calibri"/>
          <w:sz w:val="22"/>
          <w:szCs w:val="22"/>
        </w:rPr>
        <w:t>I</w:t>
      </w:r>
      <w:r>
        <w:rPr>
          <w:rFonts w:ascii="Calibri" w:hAnsi="Calibri"/>
          <w:sz w:val="22"/>
          <w:szCs w:val="22"/>
        </w:rPr>
        <w:t>, the undersigned spouse</w:t>
      </w:r>
      <w:r w:rsidRPr="00D02786">
        <w:rPr>
          <w:rFonts w:ascii="Calibri" w:hAnsi="Calibri"/>
          <w:sz w:val="22"/>
          <w:szCs w:val="22"/>
        </w:rPr>
        <w:t xml:space="preserve"> of </w:t>
      </w:r>
      <w:r>
        <w:rPr>
          <w:rFonts w:ascii="Calibri" w:hAnsi="Calibri"/>
          <w:sz w:val="22"/>
          <w:szCs w:val="22"/>
        </w:rPr>
        <w:t>settlor</w:t>
      </w:r>
      <w:r w:rsidRPr="00D02786">
        <w:rPr>
          <w:rFonts w:ascii="Calibri" w:hAnsi="Calibri"/>
          <w:sz w:val="22"/>
          <w:szCs w:val="22"/>
        </w:rPr>
        <w:t>, waive all of my rights, title, and interest</w:t>
      </w:r>
      <w:r>
        <w:rPr>
          <w:rFonts w:ascii="Calibri" w:hAnsi="Calibri"/>
          <w:sz w:val="22"/>
          <w:szCs w:val="22"/>
        </w:rPr>
        <w:t xml:space="preserve"> </w:t>
      </w:r>
      <w:r w:rsidRPr="00D02786">
        <w:rPr>
          <w:rFonts w:ascii="Calibri" w:hAnsi="Calibri"/>
          <w:sz w:val="22"/>
          <w:szCs w:val="22"/>
        </w:rPr>
        <w:t xml:space="preserve">in any property transferred to the attached </w:t>
      </w:r>
      <w:r w:rsidR="001B2260">
        <w:rPr>
          <w:rFonts w:ascii="Calibri" w:hAnsi="Calibri"/>
          <w:sz w:val="22"/>
          <w:szCs w:val="22"/>
        </w:rPr>
        <w:t>___________</w:t>
      </w:r>
      <w:r>
        <w:rPr>
          <w:rFonts w:ascii="Calibri" w:hAnsi="Calibri"/>
          <w:sz w:val="22"/>
          <w:szCs w:val="22"/>
        </w:rPr>
        <w:t>trust dated XX/XX/XXXX (the “trust”)</w:t>
      </w:r>
      <w:r w:rsidR="001B2260">
        <w:rPr>
          <w:rFonts w:ascii="Calibri" w:hAnsi="Calibri"/>
          <w:sz w:val="22"/>
          <w:szCs w:val="22"/>
        </w:rPr>
        <w:t>, other than as specified therein</w:t>
      </w:r>
      <w:r>
        <w:rPr>
          <w:rFonts w:ascii="Calibri" w:hAnsi="Calibri"/>
          <w:sz w:val="22"/>
          <w:szCs w:val="22"/>
        </w:rPr>
        <w:t>.</w:t>
      </w:r>
      <w:r w:rsidRPr="00D02786">
        <w:rPr>
          <w:rFonts w:ascii="Calibri" w:hAnsi="Calibri"/>
          <w:sz w:val="22"/>
          <w:szCs w:val="22"/>
        </w:rPr>
        <w:t xml:space="preserve"> This</w:t>
      </w:r>
      <w:r>
        <w:rPr>
          <w:rFonts w:ascii="Calibri" w:hAnsi="Calibri"/>
          <w:sz w:val="22"/>
          <w:szCs w:val="22"/>
        </w:rPr>
        <w:t xml:space="preserve"> </w:t>
      </w:r>
      <w:r w:rsidRPr="00D02786">
        <w:rPr>
          <w:rFonts w:ascii="Calibri" w:hAnsi="Calibri"/>
          <w:sz w:val="22"/>
          <w:szCs w:val="22"/>
        </w:rPr>
        <w:t>waiver shall apply both to current and inchoate interests that I may have, including, but not limited</w:t>
      </w:r>
      <w:r>
        <w:rPr>
          <w:rFonts w:ascii="Calibri" w:hAnsi="Calibri"/>
          <w:sz w:val="22"/>
          <w:szCs w:val="22"/>
        </w:rPr>
        <w:t xml:space="preserve"> </w:t>
      </w:r>
      <w:r w:rsidRPr="00D02786">
        <w:rPr>
          <w:rFonts w:ascii="Calibri" w:hAnsi="Calibri"/>
          <w:sz w:val="22"/>
          <w:szCs w:val="22"/>
        </w:rPr>
        <w:t xml:space="preserve">to, rights to an intestate share, statutory </w:t>
      </w:r>
      <w:r w:rsidR="00DA1DEF">
        <w:rPr>
          <w:rFonts w:ascii="Calibri" w:hAnsi="Calibri"/>
          <w:sz w:val="22"/>
          <w:szCs w:val="22"/>
        </w:rPr>
        <w:t xml:space="preserve">elective </w:t>
      </w:r>
      <w:r w:rsidRPr="00D02786">
        <w:rPr>
          <w:rFonts w:ascii="Calibri" w:hAnsi="Calibri"/>
          <w:sz w:val="22"/>
          <w:szCs w:val="22"/>
        </w:rPr>
        <w:t>share, omitted spouse's share, or share in the nature</w:t>
      </w:r>
      <w:r>
        <w:rPr>
          <w:rFonts w:ascii="Calibri" w:hAnsi="Calibri"/>
          <w:sz w:val="22"/>
          <w:szCs w:val="22"/>
        </w:rPr>
        <w:t xml:space="preserve"> </w:t>
      </w:r>
      <w:r w:rsidRPr="00D02786">
        <w:rPr>
          <w:rFonts w:ascii="Calibri" w:hAnsi="Calibri"/>
          <w:sz w:val="22"/>
          <w:szCs w:val="22"/>
        </w:rPr>
        <w:t>of dower or cur</w:t>
      </w:r>
      <w:r>
        <w:rPr>
          <w:rFonts w:ascii="Calibri" w:hAnsi="Calibri"/>
          <w:sz w:val="22"/>
          <w:szCs w:val="22"/>
        </w:rPr>
        <w:t xml:space="preserve">tesy, in the estate </w:t>
      </w:r>
      <w:r w:rsidR="001B2260">
        <w:rPr>
          <w:rFonts w:ascii="Calibri" w:hAnsi="Calibri"/>
          <w:sz w:val="22"/>
          <w:szCs w:val="22"/>
        </w:rPr>
        <w:t xml:space="preserve">or augmented estate </w:t>
      </w:r>
      <w:r>
        <w:rPr>
          <w:rFonts w:ascii="Calibri" w:hAnsi="Calibri"/>
          <w:sz w:val="22"/>
          <w:szCs w:val="22"/>
        </w:rPr>
        <w:t>of settlor</w:t>
      </w:r>
      <w:r w:rsidRPr="00D02786">
        <w:rPr>
          <w:rFonts w:ascii="Calibri" w:hAnsi="Calibri"/>
          <w:sz w:val="22"/>
          <w:szCs w:val="22"/>
        </w:rPr>
        <w:t xml:space="preserve">. </w:t>
      </w:r>
    </w:p>
    <w:p w14:paraId="713D41C1" w14:textId="77777777" w:rsidR="00DA1DEF" w:rsidRDefault="00DA1DEF" w:rsidP="00D02786">
      <w:pPr>
        <w:rPr>
          <w:rFonts w:ascii="Calibri" w:hAnsi="Calibri"/>
          <w:sz w:val="22"/>
          <w:szCs w:val="22"/>
        </w:rPr>
      </w:pPr>
    </w:p>
    <w:p w14:paraId="56106BCB" w14:textId="77777777" w:rsidR="00D02786" w:rsidRDefault="00D02786" w:rsidP="00D02786">
      <w:pPr>
        <w:rPr>
          <w:rFonts w:ascii="Calibri" w:hAnsi="Calibri"/>
          <w:sz w:val="22"/>
          <w:szCs w:val="22"/>
        </w:rPr>
      </w:pPr>
      <w:r>
        <w:rPr>
          <w:rFonts w:ascii="Calibri" w:hAnsi="Calibri"/>
          <w:sz w:val="22"/>
          <w:szCs w:val="22"/>
        </w:rPr>
        <w:t xml:space="preserve">This </w:t>
      </w:r>
      <w:r w:rsidR="001B2260">
        <w:rPr>
          <w:rFonts w:ascii="Calibri" w:hAnsi="Calibri"/>
          <w:sz w:val="22"/>
          <w:szCs w:val="22"/>
        </w:rPr>
        <w:t>waiver shall</w:t>
      </w:r>
      <w:r>
        <w:rPr>
          <w:rFonts w:ascii="Calibri" w:hAnsi="Calibri"/>
          <w:sz w:val="22"/>
          <w:szCs w:val="22"/>
        </w:rPr>
        <w:t xml:space="preserve"> also </w:t>
      </w:r>
      <w:r w:rsidR="001B2260">
        <w:rPr>
          <w:rFonts w:ascii="Calibri" w:hAnsi="Calibri"/>
          <w:sz w:val="22"/>
          <w:szCs w:val="22"/>
        </w:rPr>
        <w:t>apply to any</w:t>
      </w:r>
      <w:r>
        <w:rPr>
          <w:rFonts w:ascii="Calibri" w:hAnsi="Calibri"/>
          <w:sz w:val="22"/>
          <w:szCs w:val="22"/>
        </w:rPr>
        <w:t xml:space="preserve"> rights to contest the transfer </w:t>
      </w:r>
      <w:r w:rsidR="00DA1DEF">
        <w:rPr>
          <w:rFonts w:ascii="Calibri" w:hAnsi="Calibri"/>
          <w:sz w:val="22"/>
          <w:szCs w:val="22"/>
        </w:rPr>
        <w:t xml:space="preserve">as a breach of trust or fiduciary duty or </w:t>
      </w:r>
      <w:r>
        <w:rPr>
          <w:rFonts w:ascii="Calibri" w:hAnsi="Calibri"/>
          <w:sz w:val="22"/>
          <w:szCs w:val="22"/>
        </w:rPr>
        <w:t xml:space="preserve">under </w:t>
      </w:r>
      <w:r w:rsidR="001B2260">
        <w:rPr>
          <w:rFonts w:ascii="Calibri" w:hAnsi="Calibri"/>
          <w:sz w:val="22"/>
          <w:szCs w:val="22"/>
        </w:rPr>
        <w:t xml:space="preserve">any applicable Uniform Fraudulent Transfers Act, Uniform Fraudulent Conveyance Act or Uniform Voidable Transaction Act including common law remedies such </w:t>
      </w:r>
      <w:r w:rsidR="00864554">
        <w:rPr>
          <w:rFonts w:ascii="Calibri" w:hAnsi="Calibri"/>
          <w:sz w:val="22"/>
          <w:szCs w:val="22"/>
        </w:rPr>
        <w:t xml:space="preserve">as but not limited to </w:t>
      </w:r>
      <w:r w:rsidR="001B2260">
        <w:rPr>
          <w:rFonts w:ascii="Calibri" w:hAnsi="Calibri"/>
          <w:sz w:val="22"/>
          <w:szCs w:val="22"/>
        </w:rPr>
        <w:t>equitable or constructive trusts.</w:t>
      </w:r>
    </w:p>
    <w:p w14:paraId="4F042D20" w14:textId="77777777" w:rsidR="00DA1DEF" w:rsidRDefault="00DA1DEF" w:rsidP="00D02786">
      <w:pPr>
        <w:rPr>
          <w:rFonts w:ascii="Calibri" w:hAnsi="Calibri"/>
          <w:sz w:val="22"/>
          <w:szCs w:val="22"/>
        </w:rPr>
      </w:pPr>
    </w:p>
    <w:p w14:paraId="6E44116B" w14:textId="77777777" w:rsidR="00DA1DEF" w:rsidRDefault="00DA1DEF" w:rsidP="00D02786">
      <w:pPr>
        <w:rPr>
          <w:rFonts w:ascii="Calibri" w:hAnsi="Calibri"/>
          <w:sz w:val="22"/>
          <w:szCs w:val="22"/>
        </w:rPr>
      </w:pPr>
      <w:r>
        <w:rPr>
          <w:rFonts w:ascii="Calibri" w:hAnsi="Calibri"/>
          <w:sz w:val="22"/>
          <w:szCs w:val="22"/>
        </w:rPr>
        <w:t xml:space="preserve">This waiver shall not preclude voluntary </w:t>
      </w:r>
      <w:r w:rsidR="002A2F12">
        <w:rPr>
          <w:rFonts w:ascii="Calibri" w:hAnsi="Calibri"/>
          <w:sz w:val="22"/>
          <w:szCs w:val="22"/>
        </w:rPr>
        <w:t>appointments</w:t>
      </w:r>
      <w:r>
        <w:rPr>
          <w:rFonts w:ascii="Calibri" w:hAnsi="Calibri"/>
          <w:sz w:val="22"/>
          <w:szCs w:val="22"/>
        </w:rPr>
        <w:t xml:space="preserve"> or gifts by any powerholder or beneficiary that might later directly or indirectly benefit me through their own independent actions.</w:t>
      </w:r>
      <w:r w:rsidR="00864554">
        <w:rPr>
          <w:rFonts w:ascii="Calibri" w:hAnsi="Calibri"/>
          <w:sz w:val="22"/>
          <w:szCs w:val="22"/>
        </w:rPr>
        <w:t xml:space="preserve">  Nor shall this waiver preclude me from later disclaiming or releasing any such rights.</w:t>
      </w:r>
    </w:p>
    <w:p w14:paraId="445D2C2F" w14:textId="77777777" w:rsidR="00DA1DEF" w:rsidRDefault="00DA1DEF" w:rsidP="00DA1DEF">
      <w:pPr>
        <w:rPr>
          <w:rFonts w:ascii="Calibri" w:hAnsi="Calibri"/>
          <w:sz w:val="22"/>
          <w:szCs w:val="22"/>
        </w:rPr>
      </w:pPr>
    </w:p>
    <w:p w14:paraId="4574D9B8" w14:textId="77777777" w:rsidR="00DA1DEF" w:rsidRDefault="00DA1DEF" w:rsidP="00DA1DEF">
      <w:pPr>
        <w:rPr>
          <w:rFonts w:ascii="Calibri" w:hAnsi="Calibri"/>
          <w:sz w:val="22"/>
          <w:szCs w:val="22"/>
        </w:rPr>
      </w:pPr>
      <w:r w:rsidRPr="00D02786">
        <w:rPr>
          <w:rFonts w:ascii="Calibri" w:hAnsi="Calibri"/>
          <w:sz w:val="22"/>
          <w:szCs w:val="22"/>
        </w:rPr>
        <w:t>This waiver shall constitute a third-party beneficiary</w:t>
      </w:r>
      <w:r>
        <w:rPr>
          <w:rFonts w:ascii="Calibri" w:hAnsi="Calibri"/>
          <w:sz w:val="22"/>
          <w:szCs w:val="22"/>
        </w:rPr>
        <w:t xml:space="preserve"> </w:t>
      </w:r>
      <w:r w:rsidRPr="00D02786">
        <w:rPr>
          <w:rFonts w:ascii="Calibri" w:hAnsi="Calibri"/>
          <w:sz w:val="22"/>
          <w:szCs w:val="22"/>
        </w:rPr>
        <w:t>contract for the benefit of all the beneficiaries of the trust, and these beneficiaries or the</w:t>
      </w:r>
      <w:r>
        <w:rPr>
          <w:rFonts w:ascii="Calibri" w:hAnsi="Calibri"/>
          <w:sz w:val="22"/>
          <w:szCs w:val="22"/>
        </w:rPr>
        <w:t xml:space="preserve"> </w:t>
      </w:r>
      <w:r w:rsidRPr="00D02786">
        <w:rPr>
          <w:rFonts w:ascii="Calibri" w:hAnsi="Calibri"/>
          <w:sz w:val="22"/>
          <w:szCs w:val="22"/>
        </w:rPr>
        <w:t>trustee of the trust may enforce this waiver by appropriate legal action.</w:t>
      </w:r>
    </w:p>
    <w:p w14:paraId="2ED14F19" w14:textId="77777777" w:rsidR="00D02786" w:rsidRPr="00D02786" w:rsidRDefault="00D02786" w:rsidP="00D02786">
      <w:pPr>
        <w:rPr>
          <w:rFonts w:ascii="Calibri" w:hAnsi="Calibri"/>
          <w:sz w:val="22"/>
          <w:szCs w:val="22"/>
        </w:rPr>
      </w:pPr>
    </w:p>
    <w:p w14:paraId="2ED43119" w14:textId="77777777" w:rsidR="00D02786" w:rsidRPr="00D02786" w:rsidRDefault="00D02786" w:rsidP="00D02786">
      <w:pPr>
        <w:rPr>
          <w:rFonts w:ascii="Calibri" w:hAnsi="Calibri"/>
          <w:sz w:val="22"/>
          <w:szCs w:val="22"/>
        </w:rPr>
      </w:pPr>
      <w:r>
        <w:rPr>
          <w:rFonts w:ascii="Calibri" w:hAnsi="Calibri"/>
          <w:sz w:val="22"/>
          <w:szCs w:val="22"/>
        </w:rPr>
        <w:t>Dated: January 9, 2015</w:t>
      </w:r>
    </w:p>
    <w:p w14:paraId="1D6C5CB5" w14:textId="77777777" w:rsidR="00D02786" w:rsidRPr="00D02786" w:rsidRDefault="00D02786" w:rsidP="00D02786">
      <w:pPr>
        <w:rPr>
          <w:rFonts w:ascii="Calibri" w:hAnsi="Calibri"/>
          <w:sz w:val="22"/>
          <w:szCs w:val="22"/>
        </w:rPr>
      </w:pPr>
    </w:p>
    <w:p w14:paraId="612D5050" w14:textId="77777777" w:rsidR="00D02786" w:rsidRDefault="00D02786" w:rsidP="00D02786">
      <w:pPr>
        <w:rPr>
          <w:rFonts w:ascii="Calibri" w:hAnsi="Calibri"/>
          <w:sz w:val="22"/>
          <w:szCs w:val="22"/>
        </w:rPr>
      </w:pPr>
      <w:r w:rsidRPr="00D02786">
        <w:rPr>
          <w:rFonts w:ascii="Calibri" w:hAnsi="Calibri"/>
          <w:sz w:val="22"/>
          <w:szCs w:val="22"/>
        </w:rPr>
        <w:t>[Signatures and notary clause]</w:t>
      </w:r>
    </w:p>
    <w:p w14:paraId="226EEE9F" w14:textId="77777777" w:rsidR="003D4CEF" w:rsidRDefault="003D4CEF" w:rsidP="00D02786">
      <w:pPr>
        <w:rPr>
          <w:rFonts w:ascii="Calibri" w:hAnsi="Calibri"/>
          <w:sz w:val="22"/>
          <w:szCs w:val="22"/>
        </w:rPr>
      </w:pPr>
    </w:p>
    <w:p w14:paraId="14C51046" w14:textId="77777777" w:rsidR="003D4CEF" w:rsidRDefault="003D4CEF" w:rsidP="00D02786">
      <w:pPr>
        <w:rPr>
          <w:rFonts w:ascii="Calibri" w:hAnsi="Calibri"/>
          <w:sz w:val="22"/>
          <w:szCs w:val="22"/>
        </w:rPr>
      </w:pPr>
    </w:p>
    <w:p w14:paraId="670DFDFB" w14:textId="77777777" w:rsidR="003D4CEF" w:rsidRPr="00DE3FFD" w:rsidRDefault="003D4CEF" w:rsidP="00D02786">
      <w:pPr>
        <w:rPr>
          <w:rFonts w:ascii="Calibri" w:hAnsi="Calibri"/>
          <w:color w:val="C0504D" w:themeColor="accent2"/>
          <w:sz w:val="22"/>
          <w:szCs w:val="22"/>
        </w:rPr>
      </w:pPr>
      <w:r w:rsidRPr="00DE3FFD">
        <w:rPr>
          <w:rFonts w:ascii="Calibri" w:hAnsi="Calibri"/>
          <w:color w:val="C0504D" w:themeColor="accent2"/>
          <w:sz w:val="22"/>
          <w:szCs w:val="22"/>
        </w:rPr>
        <w:t>[</w:t>
      </w:r>
      <w:r w:rsidR="00050C15">
        <w:rPr>
          <w:rFonts w:ascii="Calibri" w:hAnsi="Calibri"/>
          <w:color w:val="C0504D" w:themeColor="accent2"/>
          <w:sz w:val="22"/>
          <w:szCs w:val="22"/>
        </w:rPr>
        <w:t>N</w:t>
      </w:r>
      <w:r w:rsidRPr="00DE3FFD">
        <w:rPr>
          <w:rFonts w:ascii="Calibri" w:hAnsi="Calibri"/>
          <w:color w:val="C0504D" w:themeColor="accent2"/>
          <w:sz w:val="22"/>
          <w:szCs w:val="22"/>
        </w:rPr>
        <w:t xml:space="preserve">ote: Each state may have its own requirements for validity of post-nuptial agreements.  Would a simple waiver need to fulfill all the requisites under state law for post-nuptial agreements?  Perhaps.  </w:t>
      </w:r>
      <w:r w:rsidR="00050C15">
        <w:rPr>
          <w:rFonts w:ascii="Calibri" w:hAnsi="Calibri"/>
          <w:color w:val="C0504D" w:themeColor="accent2"/>
          <w:sz w:val="22"/>
          <w:szCs w:val="22"/>
        </w:rPr>
        <w:t xml:space="preserve">This would not be the same as ERISA/REA spousal waivers which would be preempted by federal law.  </w:t>
      </w:r>
      <w:r w:rsidRPr="00DE3FFD">
        <w:rPr>
          <w:rFonts w:ascii="Calibri" w:hAnsi="Calibri"/>
          <w:color w:val="C0504D" w:themeColor="accent2"/>
          <w:sz w:val="22"/>
          <w:szCs w:val="22"/>
        </w:rPr>
        <w:t xml:space="preserve">Is consideration required?  </w:t>
      </w:r>
      <w:r w:rsidR="00DE3FFD">
        <w:rPr>
          <w:rFonts w:ascii="Calibri" w:hAnsi="Calibri"/>
          <w:color w:val="C0504D" w:themeColor="accent2"/>
          <w:sz w:val="22"/>
          <w:szCs w:val="22"/>
        </w:rPr>
        <w:t xml:space="preserve">Whether property contributed is separate or marital would probably matter.  Spouses generally owe fiduciary duties to each other, beyond the scope of this outline.  Any attorney representing both spouses skates on thin ice ethically trying to pull shenanigans like the </w:t>
      </w:r>
      <w:r w:rsidR="00DE3FFD" w:rsidRPr="00050C15">
        <w:rPr>
          <w:rFonts w:ascii="Calibri" w:hAnsi="Calibri"/>
          <w:i/>
          <w:color w:val="C0504D" w:themeColor="accent2"/>
          <w:sz w:val="22"/>
          <w:szCs w:val="22"/>
        </w:rPr>
        <w:t>Dahl</w:t>
      </w:r>
      <w:r w:rsidR="00DE3FFD">
        <w:rPr>
          <w:rFonts w:ascii="Calibri" w:hAnsi="Calibri"/>
          <w:color w:val="C0504D" w:themeColor="accent2"/>
          <w:sz w:val="22"/>
          <w:szCs w:val="22"/>
        </w:rPr>
        <w:t xml:space="preserve"> and </w:t>
      </w:r>
      <w:r w:rsidR="00DE3FFD" w:rsidRPr="00050C15">
        <w:rPr>
          <w:rFonts w:ascii="Calibri" w:hAnsi="Calibri"/>
          <w:i/>
          <w:color w:val="C0504D" w:themeColor="accent2"/>
          <w:sz w:val="22"/>
          <w:szCs w:val="22"/>
        </w:rPr>
        <w:t>Kloiber</w:t>
      </w:r>
      <w:r w:rsidR="00DE3FFD">
        <w:rPr>
          <w:rFonts w:ascii="Calibri" w:hAnsi="Calibri"/>
          <w:color w:val="C0504D" w:themeColor="accent2"/>
          <w:sz w:val="22"/>
          <w:szCs w:val="22"/>
        </w:rPr>
        <w:t xml:space="preserve"> cases illustrate (perhaps even those representing only one spouse</w:t>
      </w:r>
      <w:r w:rsidR="00050C15">
        <w:rPr>
          <w:rFonts w:ascii="Calibri" w:hAnsi="Calibri"/>
          <w:color w:val="C0504D" w:themeColor="accent2"/>
          <w:sz w:val="22"/>
          <w:szCs w:val="22"/>
        </w:rPr>
        <w:t xml:space="preserve"> if it is marital property</w:t>
      </w:r>
      <w:r w:rsidR="00DE3FFD">
        <w:rPr>
          <w:rFonts w:ascii="Calibri" w:hAnsi="Calibri"/>
          <w:color w:val="C0504D" w:themeColor="accent2"/>
          <w:sz w:val="22"/>
          <w:szCs w:val="22"/>
        </w:rPr>
        <w:t xml:space="preserve">).  But in many instances a waiver like the above may be desired purely for tax and asset protection reasons - not asset protection from the spouse, but against third party creditors.  Like any post-nuptial agreement, there are many </w:t>
      </w:r>
      <w:r w:rsidR="00050C15">
        <w:rPr>
          <w:rFonts w:ascii="Calibri" w:hAnsi="Calibri"/>
          <w:color w:val="C0504D" w:themeColor="accent2"/>
          <w:sz w:val="22"/>
          <w:szCs w:val="22"/>
        </w:rPr>
        <w:t xml:space="preserve">situations and even </w:t>
      </w:r>
      <w:r w:rsidR="00DE3FFD">
        <w:rPr>
          <w:rFonts w:ascii="Calibri" w:hAnsi="Calibri"/>
          <w:color w:val="C0504D" w:themeColor="accent2"/>
          <w:sz w:val="22"/>
          <w:szCs w:val="22"/>
        </w:rPr>
        <w:t>techniques and other planning that can be done to ensure such waivers are not in any way abusive to spouses.</w:t>
      </w:r>
    </w:p>
    <w:p w14:paraId="1ED57B00" w14:textId="77777777" w:rsidR="00DB7600" w:rsidRDefault="00DB7600">
      <w:pPr>
        <w:rPr>
          <w:rFonts w:ascii="Calibri" w:hAnsi="Calibri"/>
          <w:color w:val="984806" w:themeColor="accent6" w:themeShade="80"/>
          <w:sz w:val="22"/>
          <w:szCs w:val="22"/>
        </w:rPr>
      </w:pPr>
      <w:r>
        <w:rPr>
          <w:rFonts w:ascii="Calibri" w:hAnsi="Calibri"/>
          <w:color w:val="984806" w:themeColor="accent6" w:themeShade="80"/>
          <w:sz w:val="22"/>
          <w:szCs w:val="22"/>
        </w:rPr>
        <w:br w:type="page"/>
      </w:r>
    </w:p>
    <w:p w14:paraId="7EDC694A" w14:textId="77777777" w:rsidR="00DB7600" w:rsidRPr="00DB7600" w:rsidRDefault="00DB7600" w:rsidP="00DB7600">
      <w:pPr>
        <w:rPr>
          <w:rFonts w:ascii="Calibri" w:hAnsi="Calibri"/>
          <w:b/>
          <w:sz w:val="22"/>
          <w:szCs w:val="22"/>
        </w:rPr>
      </w:pPr>
      <w:r w:rsidRPr="00DB7600">
        <w:rPr>
          <w:rFonts w:ascii="Calibri" w:hAnsi="Calibri"/>
          <w:b/>
          <w:sz w:val="22"/>
          <w:szCs w:val="22"/>
        </w:rPr>
        <w:lastRenderedPageBreak/>
        <w:t xml:space="preserve">Provision in </w:t>
      </w:r>
      <w:r>
        <w:rPr>
          <w:rFonts w:ascii="Calibri" w:hAnsi="Calibri"/>
          <w:b/>
          <w:sz w:val="22"/>
          <w:szCs w:val="22"/>
        </w:rPr>
        <w:t>w</w:t>
      </w:r>
      <w:r w:rsidRPr="00DB7600">
        <w:rPr>
          <w:rFonts w:ascii="Calibri" w:hAnsi="Calibri"/>
          <w:b/>
          <w:sz w:val="22"/>
          <w:szCs w:val="22"/>
        </w:rPr>
        <w:t>ill (or, potentially, revocable living trust, but usually in will)</w:t>
      </w:r>
      <w:r>
        <w:rPr>
          <w:rFonts w:ascii="Calibri" w:hAnsi="Calibri"/>
          <w:b/>
          <w:sz w:val="22"/>
          <w:szCs w:val="22"/>
        </w:rPr>
        <w:t xml:space="preserve"> to exercise a power of appointment</w:t>
      </w:r>
    </w:p>
    <w:p w14:paraId="68C04839" w14:textId="77777777" w:rsidR="00DB7600" w:rsidRDefault="00DB7600" w:rsidP="00DB7600">
      <w:pPr>
        <w:rPr>
          <w:rFonts w:ascii="Calibri" w:hAnsi="Calibri"/>
          <w:sz w:val="22"/>
          <w:szCs w:val="22"/>
          <w:u w:val="single"/>
        </w:rPr>
      </w:pPr>
    </w:p>
    <w:p w14:paraId="339F94CA" w14:textId="77777777" w:rsidR="00DB7600" w:rsidRDefault="00DB7600" w:rsidP="00DB7600">
      <w:pPr>
        <w:spacing w:line="360" w:lineRule="auto"/>
        <w:rPr>
          <w:rFonts w:ascii="Calibri" w:hAnsi="Calibri"/>
          <w:sz w:val="22"/>
          <w:szCs w:val="22"/>
        </w:rPr>
      </w:pPr>
      <w:r w:rsidRPr="00DB7600">
        <w:rPr>
          <w:rFonts w:ascii="Calibri" w:hAnsi="Calibri"/>
          <w:sz w:val="22"/>
          <w:szCs w:val="22"/>
          <w:u w:val="single"/>
        </w:rPr>
        <w:t>Property Subject to Certain Powers of Appointment</w:t>
      </w:r>
    </w:p>
    <w:p w14:paraId="0C1BDA4F" w14:textId="77777777" w:rsidR="00DB7600" w:rsidRDefault="00DB7600" w:rsidP="00DB7600">
      <w:pPr>
        <w:spacing w:line="360" w:lineRule="auto"/>
        <w:ind w:firstLine="720"/>
        <w:rPr>
          <w:rFonts w:ascii="Calibri" w:hAnsi="Calibri"/>
          <w:sz w:val="22"/>
          <w:szCs w:val="22"/>
        </w:rPr>
      </w:pPr>
      <w:r w:rsidRPr="00DB7600">
        <w:rPr>
          <w:rFonts w:ascii="Calibri" w:hAnsi="Calibri"/>
          <w:sz w:val="22"/>
          <w:szCs w:val="22"/>
        </w:rPr>
        <w:t xml:space="preserve">I am granted a power of appointment (“First Power”) </w:t>
      </w:r>
      <w:r>
        <w:rPr>
          <w:rFonts w:ascii="Calibri" w:hAnsi="Calibri"/>
          <w:sz w:val="22"/>
          <w:szCs w:val="22"/>
        </w:rPr>
        <w:t>under paragraph  _____ of the ____________</w:t>
      </w:r>
      <w:r w:rsidRPr="00DB7600">
        <w:rPr>
          <w:rFonts w:ascii="Calibri" w:hAnsi="Calibri"/>
          <w:sz w:val="22"/>
          <w:szCs w:val="22"/>
        </w:rPr>
        <w:t xml:space="preserve"> Trust </w:t>
      </w:r>
      <w:r>
        <w:rPr>
          <w:rFonts w:ascii="Calibri" w:hAnsi="Calibri"/>
          <w:sz w:val="22"/>
          <w:szCs w:val="22"/>
        </w:rPr>
        <w:t>dated XX/XX/XXXX</w:t>
      </w:r>
      <w:r w:rsidRPr="00DB7600">
        <w:rPr>
          <w:rFonts w:ascii="Calibri" w:hAnsi="Calibri"/>
          <w:sz w:val="22"/>
          <w:szCs w:val="22"/>
        </w:rPr>
        <w:t xml:space="preserve">. </w:t>
      </w:r>
      <w:r>
        <w:rPr>
          <w:rFonts w:ascii="Calibri" w:hAnsi="Calibri"/>
          <w:sz w:val="22"/>
          <w:szCs w:val="22"/>
        </w:rPr>
        <w:t xml:space="preserve"> </w:t>
      </w:r>
      <w:r w:rsidRPr="00DB7600">
        <w:rPr>
          <w:rFonts w:ascii="Calibri" w:hAnsi="Calibri"/>
          <w:sz w:val="22"/>
          <w:szCs w:val="22"/>
        </w:rPr>
        <w:t xml:space="preserve">I am granted a power of appointment (“Second Power”) </w:t>
      </w:r>
      <w:r>
        <w:rPr>
          <w:rFonts w:ascii="Calibri" w:hAnsi="Calibri"/>
          <w:sz w:val="22"/>
          <w:szCs w:val="22"/>
        </w:rPr>
        <w:t>under paragraph _____</w:t>
      </w:r>
      <w:r w:rsidRPr="00DB7600">
        <w:rPr>
          <w:rFonts w:ascii="Calibri" w:hAnsi="Calibri"/>
          <w:sz w:val="22"/>
          <w:szCs w:val="22"/>
        </w:rPr>
        <w:t xml:space="preserve"> of the </w:t>
      </w:r>
      <w:r>
        <w:rPr>
          <w:rFonts w:ascii="Calibri" w:hAnsi="Calibri"/>
          <w:sz w:val="22"/>
          <w:szCs w:val="22"/>
        </w:rPr>
        <w:t>_______________</w:t>
      </w:r>
      <w:r w:rsidRPr="00DB7600">
        <w:rPr>
          <w:rFonts w:ascii="Calibri" w:hAnsi="Calibri"/>
          <w:sz w:val="22"/>
          <w:szCs w:val="22"/>
        </w:rPr>
        <w:t xml:space="preserve"> Trust dated </w:t>
      </w:r>
      <w:r>
        <w:rPr>
          <w:rFonts w:ascii="Calibri" w:hAnsi="Calibri"/>
          <w:sz w:val="22"/>
          <w:szCs w:val="22"/>
        </w:rPr>
        <w:t>XX/XX/XXXX</w:t>
      </w:r>
      <w:r w:rsidRPr="00DB7600">
        <w:rPr>
          <w:rFonts w:ascii="Calibri" w:hAnsi="Calibri"/>
          <w:sz w:val="22"/>
          <w:szCs w:val="22"/>
        </w:rPr>
        <w:t xml:space="preserve">. </w:t>
      </w:r>
    </w:p>
    <w:p w14:paraId="2392C2C5" w14:textId="68E8842E" w:rsidR="00DB7600" w:rsidRPr="000C3194" w:rsidRDefault="00DB7600" w:rsidP="00DB7600">
      <w:pPr>
        <w:spacing w:line="360" w:lineRule="auto"/>
        <w:ind w:firstLine="720"/>
        <w:rPr>
          <w:rFonts w:ascii="Calibri" w:hAnsi="Calibri"/>
          <w:color w:val="C0504D" w:themeColor="accent2"/>
          <w:sz w:val="22"/>
          <w:szCs w:val="22"/>
        </w:rPr>
      </w:pPr>
      <w:r w:rsidRPr="000C3194">
        <w:rPr>
          <w:rFonts w:ascii="Calibri" w:hAnsi="Calibri"/>
          <w:color w:val="C0504D" w:themeColor="accent2"/>
          <w:sz w:val="22"/>
          <w:szCs w:val="22"/>
        </w:rPr>
        <w:t>[if the power is a general power, or limited power designed to trigger the Delaware Tax Trap, and if the power is not capped, such that exercise or even mere existence of the power may cause a state or federal estate tax, query whether you would want to equitably apportion such taxes, or perhaps apportion such taxes to the residuary or other assets</w:t>
      </w:r>
      <w:r w:rsidR="000C3194" w:rsidRPr="000C3194">
        <w:rPr>
          <w:rFonts w:ascii="Calibri" w:hAnsi="Calibri"/>
          <w:color w:val="C0504D" w:themeColor="accent2"/>
          <w:sz w:val="22"/>
          <w:szCs w:val="22"/>
        </w:rPr>
        <w:t>]</w:t>
      </w:r>
    </w:p>
    <w:p w14:paraId="5046D0A3" w14:textId="77777777" w:rsidR="00DB7600" w:rsidRPr="00DB7600" w:rsidRDefault="00DB7600" w:rsidP="00DB7600">
      <w:pPr>
        <w:spacing w:line="360" w:lineRule="auto"/>
        <w:rPr>
          <w:rFonts w:ascii="Calibri" w:hAnsi="Calibri"/>
          <w:sz w:val="22"/>
          <w:szCs w:val="22"/>
        </w:rPr>
      </w:pPr>
      <w:r w:rsidRPr="00DB7600">
        <w:rPr>
          <w:rFonts w:ascii="Calibri" w:hAnsi="Calibri"/>
          <w:sz w:val="22"/>
          <w:szCs w:val="22"/>
        </w:rPr>
        <w:tab/>
      </w:r>
      <w:r w:rsidRPr="00DB7600">
        <w:rPr>
          <w:rFonts w:ascii="Calibri" w:hAnsi="Calibri"/>
          <w:sz w:val="22"/>
          <w:szCs w:val="22"/>
        </w:rPr>
        <w:tab/>
        <w:t>(1)</w:t>
      </w:r>
      <w:r w:rsidRPr="00DB7600">
        <w:rPr>
          <w:rFonts w:ascii="Calibri" w:hAnsi="Calibri"/>
          <w:sz w:val="22"/>
          <w:szCs w:val="22"/>
        </w:rPr>
        <w:tab/>
        <w:t xml:space="preserve">I exercise the First Power by directing that, all of the trust estate </w:t>
      </w:r>
      <w:r w:rsidR="000C3194">
        <w:rPr>
          <w:rFonts w:ascii="Calibri" w:hAnsi="Calibri"/>
          <w:sz w:val="22"/>
          <w:szCs w:val="22"/>
        </w:rPr>
        <w:t xml:space="preserve">subject to the First Power </w:t>
      </w:r>
      <w:r w:rsidRPr="00DB7600">
        <w:rPr>
          <w:rFonts w:ascii="Calibri" w:hAnsi="Calibri"/>
          <w:sz w:val="22"/>
          <w:szCs w:val="22"/>
        </w:rPr>
        <w:t xml:space="preserve">shall be distributed to the Trustee of the </w:t>
      </w:r>
      <w:r w:rsidR="000C3194">
        <w:rPr>
          <w:rFonts w:ascii="Calibri" w:hAnsi="Calibri"/>
          <w:sz w:val="22"/>
          <w:szCs w:val="22"/>
        </w:rPr>
        <w:t>James Jones Trust dated XX/XX/XXXX</w:t>
      </w:r>
      <w:r w:rsidRPr="00DB7600">
        <w:rPr>
          <w:rFonts w:ascii="Calibri" w:hAnsi="Calibri"/>
          <w:sz w:val="22"/>
          <w:szCs w:val="22"/>
        </w:rPr>
        <w:t>;</w:t>
      </w:r>
    </w:p>
    <w:p w14:paraId="47BEEB96" w14:textId="77777777" w:rsidR="00DB7600" w:rsidRPr="00DB7600" w:rsidRDefault="00DB7600" w:rsidP="00DB7600">
      <w:pPr>
        <w:spacing w:line="360" w:lineRule="auto"/>
        <w:rPr>
          <w:rFonts w:ascii="Calibri" w:hAnsi="Calibri"/>
          <w:sz w:val="22"/>
          <w:szCs w:val="22"/>
        </w:rPr>
      </w:pPr>
      <w:r w:rsidRPr="00DB7600">
        <w:rPr>
          <w:rFonts w:ascii="Calibri" w:hAnsi="Calibri"/>
          <w:sz w:val="22"/>
          <w:szCs w:val="22"/>
        </w:rPr>
        <w:tab/>
      </w:r>
      <w:r w:rsidRPr="00DB7600">
        <w:rPr>
          <w:rFonts w:ascii="Calibri" w:hAnsi="Calibri"/>
          <w:sz w:val="22"/>
          <w:szCs w:val="22"/>
        </w:rPr>
        <w:tab/>
        <w:t>(2)</w:t>
      </w:r>
      <w:r w:rsidRPr="00DB7600">
        <w:rPr>
          <w:rFonts w:ascii="Calibri" w:hAnsi="Calibri"/>
          <w:sz w:val="22"/>
          <w:szCs w:val="22"/>
        </w:rPr>
        <w:tab/>
      </w:r>
      <w:r>
        <w:rPr>
          <w:rFonts w:ascii="Calibri" w:hAnsi="Calibri"/>
          <w:sz w:val="22"/>
          <w:szCs w:val="22"/>
        </w:rPr>
        <w:t>I</w:t>
      </w:r>
      <w:r w:rsidRPr="00DB7600">
        <w:rPr>
          <w:rFonts w:ascii="Calibri" w:hAnsi="Calibri"/>
          <w:sz w:val="22"/>
          <w:szCs w:val="22"/>
        </w:rPr>
        <w:t xml:space="preserve"> exercise the Second Power by directing that, upon my death all of the trust estate </w:t>
      </w:r>
      <w:r w:rsidR="003B2A00">
        <w:rPr>
          <w:rFonts w:ascii="Calibri" w:hAnsi="Calibri"/>
          <w:sz w:val="22"/>
          <w:szCs w:val="22"/>
        </w:rPr>
        <w:t>subject to the Second Power</w:t>
      </w:r>
      <w:r w:rsidRPr="00DB7600">
        <w:rPr>
          <w:rFonts w:ascii="Calibri" w:hAnsi="Calibri"/>
          <w:sz w:val="22"/>
          <w:szCs w:val="22"/>
        </w:rPr>
        <w:t xml:space="preserve"> shall be distributed to </w:t>
      </w:r>
      <w:r w:rsidR="003B2A00" w:rsidRPr="003B2A00">
        <w:rPr>
          <w:rFonts w:ascii="Calibri" w:hAnsi="Calibri"/>
          <w:sz w:val="22"/>
          <w:szCs w:val="22"/>
        </w:rPr>
        <w:t>the Trustee of the James Jones Trust dated XX/XX/XXXX</w:t>
      </w:r>
      <w:r w:rsidR="003B2A00">
        <w:rPr>
          <w:rFonts w:ascii="Calibri" w:hAnsi="Calibri"/>
          <w:sz w:val="22"/>
          <w:szCs w:val="22"/>
        </w:rPr>
        <w:t>, subtrust fbo</w:t>
      </w:r>
      <w:r w:rsidR="00C52F8C">
        <w:rPr>
          <w:rFonts w:ascii="Calibri" w:hAnsi="Calibri"/>
          <w:sz w:val="22"/>
          <w:szCs w:val="22"/>
        </w:rPr>
        <w:t xml:space="preserve"> charity pursuant to Article V</w:t>
      </w:r>
      <w:r w:rsidRPr="00DB7600">
        <w:rPr>
          <w:rFonts w:ascii="Calibri" w:hAnsi="Calibri"/>
          <w:sz w:val="22"/>
          <w:szCs w:val="22"/>
        </w:rPr>
        <w:t xml:space="preserve">; and </w:t>
      </w:r>
    </w:p>
    <w:p w14:paraId="0260A254" w14:textId="77777777" w:rsidR="00DB7600" w:rsidRDefault="00DB7600" w:rsidP="00DB7600">
      <w:pPr>
        <w:spacing w:line="360" w:lineRule="auto"/>
        <w:rPr>
          <w:rFonts w:ascii="Calibri" w:hAnsi="Calibri"/>
          <w:sz w:val="22"/>
          <w:szCs w:val="22"/>
        </w:rPr>
      </w:pPr>
    </w:p>
    <w:p w14:paraId="504012E8" w14:textId="77777777" w:rsidR="000C3194" w:rsidRPr="000C3194" w:rsidRDefault="000C3194" w:rsidP="000C3194">
      <w:pPr>
        <w:spacing w:line="360" w:lineRule="auto"/>
        <w:ind w:firstLine="720"/>
        <w:rPr>
          <w:rFonts w:ascii="Calibri" w:hAnsi="Calibri"/>
          <w:color w:val="C0504D" w:themeColor="accent2"/>
          <w:sz w:val="22"/>
          <w:szCs w:val="22"/>
        </w:rPr>
      </w:pPr>
      <w:r w:rsidRPr="000C3194">
        <w:rPr>
          <w:rFonts w:ascii="Calibri" w:hAnsi="Calibri"/>
          <w:color w:val="C0504D" w:themeColor="accent2"/>
          <w:sz w:val="22"/>
          <w:szCs w:val="22"/>
        </w:rPr>
        <w:t xml:space="preserve">Here is an example of a Delaware Tax Trap savings clause, which may not be needed in some states/circumstances, and of course </w:t>
      </w:r>
      <w:r w:rsidR="00D03FE0">
        <w:rPr>
          <w:rFonts w:ascii="Calibri" w:hAnsi="Calibri"/>
          <w:color w:val="C0504D" w:themeColor="accent2"/>
          <w:sz w:val="22"/>
          <w:szCs w:val="22"/>
        </w:rPr>
        <w:t xml:space="preserve">may not be desired </w:t>
      </w:r>
      <w:r w:rsidRPr="000C3194">
        <w:rPr>
          <w:rFonts w:ascii="Calibri" w:hAnsi="Calibri"/>
          <w:color w:val="C0504D" w:themeColor="accent2"/>
          <w:sz w:val="22"/>
          <w:szCs w:val="22"/>
        </w:rPr>
        <w:t>in others where you are actively trying to trigger §2041(a)(3):</w:t>
      </w:r>
    </w:p>
    <w:p w14:paraId="4522366F" w14:textId="77777777" w:rsidR="00DB7600" w:rsidRPr="00DB7600" w:rsidRDefault="000C3194" w:rsidP="000C3194">
      <w:pPr>
        <w:spacing w:line="360" w:lineRule="auto"/>
        <w:ind w:firstLine="720"/>
        <w:rPr>
          <w:rFonts w:ascii="Calibri" w:hAnsi="Calibri"/>
          <w:sz w:val="22"/>
          <w:szCs w:val="22"/>
        </w:rPr>
      </w:pPr>
      <w:r>
        <w:rPr>
          <w:rFonts w:ascii="Calibri" w:hAnsi="Calibri"/>
          <w:sz w:val="22"/>
          <w:szCs w:val="22"/>
        </w:rPr>
        <w:t>[</w:t>
      </w:r>
      <w:r w:rsidR="00DB7600" w:rsidRPr="00DB7600">
        <w:rPr>
          <w:rFonts w:ascii="Calibri" w:hAnsi="Calibri"/>
          <w:sz w:val="22"/>
          <w:szCs w:val="22"/>
        </w:rPr>
        <w:t xml:space="preserve">Notwithstanding anything to the contrary, if my exercise of </w:t>
      </w:r>
      <w:r w:rsidR="00D03FE0">
        <w:rPr>
          <w:rFonts w:ascii="Calibri" w:hAnsi="Calibri"/>
          <w:sz w:val="22"/>
          <w:szCs w:val="22"/>
        </w:rPr>
        <w:t>any</w:t>
      </w:r>
      <w:r>
        <w:rPr>
          <w:rFonts w:ascii="Calibri" w:hAnsi="Calibri"/>
          <w:sz w:val="22"/>
          <w:szCs w:val="22"/>
        </w:rPr>
        <w:t xml:space="preserve"> of the above</w:t>
      </w:r>
      <w:r w:rsidR="00DB7600" w:rsidRPr="00DB7600">
        <w:rPr>
          <w:rFonts w:ascii="Calibri" w:hAnsi="Calibri"/>
          <w:sz w:val="22"/>
          <w:szCs w:val="22"/>
        </w:rPr>
        <w:t xml:space="preserve"> power</w:t>
      </w:r>
      <w:r>
        <w:rPr>
          <w:rFonts w:ascii="Calibri" w:hAnsi="Calibri"/>
          <w:sz w:val="22"/>
          <w:szCs w:val="22"/>
        </w:rPr>
        <w:t>s</w:t>
      </w:r>
      <w:r w:rsidR="00DB7600" w:rsidRPr="00DB7600">
        <w:rPr>
          <w:rFonts w:ascii="Calibri" w:hAnsi="Calibri"/>
          <w:sz w:val="22"/>
          <w:szCs w:val="22"/>
        </w:rPr>
        <w:t xml:space="preserve"> of appointment </w:t>
      </w:r>
      <w:r w:rsidR="00D03FE0">
        <w:rPr>
          <w:rFonts w:ascii="Calibri" w:hAnsi="Calibri"/>
          <w:sz w:val="22"/>
          <w:szCs w:val="22"/>
        </w:rPr>
        <w:t xml:space="preserve">(“exercised power”) </w:t>
      </w:r>
      <w:r w:rsidR="00DB7600" w:rsidRPr="00DB7600">
        <w:rPr>
          <w:rFonts w:ascii="Calibri" w:hAnsi="Calibri"/>
          <w:sz w:val="22"/>
          <w:szCs w:val="22"/>
        </w:rPr>
        <w:t>creates anot</w:t>
      </w:r>
      <w:r>
        <w:rPr>
          <w:rFonts w:ascii="Calibri" w:hAnsi="Calibri"/>
          <w:sz w:val="22"/>
          <w:szCs w:val="22"/>
        </w:rPr>
        <w:t>her power of appointment(s) (“new power(s)”), the new</w:t>
      </w:r>
      <w:r w:rsidR="00DB7600" w:rsidRPr="00DB7600">
        <w:rPr>
          <w:rFonts w:ascii="Calibri" w:hAnsi="Calibri"/>
          <w:sz w:val="22"/>
          <w:szCs w:val="22"/>
        </w:rPr>
        <w:t xml:space="preserve"> power</w:t>
      </w:r>
      <w:r>
        <w:rPr>
          <w:rFonts w:ascii="Calibri" w:hAnsi="Calibri"/>
          <w:sz w:val="22"/>
          <w:szCs w:val="22"/>
        </w:rPr>
        <w:t>(s)</w:t>
      </w:r>
      <w:r w:rsidR="00DB7600" w:rsidRPr="00DB7600">
        <w:rPr>
          <w:rFonts w:ascii="Calibri" w:hAnsi="Calibri"/>
          <w:sz w:val="22"/>
          <w:szCs w:val="22"/>
        </w:rPr>
        <w:t xml:space="preserve"> shall not be exercisable</w:t>
      </w:r>
      <w:r>
        <w:rPr>
          <w:rFonts w:ascii="Calibri" w:hAnsi="Calibri"/>
          <w:sz w:val="22"/>
          <w:szCs w:val="22"/>
        </w:rPr>
        <w:t xml:space="preserve"> and may not</w:t>
      </w:r>
      <w:r w:rsidR="00DB7600" w:rsidRPr="00DB7600">
        <w:rPr>
          <w:rFonts w:ascii="Calibri" w:hAnsi="Calibri"/>
          <w:sz w:val="22"/>
          <w:szCs w:val="22"/>
        </w:rPr>
        <w:t xml:space="preserve"> postpone the vesting of any estate or interest in, or suspend the absolute ownership or power of alienation of, any property</w:t>
      </w:r>
      <w:r>
        <w:rPr>
          <w:rFonts w:ascii="Calibri" w:hAnsi="Calibri"/>
          <w:sz w:val="22"/>
          <w:szCs w:val="22"/>
        </w:rPr>
        <w:t xml:space="preserve"> appointed pursuant to the </w:t>
      </w:r>
      <w:r w:rsidR="00D03FE0">
        <w:rPr>
          <w:rFonts w:ascii="Calibri" w:hAnsi="Calibri"/>
          <w:sz w:val="22"/>
          <w:szCs w:val="22"/>
        </w:rPr>
        <w:t>exercised power</w:t>
      </w:r>
      <w:r w:rsidR="00DB7600" w:rsidRPr="00DB7600">
        <w:rPr>
          <w:rFonts w:ascii="Calibri" w:hAnsi="Calibri"/>
          <w:sz w:val="22"/>
          <w:szCs w:val="22"/>
        </w:rPr>
        <w:t xml:space="preserve"> (or any</w:t>
      </w:r>
      <w:r>
        <w:rPr>
          <w:rFonts w:ascii="Calibri" w:hAnsi="Calibri"/>
          <w:sz w:val="22"/>
          <w:szCs w:val="22"/>
        </w:rPr>
        <w:t xml:space="preserve"> successor proceeds of such</w:t>
      </w:r>
      <w:r w:rsidR="00DB7600" w:rsidRPr="00DB7600">
        <w:rPr>
          <w:rFonts w:ascii="Calibri" w:hAnsi="Calibri"/>
          <w:sz w:val="22"/>
          <w:szCs w:val="22"/>
        </w:rPr>
        <w:t xml:space="preserve"> property), </w:t>
      </w:r>
      <w:r>
        <w:rPr>
          <w:rFonts w:ascii="Calibri" w:hAnsi="Calibri"/>
          <w:sz w:val="22"/>
          <w:szCs w:val="22"/>
        </w:rPr>
        <w:t xml:space="preserve">beyond the rule against perpetuities applicable to </w:t>
      </w:r>
      <w:r w:rsidR="00DB7600" w:rsidRPr="00DB7600">
        <w:rPr>
          <w:rFonts w:ascii="Calibri" w:hAnsi="Calibri"/>
          <w:sz w:val="22"/>
          <w:szCs w:val="22"/>
        </w:rPr>
        <w:t>the exercised power.</w:t>
      </w:r>
      <w:r>
        <w:rPr>
          <w:rFonts w:ascii="Calibri" w:hAnsi="Calibri"/>
          <w:sz w:val="22"/>
          <w:szCs w:val="22"/>
        </w:rPr>
        <w:t>]</w:t>
      </w:r>
    </w:p>
    <w:p w14:paraId="4C8F1D3C" w14:textId="77777777" w:rsidR="000B37D9" w:rsidRDefault="000B37D9">
      <w:pPr>
        <w:rPr>
          <w:rFonts w:ascii="Calibri" w:hAnsi="Calibri"/>
          <w:color w:val="984806" w:themeColor="accent6" w:themeShade="80"/>
          <w:sz w:val="22"/>
          <w:szCs w:val="22"/>
        </w:rPr>
      </w:pPr>
      <w:r>
        <w:rPr>
          <w:rFonts w:ascii="Calibri" w:hAnsi="Calibri"/>
          <w:color w:val="984806" w:themeColor="accent6" w:themeShade="80"/>
          <w:sz w:val="22"/>
          <w:szCs w:val="22"/>
        </w:rPr>
        <w:br w:type="page"/>
      </w:r>
    </w:p>
    <w:p w14:paraId="296169A1" w14:textId="77777777" w:rsidR="00D02786" w:rsidRDefault="000B37D9" w:rsidP="00C201C5">
      <w:pPr>
        <w:rPr>
          <w:rFonts w:ascii="Calibri" w:hAnsi="Calibri"/>
          <w:color w:val="984806" w:themeColor="accent6" w:themeShade="80"/>
          <w:sz w:val="22"/>
          <w:szCs w:val="22"/>
        </w:rPr>
      </w:pPr>
      <w:r>
        <w:rPr>
          <w:rFonts w:ascii="Calibri" w:hAnsi="Calibri"/>
          <w:color w:val="984806" w:themeColor="accent6" w:themeShade="80"/>
          <w:sz w:val="22"/>
          <w:szCs w:val="22"/>
        </w:rPr>
        <w:lastRenderedPageBreak/>
        <w:t xml:space="preserve">Best Practice Pointers When Exercising a </w:t>
      </w:r>
      <w:r w:rsidRPr="000B37D9">
        <w:rPr>
          <w:rFonts w:ascii="Calibri" w:hAnsi="Calibri"/>
          <w:i/>
          <w:color w:val="984806" w:themeColor="accent6" w:themeShade="80"/>
          <w:sz w:val="22"/>
          <w:szCs w:val="22"/>
        </w:rPr>
        <w:t>Limited</w:t>
      </w:r>
      <w:r>
        <w:rPr>
          <w:rFonts w:ascii="Calibri" w:hAnsi="Calibri"/>
          <w:color w:val="984806" w:themeColor="accent6" w:themeShade="80"/>
          <w:sz w:val="22"/>
          <w:szCs w:val="22"/>
        </w:rPr>
        <w:t xml:space="preserve"> Power of Appointment</w:t>
      </w:r>
    </w:p>
    <w:p w14:paraId="191E0F5F" w14:textId="77777777" w:rsidR="005D3345" w:rsidRPr="006E408F" w:rsidRDefault="005D3345" w:rsidP="000B37D9">
      <w:pPr>
        <w:autoSpaceDE w:val="0"/>
        <w:autoSpaceDN w:val="0"/>
        <w:adjustRightInd w:val="0"/>
        <w:rPr>
          <w:rFonts w:asciiTheme="minorHAnsi" w:hAnsiTheme="minorHAnsi" w:cs="Cambria-BoldItalic"/>
          <w:b/>
          <w:bCs/>
          <w:i/>
          <w:iCs/>
        </w:rPr>
      </w:pPr>
      <w:r w:rsidRPr="006E408F">
        <w:rPr>
          <w:rFonts w:asciiTheme="minorHAnsi" w:hAnsiTheme="minorHAnsi" w:cs="Cambria-BoldItalic"/>
          <w:b/>
          <w:bCs/>
          <w:i/>
          <w:iCs/>
        </w:rPr>
        <w:t>Specificity of Instrument</w:t>
      </w:r>
    </w:p>
    <w:p w14:paraId="314066BC" w14:textId="77777777" w:rsidR="006E408F" w:rsidRPr="006E408F" w:rsidRDefault="005D3345" w:rsidP="005D3345">
      <w:pPr>
        <w:pStyle w:val="ListParagraph"/>
        <w:numPr>
          <w:ilvl w:val="0"/>
          <w:numId w:val="39"/>
        </w:numPr>
        <w:autoSpaceDE w:val="0"/>
        <w:autoSpaceDN w:val="0"/>
        <w:adjustRightInd w:val="0"/>
        <w:rPr>
          <w:rFonts w:asciiTheme="minorHAnsi" w:hAnsiTheme="minorHAnsi" w:cs="Cambria-BoldItalic"/>
          <w:bCs/>
          <w:iCs/>
        </w:rPr>
      </w:pPr>
      <w:r w:rsidRPr="006E408F">
        <w:rPr>
          <w:rFonts w:asciiTheme="minorHAnsi" w:hAnsiTheme="minorHAnsi" w:cs="Cambria-BoldItalic"/>
          <w:bCs/>
          <w:iCs/>
        </w:rPr>
        <w:t xml:space="preserve">Ensure the instrument references the trust agreement specifically, and possibly if there are separate trust shares applicable, the </w:t>
      </w:r>
      <w:r w:rsidR="006E408F" w:rsidRPr="006E408F">
        <w:rPr>
          <w:rFonts w:asciiTheme="minorHAnsi" w:hAnsiTheme="minorHAnsi" w:cs="Cambria-BoldItalic"/>
          <w:bCs/>
          <w:iCs/>
        </w:rPr>
        <w:t xml:space="preserve">article or </w:t>
      </w:r>
      <w:r w:rsidRPr="006E408F">
        <w:rPr>
          <w:rFonts w:asciiTheme="minorHAnsi" w:hAnsiTheme="minorHAnsi" w:cs="Cambria-BoldItalic"/>
          <w:bCs/>
          <w:iCs/>
        </w:rPr>
        <w:t>paragraph of the trust.  Most states require specificity – it can’t hurt regardless.</w:t>
      </w:r>
      <w:r w:rsidR="006E408F" w:rsidRPr="006E408F">
        <w:rPr>
          <w:rFonts w:asciiTheme="minorHAnsi" w:hAnsiTheme="minorHAnsi" w:cs="Cambria-BoldItalic"/>
          <w:bCs/>
          <w:iCs/>
        </w:rPr>
        <w:t xml:space="preserve">  Unique today</w:t>
      </w:r>
      <w:r w:rsidR="006F2B61">
        <w:rPr>
          <w:rFonts w:asciiTheme="minorHAnsi" w:hAnsiTheme="minorHAnsi" w:cs="Cambria-BoldItalic"/>
          <w:bCs/>
          <w:iCs/>
        </w:rPr>
        <w:t xml:space="preserve"> with increasing use of decanting</w:t>
      </w:r>
      <w:r w:rsidR="006E408F" w:rsidRPr="006E408F">
        <w:rPr>
          <w:rFonts w:asciiTheme="minorHAnsi" w:hAnsiTheme="minorHAnsi" w:cs="Cambria-BoldItalic"/>
          <w:bCs/>
          <w:iCs/>
        </w:rPr>
        <w:t xml:space="preserve">, include any trust to which the intended trust with the appointive assets is </w:t>
      </w:r>
      <w:r w:rsidR="006F2B61">
        <w:rPr>
          <w:rFonts w:asciiTheme="minorHAnsi" w:hAnsiTheme="minorHAnsi" w:cs="Cambria-BoldItalic"/>
          <w:bCs/>
          <w:iCs/>
        </w:rPr>
        <w:t xml:space="preserve">ever </w:t>
      </w:r>
      <w:r w:rsidR="006E408F" w:rsidRPr="006E408F">
        <w:rPr>
          <w:rFonts w:asciiTheme="minorHAnsi" w:hAnsiTheme="minorHAnsi" w:cs="Cambria-BoldItalic"/>
          <w:bCs/>
          <w:iCs/>
        </w:rPr>
        <w:t xml:space="preserve">decanting into. </w:t>
      </w:r>
      <w:r w:rsidR="006F2B61">
        <w:rPr>
          <w:rFonts w:asciiTheme="minorHAnsi" w:hAnsiTheme="minorHAnsi" w:cs="Cambria-BoldItalic"/>
          <w:bCs/>
          <w:iCs/>
        </w:rPr>
        <w:t>E.g.,</w:t>
      </w:r>
      <w:r w:rsidR="006E408F" w:rsidRPr="006E408F">
        <w:rPr>
          <w:rFonts w:asciiTheme="minorHAnsi" w:hAnsiTheme="minorHAnsi" w:cs="Cambria-BoldItalic"/>
          <w:bCs/>
          <w:iCs/>
        </w:rPr>
        <w:t xml:space="preserve"> “Pursuant to the XYZ Trust dated 9/9/1999, I was granted a limited power of appointment.  I hereby exercise my power of appointment over the assets in the XYZ Trust, </w:t>
      </w:r>
      <w:r w:rsidR="006E408F" w:rsidRPr="009568AA">
        <w:rPr>
          <w:rFonts w:asciiTheme="minorHAnsi" w:hAnsiTheme="minorHAnsi" w:cs="Cambria-BoldItalic"/>
          <w:bCs/>
          <w:i/>
          <w:iCs/>
        </w:rPr>
        <w:t xml:space="preserve">including any trust </w:t>
      </w:r>
      <w:r w:rsidR="006F2B61" w:rsidRPr="009568AA">
        <w:rPr>
          <w:rFonts w:asciiTheme="minorHAnsi" w:hAnsiTheme="minorHAnsi" w:cs="Cambria-BoldItalic"/>
          <w:bCs/>
          <w:i/>
          <w:iCs/>
        </w:rPr>
        <w:t xml:space="preserve">over which I have a power </w:t>
      </w:r>
      <w:r w:rsidR="006E408F" w:rsidRPr="009568AA">
        <w:rPr>
          <w:rFonts w:asciiTheme="minorHAnsi" w:hAnsiTheme="minorHAnsi" w:cs="Cambria-BoldItalic"/>
          <w:bCs/>
          <w:i/>
          <w:iCs/>
        </w:rPr>
        <w:t xml:space="preserve">that is comprised of the assets formerly in </w:t>
      </w:r>
      <w:r w:rsidR="009568AA" w:rsidRPr="009568AA">
        <w:rPr>
          <w:rFonts w:asciiTheme="minorHAnsi" w:hAnsiTheme="minorHAnsi" w:cs="Cambria-BoldItalic"/>
          <w:bCs/>
          <w:i/>
          <w:iCs/>
        </w:rPr>
        <w:t>the XYZ</w:t>
      </w:r>
      <w:r w:rsidR="006E408F" w:rsidRPr="009568AA">
        <w:rPr>
          <w:rFonts w:asciiTheme="minorHAnsi" w:hAnsiTheme="minorHAnsi" w:cs="Cambria-BoldItalic"/>
          <w:bCs/>
          <w:i/>
          <w:iCs/>
        </w:rPr>
        <w:t xml:space="preserve"> </w:t>
      </w:r>
      <w:r w:rsidR="009568AA">
        <w:rPr>
          <w:rFonts w:asciiTheme="minorHAnsi" w:hAnsiTheme="minorHAnsi" w:cs="Cambria-BoldItalic"/>
          <w:bCs/>
          <w:i/>
          <w:iCs/>
        </w:rPr>
        <w:t>T</w:t>
      </w:r>
      <w:r w:rsidR="006E408F" w:rsidRPr="009568AA">
        <w:rPr>
          <w:rFonts w:asciiTheme="minorHAnsi" w:hAnsiTheme="minorHAnsi" w:cs="Cambria-BoldItalic"/>
          <w:bCs/>
          <w:i/>
          <w:iCs/>
        </w:rPr>
        <w:t xml:space="preserve">rust </w:t>
      </w:r>
      <w:r w:rsidR="009568AA" w:rsidRPr="009568AA">
        <w:rPr>
          <w:rFonts w:asciiTheme="minorHAnsi" w:hAnsiTheme="minorHAnsi" w:cs="Cambria-BoldItalic"/>
          <w:bCs/>
          <w:i/>
          <w:iCs/>
        </w:rPr>
        <w:t xml:space="preserve">which were transferred </w:t>
      </w:r>
      <w:r w:rsidR="006E408F" w:rsidRPr="009568AA">
        <w:rPr>
          <w:rFonts w:asciiTheme="minorHAnsi" w:hAnsiTheme="minorHAnsi" w:cs="Cambria-BoldItalic"/>
          <w:bCs/>
          <w:i/>
          <w:iCs/>
        </w:rPr>
        <w:t>pursuant to amendment</w:t>
      </w:r>
      <w:r w:rsidR="009568AA" w:rsidRPr="009568AA">
        <w:rPr>
          <w:rFonts w:asciiTheme="minorHAnsi" w:hAnsiTheme="minorHAnsi" w:cs="Cambria-BoldItalic"/>
          <w:bCs/>
          <w:i/>
          <w:iCs/>
        </w:rPr>
        <w:t>, bifurcation</w:t>
      </w:r>
      <w:r w:rsidR="006E408F" w:rsidRPr="009568AA">
        <w:rPr>
          <w:rFonts w:asciiTheme="minorHAnsi" w:hAnsiTheme="minorHAnsi" w:cs="Cambria-BoldItalic"/>
          <w:bCs/>
          <w:i/>
          <w:iCs/>
        </w:rPr>
        <w:t xml:space="preserve">, </w:t>
      </w:r>
      <w:r w:rsidR="009568AA">
        <w:rPr>
          <w:rFonts w:asciiTheme="minorHAnsi" w:hAnsiTheme="minorHAnsi" w:cs="Cambria-BoldItalic"/>
          <w:bCs/>
          <w:i/>
          <w:iCs/>
        </w:rPr>
        <w:t xml:space="preserve">severance, </w:t>
      </w:r>
      <w:r w:rsidR="006E408F" w:rsidRPr="009568AA">
        <w:rPr>
          <w:rFonts w:asciiTheme="minorHAnsi" w:hAnsiTheme="minorHAnsi" w:cs="Cambria-BoldItalic"/>
          <w:bCs/>
          <w:i/>
          <w:iCs/>
        </w:rPr>
        <w:t>distribution, reformation, decanting or otherwise</w:t>
      </w:r>
      <w:r w:rsidR="006E408F" w:rsidRPr="006E408F">
        <w:rPr>
          <w:rFonts w:asciiTheme="minorHAnsi" w:hAnsiTheme="minorHAnsi" w:cs="Cambria-BoldItalic"/>
          <w:bCs/>
          <w:iCs/>
        </w:rPr>
        <w:t>, as follows…</w:t>
      </w:r>
    </w:p>
    <w:p w14:paraId="0EB20F1E" w14:textId="77777777" w:rsidR="000B37D9" w:rsidRPr="006E408F" w:rsidRDefault="005D3345" w:rsidP="00A9014A">
      <w:pPr>
        <w:pStyle w:val="ListParagraph"/>
        <w:numPr>
          <w:ilvl w:val="0"/>
          <w:numId w:val="39"/>
        </w:numPr>
        <w:autoSpaceDE w:val="0"/>
        <w:autoSpaceDN w:val="0"/>
        <w:adjustRightInd w:val="0"/>
        <w:ind w:hanging="720"/>
        <w:rPr>
          <w:rFonts w:ascii="Cambria-BoldItalic" w:hAnsi="Cambria-BoldItalic" w:cs="Cambria-BoldItalic"/>
          <w:bCs/>
          <w:iCs/>
        </w:rPr>
      </w:pPr>
      <w:r>
        <w:rPr>
          <w:rFonts w:ascii="Cambria-BoldItalic" w:hAnsi="Cambria-BoldItalic" w:cs="Cambria-BoldItalic"/>
          <w:bCs/>
          <w:iCs/>
        </w:rPr>
        <w:t xml:space="preserve">  </w:t>
      </w:r>
      <w:r w:rsidR="000B37D9" w:rsidRPr="006E408F">
        <w:rPr>
          <w:rFonts w:ascii="Cambria-BoldItalic" w:hAnsi="Cambria-BoldItalic" w:cs="Cambria-BoldItalic"/>
          <w:b/>
          <w:bCs/>
          <w:i/>
          <w:iCs/>
        </w:rPr>
        <w:t>Permissible appointees.</w:t>
      </w:r>
      <w:r w:rsidR="006E408F">
        <w:rPr>
          <w:rFonts w:ascii="Cambria-BoldItalic" w:hAnsi="Cambria-BoldItalic" w:cs="Cambria-BoldItalic"/>
          <w:b/>
          <w:bCs/>
          <w:i/>
          <w:iCs/>
        </w:rPr>
        <w:t xml:space="preserve"> </w:t>
      </w:r>
      <w:r w:rsidR="000B37D9" w:rsidRPr="006E408F">
        <w:rPr>
          <w:rFonts w:ascii="Calibri" w:hAnsi="Calibri" w:cs="Calibri"/>
        </w:rPr>
        <w:t>Check the donor’s class of permissible appointees</w:t>
      </w:r>
      <w:r w:rsidR="007F4E9D">
        <w:rPr>
          <w:rFonts w:ascii="Calibri" w:hAnsi="Calibri" w:cs="Calibri"/>
        </w:rPr>
        <w:t>:</w:t>
      </w:r>
    </w:p>
    <w:p w14:paraId="5FFABD0D" w14:textId="77777777" w:rsidR="000B37D9" w:rsidRDefault="00A9014A" w:rsidP="00A9014A">
      <w:pPr>
        <w:autoSpaceDE w:val="0"/>
        <w:autoSpaceDN w:val="0"/>
        <w:adjustRightInd w:val="0"/>
        <w:ind w:left="360"/>
        <w:rPr>
          <w:rFonts w:ascii="Calibri" w:hAnsi="Calibri" w:cs="Calibri"/>
        </w:rPr>
      </w:pPr>
      <w:r>
        <w:rPr>
          <w:rFonts w:ascii="Calibri" w:hAnsi="Calibri" w:cs="Calibri"/>
        </w:rPr>
        <w:t>a</w:t>
      </w:r>
      <w:r w:rsidR="000B37D9">
        <w:rPr>
          <w:rFonts w:ascii="Calibri" w:hAnsi="Calibri" w:cs="Calibri"/>
        </w:rPr>
        <w:t>. Resolve any ambiguities in definition of any class of appointees (adopteds, requirement of a</w:t>
      </w:r>
      <w:r>
        <w:rPr>
          <w:rFonts w:ascii="Calibri" w:hAnsi="Calibri" w:cs="Calibri"/>
        </w:rPr>
        <w:t xml:space="preserve"> </w:t>
      </w:r>
      <w:r w:rsidR="000B37D9">
        <w:rPr>
          <w:rFonts w:ascii="Calibri" w:hAnsi="Calibri" w:cs="Calibri"/>
        </w:rPr>
        <w:t>lawful marriage, children of the new biology, half-sibling, etc).</w:t>
      </w:r>
    </w:p>
    <w:p w14:paraId="31337CAE" w14:textId="77777777" w:rsidR="000B37D9" w:rsidRDefault="00A9014A" w:rsidP="00A9014A">
      <w:pPr>
        <w:autoSpaceDE w:val="0"/>
        <w:autoSpaceDN w:val="0"/>
        <w:adjustRightInd w:val="0"/>
        <w:ind w:left="360"/>
        <w:rPr>
          <w:rFonts w:ascii="Calibri" w:hAnsi="Calibri" w:cs="Calibri"/>
        </w:rPr>
      </w:pPr>
      <w:r>
        <w:rPr>
          <w:rFonts w:ascii="Calibri" w:hAnsi="Calibri" w:cs="Calibri"/>
        </w:rPr>
        <w:t>b</w:t>
      </w:r>
      <w:r w:rsidR="000B37D9">
        <w:rPr>
          <w:rFonts w:ascii="Calibri" w:hAnsi="Calibri" w:cs="Calibri"/>
        </w:rPr>
        <w:t>. If a potential appointee is dead, does a state anti-lapse statute or perhaps even the new Uniform Power of Appointment Act if passed in state perhaps permit appointment to the issue of the dead potential appointee?</w:t>
      </w:r>
    </w:p>
    <w:p w14:paraId="1F42FAB3" w14:textId="77777777" w:rsidR="000B37D9" w:rsidRDefault="00A9014A" w:rsidP="00A9014A">
      <w:pPr>
        <w:autoSpaceDE w:val="0"/>
        <w:autoSpaceDN w:val="0"/>
        <w:adjustRightInd w:val="0"/>
        <w:ind w:left="360"/>
        <w:rPr>
          <w:rFonts w:ascii="Calibri" w:hAnsi="Calibri" w:cs="Calibri"/>
        </w:rPr>
      </w:pPr>
      <w:r>
        <w:rPr>
          <w:rFonts w:ascii="Calibri" w:hAnsi="Calibri" w:cs="Calibri"/>
        </w:rPr>
        <w:t>c</w:t>
      </w:r>
      <w:r w:rsidR="000B37D9">
        <w:rPr>
          <w:rFonts w:ascii="Calibri" w:hAnsi="Calibri" w:cs="Calibri"/>
        </w:rPr>
        <w:t xml:space="preserve">.  Confirm that </w:t>
      </w:r>
      <w:r w:rsidR="007F4E9D">
        <w:rPr>
          <w:rFonts w:ascii="Calibri" w:hAnsi="Calibri" w:cs="Calibri"/>
        </w:rPr>
        <w:t>power holder’s (</w:t>
      </w:r>
      <w:r w:rsidR="000B37D9">
        <w:rPr>
          <w:rFonts w:ascii="Calibri" w:hAnsi="Calibri" w:cs="Calibri"/>
        </w:rPr>
        <w:t>donee’s</w:t>
      </w:r>
      <w:r w:rsidR="007F4E9D">
        <w:rPr>
          <w:rFonts w:ascii="Calibri" w:hAnsi="Calibri" w:cs="Calibri"/>
        </w:rPr>
        <w:t>)</w:t>
      </w:r>
      <w:r w:rsidR="000B37D9">
        <w:rPr>
          <w:rFonts w:ascii="Calibri" w:hAnsi="Calibri" w:cs="Calibri"/>
        </w:rPr>
        <w:t xml:space="preserve"> intended appointees is within the donor’s appointees.</w:t>
      </w:r>
      <w:r w:rsidR="007F4E9D">
        <w:rPr>
          <w:rFonts w:ascii="Calibri" w:hAnsi="Calibri" w:cs="Calibri"/>
        </w:rPr>
        <w:t xml:space="preserve">  This is a big one – you have to get a copy of the ORIGINAL trust.  E.g. if H establishes trust w/LPOA for W, who then uses her LPOA to appoint in trust for Child w/LPOA.  You represent child and are updating child’s estate plan – you need to review H and W’s trust to see who the universe of potential appointees </w:t>
      </w:r>
      <w:r w:rsidR="00CF6E44">
        <w:rPr>
          <w:rFonts w:ascii="Calibri" w:hAnsi="Calibri" w:cs="Calibri"/>
        </w:rPr>
        <w:t>were</w:t>
      </w:r>
      <w:r w:rsidR="007F4E9D">
        <w:rPr>
          <w:rFonts w:ascii="Calibri" w:hAnsi="Calibri" w:cs="Calibri"/>
        </w:rPr>
        <w:t xml:space="preserve"> – it matters whether the appointments were general or limited.</w:t>
      </w:r>
    </w:p>
    <w:p w14:paraId="6798768C" w14:textId="77777777" w:rsidR="000B37D9" w:rsidRDefault="00A9014A" w:rsidP="000B37D9">
      <w:pPr>
        <w:autoSpaceDE w:val="0"/>
        <w:autoSpaceDN w:val="0"/>
        <w:adjustRightInd w:val="0"/>
        <w:rPr>
          <w:rFonts w:ascii="Calibri" w:hAnsi="Calibri" w:cs="Calibri"/>
        </w:rPr>
      </w:pPr>
      <w:r>
        <w:rPr>
          <w:rFonts w:ascii="Calibri" w:hAnsi="Calibri" w:cs="Calibri"/>
        </w:rPr>
        <w:t>3</w:t>
      </w:r>
      <w:r w:rsidR="000B37D9">
        <w:rPr>
          <w:rFonts w:ascii="Calibri" w:hAnsi="Calibri" w:cs="Calibri"/>
        </w:rPr>
        <w:t>.  Confirm there is no quid pro quo, “fraud upon the power”.</w:t>
      </w:r>
    </w:p>
    <w:p w14:paraId="5F08CAAD" w14:textId="77777777" w:rsidR="000B37D9" w:rsidRDefault="000B37D9" w:rsidP="000B37D9">
      <w:pPr>
        <w:autoSpaceDE w:val="0"/>
        <w:autoSpaceDN w:val="0"/>
        <w:adjustRightInd w:val="0"/>
        <w:rPr>
          <w:rFonts w:ascii="Calibri" w:hAnsi="Calibri" w:cs="Calibri"/>
        </w:rPr>
      </w:pPr>
    </w:p>
    <w:p w14:paraId="6F542550" w14:textId="77777777" w:rsidR="000B37D9" w:rsidRPr="00FC2AD5" w:rsidRDefault="000B37D9" w:rsidP="000B37D9">
      <w:pPr>
        <w:autoSpaceDE w:val="0"/>
        <w:autoSpaceDN w:val="0"/>
        <w:adjustRightInd w:val="0"/>
        <w:rPr>
          <w:rFonts w:ascii="Calibri" w:hAnsi="Calibri" w:cs="Calibri"/>
          <w:i/>
        </w:rPr>
      </w:pPr>
      <w:r w:rsidRPr="00FC2AD5">
        <w:rPr>
          <w:rFonts w:ascii="Calibri" w:hAnsi="Calibri" w:cs="Calibri"/>
          <w:i/>
        </w:rPr>
        <w:t>If the appointment will be in trust, add the following additional considerations:</w:t>
      </w:r>
    </w:p>
    <w:p w14:paraId="0A285F6F" w14:textId="77777777" w:rsidR="007F4E9D" w:rsidRDefault="007F4E9D" w:rsidP="000B37D9">
      <w:pPr>
        <w:autoSpaceDE w:val="0"/>
        <w:autoSpaceDN w:val="0"/>
        <w:adjustRightInd w:val="0"/>
        <w:rPr>
          <w:rFonts w:ascii="Calibri" w:hAnsi="Calibri" w:cs="Calibri"/>
        </w:rPr>
      </w:pPr>
    </w:p>
    <w:p w14:paraId="49E1D20E" w14:textId="77777777" w:rsidR="008B0B59" w:rsidRDefault="00A9014A" w:rsidP="000B37D9">
      <w:pPr>
        <w:autoSpaceDE w:val="0"/>
        <w:autoSpaceDN w:val="0"/>
        <w:adjustRightInd w:val="0"/>
        <w:rPr>
          <w:rFonts w:ascii="Calibri" w:hAnsi="Calibri" w:cs="Calibri"/>
        </w:rPr>
      </w:pPr>
      <w:r>
        <w:rPr>
          <w:rFonts w:ascii="Calibri" w:hAnsi="Calibri" w:cs="Calibri"/>
        </w:rPr>
        <w:t>4</w:t>
      </w:r>
      <w:r w:rsidR="000B37D9">
        <w:rPr>
          <w:rFonts w:ascii="Calibri" w:hAnsi="Calibri" w:cs="Calibri"/>
        </w:rPr>
        <w:t xml:space="preserve">.   </w:t>
      </w:r>
      <w:r w:rsidR="005D3345">
        <w:rPr>
          <w:rFonts w:ascii="Calibri" w:hAnsi="Calibri" w:cs="Calibri"/>
        </w:rPr>
        <w:t xml:space="preserve">Do you want to </w:t>
      </w:r>
      <w:r w:rsidR="005D3345" w:rsidRPr="008B0B59">
        <w:rPr>
          <w:rFonts w:ascii="Calibri" w:hAnsi="Calibri" w:cs="Calibri"/>
          <w:b/>
          <w:i/>
        </w:rPr>
        <w:t>trigger</w:t>
      </w:r>
      <w:r w:rsidR="005D3345">
        <w:rPr>
          <w:rFonts w:ascii="Calibri" w:hAnsi="Calibri" w:cs="Calibri"/>
        </w:rPr>
        <w:t xml:space="preserve"> the Delaware Tax Trap or not?  If so, confirm whether your trust has a savings clause that might prevent this (see example in outline), and </w:t>
      </w:r>
      <w:r w:rsidR="007F4E9D">
        <w:rPr>
          <w:rFonts w:ascii="Calibri" w:hAnsi="Calibri" w:cs="Calibri"/>
        </w:rPr>
        <w:t>if so consider</w:t>
      </w:r>
      <w:r w:rsidR="005D3345">
        <w:rPr>
          <w:rFonts w:ascii="Calibri" w:hAnsi="Calibri" w:cs="Calibri"/>
        </w:rPr>
        <w:t xml:space="preserve"> a non-judicial settlement agreement can change this.  Then, research whether your state law requires the appointive trust to contain a PEG power (and if so, can it be</w:t>
      </w:r>
      <w:r w:rsidR="007F4E9D">
        <w:rPr>
          <w:rFonts w:ascii="Calibri" w:hAnsi="Calibri" w:cs="Calibri"/>
        </w:rPr>
        <w:t xml:space="preserve"> curtailed), or whether it can be triggered by granting a testamentary GPOA or even another limited power of appointment, as discussed herein with states such as Arizona. </w:t>
      </w:r>
    </w:p>
    <w:p w14:paraId="77444DC8" w14:textId="77777777" w:rsidR="0060334B" w:rsidRDefault="007F4E9D" w:rsidP="000B37D9">
      <w:pPr>
        <w:autoSpaceDE w:val="0"/>
        <w:autoSpaceDN w:val="0"/>
        <w:adjustRightInd w:val="0"/>
        <w:rPr>
          <w:rFonts w:asciiTheme="minorHAnsi" w:hAnsiTheme="minorHAnsi" w:cs="Cambria-BoldItalic"/>
          <w:b/>
          <w:bCs/>
          <w:i/>
          <w:iCs/>
        </w:rPr>
      </w:pPr>
      <w:r>
        <w:rPr>
          <w:rFonts w:ascii="Calibri" w:hAnsi="Calibri" w:cs="Calibri"/>
        </w:rPr>
        <w:t xml:space="preserve">If it is desired to </w:t>
      </w:r>
      <w:r w:rsidRPr="008B0B59">
        <w:rPr>
          <w:rFonts w:ascii="Calibri" w:hAnsi="Calibri" w:cs="Calibri"/>
          <w:b/>
          <w:i/>
        </w:rPr>
        <w:t>avoid</w:t>
      </w:r>
      <w:r>
        <w:rPr>
          <w:rFonts w:ascii="Calibri" w:hAnsi="Calibri" w:cs="Calibri"/>
        </w:rPr>
        <w:t xml:space="preserve"> the Delaware Tax Trap, then be especially careful to avoid adding presently exercisable general powers of appointment in trusts </w:t>
      </w:r>
      <w:r w:rsidR="0060334B">
        <w:rPr>
          <w:rFonts w:ascii="Calibri" w:hAnsi="Calibri" w:cs="Calibri"/>
        </w:rPr>
        <w:t>(e.g. “five and five powers”</w:t>
      </w:r>
      <w:r w:rsidR="008B0B59">
        <w:rPr>
          <w:rFonts w:ascii="Calibri" w:hAnsi="Calibri" w:cs="Calibri"/>
        </w:rPr>
        <w:t>), which is likely to trigger the trap in most states, even those with carefully crafted savings clauses.</w:t>
      </w:r>
    </w:p>
    <w:p w14:paraId="1268E4AD" w14:textId="77777777" w:rsidR="000B37D9" w:rsidRDefault="000B37D9" w:rsidP="000B37D9">
      <w:pPr>
        <w:autoSpaceDE w:val="0"/>
        <w:autoSpaceDN w:val="0"/>
        <w:adjustRightInd w:val="0"/>
        <w:rPr>
          <w:rFonts w:ascii="Calibri" w:hAnsi="Calibri" w:cs="Calibri"/>
        </w:rPr>
      </w:pPr>
      <w:r>
        <w:rPr>
          <w:rFonts w:ascii="Calibri" w:hAnsi="Calibri" w:cs="Calibri"/>
        </w:rPr>
        <w:t xml:space="preserve">Where the appointive property is being transferred to a trust which </w:t>
      </w:r>
      <w:r w:rsidR="008B0B59" w:rsidRPr="008B0B59">
        <w:rPr>
          <w:rFonts w:ascii="Calibri" w:hAnsi="Calibri" w:cs="Calibri"/>
          <w:i/>
        </w:rPr>
        <w:t>already</w:t>
      </w:r>
      <w:r w:rsidR="008B0B59">
        <w:rPr>
          <w:rFonts w:ascii="Calibri" w:hAnsi="Calibri" w:cs="Calibri"/>
        </w:rPr>
        <w:t xml:space="preserve"> owns assets</w:t>
      </w:r>
      <w:r>
        <w:rPr>
          <w:rFonts w:ascii="Calibri" w:hAnsi="Calibri" w:cs="Calibri"/>
        </w:rPr>
        <w:t>,</w:t>
      </w:r>
      <w:r w:rsidR="008B0B59">
        <w:rPr>
          <w:rFonts w:ascii="Calibri" w:hAnsi="Calibri" w:cs="Calibri"/>
        </w:rPr>
        <w:t xml:space="preserve"> that will have a different RAP period,</w:t>
      </w:r>
      <w:r>
        <w:rPr>
          <w:rFonts w:ascii="Calibri" w:hAnsi="Calibri" w:cs="Calibri"/>
        </w:rPr>
        <w:t xml:space="preserve"> segregate appointive assets and owned assets into separate trusts. This can avoid various problems.</w:t>
      </w:r>
      <w:r w:rsidR="008B0B59">
        <w:rPr>
          <w:rFonts w:ascii="Calibri" w:hAnsi="Calibri" w:cs="Calibri"/>
        </w:rPr>
        <w:t xml:space="preserve">  The </w:t>
      </w:r>
      <w:r>
        <w:rPr>
          <w:rFonts w:ascii="Calibri" w:hAnsi="Calibri" w:cs="Calibri"/>
        </w:rPr>
        <w:t xml:space="preserve">Rule Against Perpetuities </w:t>
      </w:r>
      <w:r w:rsidR="008B0B59">
        <w:rPr>
          <w:rFonts w:ascii="Calibri" w:hAnsi="Calibri" w:cs="Calibri"/>
        </w:rPr>
        <w:t>may be</w:t>
      </w:r>
      <w:r>
        <w:rPr>
          <w:rFonts w:ascii="Calibri" w:hAnsi="Calibri" w:cs="Calibri"/>
        </w:rPr>
        <w:t xml:space="preserve"> different under the donor’s trust and</w:t>
      </w:r>
      <w:r w:rsidR="008B0B59">
        <w:rPr>
          <w:rFonts w:ascii="Calibri" w:hAnsi="Calibri" w:cs="Calibri"/>
        </w:rPr>
        <w:t xml:space="preserve"> </w:t>
      </w:r>
      <w:r>
        <w:rPr>
          <w:rFonts w:ascii="Calibri" w:hAnsi="Calibri" w:cs="Calibri"/>
        </w:rPr>
        <w:t>under the donee’s trust.</w:t>
      </w:r>
      <w:r w:rsidR="008B0B59">
        <w:rPr>
          <w:rFonts w:ascii="Calibri" w:hAnsi="Calibri" w:cs="Calibri"/>
        </w:rPr>
        <w:t xml:space="preserve">  Tip: </w:t>
      </w:r>
      <w:r>
        <w:rPr>
          <w:rFonts w:ascii="Calibri" w:hAnsi="Calibri" w:cs="Calibri"/>
        </w:rPr>
        <w:t>Specifically provide that the appointive property being added to</w:t>
      </w:r>
      <w:r w:rsidR="008B0B59">
        <w:rPr>
          <w:rFonts w:ascii="Calibri" w:hAnsi="Calibri" w:cs="Calibri"/>
        </w:rPr>
        <w:t xml:space="preserve"> an existing trust </w:t>
      </w:r>
      <w:r>
        <w:rPr>
          <w:rFonts w:ascii="Calibri" w:hAnsi="Calibri" w:cs="Calibri"/>
        </w:rPr>
        <w:t>continues to be subject</w:t>
      </w:r>
      <w:r w:rsidR="008B0B59">
        <w:rPr>
          <w:rFonts w:ascii="Calibri" w:hAnsi="Calibri" w:cs="Calibri"/>
        </w:rPr>
        <w:t xml:space="preserve"> </w:t>
      </w:r>
      <w:r>
        <w:rPr>
          <w:rFonts w:ascii="Calibri" w:hAnsi="Calibri" w:cs="Calibri"/>
        </w:rPr>
        <w:t>to the RAP originally applicable to that property.</w:t>
      </w:r>
    </w:p>
    <w:p w14:paraId="5D196D6E" w14:textId="77777777" w:rsidR="000B37D9" w:rsidRDefault="00A9014A" w:rsidP="000B37D9">
      <w:pPr>
        <w:autoSpaceDE w:val="0"/>
        <w:autoSpaceDN w:val="0"/>
        <w:adjustRightInd w:val="0"/>
        <w:rPr>
          <w:rFonts w:ascii="Calibri" w:hAnsi="Calibri" w:cs="Calibri"/>
        </w:rPr>
      </w:pPr>
      <w:r>
        <w:rPr>
          <w:rFonts w:ascii="Calibri" w:hAnsi="Calibri" w:cs="Calibri"/>
        </w:rPr>
        <w:lastRenderedPageBreak/>
        <w:t>5</w:t>
      </w:r>
      <w:r w:rsidR="000B37D9">
        <w:rPr>
          <w:rFonts w:ascii="Calibri" w:hAnsi="Calibri" w:cs="Calibri"/>
        </w:rPr>
        <w:t xml:space="preserve">. </w:t>
      </w:r>
      <w:r w:rsidR="00FC2AD5">
        <w:rPr>
          <w:rFonts w:ascii="Calibri" w:hAnsi="Calibri" w:cs="Calibri"/>
        </w:rPr>
        <w:t xml:space="preserve">Check for </w:t>
      </w:r>
      <w:r w:rsidR="000B37D9">
        <w:rPr>
          <w:rFonts w:ascii="Calibri" w:hAnsi="Calibri" w:cs="Calibri"/>
        </w:rPr>
        <w:t>Ineffective gift-in-default provisions</w:t>
      </w:r>
      <w:r w:rsidR="00FC2AD5">
        <w:rPr>
          <w:rFonts w:ascii="Calibri" w:hAnsi="Calibri" w:cs="Calibri"/>
        </w:rPr>
        <w:t xml:space="preserve"> in the appointive trust</w:t>
      </w:r>
      <w:r w:rsidR="000B37D9">
        <w:rPr>
          <w:rFonts w:ascii="Calibri" w:hAnsi="Calibri" w:cs="Calibri"/>
        </w:rPr>
        <w:t>. The default takers under the donor’s instrument that created the</w:t>
      </w:r>
      <w:r w:rsidR="00FC2AD5">
        <w:rPr>
          <w:rFonts w:ascii="Calibri" w:hAnsi="Calibri" w:cs="Calibri"/>
        </w:rPr>
        <w:t xml:space="preserve"> </w:t>
      </w:r>
      <w:r w:rsidR="000B37D9">
        <w:rPr>
          <w:rFonts w:ascii="Calibri" w:hAnsi="Calibri" w:cs="Calibri"/>
        </w:rPr>
        <w:t>power, and</w:t>
      </w:r>
      <w:r w:rsidR="00FC2AD5">
        <w:rPr>
          <w:rFonts w:ascii="Calibri" w:hAnsi="Calibri" w:cs="Calibri"/>
        </w:rPr>
        <w:t xml:space="preserve"> in the donee’s trust, can be</w:t>
      </w:r>
      <w:r w:rsidR="000B37D9">
        <w:rPr>
          <w:rFonts w:ascii="Calibri" w:hAnsi="Calibri" w:cs="Calibri"/>
        </w:rPr>
        <w:t xml:space="preserve"> different.</w:t>
      </w:r>
      <w:r w:rsidR="00FC2AD5">
        <w:rPr>
          <w:rFonts w:ascii="Calibri" w:hAnsi="Calibri" w:cs="Calibri"/>
        </w:rPr>
        <w:t xml:space="preserve"> </w:t>
      </w:r>
      <w:r w:rsidR="000B37D9">
        <w:rPr>
          <w:rFonts w:ascii="Calibri" w:hAnsi="Calibri" w:cs="Calibri"/>
        </w:rPr>
        <w:t>It is not a valid exercise to subject the appointed property to the</w:t>
      </w:r>
      <w:r w:rsidR="00FC2AD5">
        <w:rPr>
          <w:rFonts w:ascii="Calibri" w:hAnsi="Calibri" w:cs="Calibri"/>
        </w:rPr>
        <w:t xml:space="preserve"> </w:t>
      </w:r>
      <w:r w:rsidR="000B37D9">
        <w:rPr>
          <w:rFonts w:ascii="Calibri" w:hAnsi="Calibri" w:cs="Calibri"/>
        </w:rPr>
        <w:t>donee’s gift-in-default provision, where the recipients under that</w:t>
      </w:r>
      <w:r w:rsidR="00FC2AD5">
        <w:rPr>
          <w:rFonts w:ascii="Calibri" w:hAnsi="Calibri" w:cs="Calibri"/>
        </w:rPr>
        <w:t xml:space="preserve"> </w:t>
      </w:r>
      <w:r w:rsidR="000B37D9">
        <w:rPr>
          <w:rFonts w:ascii="Calibri" w:hAnsi="Calibri" w:cs="Calibri"/>
        </w:rPr>
        <w:t>provision include potential takers-in-default not within the</w:t>
      </w:r>
      <w:r w:rsidR="00FC2AD5">
        <w:rPr>
          <w:rFonts w:ascii="Calibri" w:hAnsi="Calibri" w:cs="Calibri"/>
        </w:rPr>
        <w:t xml:space="preserve"> </w:t>
      </w:r>
      <w:r w:rsidR="000B37D9">
        <w:rPr>
          <w:rFonts w:ascii="Calibri" w:hAnsi="Calibri" w:cs="Calibri"/>
        </w:rPr>
        <w:t>donor’s gift-in-default provision (or otherwise within the donor’s</w:t>
      </w:r>
    </w:p>
    <w:p w14:paraId="3387F1B9" w14:textId="77777777" w:rsidR="000B37D9" w:rsidRDefault="00FC2AD5" w:rsidP="00FC2AD5">
      <w:pPr>
        <w:autoSpaceDE w:val="0"/>
        <w:autoSpaceDN w:val="0"/>
        <w:adjustRightInd w:val="0"/>
        <w:rPr>
          <w:rFonts w:ascii="Calibri" w:hAnsi="Calibri" w:cs="Calibri"/>
        </w:rPr>
      </w:pPr>
      <w:r>
        <w:rPr>
          <w:rFonts w:ascii="Calibri" w:hAnsi="Calibri" w:cs="Calibri"/>
        </w:rPr>
        <w:t>class of permissible appointees</w:t>
      </w:r>
      <w:r w:rsidR="000B37D9">
        <w:rPr>
          <w:rFonts w:ascii="Calibri" w:hAnsi="Calibri" w:cs="Calibri"/>
        </w:rPr>
        <w:t>).</w:t>
      </w:r>
      <w:r w:rsidR="00AD2B8B">
        <w:rPr>
          <w:rFonts w:ascii="Calibri" w:hAnsi="Calibri" w:cs="Calibri"/>
        </w:rPr>
        <w:t xml:space="preserve">  E.g. H establishes trust for W w/LPOA to appoint to descendants.  W appoints to trust for child w/LPOA, w/default to issue then charity (not to siblings or de</w:t>
      </w:r>
      <w:r w:rsidR="0076532C">
        <w:rPr>
          <w:rFonts w:ascii="Calibri" w:hAnsi="Calibri" w:cs="Calibri"/>
        </w:rPr>
        <w:t>s</w:t>
      </w:r>
      <w:r w:rsidR="00AD2B8B">
        <w:rPr>
          <w:rFonts w:ascii="Calibri" w:hAnsi="Calibri" w:cs="Calibri"/>
        </w:rPr>
        <w:t>cendants of H).  Child has no issue.  The charity as taker in default is invalid.</w:t>
      </w:r>
    </w:p>
    <w:p w14:paraId="01511B1B" w14:textId="77777777" w:rsidR="00006ED2" w:rsidRDefault="00006ED2">
      <w:pPr>
        <w:rPr>
          <w:rFonts w:ascii="Calibri" w:hAnsi="Calibri" w:cs="Calibri"/>
        </w:rPr>
      </w:pPr>
      <w:r>
        <w:rPr>
          <w:rFonts w:ascii="Calibri" w:hAnsi="Calibri" w:cs="Calibri"/>
        </w:rPr>
        <w:br w:type="page"/>
      </w:r>
    </w:p>
    <w:p w14:paraId="1F898692"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lastRenderedPageBreak/>
        <w:t xml:space="preserve">   </w:t>
      </w:r>
    </w:p>
    <w:p w14:paraId="79FC4583"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ELECTION UNDER </w:t>
      </w:r>
      <w:r>
        <w:rPr>
          <w:rFonts w:ascii="Calibri" w:hAnsi="Calibri" w:cs="Calibri"/>
        </w:rPr>
        <w:t xml:space="preserve">TREAS. </w:t>
      </w:r>
      <w:r w:rsidRPr="00006ED2">
        <w:rPr>
          <w:rFonts w:ascii="Calibri" w:hAnsi="Calibri" w:cs="Calibri"/>
        </w:rPr>
        <w:t xml:space="preserve">REG. §1.642(c)-1(b) TO TREAT CHARITABLE CONTRIBUTIONS AS PAID IN PRECEDING TAXABLE YEAR </w:t>
      </w:r>
      <w:r>
        <w:rPr>
          <w:rFonts w:ascii="Calibri" w:hAnsi="Calibri" w:cs="Calibri"/>
        </w:rPr>
        <w:t>(Attachment to 2016 Form 1041 Fiduciary Income Tax Return</w:t>
      </w:r>
      <w:r w:rsidR="009A7F72">
        <w:rPr>
          <w:rFonts w:ascii="Calibri" w:hAnsi="Calibri" w:cs="Calibri"/>
        </w:rPr>
        <w:t xml:space="preserve"> or Amended Return</w:t>
      </w:r>
      <w:r>
        <w:rPr>
          <w:rFonts w:ascii="Calibri" w:hAnsi="Calibri" w:cs="Calibri"/>
        </w:rPr>
        <w:t>)</w:t>
      </w:r>
    </w:p>
    <w:p w14:paraId="5E0399F4"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4B360254"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[Trustee Name], Trustee of the [Trust Name] identified below, hereby elects under §642(c)(1) and Reg. §1.642(c)-1(b) to treat a charitable contribution made in the t</w:t>
      </w:r>
      <w:r>
        <w:rPr>
          <w:rFonts w:ascii="Calibri" w:hAnsi="Calibri" w:cs="Calibri"/>
        </w:rPr>
        <w:t>ax year ending December 31, 2017</w:t>
      </w:r>
      <w:r w:rsidRPr="00006ED2">
        <w:rPr>
          <w:rFonts w:ascii="Calibri" w:hAnsi="Calibri" w:cs="Calibri"/>
        </w:rPr>
        <w:t>, as made in the preceding tax year ending Decembe</w:t>
      </w:r>
      <w:r>
        <w:rPr>
          <w:rFonts w:ascii="Calibri" w:hAnsi="Calibri" w:cs="Calibri"/>
        </w:rPr>
        <w:t>r 31, 2016</w:t>
      </w:r>
      <w:r w:rsidRPr="00006ED2">
        <w:rPr>
          <w:rFonts w:ascii="Calibri" w:hAnsi="Calibri" w:cs="Calibri"/>
        </w:rPr>
        <w:t>. As required by the regulation, the trustee provides the following information with respect to the election:</w:t>
      </w:r>
    </w:p>
    <w:p w14:paraId="72041E70"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2310AB4C"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Name and Address of Fiduciary:</w:t>
      </w:r>
    </w:p>
    <w:p w14:paraId="518838C8"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71F73701"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[Trustee Name], Trustee</w:t>
      </w:r>
    </w:p>
    <w:p w14:paraId="34062636"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6AF4C167" w14:textId="77777777" w:rsidR="00006ED2" w:rsidRDefault="00006ED2" w:rsidP="00006ED2">
      <w:pPr>
        <w:autoSpaceDE w:val="0"/>
        <w:autoSpaceDN w:val="0"/>
        <w:adjustRightInd w:val="0"/>
        <w:rPr>
          <w:rFonts w:ascii="Calibri" w:hAnsi="Calibri" w:cs="Calibri"/>
        </w:rPr>
      </w:pPr>
      <w:r w:rsidRPr="00006ED2">
        <w:rPr>
          <w:rFonts w:ascii="Calibri" w:hAnsi="Calibri" w:cs="Calibri"/>
        </w:rPr>
        <w:t>[Trust Name], [Taxpayer ID Number]</w:t>
      </w:r>
    </w:p>
    <w:p w14:paraId="4AAC79D0" w14:textId="77777777" w:rsidR="00006ED2" w:rsidRPr="00006ED2" w:rsidRDefault="00006ED2" w:rsidP="00006ED2">
      <w:pPr>
        <w:autoSpaceDE w:val="0"/>
        <w:autoSpaceDN w:val="0"/>
        <w:adjustRightInd w:val="0"/>
        <w:rPr>
          <w:rFonts w:ascii="Calibri" w:hAnsi="Calibri" w:cs="Calibri"/>
        </w:rPr>
      </w:pPr>
    </w:p>
    <w:p w14:paraId="55CA01E5"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[Trustee Address]</w:t>
      </w:r>
    </w:p>
    <w:p w14:paraId="41B78628"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38A28FD0"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4F73EBE3"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The trustee hereby elects pursuant to Reg. §1.642(c)-1(b) to treat the </w:t>
      </w:r>
      <w:r w:rsidR="000E39B5">
        <w:rPr>
          <w:rFonts w:ascii="Calibri" w:hAnsi="Calibri" w:cs="Calibri"/>
        </w:rPr>
        <w:t xml:space="preserve">2017 </w:t>
      </w:r>
      <w:r w:rsidRPr="00006ED2">
        <w:rPr>
          <w:rFonts w:ascii="Calibri" w:hAnsi="Calibri" w:cs="Calibri"/>
        </w:rPr>
        <w:t>charitable contributions</w:t>
      </w:r>
      <w:r w:rsidR="00E821C9">
        <w:rPr>
          <w:rFonts w:ascii="Calibri" w:hAnsi="Calibri" w:cs="Calibri"/>
        </w:rPr>
        <w:t xml:space="preserve"> described below as </w:t>
      </w:r>
      <w:r w:rsidR="000E39B5">
        <w:rPr>
          <w:rFonts w:ascii="Calibri" w:hAnsi="Calibri" w:cs="Calibri"/>
        </w:rPr>
        <w:t xml:space="preserve">if </w:t>
      </w:r>
      <w:r w:rsidR="00E821C9">
        <w:rPr>
          <w:rFonts w:ascii="Calibri" w:hAnsi="Calibri" w:cs="Calibri"/>
        </w:rPr>
        <w:t>made in 2016</w:t>
      </w:r>
      <w:r w:rsidRPr="00006ED2">
        <w:rPr>
          <w:rFonts w:ascii="Calibri" w:hAnsi="Calibri" w:cs="Calibri"/>
        </w:rPr>
        <w:t>.</w:t>
      </w:r>
    </w:p>
    <w:p w14:paraId="2D2D4EB0"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3E308D01" w14:textId="77777777" w:rsidR="00006ED2" w:rsidRPr="00006ED2" w:rsidRDefault="00006ED2" w:rsidP="00E821C9">
      <w:pPr>
        <w:autoSpaceDE w:val="0"/>
        <w:autoSpaceDN w:val="0"/>
        <w:adjustRightInd w:val="0"/>
        <w:ind w:firstLine="360"/>
        <w:rPr>
          <w:rFonts w:ascii="Calibri" w:hAnsi="Calibri" w:cs="Calibri"/>
        </w:rPr>
      </w:pPr>
      <w:r>
        <w:rPr>
          <w:rFonts w:ascii="Calibri" w:hAnsi="Calibri" w:cs="Calibri"/>
        </w:rPr>
        <w:t xml:space="preserve">Date </w:t>
      </w:r>
      <w:r>
        <w:rPr>
          <w:rFonts w:ascii="Calibri" w:hAnsi="Calibri" w:cs="Calibri"/>
        </w:rPr>
        <w:tab/>
      </w:r>
      <w:r w:rsidR="00E821C9">
        <w:rPr>
          <w:rFonts w:ascii="Calibri" w:hAnsi="Calibri" w:cs="Calibri"/>
        </w:rPr>
        <w:tab/>
      </w:r>
      <w:r w:rsidRPr="00006ED2">
        <w:rPr>
          <w:rFonts w:ascii="Calibri" w:hAnsi="Calibri" w:cs="Calibri"/>
        </w:rPr>
        <w:t>Contributions</w:t>
      </w:r>
      <w:r w:rsidR="000E39B5">
        <w:rPr>
          <w:rFonts w:ascii="Calibri" w:hAnsi="Calibri" w:cs="Calibri"/>
        </w:rPr>
        <w:tab/>
      </w:r>
      <w:r w:rsidR="000E39B5">
        <w:rPr>
          <w:rFonts w:ascii="Calibri" w:hAnsi="Calibri" w:cs="Calibri"/>
        </w:rPr>
        <w:tab/>
      </w:r>
      <w:r>
        <w:rPr>
          <w:rFonts w:ascii="Calibri" w:hAnsi="Calibri" w:cs="Calibri"/>
        </w:rPr>
        <w:tab/>
      </w:r>
      <w:r>
        <w:rPr>
          <w:rFonts w:ascii="Calibri" w:hAnsi="Calibri" w:cs="Calibri"/>
        </w:rPr>
        <w:tab/>
        <w:t>Name/Address of Donee</w:t>
      </w:r>
    </w:p>
    <w:p w14:paraId="679E3BBF"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3C670D2A" w14:textId="77777777" w:rsidR="00E821C9" w:rsidRDefault="00E821C9" w:rsidP="00E821C9">
      <w:pPr>
        <w:pStyle w:val="ListParagraph"/>
        <w:numPr>
          <w:ilvl w:val="0"/>
          <w:numId w:val="41"/>
        </w:numPr>
        <w:tabs>
          <w:tab w:val="left" w:pos="360"/>
        </w:tabs>
        <w:autoSpaceDE w:val="0"/>
        <w:autoSpaceDN w:val="0"/>
        <w:adjustRightInd w:val="0"/>
        <w:rPr>
          <w:rFonts w:ascii="Calibri" w:hAnsi="Calibri" w:cs="Calibri"/>
        </w:rPr>
      </w:pPr>
      <w:r>
        <w:rPr>
          <w:rFonts w:ascii="Calibri" w:hAnsi="Calibri" w:cs="Calibri"/>
        </w:rPr>
        <w:t>08/08/2017</w:t>
      </w:r>
      <w:r>
        <w:rPr>
          <w:rFonts w:ascii="Calibri" w:hAnsi="Calibri" w:cs="Calibri"/>
        </w:rPr>
        <w:tab/>
        <w:t xml:space="preserve">$50,000 cash to </w:t>
      </w:r>
      <w:r w:rsidR="009A7F72">
        <w:rPr>
          <w:rFonts w:ascii="Calibri" w:hAnsi="Calibri" w:cs="Calibri"/>
        </w:rPr>
        <w:tab/>
      </w:r>
      <w:r w:rsidR="000E39B5">
        <w:rPr>
          <w:rFonts w:ascii="Calibri" w:hAnsi="Calibri" w:cs="Calibri"/>
        </w:rPr>
        <w:tab/>
      </w:r>
      <w:r w:rsidR="000E39B5">
        <w:rPr>
          <w:rFonts w:ascii="Calibri" w:hAnsi="Calibri" w:cs="Calibri"/>
        </w:rPr>
        <w:tab/>
      </w:r>
      <w:r>
        <w:rPr>
          <w:rFonts w:ascii="Calibri" w:hAnsi="Calibri" w:cs="Calibri"/>
        </w:rPr>
        <w:t xml:space="preserve">Greater Cincinnati Foundation </w:t>
      </w:r>
      <w:r w:rsidR="00006ED2" w:rsidRPr="00E821C9">
        <w:rPr>
          <w:rFonts w:ascii="Calibri" w:hAnsi="Calibri" w:cs="Calibri"/>
        </w:rPr>
        <w:t xml:space="preserve"> </w:t>
      </w:r>
    </w:p>
    <w:p w14:paraId="5870EAFC" w14:textId="77777777" w:rsidR="00006ED2" w:rsidRPr="00E821C9" w:rsidRDefault="00E821C9" w:rsidP="00E821C9">
      <w:pPr>
        <w:pStyle w:val="ListParagraph"/>
        <w:tabs>
          <w:tab w:val="left" w:pos="360"/>
        </w:tabs>
        <w:autoSpaceDE w:val="0"/>
        <w:autoSpaceDN w:val="0"/>
        <w:adjustRightInd w:val="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9A7F72">
        <w:rPr>
          <w:rFonts w:ascii="Calibri" w:hAnsi="Calibri" w:cs="Calibri"/>
        </w:rPr>
        <w:tab/>
      </w:r>
      <w:r w:rsidR="000E39B5">
        <w:rPr>
          <w:rFonts w:ascii="Calibri" w:hAnsi="Calibri" w:cs="Calibri"/>
        </w:rPr>
        <w:tab/>
      </w:r>
      <w:r w:rsidR="000E39B5">
        <w:rPr>
          <w:rFonts w:ascii="Calibri" w:hAnsi="Calibri" w:cs="Calibri"/>
        </w:rPr>
        <w:tab/>
      </w:r>
      <w:r w:rsidRPr="00E821C9">
        <w:rPr>
          <w:rFonts w:ascii="Calibri" w:hAnsi="Calibri" w:cs="Calibri"/>
        </w:rPr>
        <w:t>200 W 4th St, Cincinnati, OH 45202</w:t>
      </w:r>
    </w:p>
    <w:p w14:paraId="7EF3A082" w14:textId="77777777" w:rsidR="00006ED2" w:rsidRPr="00E821C9" w:rsidRDefault="00006ED2" w:rsidP="00E821C9">
      <w:pPr>
        <w:pStyle w:val="ListParagraph"/>
        <w:numPr>
          <w:ilvl w:val="0"/>
          <w:numId w:val="41"/>
        </w:numPr>
        <w:autoSpaceDE w:val="0"/>
        <w:autoSpaceDN w:val="0"/>
        <w:adjustRightInd w:val="0"/>
        <w:rPr>
          <w:rFonts w:ascii="Calibri" w:hAnsi="Calibri" w:cs="Calibri"/>
        </w:rPr>
      </w:pPr>
    </w:p>
    <w:p w14:paraId="636188B2" w14:textId="77777777" w:rsidR="00006ED2" w:rsidRPr="00006ED2" w:rsidRDefault="00006ED2" w:rsidP="00006ED2">
      <w:pPr>
        <w:autoSpaceDE w:val="0"/>
        <w:autoSpaceDN w:val="0"/>
        <w:adjustRightInd w:val="0"/>
        <w:rPr>
          <w:rFonts w:ascii="Calibri" w:hAnsi="Calibri" w:cs="Calibri"/>
        </w:rPr>
      </w:pPr>
    </w:p>
    <w:p w14:paraId="2FC5FD0A"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59894372"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[Trust Name]</w:t>
      </w:r>
    </w:p>
    <w:p w14:paraId="01ED4BF4"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07877376"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By: ______________________</w:t>
      </w:r>
    </w:p>
    <w:p w14:paraId="72652299"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2CED4946"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[Trustee Name</w:t>
      </w:r>
      <w:r w:rsidR="00E821C9">
        <w:rPr>
          <w:rFonts w:ascii="Calibri" w:hAnsi="Calibri" w:cs="Calibri"/>
        </w:rPr>
        <w:t xml:space="preserve"> and Officer Name if Corporate Trustee</w:t>
      </w:r>
      <w:r w:rsidRPr="00006ED2">
        <w:rPr>
          <w:rFonts w:ascii="Calibri" w:hAnsi="Calibri" w:cs="Calibri"/>
        </w:rPr>
        <w:t>]</w:t>
      </w:r>
    </w:p>
    <w:p w14:paraId="2620DD2B"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55D1932F"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Trustee</w:t>
      </w:r>
    </w:p>
    <w:p w14:paraId="640866BC" w14:textId="77777777" w:rsidR="00006ED2" w:rsidRPr="00006ED2" w:rsidRDefault="00006ED2" w:rsidP="00006ED2">
      <w:pPr>
        <w:autoSpaceDE w:val="0"/>
        <w:autoSpaceDN w:val="0"/>
        <w:adjustRightInd w:val="0"/>
        <w:rPr>
          <w:rFonts w:ascii="Calibri" w:hAnsi="Calibri" w:cs="Calibri"/>
        </w:rPr>
      </w:pPr>
      <w:r w:rsidRPr="00006ED2">
        <w:rPr>
          <w:rFonts w:ascii="Calibri" w:hAnsi="Calibri" w:cs="Calibri"/>
        </w:rPr>
        <w:t xml:space="preserve"> </w:t>
      </w:r>
    </w:p>
    <w:p w14:paraId="315A3362" w14:textId="77777777" w:rsidR="00006ED2" w:rsidRPr="00FC2AD5" w:rsidRDefault="00006ED2" w:rsidP="00006ED2">
      <w:pPr>
        <w:autoSpaceDE w:val="0"/>
        <w:autoSpaceDN w:val="0"/>
        <w:adjustRightInd w:val="0"/>
        <w:rPr>
          <w:rFonts w:ascii="Calibri" w:hAnsi="Calibri" w:cs="Calibri"/>
        </w:rPr>
      </w:pPr>
      <w:r w:rsidRPr="00006ED2">
        <w:rPr>
          <w:rFonts w:ascii="Calibri" w:hAnsi="Calibri" w:cs="Calibri"/>
        </w:rPr>
        <w:t>Date: ____________________</w:t>
      </w:r>
    </w:p>
    <w:sectPr w:rsidR="00006ED2" w:rsidRPr="00FC2AD5" w:rsidSect="00D6794C">
      <w:endnotePr>
        <w:numFmt w:val="decimal"/>
      </w:endnotePr>
      <w:pgSz w:w="12240" w:h="15840"/>
      <w:pgMar w:top="1440" w:right="1440" w:bottom="1440" w:left="1584" w:header="720" w:footer="720" w:gutter="0"/>
      <w:pgNumType w:fmt="numberInDash"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E686" w14:textId="77777777" w:rsidR="00D6794C" w:rsidRDefault="00D6794C">
      <w:r>
        <w:separator/>
      </w:r>
    </w:p>
  </w:endnote>
  <w:endnote w:type="continuationSeparator" w:id="0">
    <w:p w14:paraId="29598357" w14:textId="77777777" w:rsidR="00D6794C" w:rsidRDefault="00D6794C">
      <w:r>
        <w:continuationSeparator/>
      </w:r>
    </w:p>
  </w:endnote>
  <w:endnote w:type="continuationNotice" w:id="1">
    <w:p w14:paraId="15027B6B" w14:textId="77777777" w:rsidR="00D6794C" w:rsidRDefault="00D6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Key">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Public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Bold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5199" w14:textId="77777777" w:rsidR="00D53D4F" w:rsidRDefault="00D53D4F" w:rsidP="00934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444FC" w14:textId="77777777" w:rsidR="00D53D4F" w:rsidRDefault="00D53D4F" w:rsidP="00E55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021605"/>
      <w:docPartObj>
        <w:docPartGallery w:val="Page Numbers (Bottom of Page)"/>
        <w:docPartUnique/>
      </w:docPartObj>
    </w:sdtPr>
    <w:sdtEndPr>
      <w:rPr>
        <w:noProof/>
      </w:rPr>
    </w:sdtEndPr>
    <w:sdtContent>
      <w:p w14:paraId="0902DB83" w14:textId="77777777" w:rsidR="00D53D4F" w:rsidRDefault="00D53D4F">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4DABF586" w14:textId="77777777" w:rsidR="00D53D4F" w:rsidRDefault="00D53D4F" w:rsidP="006B140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8BC0" w14:textId="77777777" w:rsidR="00D53D4F" w:rsidRDefault="00D53D4F" w:rsidP="006B14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B6B8" w14:textId="77777777" w:rsidR="00D6794C" w:rsidRDefault="00D6794C">
      <w:r>
        <w:separator/>
      </w:r>
    </w:p>
  </w:footnote>
  <w:footnote w:type="continuationSeparator" w:id="0">
    <w:p w14:paraId="59DABF5A" w14:textId="77777777" w:rsidR="00D6794C" w:rsidRDefault="00D6794C">
      <w:r>
        <w:continuationSeparator/>
      </w:r>
    </w:p>
  </w:footnote>
  <w:footnote w:type="continuationNotice" w:id="1">
    <w:p w14:paraId="69678C5F" w14:textId="77777777" w:rsidR="00D6794C" w:rsidRDefault="00D6794C"/>
  </w:footnote>
  <w:footnote w:id="2">
    <w:p w14:paraId="48D29CFD" w14:textId="37853F3A" w:rsidR="00D53D4F" w:rsidRPr="00E5683F" w:rsidRDefault="00D53D4F" w:rsidP="00DF6DFF">
      <w:pPr>
        <w:pStyle w:val="FootnoteText"/>
      </w:pPr>
      <w:r>
        <w:rPr>
          <w:rStyle w:val="FootnoteReference"/>
        </w:rPr>
        <w:footnoteRef/>
      </w:r>
      <w:r>
        <w:t xml:space="preserve"> Portions of this outline were presented at various CLEs 2011-2018 and were published in Trusts and Estates, Leimberg LISI</w:t>
      </w:r>
      <w:r w:rsidRPr="00AD2EC2">
        <w:t xml:space="preserve"> Estate Planning Newsletter </w:t>
      </w:r>
      <w:r>
        <w:t>or CCH Estate Planning Review.  © 2011-20</w:t>
      </w:r>
      <w:r w:rsidR="00F72F88">
        <w:t>22</w:t>
      </w:r>
      <w:r>
        <w:t xml:space="preserve"> Edwin P. Morrow III – Contact: </w:t>
      </w:r>
      <w:hyperlink r:id="rId1" w:history="1">
        <w:r w:rsidRPr="001A027E">
          <w:rPr>
            <w:rStyle w:val="Hyperlink"/>
            <w:i/>
          </w:rPr>
          <w:t>edwin.morrow3@gmail.com</w:t>
        </w:r>
      </w:hyperlink>
      <w:r>
        <w:rPr>
          <w:rStyle w:val="Hyperlink"/>
          <w:u w:val="none"/>
        </w:rPr>
        <w:t xml:space="preserve">.  </w:t>
      </w:r>
      <w:r w:rsidRPr="00175580">
        <w:rPr>
          <w:rStyle w:val="Hyperlink"/>
          <w:color w:val="auto"/>
          <w:u w:val="none"/>
        </w:rPr>
        <w:t xml:space="preserve">Not all portions have been updated </w:t>
      </w:r>
      <w:r>
        <w:rPr>
          <w:rStyle w:val="Hyperlink"/>
          <w:color w:val="auto"/>
          <w:u w:val="none"/>
        </w:rPr>
        <w:t>to reflect</w:t>
      </w:r>
      <w:r w:rsidRPr="00175580">
        <w:rPr>
          <w:rStyle w:val="Hyperlink"/>
          <w:color w:val="auto"/>
          <w:u w:val="none"/>
        </w:rPr>
        <w:t xml:space="preserve"> the </w:t>
      </w:r>
      <w:r>
        <w:rPr>
          <w:rStyle w:val="Hyperlink"/>
          <w:color w:val="auto"/>
          <w:u w:val="none"/>
        </w:rPr>
        <w:t>increasing applicable exclusion amounts due to TCJA for 2018-2025</w:t>
      </w:r>
      <w:r w:rsidR="005433CF">
        <w:rPr>
          <w:rStyle w:val="Hyperlink"/>
          <w:color w:val="auto"/>
          <w:u w:val="none"/>
        </w:rPr>
        <w:t>,</w:t>
      </w:r>
      <w:r>
        <w:rPr>
          <w:rStyle w:val="Hyperlink"/>
          <w:color w:val="auto"/>
          <w:u w:val="none"/>
        </w:rPr>
        <w:t xml:space="preserve"> or</w:t>
      </w:r>
      <w:r w:rsidR="005433CF">
        <w:rPr>
          <w:rStyle w:val="Hyperlink"/>
          <w:color w:val="auto"/>
          <w:u w:val="none"/>
        </w:rPr>
        <w:t xml:space="preserve"> for</w:t>
      </w:r>
      <w:r>
        <w:rPr>
          <w:rStyle w:val="Hyperlink"/>
          <w:color w:val="auto"/>
          <w:u w:val="none"/>
        </w:rPr>
        <w:t xml:space="preserve"> minor inflation adjustments</w:t>
      </w:r>
      <w:r>
        <w:rPr>
          <w:rStyle w:val="Hyperlink"/>
          <w:u w:val="none"/>
        </w:rPr>
        <w:t xml:space="preserve">.  </w:t>
      </w:r>
      <w:r>
        <w:rPr>
          <w:rStyle w:val="Hyperlink"/>
          <w:color w:val="auto"/>
          <w:u w:val="none"/>
        </w:rPr>
        <w:t>See this website for further updates and cite paper to this address:</w:t>
      </w:r>
      <w:r w:rsidRPr="00E5683F">
        <w:t xml:space="preserve"> </w:t>
      </w:r>
      <w:hyperlink r:id="rId2" w:tgtFrame="_blank" w:history="1">
        <w:r w:rsidRPr="00E5683F">
          <w:rPr>
            <w:rStyle w:val="Hyperlink"/>
          </w:rPr>
          <w:t>http://ssrn.com/abstract=2436964</w:t>
        </w:r>
      </w:hyperlink>
      <w:r>
        <w:rPr>
          <w:rStyle w:val="Hyperlink"/>
        </w:rPr>
        <w:t xml:space="preserve">. </w:t>
      </w:r>
    </w:p>
  </w:footnote>
  <w:footnote w:id="3">
    <w:p w14:paraId="52DD64F5" w14:textId="77777777" w:rsidR="00D53D4F" w:rsidRDefault="00D53D4F">
      <w:pPr>
        <w:pStyle w:val="FootnoteText"/>
      </w:pPr>
      <w:r>
        <w:rPr>
          <w:rStyle w:val="FootnoteReference"/>
        </w:rPr>
        <w:footnoteRef/>
      </w:r>
      <w:r>
        <w:t xml:space="preserve"> No trademark claimed, “Super-Duper Charged Credit Shelter Trust” was apparently unavailable.  Attorneys have adopted many names for basis optimizing: “basis harvesting trust”, “basis protection trust”, “optimal benefit trust”</w:t>
      </w:r>
    </w:p>
  </w:footnote>
  <w:footnote w:id="4">
    <w:p w14:paraId="1276FD0C" w14:textId="77777777" w:rsidR="00D53D4F" w:rsidRPr="00765059" w:rsidRDefault="00D53D4F" w:rsidP="001E2E1E">
      <w:pPr>
        <w:spacing w:after="120"/>
        <w:rPr>
          <w:sz w:val="20"/>
          <w:szCs w:val="20"/>
        </w:rPr>
      </w:pPr>
      <w:r w:rsidRPr="00765059">
        <w:rPr>
          <w:rStyle w:val="FootnoteReference"/>
          <w:sz w:val="20"/>
          <w:szCs w:val="20"/>
        </w:rPr>
        <w:footnoteRef/>
      </w:r>
      <w:r w:rsidRPr="00765059">
        <w:rPr>
          <w:sz w:val="20"/>
          <w:szCs w:val="20"/>
        </w:rPr>
        <w:t xml:space="preserve"> Section 303 of Public Law 111-312, known as the Tax Relief, Unemployment Insurance Reauthorization, and Job Creation Act of 2010</w:t>
      </w:r>
      <w:r>
        <w:rPr>
          <w:sz w:val="20"/>
          <w:szCs w:val="20"/>
        </w:rPr>
        <w:t>.</w:t>
      </w:r>
    </w:p>
  </w:footnote>
  <w:footnote w:id="5">
    <w:p w14:paraId="79D67A5D" w14:textId="77777777" w:rsidR="00D53D4F" w:rsidRDefault="00D53D4F" w:rsidP="00F64D1C">
      <w:pPr>
        <w:pStyle w:val="FootnoteText"/>
        <w:spacing w:after="120"/>
      </w:pPr>
      <w:r>
        <w:rPr>
          <w:rStyle w:val="FootnoteReference"/>
        </w:rPr>
        <w:footnoteRef/>
      </w:r>
      <w:r>
        <w:t xml:space="preserve"> Latest inflation adjustments for estate/gift/GST exclusion amount increasing to $11.4 million, as well as increases for income tax brackets and other tax items are in Rev. Proc. 2018-57, </w:t>
      </w:r>
      <w:r>
        <w:rPr>
          <w:rFonts w:ascii="Arial" w:hAnsi="Arial" w:cs="Arial"/>
        </w:rPr>
        <w:t>§</w:t>
      </w:r>
      <w:r>
        <w:t>3</w:t>
      </w:r>
    </w:p>
  </w:footnote>
  <w:footnote w:id="6">
    <w:p w14:paraId="34214D27" w14:textId="77777777" w:rsidR="00D53D4F" w:rsidRDefault="00D53D4F" w:rsidP="001E2E1E">
      <w:pPr>
        <w:pStyle w:val="FootnoteText"/>
        <w:spacing w:after="120"/>
      </w:pPr>
      <w:r>
        <w:rPr>
          <w:rStyle w:val="FootnoteReference"/>
        </w:rPr>
        <w:footnoteRef/>
      </w:r>
      <w:r>
        <w:t xml:space="preserve"> E.g. “AB Trust can be hazardous to your health</w:t>
      </w:r>
      <w:r w:rsidRPr="002C3DB0">
        <w:t>”,</w:t>
      </w:r>
      <w:r w:rsidRPr="002C3DB0">
        <w:rPr>
          <w:bCs/>
          <w:color w:val="000000"/>
        </w:rPr>
        <w:t xml:space="preserve"> “Serious tax consequences to AB Trust owners”</w:t>
      </w:r>
      <w:r>
        <w:t xml:space="preserve"> “Portability Threatens Estate Planning Bar”, “Is it time to bypass the bypass trust for good?”, and dozens more</w:t>
      </w:r>
    </w:p>
  </w:footnote>
  <w:footnote w:id="7">
    <w:p w14:paraId="7C99A54F" w14:textId="77777777" w:rsidR="00D53D4F" w:rsidRDefault="00D53D4F" w:rsidP="001E2E1E">
      <w:pPr>
        <w:pStyle w:val="FootnoteText"/>
        <w:spacing w:after="120"/>
      </w:pPr>
      <w:r>
        <w:rPr>
          <w:rStyle w:val="FootnoteReference"/>
        </w:rPr>
        <w:footnoteRef/>
      </w:r>
      <w:r>
        <w:t xml:space="preserve"> Frequent </w:t>
      </w:r>
      <w:r w:rsidRPr="005D2EA5">
        <w:rPr>
          <w:i/>
        </w:rPr>
        <w:t>Trusts and Estates</w:t>
      </w:r>
      <w:r>
        <w:t xml:space="preserve"> author Clary Redd at May 2011 Advanced Trust Planning CLE, Dayton, Ohio - to be fair, he made this comment before the provision was made permanent.</w:t>
      </w:r>
    </w:p>
  </w:footnote>
  <w:footnote w:id="8">
    <w:p w14:paraId="2D67C73B" w14:textId="77777777" w:rsidR="00D53D4F" w:rsidRPr="00D34B50" w:rsidRDefault="00D53D4F">
      <w:pPr>
        <w:pStyle w:val="FootnoteText"/>
      </w:pPr>
      <w:r>
        <w:rPr>
          <w:rStyle w:val="FootnoteReference"/>
        </w:rPr>
        <w:footnoteRef/>
      </w:r>
      <w:r>
        <w:t xml:space="preserve"> Of the </w:t>
      </w:r>
      <w:r>
        <w:rPr>
          <w:bCs/>
          <w:color w:val="000000"/>
        </w:rPr>
        <w:t xml:space="preserve">$3 million original basis, this assumes $500,000 is added due to income or gain realized over time (increasing basis), over the loss in basis due to depreciation or realized losses (which decrease basis), creating $2.5 million unrealized gain </w:t>
      </w:r>
      <w:r w:rsidRPr="00D34B50">
        <w:rPr>
          <w:bCs/>
          <w:color w:val="000000"/>
        </w:rPr>
        <w:t xml:space="preserve">times a hypothetical 30% combined federal (23.8%) and state (net 6.2%) long term capital gains tax – this may be </w:t>
      </w:r>
      <w:r>
        <w:rPr>
          <w:bCs/>
          <w:color w:val="000000"/>
        </w:rPr>
        <w:t>higher</w:t>
      </w:r>
      <w:r w:rsidRPr="00D34B50">
        <w:rPr>
          <w:bCs/>
          <w:color w:val="000000"/>
        </w:rPr>
        <w:t xml:space="preserve"> if </w:t>
      </w:r>
      <w:r>
        <w:rPr>
          <w:bCs/>
          <w:color w:val="000000"/>
        </w:rPr>
        <w:t>you consider 28% rate for collectibles</w:t>
      </w:r>
      <w:r w:rsidRPr="00D34B50">
        <w:rPr>
          <w:bCs/>
          <w:color w:val="000000"/>
        </w:rPr>
        <w:t xml:space="preserve">, or if the assets were </w:t>
      </w:r>
      <w:r>
        <w:rPr>
          <w:bCs/>
          <w:color w:val="000000"/>
        </w:rPr>
        <w:t>depreciable property</w:t>
      </w:r>
      <w:r w:rsidRPr="00D34B50">
        <w:rPr>
          <w:bCs/>
          <w:color w:val="000000"/>
        </w:rPr>
        <w:t xml:space="preserve">, one might look at </w:t>
      </w:r>
      <w:r>
        <w:rPr>
          <w:bCs/>
          <w:color w:val="000000"/>
        </w:rPr>
        <w:t>the</w:t>
      </w:r>
      <w:r w:rsidRPr="00D34B50">
        <w:rPr>
          <w:bCs/>
          <w:color w:val="000000"/>
        </w:rPr>
        <w:t xml:space="preserve"> depreciation lost and the </w:t>
      </w:r>
      <w:r>
        <w:rPr>
          <w:bCs/>
          <w:color w:val="000000"/>
        </w:rPr>
        <w:t xml:space="preserve">ordinary </w:t>
      </w:r>
      <w:r w:rsidRPr="00D34B50">
        <w:rPr>
          <w:bCs/>
          <w:color w:val="000000"/>
        </w:rPr>
        <w:t xml:space="preserve">income that could have been offset by the extra basis, which might drive this estimated loss to beneficiaries even higher (though you would have to back out for present value).  Of course, if heirs </w:t>
      </w:r>
      <w:r w:rsidRPr="00D34B50">
        <w:rPr>
          <w:bCs/>
          <w:i/>
          <w:color w:val="000000"/>
        </w:rPr>
        <w:t>never</w:t>
      </w:r>
      <w:r w:rsidRPr="00D34B50">
        <w:rPr>
          <w:bCs/>
          <w:color w:val="000000"/>
        </w:rPr>
        <w:t xml:space="preserve"> sell the property (and depreciation does not apply)</w:t>
      </w:r>
      <w:r>
        <w:rPr>
          <w:bCs/>
          <w:color w:val="000000"/>
        </w:rPr>
        <w:t xml:space="preserve"> and hold until death</w:t>
      </w:r>
      <w:r w:rsidRPr="00D34B50">
        <w:rPr>
          <w:bCs/>
          <w:color w:val="000000"/>
        </w:rPr>
        <w:t xml:space="preserve">, </w:t>
      </w:r>
      <w:r>
        <w:rPr>
          <w:bCs/>
          <w:color w:val="000000"/>
        </w:rPr>
        <w:t>losses</w:t>
      </w:r>
      <w:r w:rsidRPr="00D34B50">
        <w:rPr>
          <w:bCs/>
          <w:color w:val="000000"/>
        </w:rPr>
        <w:t xml:space="preserve"> resulting from decreased basis would be non-existent.  </w:t>
      </w:r>
      <w:r>
        <w:rPr>
          <w:bCs/>
          <w:color w:val="000000"/>
        </w:rPr>
        <w:t>In short, it’s a rough “guesstimate”.  As discussed later herein, some assets do not receive a new basis even if in the decedent’s estate, some assets receive a basis not based on the fair market value at date of death or under an alternate valuation date.  IRC §§691(c), 1014, 2032, 2032A, and some receive de facto step up (Roth IRA, life insurance)</w:t>
      </w:r>
    </w:p>
  </w:footnote>
  <w:footnote w:id="9">
    <w:p w14:paraId="0152DBE8" w14:textId="77777777" w:rsidR="00D53D4F" w:rsidRPr="000F55AD" w:rsidRDefault="00D53D4F" w:rsidP="001E2E1E">
      <w:pPr>
        <w:pStyle w:val="FootnoteText"/>
        <w:spacing w:after="120"/>
        <w:rPr>
          <w:i/>
        </w:rPr>
      </w:pPr>
      <w:r>
        <w:rPr>
          <w:rStyle w:val="FootnoteReference"/>
        </w:rPr>
        <w:footnoteRef/>
      </w:r>
      <w:r>
        <w:t xml:space="preserve"> For a checklist of reasons why to use a trust and drafting and administration issues to consider if you do name a trust as beneficiary, email the author for separate CLE outline, comprehensive checklist and related articles.  </w:t>
      </w:r>
    </w:p>
  </w:footnote>
  <w:footnote w:id="10">
    <w:p w14:paraId="62CB12F8" w14:textId="77777777" w:rsidR="00D53D4F" w:rsidRDefault="00D53D4F" w:rsidP="001E2E1E">
      <w:pPr>
        <w:pStyle w:val="FootnoteText"/>
        <w:spacing w:after="120"/>
      </w:pPr>
      <w:r>
        <w:rPr>
          <w:rStyle w:val="FootnoteReference"/>
        </w:rPr>
        <w:footnoteRef/>
      </w:r>
      <w:r>
        <w:t xml:space="preserve"> IRC §121, discussed further in Part VIII of this outline</w:t>
      </w:r>
    </w:p>
  </w:footnote>
  <w:footnote w:id="11">
    <w:p w14:paraId="23A39D12" w14:textId="77777777" w:rsidR="00D53D4F" w:rsidRDefault="00D53D4F" w:rsidP="001E2E1E">
      <w:pPr>
        <w:pStyle w:val="FootnoteText"/>
        <w:spacing w:after="120"/>
      </w:pPr>
      <w:r>
        <w:rPr>
          <w:rStyle w:val="FootnoteReference"/>
        </w:rPr>
        <w:footnoteRef/>
      </w:r>
      <w:r>
        <w:t xml:space="preserve"> For S Corp qualification, including QSST and ESBT, see IRC §1361 et seq., for small business stock exclusion and rollovers, see IRC §1202 and §1045, for losses on qualifying small business stock, see IRC §1244</w:t>
      </w:r>
    </w:p>
  </w:footnote>
  <w:footnote w:id="12">
    <w:p w14:paraId="56CD8CD6" w14:textId="77777777" w:rsidR="00D53D4F" w:rsidRDefault="00D53D4F" w:rsidP="001E2E1E">
      <w:pPr>
        <w:pStyle w:val="FootnoteText"/>
        <w:spacing w:after="120"/>
      </w:pPr>
      <w:r>
        <w:rPr>
          <w:rStyle w:val="FootnoteReference"/>
        </w:rPr>
        <w:footnoteRef/>
      </w:r>
      <w:r>
        <w:t xml:space="preserve"> I will avoid the probate/non-probate revocable trust v. will debate, since probate costs and fees will vary from state to state.  A bypass or marital trust might be a testamentary trust under a will.</w:t>
      </w:r>
    </w:p>
  </w:footnote>
  <w:footnote w:id="13">
    <w:p w14:paraId="26A0CAA8" w14:textId="77777777" w:rsidR="00D53D4F" w:rsidRPr="009F6631" w:rsidRDefault="00D53D4F" w:rsidP="001E2E1E">
      <w:pPr>
        <w:pStyle w:val="FootnoteText"/>
        <w:spacing w:after="120"/>
      </w:pPr>
      <w:r>
        <w:rPr>
          <w:rStyle w:val="FootnoteReference"/>
        </w:rPr>
        <w:footnoteRef/>
      </w:r>
      <w:r>
        <w:t xml:space="preserve"> </w:t>
      </w:r>
      <w:r w:rsidRPr="009F6631">
        <w:t>A</w:t>
      </w:r>
      <w:r w:rsidRPr="009F6631">
        <w:rPr>
          <w:bCs/>
          <w:color w:val="000000"/>
        </w:rPr>
        <w:t xml:space="preserve"> contract to make a </w:t>
      </w:r>
      <w:r>
        <w:rPr>
          <w:bCs/>
          <w:color w:val="000000"/>
        </w:rPr>
        <w:t>w</w:t>
      </w:r>
      <w:r w:rsidRPr="009F6631">
        <w:rPr>
          <w:bCs/>
          <w:color w:val="000000"/>
        </w:rPr>
        <w:t xml:space="preserve">ill may offer a tempting solution, but there are significant problems with those that exceed the scope of this paper, such as triggering </w:t>
      </w:r>
      <w:r>
        <w:rPr>
          <w:bCs/>
          <w:color w:val="000000"/>
        </w:rPr>
        <w:t>a prohibited transaction or violating the exclusive benefits rule as to retirement plan assets or</w:t>
      </w:r>
      <w:r w:rsidRPr="009F6631">
        <w:rPr>
          <w:bCs/>
          <w:color w:val="000000"/>
        </w:rPr>
        <w:t xml:space="preserve"> disqualifying assets from marital deduction, not to</w:t>
      </w:r>
      <w:r>
        <w:rPr>
          <w:bCs/>
          <w:color w:val="000000"/>
        </w:rPr>
        <w:t xml:space="preserve"> mention significant practical enforcement complexities</w:t>
      </w:r>
    </w:p>
  </w:footnote>
  <w:footnote w:id="14">
    <w:p w14:paraId="018B4B81" w14:textId="77777777" w:rsidR="00D53D4F" w:rsidRDefault="00D53D4F" w:rsidP="001E2E1E">
      <w:pPr>
        <w:pStyle w:val="FootnoteText"/>
        <w:spacing w:after="120"/>
      </w:pPr>
      <w:r>
        <w:rPr>
          <w:rStyle w:val="FootnoteReference"/>
        </w:rPr>
        <w:footnoteRef/>
      </w:r>
      <w:r>
        <w:t xml:space="preserve"> See the </w:t>
      </w:r>
      <w:r w:rsidRPr="00AE5A34">
        <w:rPr>
          <w:i/>
        </w:rPr>
        <w:t>Retirement Equity Act of 1984</w:t>
      </w:r>
      <w:r>
        <w:t xml:space="preserve">, IRC §401(a)(11), IRC §417(d)(1), Treas. Reg. §1.401(a)-20, Q&amp;A 28 – but beware - many retirement plan documents vest the spouse </w:t>
      </w:r>
      <w:r w:rsidRPr="009D56C5">
        <w:rPr>
          <w:i/>
        </w:rPr>
        <w:t>before</w:t>
      </w:r>
      <w:r>
        <w:t xml:space="preserve"> the one year required by statute.  This can be waived </w:t>
      </w:r>
      <w:r w:rsidRPr="00EE0603">
        <w:rPr>
          <w:i/>
        </w:rPr>
        <w:t>after</w:t>
      </w:r>
      <w:r>
        <w:t xml:space="preserve"> marriage, but most courts follow</w:t>
      </w:r>
      <w:r w:rsidRPr="00EE0603">
        <w:t xml:space="preserve"> </w:t>
      </w:r>
      <w:r>
        <w:t>Treas. Reg.</w:t>
      </w:r>
      <w:r w:rsidRPr="00EE0603">
        <w:t xml:space="preserve"> §1.401(a)-20</w:t>
      </w:r>
      <w:r>
        <w:t>, holding a waiver in a prenup to be invalid</w:t>
      </w:r>
    </w:p>
  </w:footnote>
  <w:footnote w:id="15">
    <w:p w14:paraId="57DC3761" w14:textId="77777777" w:rsidR="00D53D4F" w:rsidRDefault="00D53D4F" w:rsidP="001E2E1E">
      <w:pPr>
        <w:pStyle w:val="FootnoteText"/>
        <w:spacing w:after="120"/>
      </w:pPr>
      <w:r>
        <w:rPr>
          <w:rStyle w:val="FootnoteReference"/>
        </w:rPr>
        <w:footnoteRef/>
      </w:r>
      <w:r>
        <w:t xml:space="preserve"> See, e.g., Uniform Probate Code §2-201 et seq.</w:t>
      </w:r>
    </w:p>
  </w:footnote>
  <w:footnote w:id="16">
    <w:p w14:paraId="364561D3" w14:textId="77777777" w:rsidR="00D53D4F" w:rsidRDefault="00D53D4F">
      <w:pPr>
        <w:pStyle w:val="FootnoteText"/>
      </w:pPr>
      <w:r>
        <w:rPr>
          <w:rStyle w:val="FootnoteReference"/>
        </w:rPr>
        <w:footnoteRef/>
      </w:r>
      <w:r>
        <w:t xml:space="preserve"> Maryland added portability starting in 2019. See HB 308, modifying</w:t>
      </w:r>
      <w:r w:rsidRPr="00987CA7">
        <w:t xml:space="preserve"> MD Tax-Gen Code § 7-309</w:t>
      </w:r>
      <w:r>
        <w:t>.</w:t>
      </w:r>
    </w:p>
  </w:footnote>
  <w:footnote w:id="17">
    <w:p w14:paraId="1EC6BBF0" w14:textId="77777777" w:rsidR="00D53D4F" w:rsidRPr="00671916" w:rsidRDefault="00D53D4F">
      <w:pPr>
        <w:pStyle w:val="FootnoteText"/>
      </w:pPr>
      <w:r>
        <w:rPr>
          <w:rStyle w:val="FootnoteReference"/>
        </w:rPr>
        <w:footnoteRef/>
      </w:r>
      <w:r>
        <w:t xml:space="preserve"> </w:t>
      </w:r>
      <w:r w:rsidRPr="00671916">
        <w:t xml:space="preserve">This is not to say that prenuptial agreements should not address DSUE and portability – they should.  See Karibjanian and Law, </w:t>
      </w:r>
      <w:r w:rsidRPr="00671916">
        <w:rPr>
          <w:i/>
          <w:iCs/>
        </w:rPr>
        <w:t>Portability and Prenuptials: A Plethora of Preventative, Progressive and Precautionary Provisions</w:t>
      </w:r>
      <w:r w:rsidRPr="00671916">
        <w:t xml:space="preserve">, 53 Tax Management Memorandum 443 (12/3/12)  </w:t>
      </w:r>
    </w:p>
  </w:footnote>
  <w:footnote w:id="18">
    <w:p w14:paraId="4924A953" w14:textId="77777777" w:rsidR="00D53D4F" w:rsidRDefault="00D53D4F" w:rsidP="001E2E1E">
      <w:pPr>
        <w:pStyle w:val="FootnoteText"/>
        <w:spacing w:after="120"/>
      </w:pPr>
      <w:r>
        <w:rPr>
          <w:rStyle w:val="FootnoteReference"/>
        </w:rPr>
        <w:footnoteRef/>
      </w:r>
      <w:r>
        <w:t xml:space="preserve"> IRC §2010(c)(5); Treas. Temp. Reg. §20.2010-2T(a).</w:t>
      </w:r>
    </w:p>
  </w:footnote>
  <w:footnote w:id="19">
    <w:p w14:paraId="1E80A567" w14:textId="77777777" w:rsidR="00D53D4F" w:rsidRDefault="00D53D4F" w:rsidP="001E2E1E">
      <w:pPr>
        <w:pStyle w:val="FootnoteText"/>
        <w:spacing w:after="120"/>
      </w:pPr>
      <w:r>
        <w:rPr>
          <w:rStyle w:val="FootnoteReference"/>
        </w:rPr>
        <w:footnoteRef/>
      </w:r>
      <w:r>
        <w:t xml:space="preserve"> If there is no executor, those in possession may file, but that may be a mess for many reasons.  IRC §2203.  Co-executors must ALL sign the return and agree to the election or it is not valid (trap!).  Treas. Reg. §20.6018-2</w:t>
      </w:r>
    </w:p>
  </w:footnote>
  <w:footnote w:id="20">
    <w:p w14:paraId="48562880" w14:textId="77777777" w:rsidR="00D53D4F" w:rsidRDefault="00D53D4F" w:rsidP="001E2E1E">
      <w:pPr>
        <w:pStyle w:val="FootnoteText"/>
        <w:spacing w:after="120"/>
      </w:pPr>
      <w:r>
        <w:rPr>
          <w:rStyle w:val="FootnoteReference"/>
        </w:rPr>
        <w:footnoteRef/>
      </w:r>
      <w:r>
        <w:t xml:space="preserve"> The IRS clarified this distinction in regulations at </w:t>
      </w:r>
      <w:r w:rsidRPr="00473B10">
        <w:t>80 FR 34279</w:t>
      </w:r>
      <w:r>
        <w:t>.  See e.g. PLR 2016-52007 and PLR 2016-53016.  By contrast, it will not grant relief where a return was required –see IRS CCA 2016-50017. Most recently, the IRS in Rev. Proc. 2017-34 announced it will simplify the process of granting relief for those instances when a return was not required and</w:t>
      </w:r>
      <w:r w:rsidRPr="00006D9E">
        <w:t xml:space="preserve"> eliminated the requirement that an executor seek a </w:t>
      </w:r>
      <w:r>
        <w:t>PLR</w:t>
      </w:r>
      <w:r w:rsidRPr="00006D9E">
        <w:t xml:space="preserve"> to file a late estate tax return electing portability, if the decedent was a U.S. citizen or resident, and the executor files an estate tax return before the second anniversary of the decedent's death, stating that it is being filed under this new rule. The executor must state at the top of the form that the return is “FILED PURSUANT TO REV. PROC. 2017-34 TO ELECT PORTABILITY UNDER §2010(c)(5)(A).” An executor who fails to file under this procedure within the first two years after the date of death can still request relief by filing a </w:t>
      </w:r>
      <w:r>
        <w:t>PLR</w:t>
      </w:r>
      <w:r w:rsidRPr="00006D9E">
        <w:t xml:space="preserve"> request.</w:t>
      </w:r>
    </w:p>
  </w:footnote>
  <w:footnote w:id="21">
    <w:p w14:paraId="2C5C864D" w14:textId="77777777" w:rsidR="00D53D4F" w:rsidRDefault="00D53D4F" w:rsidP="001E2E1E">
      <w:pPr>
        <w:pStyle w:val="FootnoteText"/>
        <w:spacing w:after="120"/>
      </w:pPr>
      <w:r>
        <w:rPr>
          <w:rStyle w:val="FootnoteReference"/>
        </w:rPr>
        <w:footnoteRef/>
      </w:r>
      <w:r>
        <w:t xml:space="preserve"> </w:t>
      </w:r>
      <w:r w:rsidRPr="006759DB">
        <w:t>Strangely enough, there may be a difference here between a testamentary and living trust.  See 42 U.S.C. § 1396p(d)(6); HCFA Transmittal 64 § 3259.1</w:t>
      </w:r>
      <w:r>
        <w:t>(</w:t>
      </w:r>
      <w:r w:rsidRPr="006759DB">
        <w:t>A</w:t>
      </w:r>
      <w:r>
        <w:t>)(</w:t>
      </w:r>
      <w:r w:rsidRPr="006759DB">
        <w:t>1</w:t>
      </w:r>
      <w:r>
        <w:t>)</w:t>
      </w:r>
    </w:p>
  </w:footnote>
  <w:footnote w:id="22">
    <w:p w14:paraId="7498FC9B" w14:textId="77777777" w:rsidR="00D53D4F" w:rsidRDefault="00D53D4F" w:rsidP="005F5DEA">
      <w:pPr>
        <w:pStyle w:val="FootnoteText"/>
        <w:spacing w:after="120"/>
      </w:pPr>
      <w:r>
        <w:rPr>
          <w:rStyle w:val="FootnoteReference"/>
        </w:rPr>
        <w:footnoteRef/>
      </w:r>
      <w:r>
        <w:t xml:space="preserve"> It appears from new regulations that DSEU has its own serial marriage loophole, though.  If John left assets outright to Jane and she then gifts $5.45 million after John dies, she retains her own $5.45 exclusion, and when Husband #2 dies, she can gift another $5.45 million while retaining her own exclusion, ad infinitum.  </w:t>
      </w:r>
    </w:p>
  </w:footnote>
  <w:footnote w:id="23">
    <w:p w14:paraId="2C1FAED6" w14:textId="77777777" w:rsidR="00D53D4F" w:rsidRDefault="00D53D4F" w:rsidP="005F5DEA">
      <w:pPr>
        <w:pStyle w:val="FootnoteText"/>
        <w:spacing w:after="120"/>
      </w:pPr>
      <w:r>
        <w:rPr>
          <w:rStyle w:val="FootnoteReference"/>
        </w:rPr>
        <w:footnoteRef/>
      </w:r>
      <w:r>
        <w:t xml:space="preserve"> See Treas. Reg. §20.2056(c)-2(e) – had John’s will/trust had an A/B split or QTIPable trust with a simultaneous death clause stating that Jane is deemed to have survived him that would have probably overridden state law defaults and the IRS would respect the marital trust and hence add enough assets to Jane’s estate to use both exemptions (including GST).  State laws differ on this point, but many have passed the </w:t>
      </w:r>
      <w:hyperlink r:id="rId3" w:history="1">
        <w:r w:rsidRPr="00DB2AAE">
          <w:rPr>
            <w:rStyle w:val="Hyperlink"/>
          </w:rPr>
          <w:t>Uniform Simultaneous Death Act</w:t>
        </w:r>
      </w:hyperlink>
      <w:r>
        <w:t xml:space="preserve">, or the Uniform Probate Code or have other statutes, e.g., </w:t>
      </w:r>
      <w:hyperlink r:id="rId4" w:history="1">
        <w:r w:rsidRPr="00DB3774">
          <w:rPr>
            <w:rStyle w:val="Hyperlink"/>
          </w:rPr>
          <w:t xml:space="preserve">NY EPTL </w:t>
        </w:r>
        <w:r w:rsidRPr="00DB3774">
          <w:rPr>
            <w:rStyle w:val="Hyperlink"/>
            <w:rFonts w:ascii="Arial" w:hAnsi="Arial" w:cs="Arial"/>
          </w:rPr>
          <w:t>§</w:t>
        </w:r>
        <w:r w:rsidRPr="00DB3774">
          <w:rPr>
            <w:rStyle w:val="Hyperlink"/>
          </w:rPr>
          <w:t xml:space="preserve"> 2-1.6</w:t>
        </w:r>
      </w:hyperlink>
      <w:r>
        <w:t xml:space="preserve"> that may inform the issue.  When the order of death </w:t>
      </w:r>
      <w:r w:rsidRPr="00C67833">
        <w:rPr>
          <w:i/>
        </w:rPr>
        <w:t>can</w:t>
      </w:r>
      <w:r>
        <w:t xml:space="preserve"> be determined, you cannot simply change the order in the Will/Trust for “surviving spouse” purposes.  See </w:t>
      </w:r>
      <w:r w:rsidRPr="00C31480">
        <w:rPr>
          <w:i/>
        </w:rPr>
        <w:t>Estate of Lee v. Commissioner</w:t>
      </w:r>
      <w:r>
        <w:t xml:space="preserve">, T.C. Memo 2007-371.  If we include a presumption that Jane dies first, will the IRS respect John as a “surviving spouse” for purposes of DSUEA?  </w:t>
      </w:r>
    </w:p>
  </w:footnote>
  <w:footnote w:id="24">
    <w:p w14:paraId="56830A34" w14:textId="77777777" w:rsidR="00D53D4F" w:rsidRDefault="00D53D4F" w:rsidP="005F5DEA">
      <w:pPr>
        <w:pStyle w:val="FootnoteText"/>
        <w:spacing w:after="120"/>
      </w:pPr>
      <w:r>
        <w:rPr>
          <w:rStyle w:val="FootnoteReference"/>
        </w:rPr>
        <w:footnoteRef/>
      </w:r>
      <w:r>
        <w:t xml:space="preserve"> IRC §2207A, see § 2207 for marital GPOA; for an example of state law equivalent, see Ohio R.C. 2113.86(I).</w:t>
      </w:r>
    </w:p>
  </w:footnote>
  <w:footnote w:id="25">
    <w:p w14:paraId="7C2B4B26" w14:textId="77777777" w:rsidR="00D53D4F" w:rsidRDefault="00D53D4F" w:rsidP="009E7215">
      <w:pPr>
        <w:pStyle w:val="FootnoteText"/>
      </w:pPr>
      <w:r>
        <w:rPr>
          <w:rStyle w:val="FootnoteReference"/>
        </w:rPr>
        <w:footnoteRef/>
      </w:r>
      <w:r>
        <w:t xml:space="preserve"> </w:t>
      </w:r>
      <w:r w:rsidRPr="00C12377">
        <w:rPr>
          <w:i/>
        </w:rPr>
        <w:t>Clayton v. Commissioner</w:t>
      </w:r>
      <w:r>
        <w:t>, 976 F.2d 1486 (5</w:t>
      </w:r>
      <w:r w:rsidRPr="00C12377">
        <w:rPr>
          <w:vertAlign w:val="superscript"/>
        </w:rPr>
        <w:t>th</w:t>
      </w:r>
      <w:r>
        <w:t xml:space="preserve"> Cir 1992) – decedent’s Will directed that if a QTIP election was not made for a trust that the assets moved to bypass trust with </w:t>
      </w:r>
      <w:r w:rsidRPr="005A52C9">
        <w:rPr>
          <w:i/>
        </w:rPr>
        <w:t>different dispositive provisions</w:t>
      </w:r>
      <w:r>
        <w:t>.  See also Treas. Reg. §20.2056(b)-7(d)(3) “a qualifying income interest for life that is contingent upon the executor’s election under Section 2056(b)(7)(B)(v) [QTIP] will not fail to be a qualifying income interest for life because of such contingency or because the portion of the property for which the election is not made passes to or for the benefit of persons other than the surviving spouse.”</w:t>
      </w:r>
    </w:p>
  </w:footnote>
  <w:footnote w:id="26">
    <w:p w14:paraId="23EEDDFA" w14:textId="77777777" w:rsidR="00D53D4F" w:rsidRPr="00DA2CAD" w:rsidRDefault="00D53D4F" w:rsidP="005F5DEA">
      <w:pPr>
        <w:tabs>
          <w:tab w:val="num" w:pos="0"/>
        </w:tabs>
        <w:autoSpaceDE w:val="0"/>
        <w:autoSpaceDN w:val="0"/>
        <w:adjustRightInd w:val="0"/>
        <w:spacing w:after="120"/>
        <w:jc w:val="both"/>
        <w:rPr>
          <w:rStyle w:val="FootnoteReference"/>
          <w:color w:val="000000"/>
          <w:sz w:val="20"/>
          <w:vertAlign w:val="baseline"/>
        </w:rPr>
      </w:pPr>
      <w:r w:rsidRPr="00D23BB1">
        <w:rPr>
          <w:rStyle w:val="FootnoteReference"/>
          <w:sz w:val="22"/>
          <w:szCs w:val="22"/>
        </w:rPr>
        <w:footnoteRef/>
      </w:r>
      <w:r w:rsidRPr="00D23BB1">
        <w:rPr>
          <w:sz w:val="22"/>
          <w:szCs w:val="22"/>
        </w:rPr>
        <w:t xml:space="preserve"> </w:t>
      </w:r>
      <w:r w:rsidRPr="000854B0">
        <w:rPr>
          <w:b/>
          <w:bCs/>
          <w:color w:val="000000"/>
          <w:sz w:val="20"/>
          <w:szCs w:val="20"/>
        </w:rPr>
        <w:t>Example</w:t>
      </w:r>
      <w:r w:rsidRPr="000854B0">
        <w:rPr>
          <w:color w:val="000000"/>
          <w:sz w:val="20"/>
          <w:szCs w:val="20"/>
        </w:rPr>
        <w:t xml:space="preserve">: John wishes to leave his $5 million estate to his longtime wife Jane outright (ignoring all the reasons herein for ongoing trusts), but he certainly does not want to lose his exclusion amount, because his wife Jane also has a $5 million estate.  His attorney therefore drafts a savings clause in his Will (or revocable trust) that leaves his available exclusion amount to a bypass trust, </w:t>
      </w:r>
      <w:r w:rsidRPr="000854B0">
        <w:rPr>
          <w:b/>
          <w:color w:val="000000"/>
          <w:sz w:val="20"/>
          <w:szCs w:val="20"/>
        </w:rPr>
        <w:t>but</w:t>
      </w:r>
      <w:r w:rsidRPr="000854B0">
        <w:rPr>
          <w:color w:val="000000"/>
          <w:sz w:val="20"/>
          <w:szCs w:val="20"/>
        </w:rPr>
        <w:t xml:space="preserve"> if a proper estate tax return is timely filed to exploit the DSUEA (and the will/trust provisions may even require this, though this might give up some post-mortem flexibility), the assets instead go outright to his wife to the extent of the election.  Thus, if the executor files the Form 706 timely and successfully “ports” $5 million DSUE, then $5 million goes outright.  If the executor fails to timely file the Form 706 (or opts out), then $5</w:t>
      </w:r>
      <w:r>
        <w:rPr>
          <w:color w:val="000000"/>
          <w:sz w:val="20"/>
          <w:szCs w:val="20"/>
        </w:rPr>
        <w:t xml:space="preserve"> m</w:t>
      </w:r>
      <w:r w:rsidRPr="000854B0">
        <w:rPr>
          <w:color w:val="000000"/>
          <w:sz w:val="20"/>
          <w:szCs w:val="20"/>
        </w:rPr>
        <w:t>illion goes into a liberal bypass trust for Jane.  Either way, the exclusion is saved.</w:t>
      </w:r>
      <w:r>
        <w:rPr>
          <w:rFonts w:ascii="Calibri" w:hAnsi="Calibri" w:cs="Calibri"/>
          <w:color w:val="000000"/>
        </w:rPr>
        <w:t xml:space="preserve">  </w:t>
      </w:r>
      <w:r w:rsidRPr="00D23BB1">
        <w:rPr>
          <w:rStyle w:val="FootnoteReference"/>
          <w:color w:val="000000"/>
          <w:sz w:val="20"/>
          <w:szCs w:val="22"/>
          <w:vertAlign w:val="baseline"/>
        </w:rPr>
        <w:t>An independent executor/trustee may be desired here.  A surviving spouse would have obvious conflicts with his or her fiduciary duties to oth</w:t>
      </w:r>
      <w:r>
        <w:rPr>
          <w:rStyle w:val="FootnoteReference"/>
          <w:color w:val="000000"/>
          <w:sz w:val="20"/>
          <w:szCs w:val="22"/>
          <w:vertAlign w:val="baseline"/>
        </w:rPr>
        <w:t>er beneficiaries b</w:t>
      </w:r>
      <w:r>
        <w:rPr>
          <w:color w:val="000000"/>
          <w:sz w:val="20"/>
          <w:szCs w:val="22"/>
        </w:rPr>
        <w:t>y</w:t>
      </w:r>
      <w:r>
        <w:rPr>
          <w:rStyle w:val="FootnoteReference"/>
          <w:color w:val="000000"/>
          <w:sz w:val="20"/>
          <w:szCs w:val="22"/>
          <w:vertAlign w:val="baseline"/>
        </w:rPr>
        <w:t xml:space="preserve"> filing such an </w:t>
      </w:r>
      <w:r w:rsidRPr="00D23BB1">
        <w:rPr>
          <w:rStyle w:val="FootnoteReference"/>
          <w:color w:val="000000"/>
          <w:sz w:val="20"/>
          <w:szCs w:val="22"/>
          <w:vertAlign w:val="baseline"/>
        </w:rPr>
        <w:t>election and potentially gift tax issues as well</w:t>
      </w:r>
      <w:r>
        <w:rPr>
          <w:color w:val="000000"/>
          <w:sz w:val="20"/>
          <w:szCs w:val="22"/>
        </w:rPr>
        <w:t xml:space="preserve"> (does the spouse give up a mandatory income interest if funds pass to the bypass trust or not?)</w:t>
      </w:r>
      <w:r w:rsidRPr="00D23BB1">
        <w:rPr>
          <w:rStyle w:val="FootnoteReference"/>
          <w:color w:val="000000"/>
          <w:sz w:val="20"/>
          <w:szCs w:val="22"/>
          <w:vertAlign w:val="baseline"/>
        </w:rPr>
        <w:t>, unless the filing w</w:t>
      </w:r>
      <w:r>
        <w:rPr>
          <w:rStyle w:val="FootnoteReference"/>
          <w:color w:val="000000"/>
          <w:sz w:val="20"/>
          <w:szCs w:val="22"/>
          <w:vertAlign w:val="baseline"/>
        </w:rPr>
        <w:t>e</w:t>
      </w:r>
      <w:r>
        <w:rPr>
          <w:color w:val="000000"/>
          <w:sz w:val="20"/>
          <w:szCs w:val="22"/>
        </w:rPr>
        <w:t xml:space="preserve">re </w:t>
      </w:r>
      <w:r w:rsidRPr="00D23BB1">
        <w:rPr>
          <w:rStyle w:val="FootnoteReference"/>
          <w:color w:val="000000"/>
          <w:sz w:val="20"/>
          <w:szCs w:val="22"/>
          <w:vertAlign w:val="baseline"/>
        </w:rPr>
        <w:t>mandated in the document</w:t>
      </w:r>
      <w:r>
        <w:rPr>
          <w:color w:val="000000"/>
          <w:sz w:val="20"/>
          <w:szCs w:val="22"/>
        </w:rPr>
        <w:t xml:space="preserve"> (in this example that would be the best route)</w:t>
      </w:r>
      <w:r w:rsidRPr="00D23BB1">
        <w:rPr>
          <w:rStyle w:val="FootnoteReference"/>
          <w:color w:val="000000"/>
          <w:sz w:val="20"/>
          <w:szCs w:val="22"/>
          <w:vertAlign w:val="baseline"/>
        </w:rPr>
        <w:t xml:space="preserve">.  Even if an independent party is named, it may be best to outline parameters or indemnify the executor from diverse ranges of elections </w:t>
      </w:r>
      <w:r>
        <w:rPr>
          <w:rStyle w:val="FootnoteReference"/>
          <w:color w:val="000000"/>
          <w:sz w:val="20"/>
          <w:szCs w:val="22"/>
          <w:vertAlign w:val="baseline"/>
        </w:rPr>
        <w:t>s</w:t>
      </w:r>
      <w:r>
        <w:rPr>
          <w:color w:val="000000"/>
          <w:sz w:val="20"/>
          <w:szCs w:val="22"/>
        </w:rPr>
        <w:t>elected</w:t>
      </w:r>
      <w:r>
        <w:rPr>
          <w:rStyle w:val="FootnoteReference"/>
          <w:color w:val="000000"/>
          <w:sz w:val="20"/>
          <w:szCs w:val="22"/>
          <w:vertAlign w:val="baseline"/>
        </w:rPr>
        <w:t>.</w:t>
      </w:r>
      <w:r>
        <w:rPr>
          <w:color w:val="000000"/>
          <w:sz w:val="20"/>
          <w:szCs w:val="22"/>
        </w:rPr>
        <w:t xml:space="preserve">  See appendix for a drafting example. </w:t>
      </w:r>
      <w:r w:rsidRPr="00DA2CAD">
        <w:rPr>
          <w:rStyle w:val="FootnoteReference"/>
          <w:color w:val="000000"/>
          <w:sz w:val="20"/>
          <w:szCs w:val="22"/>
          <w:vertAlign w:val="baseline"/>
        </w:rPr>
        <w:t>This technique would be difficult to use for non-p</w:t>
      </w:r>
      <w:r w:rsidRPr="00DA2CAD">
        <w:rPr>
          <w:color w:val="000000"/>
          <w:sz w:val="20"/>
          <w:szCs w:val="22"/>
        </w:rPr>
        <w:t>robate</w:t>
      </w:r>
      <w:r w:rsidRPr="00DA2CAD">
        <w:rPr>
          <w:rStyle w:val="FootnoteReference"/>
          <w:color w:val="000000"/>
          <w:sz w:val="20"/>
          <w:szCs w:val="22"/>
          <w:vertAlign w:val="baseline"/>
        </w:rPr>
        <w:t>, non-trust assets such</w:t>
      </w:r>
      <w:r>
        <w:rPr>
          <w:rStyle w:val="FootnoteReference"/>
          <w:color w:val="000000"/>
          <w:sz w:val="20"/>
          <w:szCs w:val="22"/>
          <w:vertAlign w:val="baseline"/>
        </w:rPr>
        <w:t xml:space="preserve"> as qualified plans, IRAs etc., so it’s hardly a universal planning option.</w:t>
      </w:r>
    </w:p>
  </w:footnote>
  <w:footnote w:id="27">
    <w:p w14:paraId="1DC68C53" w14:textId="77777777" w:rsidR="00D53D4F" w:rsidRDefault="00D53D4F" w:rsidP="005F5DEA">
      <w:pPr>
        <w:pStyle w:val="FootnoteText"/>
        <w:spacing w:after="120"/>
      </w:pPr>
      <w:r>
        <w:rPr>
          <w:rStyle w:val="FootnoteReference"/>
        </w:rPr>
        <w:footnoteRef/>
      </w:r>
      <w:r>
        <w:t xml:space="preserve"> As discussed in the next Part II, page 15, QTIPs elections can be made on a late return, but since DSUEA requires a timely filed Form 706, it is recommended that timely Forms 706 be filed for any substantial estates. </w:t>
      </w:r>
    </w:p>
  </w:footnote>
  <w:footnote w:id="28">
    <w:p w14:paraId="65021116" w14:textId="77777777" w:rsidR="00D53D4F" w:rsidRPr="00DB4A15" w:rsidRDefault="00D53D4F" w:rsidP="005F5DEA">
      <w:pPr>
        <w:pStyle w:val="FootnoteText"/>
        <w:spacing w:after="120"/>
      </w:pPr>
      <w:r>
        <w:rPr>
          <w:rStyle w:val="FootnoteReference"/>
        </w:rPr>
        <w:footnoteRef/>
      </w:r>
      <w:r>
        <w:t xml:space="preserve"> Despite the general common law rule espoused by the Uniform Disclaimer of Property Interest Act (see § 6 and § 13 and commentary), some states do not buy into the “relation back” myth that a disclaimer is not a transfer of a property interest subject to fraudulent transfer laws (</w:t>
      </w:r>
      <w:r>
        <w:rPr>
          <w:lang w:val="en-GB"/>
        </w:rPr>
        <w:t>Ala Code § 43-8-295; Fla. Stat. Ann. § 732.801(6);</w:t>
      </w:r>
      <w:r w:rsidRPr="00557FEF">
        <w:t xml:space="preserve"> §739.402(d)</w:t>
      </w:r>
      <w:r>
        <w:t>;</w:t>
      </w:r>
      <w:r>
        <w:rPr>
          <w:lang w:val="en-GB"/>
        </w:rPr>
        <w:t xml:space="preserve"> Mass. Gen. Laws Ann. 191A § 8; Minn. Stat. Ann. § 525.532(6); N.J. Rev. Stat. Ann. § 3B:9-9; and Wash. Rev. Code Ann. § 11.86.051</w:t>
      </w:r>
      <w:r>
        <w:rPr>
          <w:iCs/>
          <w:color w:val="000000"/>
        </w:rPr>
        <w:t xml:space="preserve">, </w:t>
      </w:r>
      <w:r>
        <w:rPr>
          <w:i/>
          <w:iCs/>
          <w:color w:val="000000"/>
        </w:rPr>
        <w:t xml:space="preserve">In re Kloubec </w:t>
      </w:r>
      <w:r w:rsidRPr="00C221CB">
        <w:rPr>
          <w:iCs/>
          <w:color w:val="000000"/>
        </w:rPr>
        <w:t>247 BR 246</w:t>
      </w:r>
      <w:r>
        <w:rPr>
          <w:iCs/>
          <w:color w:val="000000"/>
        </w:rPr>
        <w:t>, (2000, Bk.</w:t>
      </w:r>
      <w:r w:rsidRPr="00C221CB">
        <w:rPr>
          <w:iCs/>
          <w:color w:val="000000"/>
        </w:rPr>
        <w:t xml:space="preserve"> ND Iowa)</w:t>
      </w:r>
      <w:r>
        <w:rPr>
          <w:iCs/>
          <w:color w:val="000000"/>
        </w:rPr>
        <w:t xml:space="preserve">, </w:t>
      </w:r>
      <w:r>
        <w:rPr>
          <w:i/>
          <w:iCs/>
          <w:color w:val="000000"/>
        </w:rPr>
        <w:t xml:space="preserve">Lowe v Brajkovic </w:t>
      </w:r>
      <w:r>
        <w:rPr>
          <w:iCs/>
          <w:color w:val="000000"/>
        </w:rPr>
        <w:t>(1993, Bk</w:t>
      </w:r>
      <w:r w:rsidRPr="00C221CB">
        <w:rPr>
          <w:iCs/>
          <w:color w:val="000000"/>
        </w:rPr>
        <w:t xml:space="preserve"> WD Tex) 151 BR 402</w:t>
      </w:r>
      <w:r>
        <w:rPr>
          <w:iCs/>
          <w:color w:val="000000"/>
        </w:rPr>
        <w:t xml:space="preserve"> </w:t>
      </w:r>
      <w:r>
        <w:rPr>
          <w:lang w:val="en-GB"/>
        </w:rPr>
        <w:t>(list not shepardized for current status)</w:t>
      </w:r>
      <w:r>
        <w:t>.  Ohio recently legislatively overruled an adverse state Supreme Court decision (</w:t>
      </w:r>
      <w:r w:rsidRPr="00174DB5">
        <w:rPr>
          <w:i/>
        </w:rPr>
        <w:t>Stein v Brown</w:t>
      </w:r>
      <w:r>
        <w:t xml:space="preserve">), with Ohio R.C. §5815.36(N), effective March 2013, to protect debtor/disclaimants. Disclaimers cannot avoid tax liens.  </w:t>
      </w:r>
      <w:r w:rsidRPr="00DB4A15">
        <w:rPr>
          <w:i/>
        </w:rPr>
        <w:t>Drye v. United States</w:t>
      </w:r>
      <w:r w:rsidRPr="00DB4A15">
        <w:t>, 528 U.S. 28 (1999)</w:t>
      </w:r>
      <w:r>
        <w:t>.</w:t>
      </w:r>
    </w:p>
  </w:footnote>
  <w:footnote w:id="29">
    <w:p w14:paraId="1B565708" w14:textId="77777777" w:rsidR="00D53D4F" w:rsidRDefault="00D53D4F" w:rsidP="005F5DEA">
      <w:pPr>
        <w:pStyle w:val="FootnoteText"/>
        <w:spacing w:after="120"/>
      </w:pPr>
      <w:r>
        <w:rPr>
          <w:rStyle w:val="FootnoteReference"/>
        </w:rPr>
        <w:footnoteRef/>
      </w:r>
      <w:r>
        <w:t xml:space="preserve"> Treas. Reg. </w:t>
      </w:r>
      <w:r w:rsidRPr="00346B9F">
        <w:t>§25.2518-2(c)(4)(iii)</w:t>
      </w:r>
      <w:r>
        <w:t>, even though IRC §2040(b) would deem 50% to be in each spouse’s estate.</w:t>
      </w:r>
    </w:p>
  </w:footnote>
  <w:footnote w:id="30">
    <w:p w14:paraId="5A557FCF" w14:textId="666A29F5" w:rsidR="00D53D4F" w:rsidRDefault="00D53D4F" w:rsidP="005F5DEA">
      <w:pPr>
        <w:pStyle w:val="FootnoteText"/>
        <w:spacing w:after="120"/>
      </w:pPr>
      <w:r>
        <w:rPr>
          <w:rStyle w:val="FootnoteReference"/>
        </w:rPr>
        <w:footnoteRef/>
      </w:r>
      <w:r>
        <w:t xml:space="preserve"> If spouse in role as trustee/executor causes his/her mandatory income</w:t>
      </w:r>
      <w:r w:rsidR="00451A9F">
        <w:t xml:space="preserve"> right</w:t>
      </w:r>
      <w:r>
        <w:t xml:space="preserve"> to be removed, there is an argument that this causes a taxable gift (see the </w:t>
      </w:r>
      <w:r w:rsidRPr="001E6DD3">
        <w:rPr>
          <w:i/>
        </w:rPr>
        <w:t>Regester</w:t>
      </w:r>
      <w:r>
        <w:t xml:space="preserve"> case discussed later herein).  If the surviving spouse is deemed a transferor of the bypass or QTIP trust, could this impair asset protection as self-settled trust and estate inclusion?</w:t>
      </w:r>
    </w:p>
  </w:footnote>
  <w:footnote w:id="31">
    <w:p w14:paraId="1D1500FE" w14:textId="77777777" w:rsidR="00D53D4F" w:rsidRPr="00BB271D" w:rsidRDefault="00D53D4F" w:rsidP="005F5DEA">
      <w:pPr>
        <w:pStyle w:val="FootnoteText"/>
        <w:spacing w:after="120"/>
      </w:pPr>
      <w:r>
        <w:rPr>
          <w:rStyle w:val="FootnoteReference"/>
        </w:rPr>
        <w:footnoteRef/>
      </w:r>
      <w:r>
        <w:t xml:space="preserve"> </w:t>
      </w:r>
      <w:hyperlink r:id="rId5" w:history="1">
        <w:r w:rsidRPr="00684F40">
          <w:rPr>
            <w:rStyle w:val="Hyperlink"/>
          </w:rPr>
          <w:t>http://www.finra.org/Investors/ProtectYourself/InvestorAlerts/Bonds/P204318</w:t>
        </w:r>
      </w:hyperlink>
      <w:r>
        <w:t xml:space="preserve"> - 2% or more jumps happened several times within rather short time frames in the late 70s, early 80s.</w:t>
      </w:r>
    </w:p>
  </w:footnote>
  <w:footnote w:id="32">
    <w:p w14:paraId="49D3CD1D" w14:textId="77777777" w:rsidR="00D53D4F" w:rsidRDefault="00D53D4F" w:rsidP="005F5DEA">
      <w:pPr>
        <w:pStyle w:val="FootnoteText"/>
        <w:spacing w:after="120"/>
      </w:pPr>
      <w:r>
        <w:rPr>
          <w:rStyle w:val="FootnoteReference"/>
        </w:rPr>
        <w:footnoteRef/>
      </w:r>
      <w:r>
        <w:t xml:space="preserve"> IRC §1014(b)(6),(9), (10). </w:t>
      </w:r>
    </w:p>
  </w:footnote>
  <w:footnote w:id="33">
    <w:p w14:paraId="5D70BE41" w14:textId="77777777" w:rsidR="00D53D4F" w:rsidRDefault="00D53D4F" w:rsidP="005F5DEA">
      <w:pPr>
        <w:pStyle w:val="FootnoteText"/>
        <w:spacing w:after="120"/>
      </w:pPr>
      <w:r>
        <w:rPr>
          <w:rStyle w:val="FootnoteReference"/>
        </w:rPr>
        <w:footnoteRef/>
      </w:r>
      <w:r>
        <w:t xml:space="preserve"> See Rev. Rul. 68-554; Treas. Reg. §20.2056(c)-2(b)(1), but see unique applications for step up in basis planning discussed in Part V.</w:t>
      </w:r>
    </w:p>
  </w:footnote>
  <w:footnote w:id="34">
    <w:p w14:paraId="493FB2F5" w14:textId="77777777" w:rsidR="00D53D4F" w:rsidRDefault="00D53D4F" w:rsidP="005F5DEA">
      <w:pPr>
        <w:pStyle w:val="FootnoteText"/>
        <w:spacing w:after="120"/>
      </w:pPr>
      <w:r>
        <w:rPr>
          <w:rStyle w:val="FootnoteReference"/>
        </w:rPr>
        <w:footnoteRef/>
      </w:r>
      <w:r>
        <w:t xml:space="preserve"> </w:t>
      </w:r>
      <w:r w:rsidRPr="00B26781">
        <w:t>IRC §2056(b)(5), Treas. Reg. §20.2056(b)(5)(g)</w:t>
      </w:r>
      <w:r>
        <w:t>.</w:t>
      </w:r>
    </w:p>
  </w:footnote>
  <w:footnote w:id="35">
    <w:p w14:paraId="2BC137B3" w14:textId="77777777" w:rsidR="00D53D4F" w:rsidRDefault="00D53D4F" w:rsidP="005F5DEA">
      <w:pPr>
        <w:pStyle w:val="FootnoteText"/>
        <w:spacing w:after="120"/>
      </w:pPr>
      <w:r>
        <w:rPr>
          <w:rStyle w:val="FootnoteReference"/>
        </w:rPr>
        <w:footnoteRef/>
      </w:r>
      <w:r>
        <w:t xml:space="preserve"> At IRC §2056(b)(7) and IRC §2056(b)(5) respectively.</w:t>
      </w:r>
    </w:p>
  </w:footnote>
  <w:footnote w:id="36">
    <w:p w14:paraId="2E828793" w14:textId="77777777" w:rsidR="00D53D4F" w:rsidRDefault="00D53D4F" w:rsidP="005F5DEA">
      <w:pPr>
        <w:pStyle w:val="FootnoteText"/>
        <w:spacing w:after="120"/>
      </w:pPr>
      <w:r>
        <w:rPr>
          <w:rStyle w:val="FootnoteReference"/>
        </w:rPr>
        <w:footnoteRef/>
      </w:r>
      <w:r>
        <w:t xml:space="preserve"> If the GPOA does not bother a client for non-tax reasons, most of the other advantages, like reverse QTIP and optimizing GST, flexible use of previously taxed property credit if deaths are close together in time or valuation discounts, really only apply to larger taxable estates – irrelevant to more than 99% of the population now.</w:t>
      </w:r>
    </w:p>
  </w:footnote>
  <w:footnote w:id="37">
    <w:p w14:paraId="6097D90F" w14:textId="77777777" w:rsidR="00D53D4F" w:rsidRDefault="00D53D4F" w:rsidP="005F5DEA">
      <w:pPr>
        <w:pStyle w:val="FootnoteText"/>
        <w:spacing w:after="120"/>
      </w:pPr>
      <w:r>
        <w:rPr>
          <w:rStyle w:val="FootnoteReference"/>
        </w:rPr>
        <w:footnoteRef/>
      </w:r>
      <w:r>
        <w:t xml:space="preserve"> Under IRC § §1014(b)(9), not IRC §1014(b)(10).  For an example of GPOA marital receiving a new basis on surviving spouse’s death even when the first spouse’s estate is not settled and survivor’s trust not yet funded, </w:t>
      </w:r>
      <w:r w:rsidRPr="00AC1B9F">
        <w:t xml:space="preserve">see </w:t>
      </w:r>
      <w:r w:rsidRPr="00AC1B9F">
        <w:rPr>
          <w:i/>
        </w:rPr>
        <w:t>Connecticut Nat'l Bank v. United States</w:t>
      </w:r>
      <w:r w:rsidRPr="00AC1B9F">
        <w:t>, 937 F.2d 90 (2d Cir. Conn. 1991)</w:t>
      </w:r>
    </w:p>
  </w:footnote>
  <w:footnote w:id="38">
    <w:p w14:paraId="3C6EF94E" w14:textId="77777777" w:rsidR="00D53D4F" w:rsidRPr="00310410" w:rsidRDefault="00D53D4F" w:rsidP="005F5DEA">
      <w:pPr>
        <w:pStyle w:val="FootnoteText"/>
        <w:spacing w:after="120"/>
      </w:pPr>
      <w:r>
        <w:rPr>
          <w:rStyle w:val="FootnoteReference"/>
        </w:rPr>
        <w:footnoteRef/>
      </w:r>
      <w:r>
        <w:t xml:space="preserve"> See, </w:t>
      </w:r>
      <w:r w:rsidRPr="00310410">
        <w:rPr>
          <w:bCs/>
          <w:i/>
          <w:color w:val="000000"/>
        </w:rPr>
        <w:t>The General Power of Appointment Trust is Back</w:t>
      </w:r>
      <w:r>
        <w:rPr>
          <w:bCs/>
          <w:i/>
          <w:color w:val="000000"/>
        </w:rPr>
        <w:t xml:space="preserve">, </w:t>
      </w:r>
      <w:r w:rsidRPr="00310410">
        <w:rPr>
          <w:bCs/>
          <w:color w:val="000000"/>
        </w:rPr>
        <w:t xml:space="preserve">Bruce Steiner, </w:t>
      </w:r>
      <w:r>
        <w:rPr>
          <w:bCs/>
          <w:color w:val="000000"/>
        </w:rPr>
        <w:t xml:space="preserve">LISI </w:t>
      </w:r>
      <w:r w:rsidRPr="00310410">
        <w:t>Estate Planning Newsletter #2060 (February 6, 2013)</w:t>
      </w:r>
      <w:r>
        <w:t xml:space="preserve">. </w:t>
      </w:r>
    </w:p>
  </w:footnote>
  <w:footnote w:id="39">
    <w:p w14:paraId="085EEB8C" w14:textId="77777777" w:rsidR="00D53D4F" w:rsidRPr="001B065A" w:rsidRDefault="00D53D4F" w:rsidP="005F5DEA">
      <w:pPr>
        <w:pStyle w:val="FootnoteText"/>
        <w:spacing w:after="120"/>
      </w:pPr>
      <w:r>
        <w:rPr>
          <w:rStyle w:val="FootnoteReference"/>
        </w:rPr>
        <w:footnoteRef/>
      </w:r>
      <w:r>
        <w:t xml:space="preserve"> See </w:t>
      </w:r>
      <w:r w:rsidRPr="001B065A">
        <w:rPr>
          <w:i/>
        </w:rPr>
        <w:t>Christopher Denicolo, Alan Gassman &amp; Ed Morrow on Revenue Procedure 2016-49: The IRS Finally Puts Planners at Ease on the Validity of "Unnecessary" QTIP Elections</w:t>
      </w:r>
      <w:r>
        <w:rPr>
          <w:i/>
        </w:rPr>
        <w:t xml:space="preserve">, </w:t>
      </w:r>
      <w:r w:rsidRPr="001B065A">
        <w:t>LISI Estate Planning Newsletter #2464 (Oct. 13, 2016)</w:t>
      </w:r>
      <w:r>
        <w:t>.</w:t>
      </w:r>
    </w:p>
  </w:footnote>
  <w:footnote w:id="40">
    <w:p w14:paraId="3C7F14E7" w14:textId="77777777" w:rsidR="00D53D4F" w:rsidRDefault="00D53D4F" w:rsidP="005F5DEA">
      <w:pPr>
        <w:pStyle w:val="FootnoteText"/>
        <w:spacing w:after="120"/>
      </w:pPr>
      <w:r>
        <w:rPr>
          <w:rStyle w:val="FootnoteReference"/>
        </w:rPr>
        <w:footnoteRef/>
      </w:r>
      <w:r>
        <w:t xml:space="preserve"> IRS Rev. Proc. 2001-38, see also PLRs 2009-18014, 2007-29028, 2010-36013, voiding valid QTIP elections.</w:t>
      </w:r>
    </w:p>
  </w:footnote>
  <w:footnote w:id="41">
    <w:p w14:paraId="7251C0D9" w14:textId="77777777" w:rsidR="00D53D4F" w:rsidRDefault="00D53D4F">
      <w:pPr>
        <w:pStyle w:val="FootnoteText"/>
      </w:pPr>
      <w:r>
        <w:rPr>
          <w:rStyle w:val="FootnoteReference"/>
        </w:rPr>
        <w:footnoteRef/>
      </w:r>
      <w:r>
        <w:t xml:space="preserve"> Compare, e.g., IRS Field Service Advice Memo 2001-19013, </w:t>
      </w:r>
      <w:r w:rsidRPr="007D551E">
        <w:rPr>
          <w:i/>
        </w:rPr>
        <w:t>Estate of Aldo H. Fontana v. Comm.</w:t>
      </w:r>
      <w:r>
        <w:t xml:space="preserve">, 118 T.C. 318 (2002)(stock shares in trust with decedent holding testamentary general power of appointment combined with shares held by decedent outright at death for valuation purposes) with </w:t>
      </w:r>
      <w:r w:rsidRPr="00684B6A">
        <w:rPr>
          <w:i/>
        </w:rPr>
        <w:t>Estate of Bonner v. United States</w:t>
      </w:r>
      <w:r w:rsidRPr="00684B6A">
        <w:t>, 84 F.3d 196 (5th Cir. Tex. 1996)</w:t>
      </w:r>
      <w:r>
        <w:t xml:space="preserve">, </w:t>
      </w:r>
      <w:r w:rsidRPr="007D551E">
        <w:rPr>
          <w:i/>
        </w:rPr>
        <w:t>Estate of Ethel S. Nowell v. Comm.</w:t>
      </w:r>
      <w:r>
        <w:t xml:space="preserve">, T.C.M. 1999-15 (1999), </w:t>
      </w:r>
      <w:r w:rsidRPr="007D551E">
        <w:rPr>
          <w:i/>
        </w:rPr>
        <w:t>Estate of Ambrosina Blanche Lopes v. Comm.</w:t>
      </w:r>
      <w:r>
        <w:t xml:space="preserve">, 78 T.C.M. 46 (1999) (non-aggregation for valuation at death, QTIP valued separately), </w:t>
      </w:r>
      <w:r w:rsidRPr="00682EAA">
        <w:rPr>
          <w:i/>
        </w:rPr>
        <w:t>Mellinger v. Comm.</w:t>
      </w:r>
      <w:r>
        <w:t>, 112 T.C. 26 (1999) (QTIP valued separately),</w:t>
      </w:r>
      <w:r w:rsidRPr="00684B6A">
        <w:t xml:space="preserve"> </w:t>
      </w:r>
      <w:r w:rsidRPr="006522FE">
        <w:t>IRS Action on Decision 1999-006</w:t>
      </w:r>
      <w:r>
        <w:t xml:space="preserve">.  Although this paper assumes most 100% owned LLCs would not receive </w:t>
      </w:r>
      <w:r w:rsidRPr="0061702D">
        <w:rPr>
          <w:i/>
        </w:rPr>
        <w:t>any</w:t>
      </w:r>
      <w:r>
        <w:t xml:space="preserve"> discount, this may not always be the case for a variety of reasons, notably the transaction costs to convert to outright form of ownership, potential liability of the entity and lease agreements (with above market long-term leases, the entity could be valued </w:t>
      </w:r>
      <w:r w:rsidRPr="00452792">
        <w:rPr>
          <w:i/>
        </w:rPr>
        <w:t>more than</w:t>
      </w:r>
      <w:r>
        <w:t xml:space="preserve"> the underlying property).  For discounts applied to 100% owned companies see </w:t>
      </w:r>
      <w:r w:rsidRPr="00482E58">
        <w:rPr>
          <w:i/>
        </w:rPr>
        <w:t>Estate of Bennett v. Commissioner</w:t>
      </w:r>
      <w:r w:rsidRPr="00482E58">
        <w:t xml:space="preserve">, </w:t>
      </w:r>
      <w:r>
        <w:t>T.C. Memo 1993-34 (15% discount for lack of marketability</w:t>
      </w:r>
      <w:r w:rsidRPr="00482E58">
        <w:t>)</w:t>
      </w:r>
      <w:r>
        <w:t>, and various other cases cited therein.</w:t>
      </w:r>
    </w:p>
  </w:footnote>
  <w:footnote w:id="42">
    <w:p w14:paraId="45604A5B" w14:textId="77777777" w:rsidR="00D53D4F" w:rsidRDefault="00D53D4F">
      <w:pPr>
        <w:pStyle w:val="FootnoteText"/>
      </w:pPr>
      <w:r>
        <w:rPr>
          <w:rStyle w:val="FootnoteReference"/>
        </w:rPr>
        <w:footnoteRef/>
      </w:r>
      <w:r>
        <w:t xml:space="preserve"> A trust that would otherwise qualify as a QTIP that included a testamentary formula GPOA would not qualify for the marital without a QTIP election because to qualify, the power must be exercisable over the entire amount, alone and “in all events”, immediately after death, not subject to conditions – see Treas. Reg. </w:t>
      </w:r>
      <w:r>
        <w:rPr>
          <w:rFonts w:ascii="Arial" w:hAnsi="Arial" w:cs="Arial"/>
        </w:rPr>
        <w:t>§</w:t>
      </w:r>
      <w:r>
        <w:t>20.2056-5(a)(3), (a)(4) and (g)(1).</w:t>
      </w:r>
    </w:p>
  </w:footnote>
  <w:footnote w:id="43">
    <w:p w14:paraId="1A1152E9" w14:textId="77777777" w:rsidR="00D53D4F" w:rsidRDefault="00D53D4F">
      <w:pPr>
        <w:pStyle w:val="FootnoteText"/>
      </w:pPr>
      <w:r>
        <w:rPr>
          <w:rStyle w:val="FootnoteReference"/>
        </w:rPr>
        <w:footnoteRef/>
      </w:r>
      <w:r>
        <w:t xml:space="preserve"> See separate presentation and material by author.</w:t>
      </w:r>
    </w:p>
  </w:footnote>
  <w:footnote w:id="44">
    <w:p w14:paraId="25A683EC" w14:textId="77777777" w:rsidR="00D53D4F" w:rsidRDefault="00D53D4F" w:rsidP="005F5DEA">
      <w:pPr>
        <w:pStyle w:val="FootnoteText"/>
        <w:spacing w:after="120"/>
      </w:pPr>
      <w:r>
        <w:rPr>
          <w:rStyle w:val="FootnoteReference"/>
        </w:rPr>
        <w:footnoteRef/>
      </w:r>
      <w:r>
        <w:t xml:space="preserve"> Although the general rule is that RMDs are required post-mortem, there is a limited exception and permitted delay for spousal conduit trusts (where the spouse is considered the sole “designated beneficiary”), where the decedent died before his/her required beginning date. </w:t>
      </w:r>
      <w:r w:rsidRPr="00581B16">
        <w:t xml:space="preserve"> IRC §401(a)(9)(B)(iv) </w:t>
      </w:r>
      <w:r>
        <w:t>“</w:t>
      </w:r>
      <w:r w:rsidRPr="00581B16">
        <w:t>Special rule for surviving spouse of employee.— If the designated beneficiary referred to in clause (iii)(I) is the surviving spouse of the employee—(I) the date on which the distributions are required to begin under clause (iii)(III) shall not be earlier than the date on which the employee would have attained age 70</w:t>
      </w:r>
      <w:r>
        <w:t xml:space="preserve"> ½”.  If QTIP is elected, a typical trust will require that the minimum of net income from the IRA and the trust separately must be paid – even when there is NO RMD.</w:t>
      </w:r>
    </w:p>
  </w:footnote>
  <w:footnote w:id="45">
    <w:p w14:paraId="001FAEF5" w14:textId="77777777" w:rsidR="00D53D4F" w:rsidRDefault="00D53D4F" w:rsidP="005F5DEA">
      <w:pPr>
        <w:pStyle w:val="FootnoteText"/>
        <w:spacing w:after="120"/>
      </w:pPr>
      <w:r>
        <w:rPr>
          <w:rStyle w:val="FootnoteReference"/>
        </w:rPr>
        <w:footnoteRef/>
      </w:r>
      <w:r>
        <w:t xml:space="preserve"> IRC §2056(b)(7)(B)(ii).</w:t>
      </w:r>
    </w:p>
  </w:footnote>
  <w:footnote w:id="46">
    <w:p w14:paraId="5A87A5A6" w14:textId="77777777" w:rsidR="00D53D4F" w:rsidRDefault="00D53D4F" w:rsidP="001E2E1E">
      <w:pPr>
        <w:pStyle w:val="FootnoteText"/>
        <w:spacing w:after="120"/>
      </w:pPr>
      <w:r>
        <w:rPr>
          <w:rStyle w:val="FootnoteReference"/>
        </w:rPr>
        <w:footnoteRef/>
      </w:r>
      <w:r>
        <w:t xml:space="preserve"> After the Supreme Court struck down Section 3 of the Defense of Marriage Act (DOMA) recently in </w:t>
      </w:r>
      <w:r w:rsidRPr="0042038E">
        <w:rPr>
          <w:i/>
        </w:rPr>
        <w:t>Windsor</w:t>
      </w:r>
      <w:r>
        <w:t xml:space="preserve"> and the IRS issued</w:t>
      </w:r>
      <w:r w:rsidRPr="0042038E">
        <w:rPr>
          <w:rFonts w:ascii="Key" w:hAnsi="Key"/>
          <w:sz w:val="22"/>
          <w:szCs w:val="22"/>
        </w:rPr>
        <w:t xml:space="preserve"> </w:t>
      </w:r>
      <w:r w:rsidRPr="0042038E">
        <w:t>Rev</w:t>
      </w:r>
      <w:r>
        <w:t>.</w:t>
      </w:r>
      <w:r w:rsidRPr="0042038E">
        <w:t xml:space="preserve"> Rul</w:t>
      </w:r>
      <w:r>
        <w:t>.</w:t>
      </w:r>
      <w:r w:rsidRPr="0042038E">
        <w:t xml:space="preserve"> 2013-17</w:t>
      </w:r>
      <w:r>
        <w:t xml:space="preserve">, same sex couples in a </w:t>
      </w:r>
      <w:r w:rsidRPr="003038B0">
        <w:rPr>
          <w:i/>
        </w:rPr>
        <w:t>legally recognized</w:t>
      </w:r>
      <w:r>
        <w:t xml:space="preserve"> marriage will now get the marital deduction.  However, this does not include registered domestic partners or similar statuses.</w:t>
      </w:r>
    </w:p>
  </w:footnote>
  <w:footnote w:id="47">
    <w:p w14:paraId="20EAB770" w14:textId="77777777" w:rsidR="00D53D4F" w:rsidRDefault="00D53D4F" w:rsidP="001E2E1E">
      <w:pPr>
        <w:pStyle w:val="FootnoteText"/>
        <w:spacing w:after="120"/>
      </w:pPr>
      <w:r>
        <w:rPr>
          <w:rStyle w:val="FootnoteReference"/>
        </w:rPr>
        <w:footnoteRef/>
      </w:r>
      <w:r>
        <w:t xml:space="preserve"> IRC §2207A.  States also have their own variants that affect QTIPs, such as Ohio R.C. §2113.86(I).</w:t>
      </w:r>
    </w:p>
  </w:footnote>
  <w:footnote w:id="48">
    <w:p w14:paraId="678BF54A" w14:textId="77777777" w:rsidR="00D53D4F" w:rsidRDefault="00D53D4F" w:rsidP="001E2E1E">
      <w:pPr>
        <w:pStyle w:val="FootnoteText"/>
        <w:spacing w:after="120"/>
      </w:pPr>
      <w:r>
        <w:rPr>
          <w:rStyle w:val="FootnoteReference"/>
        </w:rPr>
        <w:footnoteRef/>
      </w:r>
      <w:r>
        <w:t xml:space="preserve"> IRC §6018 (filing threshold), §6035 (Form 8971) and Treas. </w:t>
      </w:r>
      <w:r w:rsidRPr="00AF30E1">
        <w:t>Prop. Reg. § 1.1014-10(c)(3)(i)(B)</w:t>
      </w:r>
      <w:r>
        <w:t xml:space="preserve"> “zero basis”.</w:t>
      </w:r>
    </w:p>
  </w:footnote>
  <w:footnote w:id="49">
    <w:p w14:paraId="7F4DFB29" w14:textId="77777777" w:rsidR="00D53D4F" w:rsidRDefault="00D53D4F" w:rsidP="001E2E1E">
      <w:pPr>
        <w:pStyle w:val="FootnoteText"/>
        <w:spacing w:after="120"/>
      </w:pPr>
      <w:r>
        <w:rPr>
          <w:rStyle w:val="FootnoteReference"/>
        </w:rPr>
        <w:footnoteRef/>
      </w:r>
      <w:r>
        <w:t xml:space="preserve"> This is known as a collateral power, See </w:t>
      </w:r>
      <w:r w:rsidRPr="005D2EA5">
        <w:rPr>
          <w:i/>
        </w:rPr>
        <w:t>Restatement Property, Third, Donative Transfers</w:t>
      </w:r>
      <w:r>
        <w:t>, §17.3, comment f.</w:t>
      </w:r>
    </w:p>
  </w:footnote>
  <w:footnote w:id="50">
    <w:p w14:paraId="6DA94795" w14:textId="77777777" w:rsidR="00D53D4F" w:rsidRPr="004010AD" w:rsidRDefault="00D53D4F" w:rsidP="001E2E1E">
      <w:pPr>
        <w:spacing w:after="120"/>
        <w:rPr>
          <w:sz w:val="20"/>
          <w:szCs w:val="20"/>
        </w:rPr>
      </w:pPr>
      <w:r w:rsidRPr="001867BB">
        <w:rPr>
          <w:rStyle w:val="FootnoteReference"/>
          <w:sz w:val="20"/>
          <w:szCs w:val="20"/>
        </w:rPr>
        <w:footnoteRef/>
      </w:r>
      <w:r>
        <w:rPr>
          <w:sz w:val="20"/>
          <w:szCs w:val="20"/>
        </w:rPr>
        <w:t xml:space="preserve"> IRC §2041(a)(3), IRC §2514(d).  While it’s very simple to add a LPOA that would in theory permit this, understanding the DTT involves considerable complexity.  Michigan and Ohio have recently amended their Rule Against Perpetuities to specifically prevent most unintentional triggerings of the “trap”, but clearly permit intentional triggerings by appointing to a trust that has a presently exercisable </w:t>
      </w:r>
      <w:r w:rsidRPr="004010AD">
        <w:rPr>
          <w:i/>
          <w:sz w:val="20"/>
          <w:szCs w:val="20"/>
        </w:rPr>
        <w:t>general</w:t>
      </w:r>
      <w:r>
        <w:rPr>
          <w:sz w:val="20"/>
          <w:szCs w:val="20"/>
        </w:rPr>
        <w:t xml:space="preserve"> power of appointment and therefore triggering IRC §2041(a)(3).  See Ohio R.C. §2131.09, and a comprehensive article on the subject from Attorney James Spica regarding Michigan’s RAP at </w:t>
      </w:r>
      <w:r w:rsidRPr="004010AD">
        <w:rPr>
          <w:sz w:val="20"/>
          <w:szCs w:val="20"/>
        </w:rPr>
        <w:t>http://www.michbar.org/probate/pdfs/Summer08.pdf</w:t>
      </w:r>
      <w:r>
        <w:rPr>
          <w:sz w:val="20"/>
          <w:szCs w:val="20"/>
        </w:rPr>
        <w:t>.</w:t>
      </w:r>
    </w:p>
  </w:footnote>
  <w:footnote w:id="51">
    <w:p w14:paraId="122C0A5B" w14:textId="77777777" w:rsidR="00D53D4F" w:rsidRPr="000366A1" w:rsidRDefault="00D53D4F" w:rsidP="001E2E1E">
      <w:pPr>
        <w:pStyle w:val="FootnoteText"/>
        <w:spacing w:after="120"/>
      </w:pPr>
      <w:r>
        <w:rPr>
          <w:rStyle w:val="FootnoteReference"/>
        </w:rPr>
        <w:footnoteRef/>
      </w:r>
      <w:r>
        <w:t xml:space="preserve"> A rather clever variation that the IRS fought, lost and finally acquiesced to in </w:t>
      </w:r>
      <w:r w:rsidRPr="00701CA9">
        <w:rPr>
          <w:bCs/>
          <w:i/>
          <w:color w:val="333333"/>
        </w:rPr>
        <w:t>Chisholm v. Commissioner</w:t>
      </w:r>
      <w:r w:rsidRPr="00701CA9">
        <w:rPr>
          <w:bCs/>
          <w:color w:val="333333"/>
        </w:rPr>
        <w:t xml:space="preserve">, </w:t>
      </w:r>
      <w:r w:rsidRPr="000366A1">
        <w:rPr>
          <w:bCs/>
        </w:rPr>
        <w:t>26 T.C. 253 (1956), but beware Restatement of Property, Second, Donative Transfers §13.1(c), which would deem any LPOA to be a GPOA if the gift in default of exercise were to pass to the powerholder’s estate.</w:t>
      </w:r>
    </w:p>
  </w:footnote>
  <w:footnote w:id="52">
    <w:p w14:paraId="3E95F5D6" w14:textId="2B1A9AE6" w:rsidR="00D53D4F" w:rsidRDefault="00D53D4F" w:rsidP="001E2E1E">
      <w:pPr>
        <w:pStyle w:val="FootnoteText"/>
        <w:spacing w:after="120"/>
      </w:pPr>
      <w:r>
        <w:rPr>
          <w:rStyle w:val="FootnoteReference"/>
        </w:rPr>
        <w:footnoteRef/>
      </w:r>
      <w:r>
        <w:t xml:space="preserve"> E.g.</w:t>
      </w:r>
      <w:r w:rsidR="0083478F">
        <w:t>,</w:t>
      </w:r>
      <w:r>
        <w:t xml:space="preserve"> in </w:t>
      </w:r>
      <w:r w:rsidRPr="002311EC">
        <w:rPr>
          <w:bCs/>
          <w:i/>
        </w:rPr>
        <w:t xml:space="preserve">McCombs v. United States, </w:t>
      </w:r>
      <w:r w:rsidRPr="002311EC">
        <w:rPr>
          <w:bCs/>
        </w:rPr>
        <w:t>248 F. Supp. 568</w:t>
      </w:r>
      <w:r>
        <w:rPr>
          <w:bCs/>
        </w:rPr>
        <w:t xml:space="preserve"> (W.D. Ky 1965), widow/children tried to argue that widow had a GPOA to qualify for marital estate tax deduction, and even went to state court and distributed the entire trust to the widow outright.  Despite the state court decree, the fed</w:t>
      </w:r>
      <w:r w:rsidR="00735D65">
        <w:rPr>
          <w:bCs/>
        </w:rPr>
        <w:t>eral</w:t>
      </w:r>
      <w:r>
        <w:rPr>
          <w:bCs/>
        </w:rPr>
        <w:t xml:space="preserve"> court denied the marital deduction, because the trust did not authorize her to receive </w:t>
      </w:r>
      <w:r w:rsidR="00236DBE">
        <w:rPr>
          <w:bCs/>
        </w:rPr>
        <w:t xml:space="preserve">funds </w:t>
      </w:r>
      <w:r>
        <w:rPr>
          <w:bCs/>
        </w:rPr>
        <w:t xml:space="preserve">outright or </w:t>
      </w:r>
      <w:r w:rsidR="00236DBE">
        <w:rPr>
          <w:bCs/>
        </w:rPr>
        <w:t xml:space="preserve">grant a </w:t>
      </w:r>
      <w:r>
        <w:rPr>
          <w:bCs/>
        </w:rPr>
        <w:t>GPOA</w:t>
      </w:r>
      <w:r w:rsidR="009949EB">
        <w:rPr>
          <w:bCs/>
        </w:rPr>
        <w:t>.</w:t>
      </w:r>
      <w:r>
        <w:rPr>
          <w:bCs/>
        </w:rPr>
        <w:t xml:space="preserve"> </w:t>
      </w:r>
      <w:r w:rsidR="009949EB">
        <w:rPr>
          <w:bCs/>
        </w:rPr>
        <w:t>C</w:t>
      </w:r>
      <w:r>
        <w:rPr>
          <w:bCs/>
        </w:rPr>
        <w:t xml:space="preserve">ould the IRS use a similar argument re income tax?  I think so, unless state law to terminate the trust is closely followed.  See also </w:t>
      </w:r>
      <w:r w:rsidRPr="00E14726">
        <w:rPr>
          <w:bCs/>
          <w:i/>
        </w:rPr>
        <w:t>Stansbury v. U.S.</w:t>
      </w:r>
      <w:r>
        <w:rPr>
          <w:bCs/>
        </w:rPr>
        <w:t>, 543 F. Supp. 154 (N.D. Ill. 1982) – funds held in constructive trust for another held not to be in a decedent’s estate.</w:t>
      </w:r>
    </w:p>
  </w:footnote>
  <w:footnote w:id="53">
    <w:p w14:paraId="648564B5" w14:textId="1E1B6BEF" w:rsidR="001A3642" w:rsidRDefault="001A3642">
      <w:pPr>
        <w:pStyle w:val="FootnoteText"/>
      </w:pPr>
      <w:r>
        <w:rPr>
          <w:rStyle w:val="FootnoteReference"/>
        </w:rPr>
        <w:footnoteRef/>
      </w:r>
      <w:r>
        <w:t xml:space="preserve"> See </w:t>
      </w:r>
      <w:r w:rsidR="00940F96">
        <w:t>PLRs</w:t>
      </w:r>
      <w:r w:rsidR="00E00FB3">
        <w:t xml:space="preserve"> 2019</w:t>
      </w:r>
      <w:r w:rsidR="002F0650">
        <w:t>-32001</w:t>
      </w:r>
      <w:r w:rsidR="004F031C">
        <w:t xml:space="preserve"> through 32010</w:t>
      </w:r>
      <w:r w:rsidR="00331260">
        <w:t>, CCA 202118008</w:t>
      </w:r>
      <w:r w:rsidR="004F031C">
        <w:t xml:space="preserve">.  See also </w:t>
      </w:r>
      <w:hyperlink r:id="rId6" w:history="1">
        <w:r w:rsidR="004F031C" w:rsidRPr="004F031C">
          <w:rPr>
            <w:rStyle w:val="Hyperlink"/>
            <w:i/>
            <w:iCs/>
          </w:rPr>
          <w:t>Ed Morrow on Potential Income Tax Disasters for Early Trust Terminations</w:t>
        </w:r>
      </w:hyperlink>
      <w:r w:rsidR="00405FF0">
        <w:rPr>
          <w:i/>
          <w:iCs/>
        </w:rPr>
        <w:t xml:space="preserve">, </w:t>
      </w:r>
      <w:r w:rsidR="00405FF0" w:rsidRPr="00405FF0">
        <w:t>LISI Estate Planning Newsletter #2753 (October 9, 2019)</w:t>
      </w:r>
      <w:r w:rsidR="00405FF0">
        <w:rPr>
          <w:i/>
          <w:iCs/>
        </w:rPr>
        <w:t>.</w:t>
      </w:r>
    </w:p>
  </w:footnote>
  <w:footnote w:id="54">
    <w:p w14:paraId="1A04F61A" w14:textId="77777777" w:rsidR="00D53D4F" w:rsidRPr="000E0858" w:rsidRDefault="00D53D4F" w:rsidP="001E2E1E">
      <w:pPr>
        <w:pStyle w:val="FootnoteText"/>
        <w:spacing w:after="120"/>
      </w:pPr>
      <w:r>
        <w:rPr>
          <w:rStyle w:val="FootnoteReference"/>
        </w:rPr>
        <w:footnoteRef/>
      </w:r>
      <w:r>
        <w:t xml:space="preserve"> See </w:t>
      </w:r>
      <w:r w:rsidRPr="005D2EA5">
        <w:rPr>
          <w:i/>
        </w:rPr>
        <w:t xml:space="preserve">Restatement of Property, </w:t>
      </w:r>
      <w:r>
        <w:rPr>
          <w:i/>
        </w:rPr>
        <w:t xml:space="preserve">Second, </w:t>
      </w:r>
      <w:r w:rsidRPr="005D2EA5">
        <w:rPr>
          <w:i/>
        </w:rPr>
        <w:t>Donative Transfers</w:t>
      </w:r>
      <w:r>
        <w:t xml:space="preserve">, §13.2 </w:t>
      </w:r>
      <w:r w:rsidRPr="00C54D1C">
        <w:rPr>
          <w:i/>
        </w:rPr>
        <w:t>Creditors of the Donee</w:t>
      </w:r>
      <w:r w:rsidRPr="00C54D1C">
        <w:rPr>
          <w:i/>
          <w:color w:val="000000"/>
        </w:rPr>
        <w:t xml:space="preserve"> - Unexercised General Power Not Created by Donee</w:t>
      </w:r>
      <w:r>
        <w:rPr>
          <w:i/>
          <w:color w:val="000000"/>
        </w:rPr>
        <w:t xml:space="preserve">.  </w:t>
      </w:r>
      <w:r>
        <w:rPr>
          <w:color w:val="000000"/>
        </w:rPr>
        <w:t>If creditor protection is a potential threat, and state law is unfavorable, consider the LPOA/DTT variant (assuming of course, state law easily allows triggering the trap).</w:t>
      </w:r>
    </w:p>
  </w:footnote>
  <w:footnote w:id="55">
    <w:p w14:paraId="4B61F160" w14:textId="17B988F1" w:rsidR="00D53D4F" w:rsidRDefault="00D53D4F" w:rsidP="001E2E1E">
      <w:pPr>
        <w:pStyle w:val="FootnoteText"/>
        <w:spacing w:after="120"/>
      </w:pPr>
      <w:r>
        <w:rPr>
          <w:rStyle w:val="FootnoteReference"/>
        </w:rPr>
        <w:footnoteRef/>
      </w:r>
      <w:r>
        <w:t xml:space="preserve"> E.g.</w:t>
      </w:r>
      <w:r w:rsidR="006236EB">
        <w:t>,</w:t>
      </w:r>
      <w:r>
        <w:t xml:space="preserve"> Ohio, h</w:t>
      </w:r>
      <w:r w:rsidRPr="004875D9">
        <w:t>ttp://www.actec.org/public/Documents/Studies/Bart_State_Decanting_Statutes_11_18_13.pdf</w:t>
      </w:r>
      <w:r>
        <w:t>.</w:t>
      </w:r>
    </w:p>
  </w:footnote>
  <w:footnote w:id="56">
    <w:p w14:paraId="0775D6FB" w14:textId="77777777" w:rsidR="00D53D4F" w:rsidRDefault="00D53D4F" w:rsidP="001E2E1E">
      <w:pPr>
        <w:pStyle w:val="FootnoteText"/>
        <w:spacing w:after="120"/>
      </w:pPr>
      <w:r>
        <w:rPr>
          <w:rStyle w:val="FootnoteReference"/>
        </w:rPr>
        <w:footnoteRef/>
      </w:r>
      <w:r>
        <w:t xml:space="preserve"> </w:t>
      </w:r>
      <w:r w:rsidRPr="00505269">
        <w:rPr>
          <w:i/>
        </w:rPr>
        <w:t>Identifying and Respecting the Core Elements of a Modern Trust</w:t>
      </w:r>
      <w:r>
        <w:t>, comments by Ronald Aucutt,</w:t>
      </w:r>
      <w:r w:rsidRPr="00505269">
        <w:t xml:space="preserve"> 48</w:t>
      </w:r>
      <w:r w:rsidRPr="00505269">
        <w:rPr>
          <w:vertAlign w:val="superscript"/>
        </w:rPr>
        <w:t>th</w:t>
      </w:r>
      <w:r w:rsidRPr="00505269">
        <w:t xml:space="preserve"> Annual Heckerling Institute on Estate Planning ¶1305.1[B]</w:t>
      </w:r>
      <w:r>
        <w:t>.</w:t>
      </w:r>
    </w:p>
  </w:footnote>
  <w:footnote w:id="57">
    <w:p w14:paraId="4EC50C43" w14:textId="77777777" w:rsidR="00D53D4F" w:rsidRDefault="00D53D4F" w:rsidP="001E2E1E">
      <w:pPr>
        <w:pStyle w:val="FootnoteText"/>
        <w:spacing w:after="120"/>
      </w:pPr>
      <w:r>
        <w:rPr>
          <w:rStyle w:val="FootnoteReference"/>
        </w:rPr>
        <w:footnoteRef/>
      </w:r>
      <w:r>
        <w:t xml:space="preserve"> IRC §2041</w:t>
      </w:r>
      <w:r w:rsidRPr="00DC0458">
        <w:t>(b)(1)(C)(ii)</w:t>
      </w:r>
      <w:r>
        <w:t>.</w:t>
      </w:r>
    </w:p>
  </w:footnote>
  <w:footnote w:id="58">
    <w:p w14:paraId="78743F34" w14:textId="77777777" w:rsidR="00D53D4F" w:rsidRDefault="00D53D4F" w:rsidP="00F64D1C">
      <w:pPr>
        <w:pStyle w:val="FootnoteText"/>
        <w:spacing w:after="120"/>
      </w:pPr>
      <w:r>
        <w:rPr>
          <w:rStyle w:val="FootnoteReference"/>
        </w:rPr>
        <w:footnoteRef/>
      </w:r>
      <w:r>
        <w:t xml:space="preserve"> Treas. Reg. §20.2056(b)-7(b)(4)(i).  Be careful using this for state estate tax planning, some states (formerly, this was the case in Ohio) may not follow federal law to allow a late filing for a state-equivalent QTIP.</w:t>
      </w:r>
    </w:p>
  </w:footnote>
  <w:footnote w:id="59">
    <w:p w14:paraId="1EA99811" w14:textId="77777777" w:rsidR="00D53D4F" w:rsidRDefault="00D53D4F" w:rsidP="00F64D1C">
      <w:pPr>
        <w:pStyle w:val="FootnoteText"/>
        <w:spacing w:after="120"/>
      </w:pPr>
      <w:r>
        <w:rPr>
          <w:rStyle w:val="FootnoteReference"/>
        </w:rPr>
        <w:footnoteRef/>
      </w:r>
      <w:r>
        <w:t xml:space="preserve"> Treas. Reg. §20.2056(b)-7(b)(3).</w:t>
      </w:r>
    </w:p>
  </w:footnote>
  <w:footnote w:id="60">
    <w:p w14:paraId="6B3B867C" w14:textId="77777777" w:rsidR="00D53D4F" w:rsidRDefault="00D53D4F">
      <w:pPr>
        <w:pStyle w:val="FootnoteText"/>
      </w:pPr>
      <w:r>
        <w:rPr>
          <w:rStyle w:val="FootnoteReference"/>
        </w:rPr>
        <w:footnoteRef/>
      </w:r>
      <w:r>
        <w:t xml:space="preserve"> Treas. Reg. §20.2056(b)-7(b)(2).</w:t>
      </w:r>
    </w:p>
  </w:footnote>
  <w:footnote w:id="61">
    <w:p w14:paraId="65A339BB" w14:textId="77777777" w:rsidR="00D53D4F" w:rsidRDefault="00D53D4F" w:rsidP="00C63DF8">
      <w:pPr>
        <w:pStyle w:val="FootnoteText"/>
        <w:spacing w:after="120"/>
      </w:pPr>
      <w:r>
        <w:rPr>
          <w:rStyle w:val="FootnoteReference"/>
        </w:rPr>
        <w:footnoteRef/>
      </w:r>
      <w:r>
        <w:t xml:space="preserve"> In many cases, an IRA would not be used to fund a bypass trust, since a spousal rollover has better income tax treatment, but it may be preferable when needed to soak up </w:t>
      </w:r>
      <w:r w:rsidRPr="00C63DF8">
        <w:rPr>
          <w:i/>
        </w:rPr>
        <w:t>state</w:t>
      </w:r>
      <w:r>
        <w:t xml:space="preserve"> estate tax exemption, or for various non-tax reasons.  This is mostly included to show the lack of effect on basis on IRD at death.  If an accumulation trust (as opposed to conduit trust) design is used, consider a separate or standalone trust so that no broad power to appoint can be construed to apply to the retirement benefits.  Blanket savings clauses may not save the stretch, especially since most POAs by default can include non-qualifying trusts as potential appointees.  See </w:t>
      </w:r>
      <w:r w:rsidRPr="005D2EA5">
        <w:rPr>
          <w:i/>
        </w:rPr>
        <w:t>Restatement of Property, Third, Donative Transfers</w:t>
      </w:r>
      <w:r>
        <w:t xml:space="preserve"> §19.14, other IRA CLE and checklist materials developed by author and ¶6.3.09, </w:t>
      </w:r>
      <w:r w:rsidRPr="0041288B">
        <w:rPr>
          <w:i/>
        </w:rPr>
        <w:t>Life and Death Planning for Retirement Benefits</w:t>
      </w:r>
      <w:r>
        <w:t>, 6</w:t>
      </w:r>
      <w:r w:rsidRPr="0041288B">
        <w:rPr>
          <w:vertAlign w:val="superscript"/>
        </w:rPr>
        <w:t>th</w:t>
      </w:r>
      <w:r>
        <w:t xml:space="preserve"> Edition, by Natalie Choate.</w:t>
      </w:r>
    </w:p>
  </w:footnote>
  <w:footnote w:id="62">
    <w:p w14:paraId="41EAB059" w14:textId="77777777" w:rsidR="00D53D4F" w:rsidRDefault="00D53D4F">
      <w:pPr>
        <w:pStyle w:val="FootnoteText"/>
      </w:pPr>
      <w:r>
        <w:rPr>
          <w:rStyle w:val="FootnoteReference"/>
        </w:rPr>
        <w:footnoteRef/>
      </w:r>
      <w:r>
        <w:t xml:space="preserve"> If real estate is held in an LLC/LP or other entity taxed as a partnership, the underlying assets do not automatically get a date of death basis even if the LLC/LP is in the decedent’s estate, but the partnership may make an election under IRC §754 to step up inside basis.  Treas. Reg. §1.754-1.  Advisors to the 99% should consider </w:t>
      </w:r>
      <w:r w:rsidRPr="0054552E">
        <w:rPr>
          <w:i/>
        </w:rPr>
        <w:t>REDUCING</w:t>
      </w:r>
      <w:r>
        <w:t xml:space="preserve"> discounts to FLPs/LLCs by amending operating agreements (adding put/termination rights, etc.), despite articles stating essentially “you can just reduce the discount you take”, which is </w:t>
      </w:r>
      <w:r w:rsidRPr="00A42317">
        <w:rPr>
          <w:i/>
        </w:rPr>
        <w:t>absolute nonsense</w:t>
      </w:r>
      <w:r>
        <w:t>.</w:t>
      </w:r>
    </w:p>
  </w:footnote>
  <w:footnote w:id="63">
    <w:p w14:paraId="637C1202" w14:textId="77777777" w:rsidR="00D53D4F" w:rsidRDefault="00D53D4F" w:rsidP="00C63DF8">
      <w:pPr>
        <w:pStyle w:val="FootnoteText"/>
        <w:spacing w:before="120"/>
      </w:pPr>
      <w:r>
        <w:rPr>
          <w:rStyle w:val="FootnoteReference"/>
        </w:rPr>
        <w:footnoteRef/>
      </w:r>
      <w:r>
        <w:t xml:space="preserve"> Potentially, the QTIP may be worse than an outright marital transfer if there is no estate tax, since you may have discounting if, for instance, a QTIP owns half the home and the surviving spouse owns half – this would result in less basis for remaindermen than if the surviving spouse had owned the whole.</w:t>
      </w:r>
    </w:p>
  </w:footnote>
  <w:footnote w:id="64">
    <w:p w14:paraId="29CBC21A" w14:textId="77777777" w:rsidR="00D53D4F" w:rsidRPr="00B161BA" w:rsidRDefault="00D53D4F" w:rsidP="00C63DF8">
      <w:pPr>
        <w:pStyle w:val="FootnoteText"/>
        <w:spacing w:after="120"/>
      </w:pPr>
      <w:r>
        <w:rPr>
          <w:rStyle w:val="FootnoteReference"/>
        </w:rPr>
        <w:footnoteRef/>
      </w:r>
      <w:r>
        <w:t xml:space="preserve"> Treas. Reg. §20.2041-1(b)(3) states </w:t>
      </w:r>
      <w:r w:rsidRPr="00B161BA">
        <w:t xml:space="preserve">that “(3) Powers over a portion of property. If a power of appointment exists as to part of an entire group of assets or only over a limited interest in property, section 2041 applies only to such part or interest.”  There are probably dozens of cases and rulings about limiting powers and funding trusts with “caps” - a few in the </w:t>
      </w:r>
      <w:r>
        <w:t xml:space="preserve">formula </w:t>
      </w:r>
      <w:r w:rsidRPr="00B161BA">
        <w:t>GPOA context are PLR 2001-23045, 2000-101021, 2002-10051, 2004-03094, 2006-04028</w:t>
      </w:r>
      <w:r>
        <w:t xml:space="preserve"> (discussed in Part V), PLRs 9110054 and</w:t>
      </w:r>
      <w:r w:rsidRPr="003438F9">
        <w:t xml:space="preserve"> 9527024</w:t>
      </w:r>
      <w:r>
        <w:t xml:space="preserve"> (discussed extensively later in this Part).  If a decedent dies with an unexercised 5/5 power, it’s clear that 5% is included in estate, and 5% is stepped up or down pro rata accordingly.   </w:t>
      </w:r>
      <w:r w:rsidRPr="00F55D9F">
        <w:rPr>
          <w:i/>
        </w:rPr>
        <w:t>Prokopov v. Commissioner</w:t>
      </w:r>
      <w:r>
        <w:t>,</w:t>
      </w:r>
      <w:r w:rsidRPr="00F55D9F">
        <w:t xml:space="preserve"> 166 F3d 1201</w:t>
      </w:r>
      <w:r>
        <w:t xml:space="preserve"> (2</w:t>
      </w:r>
      <w:r w:rsidRPr="00F55D9F">
        <w:rPr>
          <w:vertAlign w:val="superscript"/>
        </w:rPr>
        <w:t>nd</w:t>
      </w:r>
      <w:r>
        <w:t xml:space="preserve"> Cir. 1998).</w:t>
      </w:r>
    </w:p>
  </w:footnote>
  <w:footnote w:id="65">
    <w:p w14:paraId="08E21E17" w14:textId="77777777" w:rsidR="00D53D4F" w:rsidRPr="003556E3" w:rsidRDefault="00D53D4F" w:rsidP="00BC5F3D">
      <w:pPr>
        <w:rPr>
          <w:sz w:val="20"/>
          <w:szCs w:val="20"/>
        </w:rPr>
      </w:pPr>
      <w:r w:rsidRPr="003556E3">
        <w:rPr>
          <w:rStyle w:val="FootnoteReference"/>
          <w:sz w:val="20"/>
          <w:szCs w:val="20"/>
        </w:rPr>
        <w:footnoteRef/>
      </w:r>
      <w:r w:rsidRPr="003556E3">
        <w:rPr>
          <w:sz w:val="20"/>
          <w:szCs w:val="20"/>
          <w:lang w:val="en"/>
        </w:rPr>
        <w:t xml:space="preserve"> Formulas tied to tax exemption have always been used for AB/GST funding, and formula gifts designed for specific tax results have had recent success in the </w:t>
      </w:r>
      <w:r w:rsidRPr="003556E3">
        <w:rPr>
          <w:i/>
          <w:sz w:val="20"/>
          <w:szCs w:val="20"/>
          <w:lang w:val="en"/>
        </w:rPr>
        <w:t>Wandry</w:t>
      </w:r>
      <w:r w:rsidRPr="003556E3">
        <w:rPr>
          <w:sz w:val="20"/>
          <w:szCs w:val="20"/>
          <w:lang w:val="en"/>
        </w:rPr>
        <w:t xml:space="preserve">, </w:t>
      </w:r>
      <w:r w:rsidRPr="003556E3">
        <w:rPr>
          <w:i/>
          <w:sz w:val="20"/>
          <w:szCs w:val="20"/>
          <w:lang w:val="en"/>
        </w:rPr>
        <w:t>Petter</w:t>
      </w:r>
      <w:r w:rsidRPr="003556E3">
        <w:rPr>
          <w:sz w:val="20"/>
          <w:szCs w:val="20"/>
          <w:lang w:val="en"/>
        </w:rPr>
        <w:t xml:space="preserve"> and </w:t>
      </w:r>
      <w:r w:rsidRPr="003556E3">
        <w:rPr>
          <w:i/>
          <w:sz w:val="20"/>
          <w:szCs w:val="20"/>
          <w:lang w:val="en"/>
        </w:rPr>
        <w:t>Christiansen</w:t>
      </w:r>
      <w:r w:rsidRPr="003556E3">
        <w:rPr>
          <w:sz w:val="20"/>
          <w:szCs w:val="20"/>
          <w:lang w:val="en"/>
        </w:rPr>
        <w:t xml:space="preserve"> line of cases, but there are good examples even in Treasury guidance.  See Treas. Reg. </w:t>
      </w:r>
      <w:r>
        <w:rPr>
          <w:sz w:val="20"/>
          <w:szCs w:val="20"/>
          <w:lang w:val="en"/>
        </w:rPr>
        <w:t>§</w:t>
      </w:r>
      <w:r w:rsidRPr="003556E3">
        <w:rPr>
          <w:sz w:val="20"/>
          <w:szCs w:val="20"/>
          <w:lang w:val="en"/>
        </w:rPr>
        <w:t xml:space="preserve">25.2518-3(d), Example (20) in the area of qualified disclaimers: “A bequeathed his residuary estate to B. B disclaims a fractional share of the residuary estate. Any disclaimed property will pass to A's surviving spouse, W. </w:t>
      </w:r>
      <w:r w:rsidRPr="003556E3">
        <w:rPr>
          <w:b/>
          <w:sz w:val="20"/>
          <w:szCs w:val="20"/>
          <w:lang w:val="en"/>
        </w:rPr>
        <w:t>The numerator of the fraction disclaimed is the smallest amount which will allow A's estate to pass free of Federal estate tax and the denominator is the value of the residuary estate.</w:t>
      </w:r>
      <w:r w:rsidRPr="003556E3">
        <w:rPr>
          <w:sz w:val="20"/>
          <w:szCs w:val="20"/>
          <w:lang w:val="en"/>
        </w:rPr>
        <w:t xml:space="preserve"> B's disclaimer is a qualified disclaimer.”  An </w:t>
      </w:r>
      <w:r w:rsidRPr="00186420">
        <w:rPr>
          <w:i/>
          <w:sz w:val="20"/>
          <w:szCs w:val="20"/>
          <w:lang w:val="en"/>
        </w:rPr>
        <w:t>OBIT</w:t>
      </w:r>
      <w:r w:rsidRPr="003556E3">
        <w:rPr>
          <w:sz w:val="20"/>
          <w:szCs w:val="20"/>
          <w:lang w:val="en"/>
        </w:rPr>
        <w:t xml:space="preserve"> formula is the same concept ap</w:t>
      </w:r>
      <w:r>
        <w:rPr>
          <w:sz w:val="20"/>
          <w:szCs w:val="20"/>
          <w:lang w:val="en"/>
        </w:rPr>
        <w:t xml:space="preserve">plied to powers of appointment.  See other formulas blessed in Rev. Rul. 64-19 (A/B trusts), Treas. Reg. §26.2632-1(b)(4), (b)(2)(11) and (d)(1) (GST formula allocation);  </w:t>
      </w:r>
      <w:r w:rsidRPr="00BC5F3D">
        <w:rPr>
          <w:sz w:val="20"/>
          <w:szCs w:val="20"/>
          <w:lang w:val="en"/>
        </w:rPr>
        <w:t>Treas. Reg. § 1.644-2(a)(1)(iii); Rev. Rul.</w:t>
      </w:r>
      <w:r>
        <w:rPr>
          <w:sz w:val="20"/>
          <w:szCs w:val="20"/>
          <w:lang w:val="en"/>
        </w:rPr>
        <w:t xml:space="preserve"> </w:t>
      </w:r>
      <w:r w:rsidRPr="00BC5F3D">
        <w:rPr>
          <w:sz w:val="20"/>
          <w:szCs w:val="20"/>
          <w:lang w:val="en"/>
        </w:rPr>
        <w:t>72-395, 1972-2 C.B. 340; Treas</w:t>
      </w:r>
      <w:r>
        <w:rPr>
          <w:sz w:val="20"/>
          <w:szCs w:val="20"/>
          <w:lang w:val="en"/>
        </w:rPr>
        <w:t xml:space="preserve">. Reg. § 20.2055-2(e)(2)(vi)(a)(split interest charitable trusts); </w:t>
      </w:r>
      <w:r w:rsidRPr="00BC5F3D">
        <w:rPr>
          <w:sz w:val="20"/>
          <w:szCs w:val="20"/>
          <w:lang w:val="en"/>
        </w:rPr>
        <w:t>Treas</w:t>
      </w:r>
      <w:r>
        <w:rPr>
          <w:sz w:val="20"/>
          <w:szCs w:val="20"/>
          <w:lang w:val="en"/>
        </w:rPr>
        <w:t>. Reg. § 25.2702-3(b)(1)(ii)(B)(</w:t>
      </w:r>
      <w:r w:rsidRPr="00BC5F3D">
        <w:rPr>
          <w:sz w:val="20"/>
          <w:szCs w:val="20"/>
          <w:lang w:val="en"/>
        </w:rPr>
        <w:t>Formula transfers to a GRAT</w:t>
      </w:r>
      <w:r>
        <w:rPr>
          <w:sz w:val="20"/>
          <w:szCs w:val="20"/>
          <w:lang w:val="en"/>
        </w:rPr>
        <w:t>), and other PLRs discussed herein such as</w:t>
      </w:r>
      <w:r w:rsidRPr="00FD1C1B">
        <w:t xml:space="preserve"> </w:t>
      </w:r>
      <w:r w:rsidRPr="00FD1C1B">
        <w:rPr>
          <w:sz w:val="20"/>
          <w:szCs w:val="20"/>
          <w:lang w:val="en"/>
        </w:rPr>
        <w:t>PLR 2006-04028 and PLR 2004-03094</w:t>
      </w:r>
      <w:r>
        <w:rPr>
          <w:sz w:val="20"/>
          <w:szCs w:val="20"/>
          <w:lang w:val="en"/>
        </w:rPr>
        <w:t xml:space="preserve"> which both had formula general powers of appointment.</w:t>
      </w:r>
    </w:p>
  </w:footnote>
  <w:footnote w:id="66">
    <w:p w14:paraId="65A90622" w14:textId="77777777" w:rsidR="00D53D4F" w:rsidRDefault="00D53D4F" w:rsidP="007A5592">
      <w:pPr>
        <w:pStyle w:val="FootnoteText"/>
        <w:spacing w:after="120"/>
      </w:pPr>
      <w:r>
        <w:rPr>
          <w:rStyle w:val="FootnoteReference"/>
        </w:rPr>
        <w:footnoteRef/>
      </w:r>
      <w:r>
        <w:t xml:space="preserve"> IRC §1022.</w:t>
      </w:r>
    </w:p>
  </w:footnote>
  <w:footnote w:id="67">
    <w:p w14:paraId="205D45E2" w14:textId="77777777" w:rsidR="00D53D4F" w:rsidRPr="004B6436" w:rsidRDefault="00D53D4F" w:rsidP="007A5592">
      <w:pPr>
        <w:pStyle w:val="NormalWeb"/>
        <w:spacing w:before="0" w:beforeAutospacing="0" w:after="120" w:afterAutospacing="0"/>
        <w:rPr>
          <w:sz w:val="20"/>
          <w:szCs w:val="20"/>
        </w:rPr>
      </w:pPr>
      <w:r w:rsidRPr="004B6436">
        <w:rPr>
          <w:rStyle w:val="FootnoteReference"/>
          <w:sz w:val="20"/>
          <w:szCs w:val="20"/>
        </w:rPr>
        <w:footnoteRef/>
      </w:r>
      <w:r w:rsidRPr="004B6436">
        <w:rPr>
          <w:sz w:val="20"/>
          <w:szCs w:val="20"/>
        </w:rPr>
        <w:t xml:space="preserve"> See IRS </w:t>
      </w:r>
      <w:r w:rsidRPr="004B6436">
        <w:rPr>
          <w:color w:val="000000"/>
          <w:sz w:val="20"/>
          <w:szCs w:val="20"/>
        </w:rPr>
        <w:t>Chief Counsel Memorandum (CCM) 2006</w:t>
      </w:r>
      <w:r>
        <w:rPr>
          <w:color w:val="000000"/>
          <w:sz w:val="20"/>
          <w:szCs w:val="20"/>
        </w:rPr>
        <w:t>-</w:t>
      </w:r>
      <w:r w:rsidRPr="004B6436">
        <w:rPr>
          <w:color w:val="000000"/>
          <w:sz w:val="20"/>
          <w:szCs w:val="20"/>
        </w:rPr>
        <w:t>44020 regarding IRD assets. Also see Treas. Reg. §1.1014-4(a)(3): “</w:t>
      </w:r>
      <w:r w:rsidRPr="004B6436">
        <w:rPr>
          <w:sz w:val="20"/>
          <w:szCs w:val="20"/>
          <w:lang w:val="en"/>
        </w:rPr>
        <w:t xml:space="preserve">Thus, for example, if the trustee of a trust created by will transfers to a beneficiary, in satisfaction of a specific bequest of $10,000, securities which had a fair market value of $9,000 on the date of the decedent's death (the applicable valuation date) and $10,000 on the date of the transfer, the trust realizes a taxable gain of $1,000 and the basis of the securities in the hands of the beneficiary would be $10,000. As a further example, if the executor of an estate transfers to a trust property worth $200,000, which had a fair market value of $175,000 on the date of the decedent's death (the applicable valuation date), in satisfaction of the decedent's bequest in trust for the benefit of his wife of cash or securities to be selected by the executor in an amount sufficient to utilize the marital deduction to the maximum extent authorized by law (after taking into consideration any other property qualifying for the marital deduction), capital gain in the amount of $25,000 would be realized by the estate and the basis of the property in the hands of the trustees would be $200,000. If, on the other hand, the decedent bequeathed a fraction of his residuary estate to a trust for the benefit of his wife, which fraction will not change regardless of any fluctuations in value of property in the decedent's estate after his death, no gain or loss would be realized by the estate upon transfer of property to the trust, and the basis of the property in the hands of the trustee would be its fair market value on the date of the decedent's death or on the alternate valuation date.” </w:t>
      </w:r>
      <w:r w:rsidRPr="004B6436">
        <w:rPr>
          <w:color w:val="000000"/>
          <w:sz w:val="20"/>
          <w:szCs w:val="20"/>
        </w:rPr>
        <w:t xml:space="preserve">and Treas. Reg. 1.661(a)-2(f): </w:t>
      </w:r>
      <w:r w:rsidRPr="00411031">
        <w:rPr>
          <w:sz w:val="20"/>
          <w:szCs w:val="20"/>
        </w:rPr>
        <w:t>“(f) Gain or loss is realized by the trust or estate (or the other beneficiaries) by reason of a distribution of property in kind if the distribution is in satisfaction of a right to receive a distribution of a specific dollar amount, of specific property other than that distributed, or of income as defined under section 643(b) and the applicable regulations, if income is required to be distributed currently. In addition, gain or loss is realized if the trustee or executor makes the election to recognize gain or loss under section 643(e). This paragraph applies for taxable years of trusts and estates ending after January 2, 2004.”</w:t>
      </w:r>
      <w:r w:rsidRPr="004B6436">
        <w:rPr>
          <w:color w:val="000000"/>
          <w:sz w:val="20"/>
          <w:szCs w:val="20"/>
        </w:rPr>
        <w:t xml:space="preserve"> Presumably the result here would not be too harsh, since assets would get a step up in basis at death and hence less gain, but executing the appointment transfer may take place months after death, by which time assets might have appreciated sign</w:t>
      </w:r>
      <w:r>
        <w:rPr>
          <w:color w:val="000000"/>
          <w:sz w:val="20"/>
          <w:szCs w:val="20"/>
        </w:rPr>
        <w:t>i</w:t>
      </w:r>
      <w:r w:rsidRPr="004B6436">
        <w:rPr>
          <w:color w:val="000000"/>
          <w:sz w:val="20"/>
          <w:szCs w:val="20"/>
        </w:rPr>
        <w:t>ficantly.  Bes</w:t>
      </w:r>
      <w:r>
        <w:rPr>
          <w:color w:val="000000"/>
          <w:sz w:val="20"/>
          <w:szCs w:val="20"/>
        </w:rPr>
        <w:t>t to avoid the issue and have the formula</w:t>
      </w:r>
      <w:r w:rsidRPr="004B6436">
        <w:rPr>
          <w:color w:val="000000"/>
          <w:sz w:val="20"/>
          <w:szCs w:val="20"/>
        </w:rPr>
        <w:t xml:space="preserve"> apply to specific assets based on date of death </w:t>
      </w:r>
      <w:r>
        <w:rPr>
          <w:color w:val="000000"/>
          <w:sz w:val="20"/>
          <w:szCs w:val="20"/>
        </w:rPr>
        <w:t xml:space="preserve">or AVD </w:t>
      </w:r>
      <w:r w:rsidRPr="004B6436">
        <w:rPr>
          <w:color w:val="000000"/>
          <w:sz w:val="20"/>
          <w:szCs w:val="20"/>
        </w:rPr>
        <w:t>value.</w:t>
      </w:r>
    </w:p>
  </w:footnote>
  <w:footnote w:id="68">
    <w:p w14:paraId="354EA86C" w14:textId="77777777" w:rsidR="00D53D4F" w:rsidRDefault="00D53D4F">
      <w:pPr>
        <w:pStyle w:val="FootnoteText"/>
      </w:pPr>
      <w:r>
        <w:rPr>
          <w:rStyle w:val="FootnoteReference"/>
        </w:rPr>
        <w:footnoteRef/>
      </w:r>
      <w:r>
        <w:t xml:space="preserve"> Analogy to fiduciary’s distribution of specific assets pursuant to specific bequest/devise under IRC §643(e)(4)</w:t>
      </w:r>
    </w:p>
  </w:footnote>
  <w:footnote w:id="69">
    <w:p w14:paraId="25A00F5A" w14:textId="77777777" w:rsidR="00D53D4F" w:rsidRDefault="00D53D4F" w:rsidP="007A5592">
      <w:pPr>
        <w:pStyle w:val="FootnoteText"/>
        <w:spacing w:after="120"/>
      </w:pPr>
      <w:r>
        <w:rPr>
          <w:rStyle w:val="FootnoteReference"/>
        </w:rPr>
        <w:footnoteRef/>
      </w:r>
      <w:r>
        <w:t xml:space="preserve"> If the power to withdraw 1/3 had lapsed, 5% might be “lapse protected”, causing slightly less to be in the beneficiary’s estate (and thus less basis adjustment).</w:t>
      </w:r>
    </w:p>
  </w:footnote>
  <w:footnote w:id="70">
    <w:p w14:paraId="0879BA8D" w14:textId="77777777" w:rsidR="00D53D4F" w:rsidRDefault="00D53D4F" w:rsidP="007A5592">
      <w:pPr>
        <w:pStyle w:val="FootnoteText"/>
        <w:spacing w:after="120"/>
      </w:pPr>
      <w:r>
        <w:rPr>
          <w:rStyle w:val="FootnoteReference"/>
        </w:rPr>
        <w:footnoteRef/>
      </w:r>
      <w:r>
        <w:t xml:space="preserve"> </w:t>
      </w:r>
      <w:r w:rsidRPr="005D2EA5">
        <w:rPr>
          <w:i/>
        </w:rPr>
        <w:t>Restatement, Third, Property, Wills and Other Donative Transfers</w:t>
      </w:r>
      <w:r>
        <w:t xml:space="preserve"> §17.1, see also</w:t>
      </w:r>
      <w:r w:rsidRPr="00AE5C79">
        <w:t xml:space="preserve"> Uniform Powers of Appointment Act, §102(13)</w:t>
      </w:r>
    </w:p>
  </w:footnote>
  <w:footnote w:id="71">
    <w:p w14:paraId="40F6784F" w14:textId="77777777" w:rsidR="00D53D4F" w:rsidRDefault="00D53D4F" w:rsidP="007A5592">
      <w:pPr>
        <w:pStyle w:val="FootnoteText"/>
        <w:spacing w:after="120"/>
      </w:pPr>
      <w:r>
        <w:rPr>
          <w:rStyle w:val="FootnoteReference"/>
        </w:rPr>
        <w:footnoteRef/>
      </w:r>
      <w:r>
        <w:t xml:space="preserve"> See comment g in </w:t>
      </w:r>
      <w:r w:rsidRPr="005D2EA5">
        <w:rPr>
          <w:i/>
        </w:rPr>
        <w:t>Restatement, Third, Property, Wills and Other Donative Transfers</w:t>
      </w:r>
      <w:r>
        <w:t xml:space="preserve"> §17.1</w:t>
      </w:r>
    </w:p>
  </w:footnote>
  <w:footnote w:id="72">
    <w:p w14:paraId="4A72344F" w14:textId="77777777" w:rsidR="00D53D4F" w:rsidRDefault="00D53D4F" w:rsidP="007A5592">
      <w:pPr>
        <w:pStyle w:val="FootnoteText"/>
        <w:spacing w:after="120"/>
      </w:pPr>
      <w:r>
        <w:rPr>
          <w:rStyle w:val="FootnoteReference"/>
        </w:rPr>
        <w:footnoteRef/>
      </w:r>
      <w:r>
        <w:t xml:space="preserve"> Rev. Proc. 64-19, which has to do with post-mortem gains/losses when distributing in kind based on DOD value</w:t>
      </w:r>
    </w:p>
  </w:footnote>
  <w:footnote w:id="73">
    <w:p w14:paraId="1A4D8ABA" w14:textId="77777777" w:rsidR="00D53D4F" w:rsidRDefault="00D53D4F" w:rsidP="007A5592">
      <w:pPr>
        <w:pStyle w:val="FootnoteText"/>
        <w:spacing w:after="120"/>
      </w:pPr>
      <w:r>
        <w:rPr>
          <w:rStyle w:val="FootnoteReference"/>
        </w:rPr>
        <w:footnoteRef/>
      </w:r>
      <w:r>
        <w:t xml:space="preserve"> Perhaps a solution to this aspect would be to have a different takers-in-default provision for assets subject to a GPOA lapse than for assets subject to an LPOA lapse, making the trustee’s choice have real effect on property rights.  An example would be to instruct the trustee of the subtrusts to exhaust funds funded via GPOA lapse first, similar to traditional clauses in bypass/QTIP and GST exempt/non-exempt bifurcated trusts that encourage spending from non-exempt/QTIP assets prior to GST exempt.</w:t>
      </w:r>
    </w:p>
  </w:footnote>
  <w:footnote w:id="74">
    <w:p w14:paraId="2BCFB4BF" w14:textId="77777777" w:rsidR="00D53D4F" w:rsidRDefault="00D53D4F" w:rsidP="007A5592">
      <w:pPr>
        <w:pStyle w:val="FootnoteText"/>
        <w:spacing w:after="120"/>
      </w:pPr>
      <w:r>
        <w:rPr>
          <w:rStyle w:val="FootnoteReference"/>
        </w:rPr>
        <w:footnoteRef/>
      </w:r>
      <w:r>
        <w:t xml:space="preserve"> The example did not specify whether the property TIC or LLC shares in trust was 100% or a mere fractional share.  I assume here that taking 5/6 of the property is valued at 5/6 of the whole, which might be the case if the trust owned e.g. 40%.  If the trust owned 100% or 51% of the LLC, it may apply to a greater number of shares/membership interests.</w:t>
      </w:r>
    </w:p>
  </w:footnote>
  <w:footnote w:id="75">
    <w:p w14:paraId="5A55DF8C" w14:textId="77777777" w:rsidR="00D53D4F" w:rsidRDefault="00D53D4F" w:rsidP="007A5592">
      <w:pPr>
        <w:pStyle w:val="FootnoteText"/>
        <w:spacing w:after="120"/>
      </w:pPr>
      <w:r>
        <w:rPr>
          <w:rStyle w:val="FootnoteReference"/>
        </w:rPr>
        <w:footnoteRef/>
      </w:r>
      <w:r>
        <w:t xml:space="preserve"> There are examples in the marital trust regulations of general testamentary powers of appointment over ¼ of a trust, and over only 100 shares out of 250 shares of stock.  Treas. Reg. §25.2523(e)-1(c)(5), examples 2 and 3.</w:t>
      </w:r>
    </w:p>
  </w:footnote>
  <w:footnote w:id="76">
    <w:p w14:paraId="2B6DE7BC" w14:textId="77777777" w:rsidR="00D53D4F" w:rsidRDefault="00D53D4F" w:rsidP="007A5592">
      <w:pPr>
        <w:pStyle w:val="FootnoteText"/>
        <w:spacing w:after="120"/>
      </w:pPr>
      <w:r>
        <w:rPr>
          <w:rStyle w:val="FootnoteReference"/>
        </w:rPr>
        <w:footnoteRef/>
      </w:r>
      <w:r>
        <w:t xml:space="preserve"> IRC §6018(a).</w:t>
      </w:r>
    </w:p>
  </w:footnote>
  <w:footnote w:id="77">
    <w:p w14:paraId="325FE406" w14:textId="77777777" w:rsidR="00D53D4F" w:rsidRDefault="00D53D4F" w:rsidP="007A5592">
      <w:pPr>
        <w:pStyle w:val="FootnoteText"/>
        <w:spacing w:after="120"/>
      </w:pPr>
      <w:r>
        <w:rPr>
          <w:rStyle w:val="FootnoteReference"/>
        </w:rPr>
        <w:footnoteRef/>
      </w:r>
      <w:r>
        <w:t xml:space="preserve"> Treas. Reg. § 1.1014-3.</w:t>
      </w:r>
    </w:p>
  </w:footnote>
  <w:footnote w:id="78">
    <w:p w14:paraId="23BB9405" w14:textId="77777777" w:rsidR="00D53D4F" w:rsidRDefault="00D53D4F" w:rsidP="007A5592">
      <w:pPr>
        <w:pStyle w:val="FootnoteText"/>
        <w:spacing w:after="120"/>
      </w:pPr>
      <w:r>
        <w:rPr>
          <w:rStyle w:val="FootnoteReference"/>
        </w:rPr>
        <w:footnoteRef/>
      </w:r>
      <w:r>
        <w:t xml:space="preserve"> See, </w:t>
      </w:r>
      <w:r w:rsidRPr="006C4E14">
        <w:rPr>
          <w:i/>
        </w:rPr>
        <w:t>Gifts by Fiduciaries by Tax Options and Elections</w:t>
      </w:r>
      <w:r>
        <w:t>, November/December 2004 issue Probate and Property, by Jonathan Blattmachr, Stephanie Heilborn and Mitchell Gans, for a good discussion of gift tax effects of interested fiduciary decisions regarding Clayton QTIPs, investment choices, alternate valuation date, choice of where to deduct expenses and other dilemmas, concluding that independent fiduciaries are generally safer, but that investment choices by a beneficiary/trustee should not lead to GPOA inclusion.</w:t>
      </w:r>
    </w:p>
  </w:footnote>
  <w:footnote w:id="79">
    <w:p w14:paraId="6E2A557C" w14:textId="77777777" w:rsidR="00D53D4F" w:rsidRDefault="00D53D4F" w:rsidP="007A5592">
      <w:pPr>
        <w:pStyle w:val="FootnoteText"/>
        <w:spacing w:after="120"/>
      </w:pPr>
      <w:r>
        <w:rPr>
          <w:rStyle w:val="FootnoteReference"/>
        </w:rPr>
        <w:footnoteRef/>
      </w:r>
      <w:r>
        <w:t xml:space="preserve"> Restatement, 3d, Trusts, §79(2), §183, Uniform Trust Code §803,</w:t>
      </w:r>
      <w:r w:rsidRPr="000E64B1">
        <w:t xml:space="preserve"> </w:t>
      </w:r>
      <w:r>
        <w:t>Bogert’s Trusts and Trustees, Ch. 26 § 541</w:t>
      </w:r>
    </w:p>
  </w:footnote>
  <w:footnote w:id="80">
    <w:p w14:paraId="691E75CC" w14:textId="77777777" w:rsidR="00D53D4F" w:rsidRDefault="00D53D4F" w:rsidP="007A5592">
      <w:pPr>
        <w:pStyle w:val="FootnoteText"/>
        <w:spacing w:after="120"/>
      </w:pPr>
      <w:r>
        <w:rPr>
          <w:rStyle w:val="FootnoteReference"/>
        </w:rPr>
        <w:footnoteRef/>
      </w:r>
      <w:r>
        <w:t xml:space="preserve"> Treas. Reg. §25.2514-1(b)(1)</w:t>
      </w:r>
    </w:p>
  </w:footnote>
  <w:footnote w:id="81">
    <w:p w14:paraId="509A07C6" w14:textId="77777777" w:rsidR="00D53D4F" w:rsidRDefault="00D53D4F" w:rsidP="007A5592">
      <w:pPr>
        <w:pStyle w:val="FootnoteText"/>
        <w:spacing w:after="120"/>
      </w:pPr>
      <w:r>
        <w:rPr>
          <w:rStyle w:val="FootnoteReference"/>
        </w:rPr>
        <w:footnoteRef/>
      </w:r>
      <w:r>
        <w:t xml:space="preserve"> See discussion of multiple cases in </w:t>
      </w:r>
      <w:r w:rsidRPr="00692A61">
        <w:rPr>
          <w:i/>
        </w:rPr>
        <w:t>Asset Protection Dangers When a Beneficiary Is Sole Trustee and Piercing the Third Party, Beneficiary-Controlled, Irrevocable Trust</w:t>
      </w:r>
      <w:r>
        <w:t xml:space="preserve">, LISI Asset Protection Newsletter #339 (March 9, 2017).  As a whole, practitioners are woefully unaware of the different standards bankruptcy courts use for piercing trusts (or domestic relations courts for counting).  For a case of surviving spouse/trustee not only losing the inheritance through mismanagement, but also losing bypass trust benefits, see </w:t>
      </w:r>
      <w:r w:rsidRPr="00153136">
        <w:rPr>
          <w:i/>
        </w:rPr>
        <w:t>Estate of Wendell Hester v. U.S.</w:t>
      </w:r>
      <w:r>
        <w:t xml:space="preserve"> (4</w:t>
      </w:r>
      <w:r w:rsidRPr="00153136">
        <w:rPr>
          <w:vertAlign w:val="superscript"/>
        </w:rPr>
        <w:t>th</w:t>
      </w:r>
      <w:r>
        <w:t xml:space="preserve"> Cir. 2008).</w:t>
      </w:r>
    </w:p>
  </w:footnote>
  <w:footnote w:id="82">
    <w:p w14:paraId="402909A7" w14:textId="77777777" w:rsidR="00D53D4F" w:rsidRDefault="00D53D4F">
      <w:pPr>
        <w:pStyle w:val="FootnoteText"/>
      </w:pPr>
      <w:r>
        <w:rPr>
          <w:rStyle w:val="FootnoteReference"/>
        </w:rPr>
        <w:footnoteRef/>
      </w:r>
      <w:r>
        <w:t xml:space="preserve"> Ohio’s former estate tax, eliminated this year, failed to catch the Delaware Tax Trap (R.C. §5731.11), but most states piggy back onto the federal estate tax inclusion criteria.</w:t>
      </w:r>
    </w:p>
  </w:footnote>
  <w:footnote w:id="83">
    <w:p w14:paraId="01641387" w14:textId="77777777" w:rsidR="00D53D4F" w:rsidRPr="00662041" w:rsidRDefault="00D53D4F" w:rsidP="00662041">
      <w:pPr>
        <w:rPr>
          <w:bCs/>
          <w:color w:val="000000"/>
          <w:sz w:val="20"/>
          <w:szCs w:val="20"/>
        </w:rPr>
      </w:pPr>
      <w:r w:rsidRPr="00662041">
        <w:rPr>
          <w:rStyle w:val="FootnoteReference"/>
          <w:sz w:val="20"/>
          <w:szCs w:val="20"/>
        </w:rPr>
        <w:footnoteRef/>
      </w:r>
      <w:r w:rsidRPr="00662041">
        <w:rPr>
          <w:sz w:val="20"/>
          <w:szCs w:val="20"/>
        </w:rPr>
        <w:t xml:space="preserve"> </w:t>
      </w:r>
      <w:r w:rsidRPr="00662041">
        <w:rPr>
          <w:bCs/>
          <w:color w:val="000000"/>
          <w:sz w:val="20"/>
          <w:szCs w:val="20"/>
        </w:rPr>
        <w:t xml:space="preserve">While most states with an estate tax use the same criteria as the federal estate tax and Form 706 as their base, this is necessarily state specific.  Pennsylvania’s inheritance tax, for example, does not tax a general power of appointment (or limited power of appointment triggering the Delaware Tax Trap) as the federal estate tax would.  </w:t>
      </w:r>
      <w:r>
        <w:rPr>
          <w:bCs/>
          <w:color w:val="000000"/>
          <w:sz w:val="20"/>
          <w:szCs w:val="20"/>
        </w:rPr>
        <w:t xml:space="preserve">See </w:t>
      </w:r>
      <w:hyperlink r:id="rId7" w:history="1">
        <w:r w:rsidRPr="00871C31">
          <w:rPr>
            <w:rStyle w:val="Hyperlink"/>
            <w:bCs/>
            <w:sz w:val="20"/>
            <w:szCs w:val="20"/>
          </w:rPr>
          <w:t>https://www.h2rcpa.com/uploads/6/3/0/3/63031867/pennsylvania_inheritance_tax_brochure.pdf</w:t>
        </w:r>
      </w:hyperlink>
      <w:r>
        <w:rPr>
          <w:bCs/>
          <w:color w:val="000000"/>
          <w:sz w:val="20"/>
          <w:szCs w:val="20"/>
        </w:rPr>
        <w:t xml:space="preserve"> for differences between federal and PA estate/inheritance tax.  This creates a great loophole for Pennsylvania residents (which should be discussed with anyone planning to otherwise leave assets directly to a Pennsylvania resident).</w:t>
      </w:r>
    </w:p>
    <w:p w14:paraId="774DDCEF" w14:textId="77777777" w:rsidR="00D53D4F" w:rsidRDefault="00D53D4F">
      <w:pPr>
        <w:pStyle w:val="FootnoteText"/>
      </w:pPr>
    </w:p>
  </w:footnote>
  <w:footnote w:id="84">
    <w:p w14:paraId="0121B431" w14:textId="77777777" w:rsidR="00D53D4F" w:rsidRDefault="00D53D4F">
      <w:pPr>
        <w:pStyle w:val="FootnoteText"/>
      </w:pPr>
      <w:r>
        <w:rPr>
          <w:rStyle w:val="FootnoteReference"/>
        </w:rPr>
        <w:footnoteRef/>
      </w:r>
      <w:r>
        <w:t xml:space="preserve"> Although the situs state may have its own separate tax, this is unlikely to be an issue because most taxpayers who have real estate/tangible property out of state over a state’s exemption amount (usually $1, $2 or $3.5 million), will have such assets in an LLC.  However, some states such as Maine may attempt to tax that as well.  See description of Pennsylvania tax in footnote above for example of state that does not tax out of state property.</w:t>
      </w:r>
    </w:p>
  </w:footnote>
  <w:footnote w:id="85">
    <w:p w14:paraId="050A6218" w14:textId="77777777" w:rsidR="00D53D4F" w:rsidRDefault="00D53D4F" w:rsidP="00F3772C">
      <w:pPr>
        <w:pStyle w:val="FootnoteText"/>
        <w:spacing w:after="120"/>
      </w:pPr>
      <w:r>
        <w:rPr>
          <w:rStyle w:val="FootnoteReference"/>
        </w:rPr>
        <w:footnoteRef/>
      </w:r>
      <w:r>
        <w:t xml:space="preserve"> Like horseshoes and hand grenades, you only have to be close.  Someone does not have to know the extent of their power or even if they have one – if you give a mentally incompetent person or a minor a GPOA they don’t even know or can’t do anything about, it’s still a GPOA for tax purposes.</w:t>
      </w:r>
      <w:r w:rsidRPr="00275E70">
        <w:rPr>
          <w:color w:val="333333"/>
        </w:rPr>
        <w:t xml:space="preserve"> </w:t>
      </w:r>
      <w:r w:rsidRPr="00C83614">
        <w:rPr>
          <w:color w:val="333333"/>
        </w:rPr>
        <w:t xml:space="preserve">A surprising number of appellate cases address these issues, </w:t>
      </w:r>
      <w:r>
        <w:rPr>
          <w:color w:val="333333"/>
        </w:rPr>
        <w:t>the vast majority</w:t>
      </w:r>
      <w:r w:rsidRPr="00C83614">
        <w:rPr>
          <w:color w:val="333333"/>
        </w:rPr>
        <w:t xml:space="preserve"> finding GPOAs, even if someone is incompetent and even if a state court appointed guardian could not exercise the GPOA.  </w:t>
      </w:r>
      <w:r w:rsidRPr="00C83614">
        <w:rPr>
          <w:i/>
          <w:color w:val="333333"/>
        </w:rPr>
        <w:t>Fish v. United States</w:t>
      </w:r>
      <w:r w:rsidRPr="00C83614">
        <w:rPr>
          <w:color w:val="333333"/>
        </w:rPr>
        <w:t xml:space="preserve">, 432 F.2d. 1278 (9th Cir 1970), </w:t>
      </w:r>
      <w:r w:rsidRPr="00C83614">
        <w:rPr>
          <w:i/>
          <w:color w:val="333333"/>
        </w:rPr>
        <w:t>Estate of Alperstein v. Comm</w:t>
      </w:r>
      <w:r>
        <w:rPr>
          <w:i/>
          <w:color w:val="333333"/>
        </w:rPr>
        <w:t>.</w:t>
      </w:r>
      <w:r w:rsidRPr="00C83614">
        <w:rPr>
          <w:color w:val="333333"/>
        </w:rPr>
        <w:t xml:space="preserve">, 613 F.2d 1213 (2nd Cir 1979), </w:t>
      </w:r>
      <w:r w:rsidRPr="00C83614">
        <w:rPr>
          <w:i/>
          <w:color w:val="333333"/>
        </w:rPr>
        <w:t>Williams v. U</w:t>
      </w:r>
      <w:r>
        <w:rPr>
          <w:i/>
          <w:color w:val="333333"/>
        </w:rPr>
        <w:t>.S.</w:t>
      </w:r>
      <w:r w:rsidRPr="00C83614">
        <w:rPr>
          <w:color w:val="333333"/>
        </w:rPr>
        <w:t xml:space="preserve">, 634 F.2d. 894 (5th Cir. 1981), </w:t>
      </w:r>
      <w:r w:rsidRPr="00C83614">
        <w:rPr>
          <w:i/>
          <w:color w:val="333333"/>
        </w:rPr>
        <w:t>Boeving v. U</w:t>
      </w:r>
      <w:r>
        <w:rPr>
          <w:i/>
          <w:color w:val="333333"/>
        </w:rPr>
        <w:t>.S.</w:t>
      </w:r>
      <w:r w:rsidRPr="00C83614">
        <w:rPr>
          <w:color w:val="333333"/>
        </w:rPr>
        <w:t xml:space="preserve">, 650 F.2d. 493 (8th Cir. 1981), </w:t>
      </w:r>
      <w:r w:rsidRPr="009B2293">
        <w:rPr>
          <w:i/>
          <w:color w:val="333333"/>
        </w:rPr>
        <w:t>Estate of Gilchrist v. Comm</w:t>
      </w:r>
      <w:r>
        <w:rPr>
          <w:color w:val="333333"/>
        </w:rPr>
        <w:t>.</w:t>
      </w:r>
      <w:r w:rsidRPr="009B2293">
        <w:rPr>
          <w:rFonts w:ascii="Helvetica" w:hAnsi="Helvetica" w:cs="Arial"/>
          <w:color w:val="4A4A4A"/>
          <w:sz w:val="22"/>
          <w:szCs w:val="22"/>
          <w:lang w:val="en"/>
        </w:rPr>
        <w:t xml:space="preserve"> </w:t>
      </w:r>
      <w:r w:rsidRPr="009B2293">
        <w:rPr>
          <w:color w:val="333333"/>
          <w:lang w:val="en"/>
        </w:rPr>
        <w:t>630 F.2d 340 (</w:t>
      </w:r>
      <w:r>
        <w:rPr>
          <w:color w:val="333333"/>
          <w:lang w:val="en"/>
        </w:rPr>
        <w:t>5</w:t>
      </w:r>
      <w:r w:rsidRPr="009B2293">
        <w:rPr>
          <w:color w:val="333333"/>
          <w:vertAlign w:val="superscript"/>
          <w:lang w:val="en"/>
        </w:rPr>
        <w:t>th</w:t>
      </w:r>
      <w:r>
        <w:rPr>
          <w:color w:val="333333"/>
          <w:lang w:val="en"/>
        </w:rPr>
        <w:t xml:space="preserve"> Cir. </w:t>
      </w:r>
      <w:r w:rsidRPr="009B2293">
        <w:rPr>
          <w:color w:val="333333"/>
          <w:lang w:val="en"/>
        </w:rPr>
        <w:t>1980)</w:t>
      </w:r>
      <w:r>
        <w:rPr>
          <w:color w:val="333333"/>
        </w:rPr>
        <w:t xml:space="preserve"> </w:t>
      </w:r>
      <w:r w:rsidRPr="00C83614">
        <w:rPr>
          <w:i/>
          <w:color w:val="333333"/>
        </w:rPr>
        <w:t>Doyle v. U</w:t>
      </w:r>
      <w:r>
        <w:rPr>
          <w:i/>
          <w:color w:val="333333"/>
        </w:rPr>
        <w:t>.S.</w:t>
      </w:r>
      <w:r w:rsidRPr="00C83614">
        <w:rPr>
          <w:color w:val="333333"/>
        </w:rPr>
        <w:t xml:space="preserve">, 358 F. Supp. 300 (E.D. Pa 1973), </w:t>
      </w:r>
      <w:r w:rsidRPr="00C83614">
        <w:rPr>
          <w:i/>
          <w:color w:val="333333"/>
        </w:rPr>
        <w:t>Pennsylvania Bank &amp; Trust Co. v. U</w:t>
      </w:r>
      <w:r>
        <w:rPr>
          <w:i/>
          <w:color w:val="333333"/>
        </w:rPr>
        <w:t>.</w:t>
      </w:r>
      <w:r w:rsidRPr="00C83614">
        <w:rPr>
          <w:i/>
          <w:color w:val="333333"/>
        </w:rPr>
        <w:t>S</w:t>
      </w:r>
      <w:r>
        <w:rPr>
          <w:i/>
          <w:color w:val="333333"/>
        </w:rPr>
        <w:t>.,</w:t>
      </w:r>
      <w:r w:rsidRPr="00C83614">
        <w:rPr>
          <w:color w:val="333333"/>
        </w:rPr>
        <w:t xml:space="preserve"> 451 F. Supp. 1296 (W.D. Pa. 1978), aff’d 597 F.2d 382 (3rd Cir. 1979), </w:t>
      </w:r>
      <w:r w:rsidRPr="00C83614">
        <w:rPr>
          <w:i/>
          <w:color w:val="333333"/>
        </w:rPr>
        <w:t>Estate of Alperstein v. Comm</w:t>
      </w:r>
      <w:r>
        <w:rPr>
          <w:i/>
          <w:color w:val="333333"/>
        </w:rPr>
        <w:t>.</w:t>
      </w:r>
      <w:r w:rsidRPr="00C83614">
        <w:rPr>
          <w:color w:val="333333"/>
        </w:rPr>
        <w:t>, 71 TC 351 (1978), aff’d 613 F.2d. 1213 (2</w:t>
      </w:r>
      <w:r w:rsidRPr="00C83614">
        <w:rPr>
          <w:color w:val="333333"/>
          <w:vertAlign w:val="superscript"/>
        </w:rPr>
        <w:t>nd</w:t>
      </w:r>
      <w:r w:rsidRPr="00C83614">
        <w:rPr>
          <w:color w:val="333333"/>
        </w:rPr>
        <w:t xml:space="preserve"> Cir 1979)</w:t>
      </w:r>
      <w:r>
        <w:rPr>
          <w:color w:val="333333"/>
        </w:rPr>
        <w:t>,</w:t>
      </w:r>
      <w:r w:rsidRPr="00C83614">
        <w:rPr>
          <w:color w:val="333333"/>
        </w:rPr>
        <w:t xml:space="preserve">  </w:t>
      </w:r>
      <w:r w:rsidRPr="00152FC8">
        <w:rPr>
          <w:i/>
          <w:color w:val="333333"/>
        </w:rPr>
        <w:t>Estate of Freeman v. Comm</w:t>
      </w:r>
      <w:r>
        <w:rPr>
          <w:i/>
          <w:color w:val="333333"/>
        </w:rPr>
        <w:t>.</w:t>
      </w:r>
      <w:r>
        <w:rPr>
          <w:color w:val="333333"/>
        </w:rPr>
        <w:t>, 67 T.C. 202 (1979) (</w:t>
      </w:r>
      <w:r w:rsidRPr="00395A6A">
        <w:rPr>
          <w:color w:val="333333"/>
        </w:rPr>
        <w:t xml:space="preserve">Decedent </w:t>
      </w:r>
      <w:r>
        <w:rPr>
          <w:color w:val="333333"/>
        </w:rPr>
        <w:t xml:space="preserve">power holder </w:t>
      </w:r>
      <w:r w:rsidRPr="00395A6A">
        <w:rPr>
          <w:color w:val="333333"/>
        </w:rPr>
        <w:t>never saw the trust instrument and was never informed about, and had no actual knowledge of, his rights under the trust</w:t>
      </w:r>
      <w:r>
        <w:rPr>
          <w:color w:val="333333"/>
        </w:rPr>
        <w:t xml:space="preserve">).  </w:t>
      </w:r>
      <w:r w:rsidRPr="00C83614">
        <w:rPr>
          <w:color w:val="333333"/>
        </w:rPr>
        <w:t>See also Rev. Ruls 75-350</w:t>
      </w:r>
      <w:r>
        <w:rPr>
          <w:color w:val="333333"/>
        </w:rPr>
        <w:t xml:space="preserve"> (</w:t>
      </w:r>
      <w:r w:rsidRPr="006A11C1">
        <w:rPr>
          <w:color w:val="333333"/>
        </w:rPr>
        <w:t>the surviving sp</w:t>
      </w:r>
      <w:r>
        <w:rPr>
          <w:color w:val="333333"/>
        </w:rPr>
        <w:t>ouse's mental capacity is irreleva</w:t>
      </w:r>
      <w:r w:rsidRPr="006A11C1">
        <w:rPr>
          <w:color w:val="333333"/>
        </w:rPr>
        <w:t>nt in determining the availability of the marital deduction under section 2056(b)(5)</w:t>
      </w:r>
      <w:r>
        <w:rPr>
          <w:color w:val="333333"/>
        </w:rPr>
        <w:t>);</w:t>
      </w:r>
      <w:r w:rsidRPr="00C83614">
        <w:rPr>
          <w:color w:val="333333"/>
        </w:rPr>
        <w:t xml:space="preserve"> </w:t>
      </w:r>
      <w:r>
        <w:rPr>
          <w:color w:val="333333"/>
        </w:rPr>
        <w:t>Rev. Rul.</w:t>
      </w:r>
      <w:r w:rsidRPr="00C83614">
        <w:rPr>
          <w:color w:val="333333"/>
        </w:rPr>
        <w:t>75-351.</w:t>
      </w:r>
      <w:r w:rsidRPr="006A11C1">
        <w:t xml:space="preserve"> </w:t>
      </w:r>
      <w:r>
        <w:t xml:space="preserve">One outlier contrary decision that was criticized in the above cases, in which the court found that an incompetent person did NOT have a general power of appointment was </w:t>
      </w:r>
      <w:r w:rsidRPr="006A11C1">
        <w:rPr>
          <w:i/>
          <w:color w:val="333333"/>
        </w:rPr>
        <w:t>Finley v. United States</w:t>
      </w:r>
      <w:r w:rsidRPr="006A11C1">
        <w:rPr>
          <w:color w:val="333333"/>
        </w:rPr>
        <w:t>, 404 F. Supp. 200 (S.D. Fla. Dec. 2, 1975)</w:t>
      </w:r>
      <w:r w:rsidRPr="006A11C1">
        <w:t xml:space="preserve"> </w:t>
      </w:r>
      <w:r w:rsidRPr="006A11C1">
        <w:rPr>
          <w:color w:val="333333"/>
        </w:rPr>
        <w:t>vacated on jurisdicti</w:t>
      </w:r>
      <w:r>
        <w:rPr>
          <w:color w:val="333333"/>
        </w:rPr>
        <w:t xml:space="preserve">onal grounds, 612 F.2d </w:t>
      </w:r>
      <w:r w:rsidRPr="006A11C1">
        <w:rPr>
          <w:color w:val="333333"/>
        </w:rPr>
        <w:t>166 (5th Cir. 1980)</w:t>
      </w:r>
      <w:r>
        <w:rPr>
          <w:color w:val="333333"/>
        </w:rPr>
        <w:t xml:space="preserve">.  However, in </w:t>
      </w:r>
      <w:r w:rsidRPr="009171E9">
        <w:rPr>
          <w:i/>
          <w:color w:val="333333"/>
        </w:rPr>
        <w:t>Round v. Comm</w:t>
      </w:r>
      <w:r>
        <w:rPr>
          <w:color w:val="333333"/>
        </w:rPr>
        <w:t xml:space="preserve">, </w:t>
      </w:r>
      <w:r w:rsidRPr="009171E9">
        <w:rPr>
          <w:color w:val="333333"/>
        </w:rPr>
        <w:t>332 F.2d 590 (1964)</w:t>
      </w:r>
      <w:r>
        <w:rPr>
          <w:color w:val="333333"/>
        </w:rPr>
        <w:t xml:space="preserve">, correctly decided in my opinion, the trust instrument itself stated that the trust powers (which were a </w:t>
      </w:r>
      <w:r w:rsidRPr="00C04C38">
        <w:rPr>
          <w:i/>
          <w:iCs/>
          <w:color w:val="333333"/>
        </w:rPr>
        <w:t>de facto</w:t>
      </w:r>
      <w:r>
        <w:rPr>
          <w:color w:val="333333"/>
        </w:rPr>
        <w:t xml:space="preserve"> GPOA) could not be exercised if a power holder was ruled incompetent.  Where a decedent was ruled incompetent prior to death, it was not a GPOA.</w:t>
      </w:r>
    </w:p>
  </w:footnote>
  <w:footnote w:id="86">
    <w:p w14:paraId="7A61DF39" w14:textId="77777777" w:rsidR="00D53D4F" w:rsidRDefault="00D53D4F" w:rsidP="008C4BF2">
      <w:pPr>
        <w:pStyle w:val="FootnoteText"/>
      </w:pPr>
      <w:r>
        <w:rPr>
          <w:rStyle w:val="FootnoteReference"/>
        </w:rPr>
        <w:footnoteRef/>
      </w:r>
      <w:r>
        <w:t xml:space="preserve"> IRC §2056(b)(5), Treas. Reg. §20.2056(b)(5)(g) “</w:t>
      </w:r>
      <w:r w:rsidRPr="00A20E83">
        <w:t>The power is not “exercisable in all events”, if it can be terminated during the life of the surviving spouse by any event other than her complete exercise or release of it.</w:t>
      </w:r>
      <w:r>
        <w:t xml:space="preserve">”  This language is also why a surviving spouse probably can’t simply let 5% of a GPOA in a GPOA marital trust lapse every year to let it escape estate tax altogether after 20 years or so. But, see the cases and rulings cited on page 46, footnote 115.  Regardless, the main thrust of OBIT clauses is to </w:t>
      </w:r>
      <w:r w:rsidRPr="00B7423F">
        <w:rPr>
          <w:i/>
        </w:rPr>
        <w:t>avoid</w:t>
      </w:r>
      <w:r>
        <w:t xml:space="preserve"> forcing the marital deduction.</w:t>
      </w:r>
    </w:p>
  </w:footnote>
  <w:footnote w:id="87">
    <w:p w14:paraId="17BD955D" w14:textId="794E2092" w:rsidR="00D53D4F" w:rsidRDefault="00D53D4F" w:rsidP="002D24F1">
      <w:pPr>
        <w:pStyle w:val="FootnoteText"/>
        <w:spacing w:before="120" w:after="120"/>
      </w:pPr>
      <w:r>
        <w:rPr>
          <w:rStyle w:val="FootnoteReference"/>
        </w:rPr>
        <w:footnoteRef/>
      </w:r>
      <w:r>
        <w:t xml:space="preserve"> </w:t>
      </w:r>
      <w:r w:rsidRPr="00601DEC">
        <w:t>Accumulation trusts should exclude any IRA distributions from being appointed in further trust, since by default powers of appointment generally permit appointments in further trust</w:t>
      </w:r>
      <w:r>
        <w:t>, which may jeopardize a “see through” trust</w:t>
      </w:r>
      <w:r w:rsidRPr="00601DEC">
        <w:t xml:space="preserve">.  Restatement, Third, Donative Transfers, ¶19.13 and ¶19.14, Uniform </w:t>
      </w:r>
      <w:r>
        <w:t>Power of Appointment Act</w:t>
      </w:r>
      <w:r w:rsidRPr="00601DEC">
        <w:t>, §305</w:t>
      </w:r>
      <w:r w:rsidR="00A034F8">
        <w:t xml:space="preserve">.  </w:t>
      </w:r>
      <w:r w:rsidR="00B31D5D">
        <w:t xml:space="preserve">Of course, that is the conservative </w:t>
      </w:r>
      <w:r w:rsidR="00EB6652">
        <w:t>drafting route</w:t>
      </w:r>
      <w:r w:rsidR="00B31D5D">
        <w:t xml:space="preserve"> – arguably</w:t>
      </w:r>
      <w:r w:rsidR="00715A01">
        <w:t xml:space="preserve"> potential</w:t>
      </w:r>
      <w:r w:rsidR="00B31D5D">
        <w:t xml:space="preserve"> appointees should not be considered </w:t>
      </w:r>
      <w:r w:rsidR="0036570F">
        <w:br/>
        <w:t>“</w:t>
      </w:r>
      <w:r w:rsidR="00FE20BD">
        <w:t>ben</w:t>
      </w:r>
      <w:r w:rsidR="00715A01">
        <w:t>eficiaries</w:t>
      </w:r>
      <w:r w:rsidR="0036570F">
        <w:t>” at all in trying to identify the individual beneficiaries of a trust</w:t>
      </w:r>
      <w:r w:rsidR="00A97933">
        <w:t xml:space="preserve"> for see through trust purposes.</w:t>
      </w:r>
      <w:r w:rsidR="00F55E93">
        <w:t xml:space="preserve"> Update: proposed regulations </w:t>
      </w:r>
      <w:r w:rsidR="00163595">
        <w:t xml:space="preserve">updating retirement plan see through trust rules pursuant to the Secure Act were </w:t>
      </w:r>
      <w:r w:rsidR="00F55E93">
        <w:t xml:space="preserve">issued </w:t>
      </w:r>
      <w:r w:rsidR="00992F4C">
        <w:t>on</w:t>
      </w:r>
      <w:r w:rsidR="00F55E93">
        <w:t xml:space="preserve"> Februar</w:t>
      </w:r>
      <w:r w:rsidR="00992F4C">
        <w:t xml:space="preserve">y 22, 2022 </w:t>
      </w:r>
      <w:r w:rsidR="00163595">
        <w:t>and (if made final) confirm that mere potential appointees are not counted as beneficiaries unless and until there is an actual appointment.</w:t>
      </w:r>
      <w:r w:rsidR="007F1123">
        <w:t xml:space="preserve">  Prop. Reg. </w:t>
      </w:r>
      <w:r w:rsidR="008D7DDD">
        <w:t>§</w:t>
      </w:r>
      <w:r w:rsidR="008D7DDD" w:rsidRPr="008D7DDD">
        <w:t>1.401(a)(9)-4</w:t>
      </w:r>
      <w:r w:rsidR="008D7DDD">
        <w:t>.</w:t>
      </w:r>
      <w:r w:rsidR="00096943">
        <w:t xml:space="preserve">  This should encourage practitioners to expand </w:t>
      </w:r>
      <w:r w:rsidR="00D41DB9">
        <w:t xml:space="preserve">the </w:t>
      </w:r>
      <w:r w:rsidR="00096943">
        <w:t>usage of powers of appointment in see through trusts.</w:t>
      </w:r>
    </w:p>
  </w:footnote>
  <w:footnote w:id="88">
    <w:p w14:paraId="5F17CA8E" w14:textId="385CB1CA" w:rsidR="00D53D4F" w:rsidRDefault="00D53D4F">
      <w:pPr>
        <w:pStyle w:val="FootnoteText"/>
      </w:pPr>
      <w:r>
        <w:rPr>
          <w:rStyle w:val="FootnoteReference"/>
        </w:rPr>
        <w:footnoteRef/>
      </w:r>
      <w:r>
        <w:t xml:space="preserve"> IRC §2041(b)(1) is in the disjunctive “or”.  See also </w:t>
      </w:r>
      <w:r w:rsidRPr="004E68FE">
        <w:rPr>
          <w:i/>
        </w:rPr>
        <w:t>Estate of Edelman v. Commissioner</w:t>
      </w:r>
      <w:r>
        <w:t xml:space="preserve">, 38 T.C. 972 (1962), </w:t>
      </w:r>
      <w:r w:rsidRPr="004E68FE">
        <w:rPr>
          <w:i/>
        </w:rPr>
        <w:t>Jenkins v. U.S.</w:t>
      </w:r>
      <w:r>
        <w:t>, 428 F.2d 538, 544 (5</w:t>
      </w:r>
      <w:r w:rsidRPr="004E68FE">
        <w:rPr>
          <w:vertAlign w:val="superscript"/>
        </w:rPr>
        <w:t>th</w:t>
      </w:r>
      <w:r>
        <w:t xml:space="preserve"> Cir. 1970).  As for spouse’s POAs, see also Rev. Rul. 82-156 in accord.  PLR </w:t>
      </w:r>
      <w:r w:rsidRPr="00C71B81">
        <w:t>8836023</w:t>
      </w:r>
      <w:r>
        <w:t>:</w:t>
      </w:r>
      <w:r w:rsidRPr="00C71B81">
        <w:rPr>
          <w:rFonts w:ascii="Arial" w:hAnsi="Arial" w:cs="Arial"/>
          <w:sz w:val="24"/>
          <w:szCs w:val="24"/>
        </w:rPr>
        <w:t xml:space="preserve"> </w:t>
      </w:r>
      <w:r>
        <w:rPr>
          <w:rFonts w:ascii="Arial" w:hAnsi="Arial" w:cs="Arial"/>
          <w:sz w:val="24"/>
          <w:szCs w:val="24"/>
        </w:rPr>
        <w:t>“</w:t>
      </w:r>
      <w:r w:rsidRPr="00C71B81">
        <w:t>In the present case, the descendants of the trustor who are the beneficiaries of the trust will be given a testamentary power to appoint to the creditors of the beneficiaries estates or to the beneficiaries' own descendants, or partially in favor of one or more persons from both classes of beneficiaries. The power of appointment that will be given to the beneficiaries will be a general power of appoint because they have a power to appoint to the creditors of their estates. Since the entire trust corpus will be subject to disposition through the exercise of the power the beneficiaries' estates shall include the value of all property subject to the general power of appointment.</w:t>
      </w:r>
      <w:r>
        <w:t>”</w:t>
      </w:r>
      <w:r w:rsidR="000D12E7">
        <w:t xml:space="preserve">  Despit</w:t>
      </w:r>
      <w:r w:rsidR="00DF104A">
        <w:t xml:space="preserve">e the plain language of the statute and the above authority, there are some who </w:t>
      </w:r>
      <w:r w:rsidR="008037B8">
        <w:t xml:space="preserve">bizarrely </w:t>
      </w:r>
      <w:r w:rsidR="00DF104A">
        <w:t>claim that a power to appoint to c</w:t>
      </w:r>
      <w:r w:rsidR="008037B8">
        <w:t>reditors is only a general power to the extent that someone’s debt.  Good luck with that argument!</w:t>
      </w:r>
      <w:r w:rsidR="001F43BB">
        <w:t xml:space="preserve">  Some</w:t>
      </w:r>
      <w:r w:rsidR="00C82C35">
        <w:t xml:space="preserve">one can always create a </w:t>
      </w:r>
      <w:r w:rsidR="003735C7">
        <w:t>cr</w:t>
      </w:r>
      <w:r w:rsidR="00D153B6">
        <w:t>editor</w:t>
      </w:r>
      <w:r w:rsidR="00A93447">
        <w:t xml:space="preserve"> </w:t>
      </w:r>
      <w:r w:rsidR="00C04C38">
        <w:t xml:space="preserve">and debt </w:t>
      </w:r>
      <w:r w:rsidR="00A93447">
        <w:t xml:space="preserve">through </w:t>
      </w:r>
      <w:r w:rsidR="00D76062">
        <w:t>a simple contract</w:t>
      </w:r>
      <w:r w:rsidR="00C04C38">
        <w:t xml:space="preserve"> with infinitesimal consideration</w:t>
      </w:r>
      <w:r w:rsidR="00D76062">
        <w:t>, which is why Congress deemed such a power to be the equivalent of outright ownership.</w:t>
      </w:r>
    </w:p>
  </w:footnote>
  <w:footnote w:id="89">
    <w:p w14:paraId="2EC28526" w14:textId="7B52E1E1" w:rsidR="00D53D4F" w:rsidRDefault="00D53D4F" w:rsidP="002D24F1">
      <w:pPr>
        <w:pStyle w:val="FootnoteText"/>
        <w:spacing w:before="120" w:after="120"/>
      </w:pPr>
      <w:r>
        <w:rPr>
          <w:rStyle w:val="FootnoteReference"/>
        </w:rPr>
        <w:footnoteRef/>
      </w:r>
      <w:r>
        <w:t xml:space="preserve"> IRC §2041(b)(1)(C)(ii), Treas. Reg. §20.2041-3(c)(2)</w:t>
      </w:r>
      <w:r w:rsidR="00181722">
        <w:t>: “</w:t>
      </w:r>
      <w:r w:rsidR="00181722" w:rsidRPr="00181722">
        <w:t>Such power is not considered a general power of appointment if it is not exercisable by the decedent except with the consent or joinder of a person having a substantial interest in the property subject to the power which is adverse to the exercise of the power in favor of the decedent, his estate, his creditors, or the creditors of his estate. An interest adverse to the exercise of a power is considered as substantial if its value in relation to the total value of the property subject to the power is not insignificant.</w:t>
      </w:r>
      <w:r w:rsidR="004D1F2E">
        <w:t>”</w:t>
      </w:r>
      <w:r w:rsidRPr="007839DB">
        <w:t xml:space="preserve"> </w:t>
      </w:r>
      <w:r>
        <w:t>As for spousal POAs, see also Rev. Rul. 82-156.</w:t>
      </w:r>
    </w:p>
  </w:footnote>
  <w:footnote w:id="90">
    <w:p w14:paraId="777ADB4B" w14:textId="77777777" w:rsidR="00D53D4F" w:rsidRDefault="00D53D4F" w:rsidP="002D24F1">
      <w:pPr>
        <w:pStyle w:val="FootnoteText"/>
        <w:spacing w:after="120"/>
      </w:pPr>
      <w:r>
        <w:rPr>
          <w:rStyle w:val="FootnoteReference"/>
        </w:rPr>
        <w:footnoteRef/>
      </w:r>
      <w:r>
        <w:t xml:space="preserve"> Paraphrasing </w:t>
      </w:r>
      <w:r w:rsidRPr="0046625F">
        <w:rPr>
          <w:i/>
        </w:rPr>
        <w:t>Estate of Towle v. Commissioner</w:t>
      </w:r>
      <w:r>
        <w:t>, 54 T.C. 368 (1970), which found that a corporate trustee was not adverse despite its duties to remaindermen who were.</w:t>
      </w:r>
      <w:r w:rsidRPr="002C6B65">
        <w:rPr>
          <w:rFonts w:ascii="Calibri" w:eastAsiaTheme="minorHAnsi" w:hAnsi="Calibri"/>
          <w:sz w:val="22"/>
          <w:szCs w:val="22"/>
        </w:rPr>
        <w:t xml:space="preserve"> </w:t>
      </w:r>
      <w:r>
        <w:t>To be adverse, the party must have a</w:t>
      </w:r>
      <w:r>
        <w:rPr>
          <w:rFonts w:ascii="Verdana" w:hAnsi="Verdana"/>
          <w:color w:val="333333"/>
          <w:sz w:val="17"/>
          <w:szCs w:val="17"/>
        </w:rPr>
        <w:t xml:space="preserve"> </w:t>
      </w:r>
      <w:r w:rsidRPr="000E0858">
        <w:rPr>
          <w:color w:val="333333"/>
        </w:rPr>
        <w:t>“substantial interest in the property subject to the power which is adverse to the exercise of the [GPOA]”</w:t>
      </w:r>
      <w:r w:rsidRPr="000E0858">
        <w:t>.</w:t>
      </w:r>
      <w:r>
        <w:t xml:space="preserve"> </w:t>
      </w:r>
      <w:r w:rsidRPr="002C6B65">
        <w:t>A taker in default of appointment has an ad</w:t>
      </w:r>
      <w:r>
        <w:t xml:space="preserve">verse interest. </w:t>
      </w:r>
      <w:r w:rsidRPr="00C31A68">
        <w:t xml:space="preserve">An interest is adverse and is considered substantial if its </w:t>
      </w:r>
      <w:r>
        <w:t>“</w:t>
      </w:r>
      <w:r w:rsidRPr="00C31A68">
        <w:t>value in relation to the total value of the property that is subject to the power is not insignificant and is valued in accordance with the actuarial principles of Treas. Reg.</w:t>
      </w:r>
      <w:r>
        <w:t xml:space="preserve"> §</w:t>
      </w:r>
      <w:r w:rsidRPr="00C31A68">
        <w:t>20.2031-7</w:t>
      </w:r>
      <w:r>
        <w:t>”</w:t>
      </w:r>
      <w:r w:rsidRPr="00C31A68">
        <w:t xml:space="preserve">. </w:t>
      </w:r>
      <w:r>
        <w:t>Treas. Reg. §</w:t>
      </w:r>
      <w:r w:rsidRPr="002C6B65">
        <w:t>20.2041-3(c)(2).</w:t>
      </w:r>
    </w:p>
  </w:footnote>
  <w:footnote w:id="91">
    <w:p w14:paraId="3F3BB9F1" w14:textId="77777777" w:rsidR="00D53D4F" w:rsidRDefault="00D53D4F">
      <w:pPr>
        <w:pStyle w:val="FootnoteText"/>
      </w:pPr>
      <w:r>
        <w:rPr>
          <w:rStyle w:val="FootnoteReference"/>
        </w:rPr>
        <w:footnoteRef/>
      </w:r>
      <w:r>
        <w:t xml:space="preserve"> Rev. Rul. 79-63 – a somewhat dubious ruling in light of Treas. Reg. §20.2041-3(c)(2), but you can rely on it if you keep your facts close, unlike a PLR.  Key differentiating points in the ruling – first, it was a lifetime power, second, the ruling stated that “</w:t>
      </w:r>
      <w:r w:rsidRPr="00E75E1F">
        <w:t>If, however, A</w:t>
      </w:r>
      <w:r>
        <w:t xml:space="preserve"> (the consenting child who was a remainderman and potential appointee)</w:t>
      </w:r>
      <w:r w:rsidRPr="00E75E1F">
        <w:t xml:space="preserve"> had been the decedent's only child, A would have had a vested interest in the trust rem</w:t>
      </w:r>
      <w:r>
        <w:t>ainder that would have been sub</w:t>
      </w:r>
      <w:r w:rsidRPr="00E75E1F">
        <w:t>stantially adverse to the exercise of the deced</w:t>
      </w:r>
      <w:r>
        <w:t>ent's lifetime power of appoint</w:t>
      </w:r>
      <w:r w:rsidRPr="00E75E1F">
        <w:t xml:space="preserve">ment. See </w:t>
      </w:r>
      <w:r w:rsidRPr="00B70B9D">
        <w:rPr>
          <w:i/>
          <w:iCs/>
        </w:rPr>
        <w:t>Commissioner v. Prouty</w:t>
      </w:r>
      <w:r w:rsidRPr="00E75E1F">
        <w:t xml:space="preserve">, 115 F.2d 331 (1st Cir. 1940); </w:t>
      </w:r>
      <w:r w:rsidRPr="003F3016">
        <w:rPr>
          <w:i/>
          <w:iCs/>
        </w:rPr>
        <w:t>Newman v. Commissioner</w:t>
      </w:r>
      <w:r>
        <w:t>, 1 T.C. 921 (1943) in such case the child’s interest would be sufficiently adverse.”</w:t>
      </w:r>
    </w:p>
  </w:footnote>
  <w:footnote w:id="92">
    <w:p w14:paraId="71592964" w14:textId="215FAE2E" w:rsidR="00D53D4F" w:rsidRDefault="00D53D4F" w:rsidP="002D24F1">
      <w:pPr>
        <w:pStyle w:val="FootnoteText"/>
        <w:spacing w:before="120" w:after="120"/>
      </w:pPr>
      <w:r>
        <w:rPr>
          <w:rStyle w:val="FootnoteReference"/>
        </w:rPr>
        <w:footnoteRef/>
      </w:r>
      <w:r>
        <w:t xml:space="preserve">  </w:t>
      </w:r>
      <w:r w:rsidR="00DC72AF">
        <w:t>insolven</w:t>
      </w:r>
      <w:r>
        <w:t xml:space="preserve"> However, I prefer naming other non-adverse parties rather than trustees or courts for simplicity in drafting, more certain result and potentially asset protection differences (might a rogue court compel trustee acquiescence based on indirect fiduciary duty?)</w:t>
      </w:r>
    </w:p>
  </w:footnote>
  <w:footnote w:id="93">
    <w:p w14:paraId="0495CF2D" w14:textId="77777777" w:rsidR="00D53D4F" w:rsidRDefault="00D53D4F" w:rsidP="00AF5C7D">
      <w:pPr>
        <w:pStyle w:val="FootnoteText"/>
      </w:pPr>
      <w:r>
        <w:rPr>
          <w:rStyle w:val="FootnoteReference"/>
        </w:rPr>
        <w:footnoteRef/>
      </w:r>
      <w:r>
        <w:t xml:space="preserve"> E.g. </w:t>
      </w:r>
      <w:r w:rsidRPr="008154F6">
        <w:rPr>
          <w:i/>
        </w:rPr>
        <w:t>Midwest Trust Company et al. v. Reed Brinton</w:t>
      </w:r>
      <w:r>
        <w:t xml:space="preserve">, </w:t>
      </w:r>
      <w:r w:rsidRPr="00AF5C7D">
        <w:t>331 P.3d 834 (Kan. Ct. App. Aug. 15, 2014</w:t>
      </w:r>
      <w:r>
        <w:t>), wherein an attempted exercise of a general power was void and ineffective because the powerholder failed to obtain permission of the trust protector as required by the trust instrument, which contained this clause:</w:t>
      </w:r>
      <w:r w:rsidRPr="00AF5C7D">
        <w:rPr>
          <w:rFonts w:ascii="Verdana" w:hAnsi="Verdana"/>
          <w:color w:val="333333"/>
        </w:rPr>
        <w:t xml:space="preserve"> </w:t>
      </w:r>
      <w:r w:rsidRPr="00AF5C7D">
        <w:t xml:space="preserve">"[T]he </w:t>
      </w:r>
      <w:r w:rsidRPr="00AF5C7D">
        <w:rPr>
          <w:i/>
          <w:iCs/>
        </w:rPr>
        <w:t>validity</w:t>
      </w:r>
      <w:r w:rsidRPr="00AF5C7D">
        <w:t xml:space="preserve"> of the exercise of [Wendy's] power of appointment </w:t>
      </w:r>
      <w:r w:rsidRPr="00AF5C7D">
        <w:rPr>
          <w:i/>
          <w:iCs/>
        </w:rPr>
        <w:t>shall be conditioned upon the presentation</w:t>
      </w:r>
      <w:r w:rsidRPr="00AF5C7D">
        <w:t xml:space="preserve"> by [Wendy] of her last Will purporting to exercise such power to the 'Trust Protector' (</w:t>
      </w:r>
      <w:r w:rsidRPr="00AF5C7D">
        <w:rPr>
          <w:i/>
          <w:iCs/>
        </w:rPr>
        <w:t>as hereinafter defined</w:t>
      </w:r>
      <w:r w:rsidRPr="00AF5C7D">
        <w:t>) during the lifetime of [Wendy], and the written approval by such Trust Protector of the proposed exercise after taking into consideration the tax and related consequences thereof, which approval shall not be unreasonably withheld. Any such written approval shall be filed with the records of the trust." (Emphasis added.)</w:t>
      </w:r>
      <w:r>
        <w:t xml:space="preserve">  This is in spite of the fact that the power holder’s attorney who was the successor trust protector approved it, and the acting trust protector never had a chance to.  </w:t>
      </w:r>
    </w:p>
  </w:footnote>
  <w:footnote w:id="94">
    <w:p w14:paraId="0239AFEB" w14:textId="77777777" w:rsidR="00D53D4F" w:rsidRDefault="00D53D4F" w:rsidP="005F5A52">
      <w:pPr>
        <w:pStyle w:val="FootnoteText"/>
        <w:spacing w:before="120"/>
      </w:pPr>
      <w:r>
        <w:rPr>
          <w:rStyle w:val="FootnoteReference"/>
        </w:rPr>
        <w:footnoteRef/>
      </w:r>
      <w:r>
        <w:t xml:space="preserve"> </w:t>
      </w:r>
      <w:r w:rsidRPr="00D3124A">
        <w:rPr>
          <w:i/>
        </w:rPr>
        <w:t>Picciano v. United States</w:t>
      </w:r>
      <w:r w:rsidRPr="00D3124A">
        <w:t>, 532 F. Supp. 246 (S.D. Ohio 1981)</w:t>
      </w:r>
      <w:r>
        <w:t>.</w:t>
      </w:r>
    </w:p>
  </w:footnote>
  <w:footnote w:id="95">
    <w:p w14:paraId="7A1E712E" w14:textId="77777777" w:rsidR="00D53D4F" w:rsidRDefault="00D53D4F" w:rsidP="005F5A52">
      <w:pPr>
        <w:pStyle w:val="FootnoteText"/>
        <w:spacing w:before="120"/>
      </w:pPr>
      <w:r>
        <w:rPr>
          <w:rStyle w:val="FootnoteReference"/>
        </w:rPr>
        <w:footnoteRef/>
      </w:r>
      <w:r>
        <w:t xml:space="preserve"> Id.</w:t>
      </w:r>
    </w:p>
  </w:footnote>
  <w:footnote w:id="96">
    <w:p w14:paraId="7CE8F55C" w14:textId="77777777" w:rsidR="00D53D4F" w:rsidRDefault="00D53D4F" w:rsidP="002D24F1">
      <w:pPr>
        <w:pStyle w:val="FootnoteText"/>
        <w:spacing w:before="120" w:after="120"/>
      </w:pPr>
      <w:r>
        <w:rPr>
          <w:rStyle w:val="FootnoteReference"/>
        </w:rPr>
        <w:footnoteRef/>
      </w:r>
      <w:r>
        <w:t xml:space="preserve"> Treas. Reg. §20.2041-3(b).</w:t>
      </w:r>
    </w:p>
  </w:footnote>
  <w:footnote w:id="97">
    <w:p w14:paraId="1019C0BD" w14:textId="77777777" w:rsidR="00D53D4F" w:rsidRDefault="00D53D4F">
      <w:pPr>
        <w:pStyle w:val="FootnoteText"/>
      </w:pPr>
      <w:r>
        <w:rPr>
          <w:rStyle w:val="FootnoteReference"/>
        </w:rPr>
        <w:footnoteRef/>
      </w:r>
      <w:r>
        <w:t xml:space="preserve"> See PLR 2012-03033, and discussion thereof in separate IRA “see through trust” checklist CLE materials developed by author.  This PLR addressed the effect of a release creating such a limitation for “see through trust” purposes of identifying the oldest beneficiary applicable, but it did not discuss whether, after such a limitation, the power was still a GPOA and what the later tax effects might be.  Pursuant to the plain language of the statute and regulations, it is still a GPOA, but at some point you have to wonder whether the IRS would argue such GPOAs are illusory – how many </w:t>
      </w:r>
      <w:r w:rsidRPr="00965525">
        <w:rPr>
          <w:b/>
          <w:i/>
        </w:rPr>
        <w:t>creditors</w:t>
      </w:r>
      <w:r>
        <w:t xml:space="preserve"> out there are young individuals?  While this trick is probably not good practice for drafting new GPOAs, the counsel submitting this PLR were quite clever and successfully threaded the needle – although the IRS did not rule on that aspect in the PLR, the GST tax will probably still be avoided, because either the remaining power or the completion of the gift caused by the release at death will cause estate inclusion.</w:t>
      </w:r>
    </w:p>
  </w:footnote>
  <w:footnote w:id="98">
    <w:p w14:paraId="4703BEF1" w14:textId="77777777" w:rsidR="00D53D4F" w:rsidRDefault="00D53D4F" w:rsidP="005F5A52">
      <w:pPr>
        <w:pStyle w:val="FootnoteText"/>
        <w:spacing w:before="120" w:after="120"/>
      </w:pPr>
      <w:r>
        <w:rPr>
          <w:rStyle w:val="FootnoteReference"/>
        </w:rPr>
        <w:footnoteRef/>
      </w:r>
      <w:r>
        <w:t xml:space="preserve"> IRC §1014(c), IRC §691.</w:t>
      </w:r>
    </w:p>
  </w:footnote>
  <w:footnote w:id="99">
    <w:p w14:paraId="75C10ACD" w14:textId="77777777" w:rsidR="00D53D4F" w:rsidRDefault="00D53D4F">
      <w:pPr>
        <w:pStyle w:val="FootnoteText"/>
      </w:pPr>
      <w:r>
        <w:rPr>
          <w:rStyle w:val="FootnoteReference"/>
        </w:rPr>
        <w:footnoteRef/>
      </w:r>
      <w:r>
        <w:t xml:space="preserve"> Actually, the </w:t>
      </w:r>
      <w:r w:rsidRPr="00EB69FB">
        <w:rPr>
          <w:i/>
        </w:rPr>
        <w:t>Restatement, Third, Donative Transfers</w:t>
      </w:r>
      <w:r>
        <w:rPr>
          <w:i/>
        </w:rPr>
        <w:t>, §19.2</w:t>
      </w:r>
      <w:r>
        <w:t xml:space="preserve"> discusses the concept of a “fraud upon the power” as voiding any shenanigans to circumvent the intention of the creator of the power by attempting to appoint to impermissible beneficiaries, so extreme manipulations would probably not succeed anyway, but why tempt it?</w:t>
      </w:r>
    </w:p>
  </w:footnote>
  <w:footnote w:id="100">
    <w:p w14:paraId="09C83FDB" w14:textId="77777777" w:rsidR="00D53D4F" w:rsidRDefault="00D53D4F" w:rsidP="002D24F1">
      <w:pPr>
        <w:pStyle w:val="FootnoteText"/>
        <w:spacing w:before="120"/>
      </w:pPr>
      <w:r>
        <w:rPr>
          <w:rStyle w:val="FootnoteReference"/>
        </w:rPr>
        <w:footnoteRef/>
      </w:r>
      <w:r>
        <w:t xml:space="preserve"> A “consenting party” should probably be as liberally found as a GPOA powerholder, following the jurisprudence cited in footnote 81 above that liberally finds such powers to be general.  </w:t>
      </w:r>
    </w:p>
  </w:footnote>
  <w:footnote w:id="101">
    <w:p w14:paraId="62465EE4" w14:textId="77777777" w:rsidR="00D53D4F" w:rsidRPr="00911EF1" w:rsidRDefault="00D53D4F" w:rsidP="00F60826">
      <w:pPr>
        <w:pStyle w:val="FootnoteText"/>
        <w:rPr>
          <w:bCs/>
        </w:rPr>
      </w:pPr>
      <w:r>
        <w:rPr>
          <w:rStyle w:val="FootnoteReference"/>
        </w:rPr>
        <w:footnoteRef/>
      </w:r>
      <w:r>
        <w:t xml:space="preserve"> For a creditor-friendly state, see Cal. Prob. Code §682(b): “</w:t>
      </w:r>
      <w:r w:rsidRPr="002B2E47">
        <w:t xml:space="preserve">Upon the death of the donee, to the extent that the donee’s estate is inadequate to satisfy the claims of creditors of the estate and the expenses of administration of the estate, property subject to a general testamentary power of appointment </w:t>
      </w:r>
      <w:r>
        <w:t>…</w:t>
      </w:r>
      <w:r w:rsidRPr="002B2E47">
        <w:t xml:space="preserve"> is subject to the claims and expenses to the same extent that it would be subject to the claims and expenses if the prope</w:t>
      </w:r>
      <w:r>
        <w:t>rty had been owned by the donee.”</w:t>
      </w:r>
      <w:r w:rsidRPr="00B74FF8">
        <w:t xml:space="preserve">  </w:t>
      </w:r>
      <w:r>
        <w:t>Many more states, however, are debtor-friendly on this point and probably follow common law, see</w:t>
      </w:r>
      <w:r w:rsidRPr="00B74FF8">
        <w:t xml:space="preserve"> </w:t>
      </w:r>
      <w:hyperlink r:id="rId8" w:history="1">
        <w:r w:rsidRPr="00911EF1">
          <w:rPr>
            <w:rStyle w:val="Hyperlink"/>
          </w:rPr>
          <w:t>South Dakota C</w:t>
        </w:r>
        <w:r>
          <w:rPr>
            <w:rStyle w:val="Hyperlink"/>
          </w:rPr>
          <w:t xml:space="preserve">odified </w:t>
        </w:r>
        <w:r w:rsidRPr="00911EF1">
          <w:rPr>
            <w:rStyle w:val="Hyperlink"/>
          </w:rPr>
          <w:t>L</w:t>
        </w:r>
        <w:r>
          <w:rPr>
            <w:rStyle w:val="Hyperlink"/>
          </w:rPr>
          <w:t>aws</w:t>
        </w:r>
        <w:r w:rsidRPr="00911EF1">
          <w:rPr>
            <w:rStyle w:val="Hyperlink"/>
          </w:rPr>
          <w:t xml:space="preserve">  §55-1-26</w:t>
        </w:r>
      </w:hyperlink>
      <w:r w:rsidRPr="00B74FF8">
        <w:t>:  “</w:t>
      </w:r>
      <w:r w:rsidRPr="00A96A95">
        <w:rPr>
          <w:i/>
        </w:rPr>
        <w:t>Judicial foreclosure of beneficial interests, powers of appointment, and reserved powers prohibited-</w:t>
      </w:r>
      <w:r w:rsidRPr="00B74FF8">
        <w:t>-Creditors may not reach powers of appointment or remainder interests.</w:t>
      </w:r>
      <w:r>
        <w:t xml:space="preserve"> </w:t>
      </w:r>
      <w:r w:rsidRPr="00B74FF8">
        <w:t xml:space="preserve"> Regardless of whether or not a trust contains a</w:t>
      </w:r>
      <w:r>
        <w:t xml:space="preserve"> spendthrift provision: (1)</w:t>
      </w:r>
      <w:r w:rsidRPr="00B74FF8">
        <w:t xml:space="preserve"> No beneficial interest, power of appointment, or reserved power in a trust may be judicially fo</w:t>
      </w:r>
      <w:r>
        <w:t>reclosed; (2)</w:t>
      </w:r>
      <w:r w:rsidRPr="00B74FF8">
        <w:t xml:space="preserve"> No creditor may reach a power of appointment or a remainder interest at the trust level. The creditor shall wait until the funds are distributed before the creditor m</w:t>
      </w:r>
      <w:r>
        <w:t>ay reach the funds; and (3)</w:t>
      </w:r>
      <w:r w:rsidRPr="00B74FF8">
        <w:t xml:space="preserve"> No power of appointment is a property interest.”  </w:t>
      </w:r>
      <w:r>
        <w:rPr>
          <w:bCs/>
        </w:rPr>
        <w:t xml:space="preserve">Rhode Island: </w:t>
      </w:r>
      <w:r w:rsidRPr="00A96A95">
        <w:rPr>
          <w:bCs/>
        </w:rPr>
        <w:t>§ 34-22-13</w:t>
      </w:r>
      <w:r>
        <w:rPr>
          <w:bCs/>
        </w:rPr>
        <w:t>:</w:t>
      </w:r>
      <w:r w:rsidRPr="00A96A95">
        <w:rPr>
          <w:bCs/>
        </w:rPr>
        <w:t xml:space="preserve"> </w:t>
      </w:r>
      <w:r>
        <w:rPr>
          <w:bCs/>
        </w:rPr>
        <w:t>“</w:t>
      </w:r>
      <w:r w:rsidRPr="00A96A95">
        <w:rPr>
          <w:bCs/>
          <w:i/>
        </w:rPr>
        <w:t>Powers as subjecting property to creditors</w:t>
      </w:r>
      <w:r>
        <w:rPr>
          <w:bCs/>
        </w:rPr>
        <w:t xml:space="preserve">: </w:t>
      </w:r>
      <w:r w:rsidRPr="00A96A95">
        <w:rPr>
          <w:bCs/>
        </w:rPr>
        <w:t>Except to the extent that a donee shall appoint to his or her estate or to his or her creditors, §§ 34-22-11 and 34-22-12 shall not be construed to subject to the claims of creditors of the donee the property which the donee is authorized to appoint.</w:t>
      </w:r>
      <w:r>
        <w:rPr>
          <w:bCs/>
        </w:rPr>
        <w:t>” Similar, Alaska</w:t>
      </w:r>
      <w:r w:rsidRPr="00AB3B88">
        <w:t xml:space="preserve"> </w:t>
      </w:r>
      <w:r w:rsidRPr="00AB3B88">
        <w:rPr>
          <w:bCs/>
        </w:rPr>
        <w:t>Stat. § 34.40.115</w:t>
      </w:r>
      <w:r>
        <w:rPr>
          <w:bCs/>
        </w:rPr>
        <w:t>, New York:</w:t>
      </w:r>
      <w:r w:rsidRPr="00601967">
        <w:t xml:space="preserve"> </w:t>
      </w:r>
      <w:hyperlink r:id="rId9" w:history="1">
        <w:r w:rsidRPr="00450819">
          <w:rPr>
            <w:rStyle w:val="Hyperlink"/>
            <w:bCs/>
          </w:rPr>
          <w:t>N.Y. EPTL § 10-7.4</w:t>
        </w:r>
      </w:hyperlink>
      <w:r>
        <w:rPr>
          <w:bCs/>
        </w:rPr>
        <w:t xml:space="preserve">.  </w:t>
      </w:r>
      <w:hyperlink r:id="rId10" w:history="1">
        <w:r w:rsidRPr="00911EF1">
          <w:rPr>
            <w:rStyle w:val="Hyperlink"/>
            <w:bCs/>
          </w:rPr>
          <w:t>Mo. Rev. Stat § 456.1105</w:t>
        </w:r>
      </w:hyperlink>
      <w:r>
        <w:rPr>
          <w:bCs/>
        </w:rPr>
        <w:t>: “</w:t>
      </w:r>
      <w:r w:rsidRPr="00911EF1">
        <w:rPr>
          <w:bCs/>
        </w:rPr>
        <w:t>2.  Appointive property subject to testamentary or not presently exercisable general power of appointment created by a person other than the powerholder is not subject to a claim of a creditor of the powerholder or the powerholder’s estate.</w:t>
      </w:r>
      <w:r>
        <w:rPr>
          <w:bCs/>
        </w:rPr>
        <w:t xml:space="preserve">”  </w:t>
      </w:r>
      <w:hyperlink r:id="rId11" w:history="1">
        <w:r w:rsidRPr="00450819">
          <w:rPr>
            <w:rStyle w:val="Hyperlink"/>
            <w:bCs/>
          </w:rPr>
          <w:t>Va. Code §§ 64.2-2736</w:t>
        </w:r>
      </w:hyperlink>
      <w:r>
        <w:rPr>
          <w:bCs/>
        </w:rPr>
        <w:t>: “</w:t>
      </w:r>
      <w:r w:rsidRPr="00450819">
        <w:rPr>
          <w:bCs/>
        </w:rPr>
        <w:t>B. Appointive property subject to a general power of appointment exercisable at the powerholder’s death is not subject to a claim of a creditor of the powerholder or the powerholder’s estate except to the extent that the power is exercised in favor of the powerholder’s estate</w:t>
      </w:r>
      <w:r>
        <w:rPr>
          <w:bCs/>
        </w:rPr>
        <w:t>.”</w:t>
      </w:r>
      <w:r w:rsidRPr="00010143">
        <w:t xml:space="preserve"> </w:t>
      </w:r>
      <w:hyperlink r:id="rId12" w:anchor="stat.502.86" w:history="1">
        <w:r w:rsidRPr="00010143">
          <w:rPr>
            <w:rStyle w:val="Hyperlink"/>
          </w:rPr>
          <w:t>Minn. Stat. § 502.86, Subd. 4</w:t>
        </w:r>
      </w:hyperlink>
      <w:r>
        <w:t>: “General power not presently exercisable. Property that is covered by a general power of appointment which, when created, is not presently exercisable, is subject to the payment of the claims of creditors of the donee, the donee's estate, and the expenses of administering the donee's estate only if:(1) the power was created by the donee in favor of the donee; or (2) a postponed power becomes exercisable in accordance with the terms of the creating instrument, except in the case of a testamentary general power.”</w:t>
      </w:r>
      <w:r w:rsidRPr="00D1264B">
        <w:t xml:space="preserve"> </w:t>
      </w:r>
      <w:hyperlink r:id="rId13" w:history="1">
        <w:r w:rsidRPr="00D1264B">
          <w:rPr>
            <w:rStyle w:val="Hyperlink"/>
          </w:rPr>
          <w:t>Utah Code § 75-1-502</w:t>
        </w:r>
      </w:hyperlink>
      <w:r>
        <w:t>: “</w:t>
      </w:r>
      <w:r w:rsidRPr="00D1264B">
        <w:t>(1) The property subject to a general or a nongeneral power of appointment not created by the powerholder, including a presently exercisable general or nongeneral power of appointment, is exempt from a claim of a creditor of the powerholder or the powerholder's estate. The powerholder of such a power may not be compelled to exercise the power and the powerholder's creditors may not acquire the power, any rights thereto, or reach the trust property or beneficial interests by any other means. A court may not exercise or require the powerholder to exercise the power of appointment</w:t>
      </w:r>
      <w:r>
        <w:t xml:space="preserve">.” </w:t>
      </w:r>
      <w:r>
        <w:rPr>
          <w:bCs/>
        </w:rPr>
        <w:t>See also Mich. Comp. Laws § 556.116 (testamentary general power is accessible only if the power holder exercises or manifests an intent to exercise) and §556.123 (a general power held at death is accessible by the personal representative for creditors regardless of whether the power was ever exercised).</w:t>
      </w:r>
    </w:p>
  </w:footnote>
  <w:footnote w:id="102">
    <w:p w14:paraId="40B342B8" w14:textId="7D6C63F2" w:rsidR="00D53D4F" w:rsidRDefault="00D53D4F" w:rsidP="002D24F1">
      <w:pPr>
        <w:pStyle w:val="FootnoteText"/>
        <w:spacing w:before="120"/>
      </w:pPr>
      <w:r>
        <w:rPr>
          <w:rStyle w:val="FootnoteReference"/>
        </w:rPr>
        <w:footnoteRef/>
      </w:r>
      <w:r>
        <w:t xml:space="preserve"> </w:t>
      </w:r>
      <w:r w:rsidR="00D308FF" w:rsidRPr="00F60826">
        <w:t xml:space="preserve">11 U.S.C. </w:t>
      </w:r>
      <w:r w:rsidR="00D308FF">
        <w:t>§</w:t>
      </w:r>
      <w:r w:rsidR="00D308FF" w:rsidRPr="00F60826">
        <w:t>541(c)(2)</w:t>
      </w:r>
      <w:r w:rsidR="00D308FF">
        <w:t xml:space="preserve">.  </w:t>
      </w:r>
      <w:r w:rsidRPr="00F60826">
        <w:t>For bankruptcy case</w:t>
      </w:r>
      <w:r w:rsidR="00120522">
        <w:t>s</w:t>
      </w:r>
      <w:r w:rsidRPr="00F60826">
        <w:t xml:space="preserve"> discussing why non-presently exercisable (testamentary) and non-general powers do not </w:t>
      </w:r>
      <w:r w:rsidR="00D12374">
        <w:t xml:space="preserve">usually </w:t>
      </w:r>
      <w:r w:rsidRPr="00F60826">
        <w:t xml:space="preserve">cause inclusion of appointive assets in </w:t>
      </w:r>
      <w:r>
        <w:t>a</w:t>
      </w:r>
      <w:r w:rsidRPr="00F60826">
        <w:t xml:space="preserve"> </w:t>
      </w:r>
      <w:r w:rsidRPr="006E13C7">
        <w:rPr>
          <w:i/>
        </w:rPr>
        <w:t>bankruptcy</w:t>
      </w:r>
      <w:r w:rsidRPr="00F60826">
        <w:t xml:space="preserve"> estate, see </w:t>
      </w:r>
      <w:r w:rsidRPr="00F60826">
        <w:rPr>
          <w:i/>
        </w:rPr>
        <w:t>Casey v. Schneider (In re Behan)</w:t>
      </w:r>
      <w:r w:rsidRPr="00F60826">
        <w:t>, 506 B.R. 8 (Bankr. D. Mass. 2014), as well as</w:t>
      </w:r>
      <w:r w:rsidR="00DB0CC4">
        <w:t xml:space="preserve"> </w:t>
      </w:r>
      <w:r w:rsidRPr="00A92E22">
        <w:rPr>
          <w:i/>
        </w:rPr>
        <w:t>In re Kinsler</w:t>
      </w:r>
      <w:r w:rsidRPr="00A92E22">
        <w:t>, 24 B.R. 962 (Bankr. N.D. Ga. 1982)</w:t>
      </w:r>
      <w:r>
        <w:t xml:space="preserve">. </w:t>
      </w:r>
    </w:p>
  </w:footnote>
  <w:footnote w:id="103">
    <w:p w14:paraId="3E22E48E" w14:textId="532CECCF" w:rsidR="00EA2F49" w:rsidRDefault="00EA2F49">
      <w:pPr>
        <w:pStyle w:val="FootnoteText"/>
      </w:pPr>
      <w:r>
        <w:rPr>
          <w:rStyle w:val="FootnoteReference"/>
        </w:rPr>
        <w:footnoteRef/>
      </w:r>
      <w:r>
        <w:t xml:space="preserve"> </w:t>
      </w:r>
      <w:r w:rsidR="0027119C">
        <w:t>As of January 2022,</w:t>
      </w:r>
      <w:r w:rsidR="00656783" w:rsidRPr="00656783">
        <w:t xml:space="preserve"> </w:t>
      </w:r>
      <w:r w:rsidR="00656783">
        <w:t xml:space="preserve">the </w:t>
      </w:r>
      <w:r w:rsidR="00656783" w:rsidRPr="00656783">
        <w:t>Uniform Power of Appointment Act</w:t>
      </w:r>
      <w:r w:rsidR="00656783">
        <w:t xml:space="preserve"> has been</w:t>
      </w:r>
      <w:r w:rsidR="0027119C">
        <w:t xml:space="preserve"> </w:t>
      </w:r>
      <w:r w:rsidR="00625D39">
        <w:t>p</w:t>
      </w:r>
      <w:r w:rsidR="0027119C" w:rsidRPr="0027119C">
        <w:t>assed in Colorado, Illinois, Kentucky, Missouri, Montana, Nebraska, Nevada, New Mexico, North Carolina, Utah, Virginia, Washington.</w:t>
      </w:r>
      <w:r w:rsidR="00625D39">
        <w:t xml:space="preserve">  See </w:t>
      </w:r>
      <w:hyperlink r:id="rId14" w:history="1">
        <w:r w:rsidR="00625D39" w:rsidRPr="00366C3B">
          <w:rPr>
            <w:rStyle w:val="Hyperlink"/>
          </w:rPr>
          <w:t>www.uniformlaws.org</w:t>
        </w:r>
      </w:hyperlink>
      <w:r w:rsidR="00625D39">
        <w:t>.  However, because it is a creditor-friendly change of common law, some states may modif</w:t>
      </w:r>
      <w:r w:rsidR="004163C8">
        <w:t>y the sections that do so, for example, Colorado omitted Section 5 of the Act</w:t>
      </w:r>
      <w:r w:rsidR="006036FE">
        <w:t xml:space="preserve"> which would have changed that.</w:t>
      </w:r>
      <w:r w:rsidR="001D78C7">
        <w:t xml:space="preserve">  I have not checked every state to see which others may have modified this.</w:t>
      </w:r>
    </w:p>
  </w:footnote>
  <w:footnote w:id="104">
    <w:p w14:paraId="38136A48" w14:textId="3F967131" w:rsidR="00D53D4F" w:rsidRDefault="00D53D4F" w:rsidP="002D24F1">
      <w:pPr>
        <w:pStyle w:val="FootnoteText"/>
        <w:spacing w:before="120"/>
      </w:pPr>
      <w:r>
        <w:rPr>
          <w:rStyle w:val="FootnoteReference"/>
        </w:rPr>
        <w:footnoteRef/>
      </w:r>
      <w:r>
        <w:t xml:space="preserve"> </w:t>
      </w:r>
      <w:r w:rsidRPr="00F60826">
        <w:rPr>
          <w:i/>
        </w:rPr>
        <w:t>Restatement of Property, Second, Donative Transfers</w:t>
      </w:r>
      <w:r w:rsidRPr="00AF4DFF">
        <w:t>, §13.2</w:t>
      </w:r>
      <w:r w:rsidR="008C765D">
        <w:t xml:space="preserve">.  Consistent with the Second Restatement is </w:t>
      </w:r>
      <w:r w:rsidR="008C765D" w:rsidRPr="00157665">
        <w:rPr>
          <w:i/>
          <w:iCs/>
        </w:rPr>
        <w:t>Page on the Law of Wills</w:t>
      </w:r>
      <w:r w:rsidR="007B79D8">
        <w:t xml:space="preserve"> </w:t>
      </w:r>
      <w:r w:rsidR="007B79D8" w:rsidRPr="007B79D8">
        <w:t>§</w:t>
      </w:r>
      <w:r w:rsidR="007B79D8">
        <w:t>45.24 (3d Ed.</w:t>
      </w:r>
      <w:r w:rsidR="00EC5E69">
        <w:t xml:space="preserve"> 1962), </w:t>
      </w:r>
      <w:r w:rsidR="00EC5E69" w:rsidRPr="00157665">
        <w:rPr>
          <w:i/>
          <w:iCs/>
        </w:rPr>
        <w:t>Scott and Fratcher, The Law on Trusts</w:t>
      </w:r>
      <w:r w:rsidR="00EC5E69">
        <w:t xml:space="preserve"> </w:t>
      </w:r>
      <w:r w:rsidR="00EC5E69" w:rsidRPr="00EC5E69">
        <w:t>§</w:t>
      </w:r>
      <w:r w:rsidR="00157665">
        <w:t>147.3 (4</w:t>
      </w:r>
      <w:r w:rsidR="00157665" w:rsidRPr="00157665">
        <w:rPr>
          <w:vertAlign w:val="superscript"/>
        </w:rPr>
        <w:t>th</w:t>
      </w:r>
      <w:r w:rsidR="00157665">
        <w:t xml:space="preserve"> Ed. 1987).</w:t>
      </w:r>
    </w:p>
  </w:footnote>
  <w:footnote w:id="105">
    <w:p w14:paraId="5BE11309" w14:textId="77777777" w:rsidR="00D53D4F" w:rsidRPr="00952F40" w:rsidRDefault="00D53D4F" w:rsidP="002D24F1">
      <w:pPr>
        <w:pStyle w:val="FootnoteText"/>
        <w:spacing w:before="120"/>
      </w:pPr>
      <w:r>
        <w:rPr>
          <w:rStyle w:val="FootnoteReference"/>
        </w:rPr>
        <w:footnoteRef/>
      </w:r>
      <w:r>
        <w:t xml:space="preserve"> </w:t>
      </w:r>
      <w:r w:rsidRPr="00F60826">
        <w:rPr>
          <w:i/>
        </w:rPr>
        <w:t xml:space="preserve">Restatement of Property, Second, Donative Transfers, </w:t>
      </w:r>
      <w:bookmarkStart w:id="2" w:name="_Hlk95059440"/>
      <w:r w:rsidRPr="00952F40">
        <w:t>§</w:t>
      </w:r>
      <w:bookmarkEnd w:id="2"/>
      <w:r w:rsidRPr="00952F40">
        <w:t xml:space="preserve">13.4.  </w:t>
      </w:r>
    </w:p>
  </w:footnote>
  <w:footnote w:id="106">
    <w:p w14:paraId="64A43A07" w14:textId="1CE4A4EF" w:rsidR="00D53D4F" w:rsidRDefault="00D53D4F" w:rsidP="002D24F1">
      <w:pPr>
        <w:pStyle w:val="FootnoteText"/>
        <w:spacing w:before="120"/>
      </w:pPr>
      <w:r>
        <w:rPr>
          <w:rStyle w:val="FootnoteReference"/>
        </w:rPr>
        <w:footnoteRef/>
      </w:r>
      <w:r>
        <w:t xml:space="preserve"> </w:t>
      </w:r>
      <w:r w:rsidRPr="00F60826">
        <w:rPr>
          <w:i/>
        </w:rPr>
        <w:t>Uniform Power of Appointment Act, §502</w:t>
      </w:r>
      <w:r w:rsidRPr="00F60826">
        <w:t xml:space="preserve"> at </w:t>
      </w:r>
      <w:hyperlink r:id="rId15" w:history="1">
        <w:r w:rsidRPr="003E633D">
          <w:rPr>
            <w:rStyle w:val="Hyperlink"/>
          </w:rPr>
          <w:t>www.uninformlaws.org</w:t>
        </w:r>
      </w:hyperlink>
      <w:r>
        <w:t>, based largely on</w:t>
      </w:r>
      <w:r w:rsidRPr="00F60826">
        <w:t xml:space="preserve"> </w:t>
      </w:r>
      <w:r w:rsidRPr="00D413C0">
        <w:rPr>
          <w:i/>
        </w:rPr>
        <w:t>Restatement of Property, Third, Donative Transfers</w:t>
      </w:r>
      <w:r>
        <w:t>, §22.3.</w:t>
      </w:r>
      <w:r w:rsidRPr="00952F40">
        <w:t xml:space="preserve"> The </w:t>
      </w:r>
      <w:r w:rsidRPr="00D413C0">
        <w:rPr>
          <w:i/>
        </w:rPr>
        <w:t>Restatement (Third) of Trusts, §56, Comment b</w:t>
      </w:r>
      <w:r>
        <w:t>,</w:t>
      </w:r>
      <w:r w:rsidRPr="00952F40">
        <w:t xml:space="preserve"> </w:t>
      </w:r>
      <w:r>
        <w:t xml:space="preserve">also attempts to create a creditor-friendly deviation from the Second Restatement and </w:t>
      </w:r>
      <w:r w:rsidRPr="00952F40">
        <w:t>echoes this as well: “A general power to appoint only by will (or by other instrument that is revocable during life) does not give the donee the equivalent of ownership of the appointive assets. Hence, it does not enable creditors of the donee to reach the trust remainder during the donee's lifetime. The advantages of such a power, however, are sufficiently close to beneficial ownership when the power becomes exercisable upon the donee's death that the appointive assets can then be reached to satisfy creditors' claims and other obligations of the deceased donee's estate.</w:t>
      </w:r>
      <w:r>
        <w:t>”</w:t>
      </w:r>
    </w:p>
  </w:footnote>
  <w:footnote w:id="107">
    <w:p w14:paraId="0B52FEC1" w14:textId="77777777" w:rsidR="00D53D4F" w:rsidRDefault="00D53D4F" w:rsidP="00677190">
      <w:pPr>
        <w:pStyle w:val="FootnoteText"/>
        <w:spacing w:before="120"/>
      </w:pPr>
      <w:r>
        <w:rPr>
          <w:rStyle w:val="FootnoteReference"/>
        </w:rPr>
        <w:footnoteRef/>
      </w:r>
      <w:r>
        <w:t xml:space="preserve"> </w:t>
      </w:r>
      <w:r w:rsidRPr="00521CA5">
        <w:t>See Uniform Probate Code §6-102, comment 3: “The def</w:t>
      </w:r>
      <w:r>
        <w:t>inition of ‘</w:t>
      </w:r>
      <w:r w:rsidRPr="00521CA5">
        <w:t>nonprobate transfer</w:t>
      </w:r>
      <w:r>
        <w:t>’</w:t>
      </w:r>
      <w:r w:rsidRPr="00521CA5">
        <w:t xml:space="preserve"> in subsection (a) includes revocable transfers by a decedent; </w:t>
      </w:r>
      <w:r w:rsidRPr="000B6877">
        <w:rPr>
          <w:i/>
        </w:rPr>
        <w:t>it does not include a transfer at death incident to a decedent’s exercise or non-exercise of a presently exercisable general power of appointment created by another person</w:t>
      </w:r>
      <w:r w:rsidRPr="00521CA5">
        <w:t>. The drafters decided against including such powers even though presently exercisable general powers of appointment are subject to the Code’s augmented estate provisions dealing with protection of a surviving spouse from disinheritance. Spousal protection against disinheritance by the other spouse supports the institution of marriage; creditors are better able to fend for themselves than financially disadvantaged surviving spouses. In addition, a presently exercisable general power of appointment created by another person is commonly viewed as a provision in the trust creator’s instrument designed to provide flexibility in the estate plan rather than as a gift to the donee.”</w:t>
      </w:r>
    </w:p>
  </w:footnote>
  <w:footnote w:id="108">
    <w:p w14:paraId="0A03EE49" w14:textId="77777777" w:rsidR="00D53D4F" w:rsidRDefault="00D53D4F" w:rsidP="00677190">
      <w:pPr>
        <w:pStyle w:val="FootnoteText"/>
        <w:spacing w:before="120"/>
      </w:pPr>
      <w:r>
        <w:rPr>
          <w:rStyle w:val="FootnoteReference"/>
        </w:rPr>
        <w:footnoteRef/>
      </w:r>
      <w:r>
        <w:t xml:space="preserve"> See discussion of PLR </w:t>
      </w:r>
      <w:r w:rsidRPr="00851EA4">
        <w:t>9110054</w:t>
      </w:r>
      <w:r>
        <w:t xml:space="preserve"> in section III.m. below and sample clauses in appendix.</w:t>
      </w:r>
    </w:p>
  </w:footnote>
  <w:footnote w:id="109">
    <w:p w14:paraId="53D91486" w14:textId="77777777" w:rsidR="00D53D4F" w:rsidRDefault="00D53D4F" w:rsidP="005F5A52">
      <w:pPr>
        <w:pStyle w:val="FootnoteText"/>
        <w:spacing w:before="120" w:after="120"/>
      </w:pPr>
      <w:r>
        <w:rPr>
          <w:rStyle w:val="FootnoteReference"/>
        </w:rPr>
        <w:footnoteRef/>
      </w:r>
      <w:r>
        <w:t xml:space="preserve"> Some states may have related case law not even in the Restatement, such as the Ohio Supreme Court’s decision in </w:t>
      </w:r>
      <w:r w:rsidRPr="00AC16DE">
        <w:rPr>
          <w:i/>
        </w:rPr>
        <w:t>Schofield v. Cleveland Trust Co.</w:t>
      </w:r>
      <w:r w:rsidRPr="00AC16DE">
        <w:t>, 21</w:t>
      </w:r>
      <w:r>
        <w:t xml:space="preserve"> N.E.2d 119 (Ohio 1939), protecting non-probate revocable trust assets from probate estate creditors</w:t>
      </w:r>
    </w:p>
  </w:footnote>
  <w:footnote w:id="110">
    <w:p w14:paraId="49F546C0" w14:textId="77777777" w:rsidR="00D53D4F" w:rsidRDefault="00D53D4F" w:rsidP="00F404E2">
      <w:pPr>
        <w:pStyle w:val="FootnoteText"/>
        <w:spacing w:after="120"/>
      </w:pPr>
      <w:r>
        <w:rPr>
          <w:rStyle w:val="FootnoteReference"/>
        </w:rPr>
        <w:footnoteRef/>
      </w:r>
      <w:r>
        <w:t xml:space="preserve"> </w:t>
      </w:r>
      <w:hyperlink r:id="rId16" w:history="1">
        <w:r w:rsidRPr="006C2A4B">
          <w:rPr>
            <w:rStyle w:val="Hyperlink"/>
          </w:rPr>
          <w:t>http://tornado.state.co.us/gov_dir/leg_dir/olls/sl2014a/sl_209.htm</w:t>
        </w:r>
      </w:hyperlink>
      <w:r>
        <w:t xml:space="preserve"> (Part 5, which would be Article 5 of the UPAA, being “reserved”).  There is other negative “new law” created by the UPOAA – beware your state passing.</w:t>
      </w:r>
    </w:p>
  </w:footnote>
  <w:footnote w:id="111">
    <w:p w14:paraId="61A80712" w14:textId="77777777" w:rsidR="00D53D4F" w:rsidRDefault="00D53D4F" w:rsidP="00F404E2">
      <w:pPr>
        <w:pStyle w:val="FootnoteText"/>
        <w:spacing w:after="120"/>
      </w:pPr>
      <w:r>
        <w:rPr>
          <w:rStyle w:val="FootnoteReference"/>
        </w:rPr>
        <w:footnoteRef/>
      </w:r>
      <w:r>
        <w:t xml:space="preserve"> Utah Code §</w:t>
      </w:r>
      <w:r w:rsidRPr="00CE0CDA">
        <w:t>75-10-502</w:t>
      </w:r>
      <w:r>
        <w:t>.</w:t>
      </w:r>
    </w:p>
  </w:footnote>
  <w:footnote w:id="112">
    <w:p w14:paraId="062416C8" w14:textId="77777777" w:rsidR="00D53D4F" w:rsidRDefault="00D53D4F" w:rsidP="00F404E2">
      <w:pPr>
        <w:pStyle w:val="FootnoteText"/>
        <w:spacing w:after="120"/>
      </w:pPr>
      <w:r>
        <w:rPr>
          <w:rStyle w:val="FootnoteReference"/>
        </w:rPr>
        <w:footnoteRef/>
      </w:r>
      <w:r>
        <w:t xml:space="preserve"> Part V.h. discusses the grantor trust differences of exercise/nonexercise of a GPOA under §1.671-2(e).</w:t>
      </w:r>
    </w:p>
  </w:footnote>
  <w:footnote w:id="113">
    <w:p w14:paraId="318AB6F2" w14:textId="12CE3D16" w:rsidR="00D53D4F" w:rsidRDefault="00D53D4F" w:rsidP="00F404E2">
      <w:pPr>
        <w:pStyle w:val="FootnoteText"/>
        <w:spacing w:after="120"/>
      </w:pPr>
      <w:r>
        <w:rPr>
          <w:rStyle w:val="FootnoteReference"/>
        </w:rPr>
        <w:footnoteRef/>
      </w:r>
      <w:r>
        <w:t xml:space="preserve"> See various clauses in </w:t>
      </w:r>
      <w:r w:rsidR="003A3D4E">
        <w:t>appendix.</w:t>
      </w:r>
      <w:r>
        <w:t xml:space="preserve"> </w:t>
      </w:r>
    </w:p>
  </w:footnote>
  <w:footnote w:id="114">
    <w:p w14:paraId="3DC436CF" w14:textId="51B7E106" w:rsidR="00286BCA" w:rsidRDefault="00286BCA" w:rsidP="003A3D4E">
      <w:pPr>
        <w:pStyle w:val="FootnoteText"/>
        <w:spacing w:after="120"/>
      </w:pPr>
      <w:r>
        <w:rPr>
          <w:rStyle w:val="FootnoteReference"/>
        </w:rPr>
        <w:footnoteRef/>
      </w:r>
      <w:r>
        <w:t xml:space="preserve"> Restatement of Trusts, 3d, §57</w:t>
      </w:r>
      <w:r w:rsidR="007F344A">
        <w:t>, cmt d. Solvency as a condition precedent</w:t>
      </w:r>
    </w:p>
  </w:footnote>
  <w:footnote w:id="115">
    <w:p w14:paraId="319935E9" w14:textId="79F3F2EB" w:rsidR="00D53D4F" w:rsidRDefault="00D53D4F" w:rsidP="00F404E2">
      <w:pPr>
        <w:pStyle w:val="FootnoteText"/>
        <w:spacing w:after="120"/>
      </w:pPr>
      <w:r>
        <w:rPr>
          <w:rStyle w:val="FootnoteReference"/>
        </w:rPr>
        <w:footnoteRef/>
      </w:r>
      <w:r>
        <w:t xml:space="preserve"> E.g.</w:t>
      </w:r>
      <w:r w:rsidR="00303B05">
        <w:t>,</w:t>
      </w:r>
      <w:r>
        <w:t xml:space="preserve"> see Mich. Comp. Laws §556.115(4), which deems it to be exercisable without consent of a deceased or incapacitated party unless the document states otherwise.</w:t>
      </w:r>
    </w:p>
  </w:footnote>
  <w:footnote w:id="116">
    <w:p w14:paraId="5DB5F6DF" w14:textId="77777777" w:rsidR="00D53D4F" w:rsidRDefault="00D53D4F" w:rsidP="00F404E2">
      <w:pPr>
        <w:pStyle w:val="FootnoteText"/>
        <w:spacing w:after="120"/>
      </w:pPr>
      <w:r>
        <w:rPr>
          <w:rStyle w:val="FootnoteReference"/>
        </w:rPr>
        <w:footnoteRef/>
      </w:r>
      <w:r>
        <w:t xml:space="preserve"> 11 U.S.C. §541(b)(1), </w:t>
      </w:r>
      <w:r w:rsidRPr="00253FC2">
        <w:t>Restatement of Property, S</w:t>
      </w:r>
      <w:r>
        <w:t>econd, Donative Transfers, §13.7</w:t>
      </w:r>
    </w:p>
  </w:footnote>
  <w:footnote w:id="117">
    <w:p w14:paraId="28CCB0F0" w14:textId="77777777" w:rsidR="00D53D4F" w:rsidRDefault="00D53D4F" w:rsidP="004D5D2D">
      <w:pPr>
        <w:pStyle w:val="FootnoteText"/>
      </w:pPr>
      <w:r>
        <w:rPr>
          <w:rStyle w:val="FootnoteReference"/>
        </w:rPr>
        <w:footnoteRef/>
      </w:r>
      <w:r>
        <w:t xml:space="preserve"> S</w:t>
      </w:r>
      <w:r w:rsidRPr="00B74FF8">
        <w:t>ee Uniform Probate Code § 2-205(1)(A)</w:t>
      </w:r>
      <w:r>
        <w:t xml:space="preserve">, with Example 1 in the UPC commentary precisely on point.  This section is unaffected by the 2008 proposed amendments to the UPC.  It contrasts with presently exercisable or self-created powers.  Most do not bring third party created </w:t>
      </w:r>
      <w:r w:rsidRPr="007407AB">
        <w:rPr>
          <w:i/>
        </w:rPr>
        <w:t>testamentary</w:t>
      </w:r>
      <w:r>
        <w:t xml:space="preserve"> powers into an augmented estate, unless they were accompanied by </w:t>
      </w:r>
      <w:r w:rsidRPr="009E3A23">
        <w:rPr>
          <w:i/>
        </w:rPr>
        <w:t>presently exercisable</w:t>
      </w:r>
      <w:r>
        <w:t xml:space="preserve"> GPOAs, which would be rare and certainly not recommended herein.  Many state statutes, like Ohio’s which only applies to probate estate assets, have holes in them wide enough to drive a truck through, but even those non-UPC states with broadly inclusive statutes </w:t>
      </w:r>
      <w:r w:rsidRPr="0054552E">
        <w:rPr>
          <w:i/>
        </w:rPr>
        <w:t>exclude</w:t>
      </w:r>
      <w:r>
        <w:t xml:space="preserve"> such appointive assets.  E.g. see Fla. Stat. 732.2045(h), N.Y. EPTL §5-1.1-A(b)(1)(H) and citations in ACTEC’s recently updated (as of December 2017) survey of state spousal elective share statutes</w:t>
      </w:r>
      <w:r w:rsidRPr="001434D5">
        <w:t xml:space="preserve"> </w:t>
      </w:r>
      <w:r>
        <w:t>compiled by attorney Alex S. Tanouye:</w:t>
      </w:r>
      <w:r w:rsidRPr="001434D5">
        <w:t xml:space="preserve"> </w:t>
      </w:r>
      <w:hyperlink r:id="rId17" w:history="1">
        <w:r w:rsidRPr="00B82AE1">
          <w:rPr>
            <w:rStyle w:val="Hyperlink"/>
          </w:rPr>
          <w:t>https://www.actec.org/assets/1/6/Surviving_Spouse%E2%80%99s_Rights_to_Share_in_Deceased_Spouse%E2%80%99s_Estate.pdf</w:t>
        </w:r>
      </w:hyperlink>
      <w:r>
        <w:t xml:space="preserve">.  Since initial publication of this white paper, I did find two statutes that would bring appointive assets under a testamentary general power of appointment under a spousal elective share regime: 1) Michigan, but </w:t>
      </w:r>
      <w:r w:rsidRPr="00874E09">
        <w:rPr>
          <w:i/>
        </w:rPr>
        <w:t>only</w:t>
      </w:r>
      <w:r>
        <w:t xml:space="preserve"> IF the power is exercised or the power holder “manifests an intent to exercise” and meets other requirements – </w:t>
      </w:r>
      <w:hyperlink r:id="rId18" w:history="1">
        <w:r w:rsidRPr="009F5666">
          <w:rPr>
            <w:rStyle w:val="Hyperlink"/>
          </w:rPr>
          <w:t>M</w:t>
        </w:r>
        <w:r>
          <w:rPr>
            <w:rStyle w:val="Hyperlink"/>
          </w:rPr>
          <w:t>I</w:t>
        </w:r>
        <w:r w:rsidRPr="009F5666">
          <w:rPr>
            <w:rStyle w:val="Hyperlink"/>
          </w:rPr>
          <w:t xml:space="preserve"> Comp. Laws §556.116</w:t>
        </w:r>
      </w:hyperlink>
      <w:r>
        <w:t xml:space="preserve"> and 2) Delaware at </w:t>
      </w:r>
      <w:hyperlink r:id="rId19" w:history="1">
        <w:r w:rsidRPr="009F5666">
          <w:rPr>
            <w:rStyle w:val="Hyperlink"/>
          </w:rPr>
          <w:t>12 Del. C. § 902</w:t>
        </w:r>
      </w:hyperlink>
      <w:r>
        <w:t xml:space="preserve"> appears to include everything in the decedent’s gross federal taxable estate in calculating the spousal elective share, which would include appointive assets subject to a general power or limited power triggering the Delaware tax trap.  I have not yet reviewed the new ACTEC survey linked to above.</w:t>
      </w:r>
    </w:p>
    <w:p w14:paraId="4FACBE8E" w14:textId="77777777" w:rsidR="00D53D4F" w:rsidRDefault="00D53D4F" w:rsidP="004D5D2D">
      <w:pPr>
        <w:pStyle w:val="FootnoteText"/>
      </w:pPr>
      <w:r>
        <w:t xml:space="preserve">The general rule in the restatement is at: </w:t>
      </w:r>
      <w:r w:rsidRPr="004D5D2D">
        <w:rPr>
          <w:i/>
        </w:rPr>
        <w:t>Restat 3d Property: Wills and Other Donative Transfers</w:t>
      </w:r>
      <w:r w:rsidRPr="004D5D2D">
        <w:t xml:space="preserve">, § 23.1 </w:t>
      </w:r>
      <w:r w:rsidRPr="001434D5">
        <w:rPr>
          <w:i/>
        </w:rPr>
        <w:t>Elective-Share Rights of the Donee's Surviving Spouse in Appointive Assets</w:t>
      </w:r>
    </w:p>
    <w:p w14:paraId="31171F7C" w14:textId="77777777" w:rsidR="00D53D4F" w:rsidRDefault="00D53D4F" w:rsidP="004D5D2D">
      <w:pPr>
        <w:pStyle w:val="FootnoteText"/>
      </w:pPr>
      <w:r>
        <w:t>“For the purpose of determining the elective-share rights of the donee's surviving spouse, property is treated as owned by the donee at death to the extent that the property is subject to:</w:t>
      </w:r>
    </w:p>
    <w:p w14:paraId="5F1F9FFA" w14:textId="77777777" w:rsidR="00D53D4F" w:rsidRDefault="00D53D4F" w:rsidP="004D5D2D">
      <w:pPr>
        <w:pStyle w:val="FootnoteText"/>
      </w:pPr>
      <w:r>
        <w:t xml:space="preserve">(1) a </w:t>
      </w:r>
      <w:r w:rsidRPr="004D5D2D">
        <w:rPr>
          <w:i/>
        </w:rPr>
        <w:t>presently</w:t>
      </w:r>
      <w:r>
        <w:t xml:space="preserve"> exercisable general power of appointment exercisable by the donee immediately before death; or</w:t>
      </w:r>
    </w:p>
    <w:p w14:paraId="5B49220B" w14:textId="77777777" w:rsidR="00D53D4F" w:rsidRDefault="00D53D4F" w:rsidP="006E69DA">
      <w:pPr>
        <w:pStyle w:val="FootnoteText"/>
      </w:pPr>
      <w:r>
        <w:t xml:space="preserve">(2) a general </w:t>
      </w:r>
      <w:r w:rsidRPr="004D5D2D">
        <w:rPr>
          <w:i/>
        </w:rPr>
        <w:t>testamentary</w:t>
      </w:r>
      <w:r>
        <w:t xml:space="preserve"> power of appointment exercisable by the donee </w:t>
      </w:r>
      <w:r w:rsidRPr="004D5D2D">
        <w:rPr>
          <w:i/>
        </w:rPr>
        <w:t>if the donee was also the donor of the power</w:t>
      </w:r>
      <w:r>
        <w:t>.”</w:t>
      </w:r>
      <w:r w:rsidRPr="006E69DA">
        <w:t xml:space="preserve"> </w:t>
      </w:r>
      <w:r>
        <w:t xml:space="preserve">Similar is </w:t>
      </w:r>
      <w:r w:rsidRPr="006E69DA">
        <w:t>Restat 2d of Prop: Donative Transfers, § 13.7</w:t>
      </w:r>
      <w:r>
        <w:t xml:space="preserve"> “Spousal Rights in Appointive Assets on Death of Donee. Appointive assets are treated as owned assets of a deceased donee in determining the rights of a surviving spouse in the owned assets of the donee if the deceased spouse was both the donor and donee of a general power of appointment that was exercisable by the donee alone, unless the controlling statute provides otherwise.”</w:t>
      </w:r>
    </w:p>
    <w:p w14:paraId="1FABF33D" w14:textId="77777777" w:rsidR="00D53D4F" w:rsidRDefault="00D53D4F">
      <w:pPr>
        <w:pStyle w:val="FootnoteText"/>
      </w:pPr>
    </w:p>
  </w:footnote>
  <w:footnote w:id="118">
    <w:p w14:paraId="229F2C93" w14:textId="77777777" w:rsidR="00D53D4F" w:rsidRDefault="00D53D4F">
      <w:pPr>
        <w:pStyle w:val="FootnoteText"/>
      </w:pPr>
      <w:r>
        <w:rPr>
          <w:rStyle w:val="FootnoteReference"/>
        </w:rPr>
        <w:footnoteRef/>
      </w:r>
      <w:r>
        <w:t xml:space="preserve"> See also Treas. Reg. §20.2041-3(e).  There is a gift tax analog, §2514(e), but triggering gift tax only increases basis to the extent of gift tax actually paid, so this paper will primarily discuss the estate tax variant.</w:t>
      </w:r>
    </w:p>
  </w:footnote>
  <w:footnote w:id="119">
    <w:p w14:paraId="07C43312" w14:textId="50D6066F" w:rsidR="001F0873" w:rsidRDefault="001F0873" w:rsidP="003A17CA">
      <w:pPr>
        <w:pStyle w:val="FootnoteText"/>
        <w:spacing w:after="120"/>
      </w:pPr>
      <w:r>
        <w:rPr>
          <w:rStyle w:val="FootnoteReference"/>
        </w:rPr>
        <w:footnoteRef/>
      </w:r>
      <w:r>
        <w:t xml:space="preserve"> </w:t>
      </w:r>
      <w:hyperlink r:id="rId20" w:history="1">
        <w:r w:rsidRPr="00EE1B47">
          <w:rPr>
            <w:rStyle w:val="Hyperlink"/>
            <w:u w:val="none"/>
          </w:rPr>
          <w:t>Texas Trust Code</w:t>
        </w:r>
        <w:r w:rsidR="00EA2A96" w:rsidRPr="00EE1B47">
          <w:rPr>
            <w:rStyle w:val="Hyperlink"/>
            <w:u w:val="none"/>
          </w:rPr>
          <w:t xml:space="preserve"> Section 112.036</w:t>
        </w:r>
      </w:hyperlink>
      <w:r w:rsidR="00B35E05">
        <w:t xml:space="preserve">.  However, </w:t>
      </w:r>
      <w:r w:rsidR="00FB0194">
        <w:t>many states have modified the traditional rule.  In fact, the Texas statute</w:t>
      </w:r>
      <w:r w:rsidR="00726BE6">
        <w:t xml:space="preserve"> noted above was recently amended</w:t>
      </w:r>
      <w:r w:rsidR="00BC604C">
        <w:t xml:space="preserve"> after this original writing</w:t>
      </w:r>
      <w:r w:rsidR="00B5364E">
        <w:t>, and for trusts</w:t>
      </w:r>
      <w:r w:rsidR="003A17CA">
        <w:t xml:space="preserve"> with effective dates on or after September 1, 2021, extends the period to a simpler, and longer, 300 years.</w:t>
      </w:r>
      <w:r w:rsidR="00B5364E">
        <w:t xml:space="preserve"> </w:t>
      </w:r>
      <w:r w:rsidR="00FB0194">
        <w:t xml:space="preserve"> </w:t>
      </w:r>
    </w:p>
  </w:footnote>
  <w:footnote w:id="120">
    <w:p w14:paraId="4F7DCCD5" w14:textId="77777777" w:rsidR="00D53D4F" w:rsidRPr="00A26ACF" w:rsidRDefault="00D53D4F" w:rsidP="00F404E2">
      <w:pPr>
        <w:pStyle w:val="FootnoteText"/>
        <w:spacing w:after="120"/>
      </w:pPr>
      <w:r>
        <w:rPr>
          <w:rStyle w:val="FootnoteReference"/>
        </w:rPr>
        <w:footnoteRef/>
      </w:r>
      <w:r>
        <w:t xml:space="preserve"> See Howard Zaritsky’s ACTEC compilation 50 State and D.C. Survey of Rule Against Perpetuities Law, specifically pages 8-10</w:t>
      </w:r>
      <w:r w:rsidRPr="00564887">
        <w:t xml:space="preserve"> which discuss state law variations, the Uniform Statutory Rule Against Perpetuities Act, and common law</w:t>
      </w:r>
      <w:r>
        <w:t xml:space="preserve">: </w:t>
      </w:r>
      <w:hyperlink r:id="rId21" w:history="1">
        <w:r w:rsidRPr="007B4BC6">
          <w:rPr>
            <w:rStyle w:val="Hyperlink"/>
          </w:rPr>
          <w:t>http://www.actec.org/public/Documents/Studies/Zaritsky_RAP_Survey_03_2012.pdf</w:t>
        </w:r>
      </w:hyperlink>
      <w:r>
        <w:t xml:space="preserve">.  There is also good discussion in </w:t>
      </w:r>
      <w:r w:rsidRPr="00F60F5B">
        <w:rPr>
          <w:i/>
        </w:rPr>
        <w:t>Estate of Murphy v. Commissioner</w:t>
      </w:r>
      <w:r>
        <w:t xml:space="preserve">, 71 T.C. 671 (1979) (analyzing an LPOA appointment to a trust that contained another LPOA and finding under Wisconsin rule against perpetuities law §2041(a)(3) was not triggered).  See also </w:t>
      </w:r>
      <w:r w:rsidRPr="00A26ACF">
        <w:rPr>
          <w:i/>
        </w:rPr>
        <w:t>Using the Delaware Tax Trap to Avoid Generation Skipping Transfer Taxes</w:t>
      </w:r>
      <w:r>
        <w:t xml:space="preserve">, Jonathan Blattmachr and Jeffrey Pennell, 68 Journal of Taxation 242 (1988), available online at </w:t>
      </w:r>
      <w:hyperlink r:id="rId22" w:history="1">
        <w:r w:rsidRPr="00166147">
          <w:rPr>
            <w:rStyle w:val="Hyperlink"/>
          </w:rPr>
          <w:t>http://papers.ssrn.com/sol3/papers.cfm?abstract_id=1954062</w:t>
        </w:r>
      </w:hyperlink>
      <w:r>
        <w:t xml:space="preserve">.  While the article did not consider using the DTT for basis planning, this is not the fault of two of the sharpest estate and tax planning minds in the country, rather, the exclusion was only $600,000 at the time. See also </w:t>
      </w:r>
      <w:r w:rsidRPr="00F417F6">
        <w:rPr>
          <w:i/>
        </w:rPr>
        <w:t>A Practical Look at Springing the Delaware Tax Trap to Avert Generation Skipping Transfer Tax</w:t>
      </w:r>
      <w:r>
        <w:t xml:space="preserve">, James P. Spica, 41 RPTL Journal 167, Spring 2006; </w:t>
      </w:r>
      <w:r w:rsidRPr="0061760B">
        <w:rPr>
          <w:i/>
        </w:rPr>
        <w:t>The</w:t>
      </w:r>
      <w:r>
        <w:t xml:space="preserve"> </w:t>
      </w:r>
      <w:r w:rsidRPr="0061760B">
        <w:rPr>
          <w:i/>
        </w:rPr>
        <w:t>Delaware Tax Trap and the Rule Against Perpetuities</w:t>
      </w:r>
      <w:r>
        <w:t xml:space="preserve">, Stephen Greer, Estate Planning Journal Feb 2001; </w:t>
      </w:r>
      <w:r w:rsidRPr="00382B9A">
        <w:rPr>
          <w:i/>
        </w:rPr>
        <w:t>Revising the RAP</w:t>
      </w:r>
      <w:r>
        <w:t>, Patricia Culler, Probate Law Journal of Ohio, March/April 2012.</w:t>
      </w:r>
    </w:p>
  </w:footnote>
  <w:footnote w:id="121">
    <w:p w14:paraId="2827E185" w14:textId="77777777" w:rsidR="00D53D4F" w:rsidRDefault="00D53D4F" w:rsidP="00393C4D">
      <w:pPr>
        <w:pStyle w:val="FootnoteText"/>
      </w:pPr>
      <w:r>
        <w:rPr>
          <w:rStyle w:val="FootnoteReference"/>
        </w:rPr>
        <w:footnoteRef/>
      </w:r>
      <w:r>
        <w:t xml:space="preserve"> </w:t>
      </w:r>
      <w:r w:rsidRPr="003735CC">
        <w:t xml:space="preserve">See discussion in </w:t>
      </w:r>
      <w:r>
        <w:t xml:space="preserve">ACTEC survey and </w:t>
      </w:r>
      <w:r w:rsidRPr="003735CC">
        <w:t xml:space="preserve">articles </w:t>
      </w:r>
      <w:r>
        <w:t>cited in the above footnote, which</w:t>
      </w:r>
      <w:r w:rsidRPr="00393C4D">
        <w:t xml:space="preserve"> conclude that this should trigger §2041(a)(3) under most states’ RAP.  </w:t>
      </w:r>
      <w:r>
        <w:t xml:space="preserve">For the common law rule, see </w:t>
      </w:r>
      <w:r w:rsidRPr="00995074">
        <w:t xml:space="preserve">Lawrence Berger, </w:t>
      </w:r>
      <w:r w:rsidRPr="00995074">
        <w:rPr>
          <w:i/>
        </w:rPr>
        <w:t>The Rule Against Perpetuities as It Relates to Powers of Appointment</w:t>
      </w:r>
      <w:r w:rsidRPr="00995074">
        <w:t xml:space="preserve">, </w:t>
      </w:r>
      <w:hyperlink r:id="rId23" w:history="1">
        <w:r w:rsidRPr="00393C4D">
          <w:rPr>
            <w:rStyle w:val="Hyperlink"/>
          </w:rPr>
          <w:t>41 Neb. L. Rev. 583</w:t>
        </w:r>
      </w:hyperlink>
      <w:r w:rsidRPr="00995074">
        <w:t xml:space="preserve"> (1962)</w:t>
      </w:r>
      <w:r>
        <w:t xml:space="preserve">, page 589 especially: </w:t>
      </w:r>
    </w:p>
    <w:p w14:paraId="1D037280" w14:textId="77777777" w:rsidR="00D53D4F" w:rsidRDefault="00D53D4F" w:rsidP="00393C4D">
      <w:pPr>
        <w:pStyle w:val="FootnoteText"/>
      </w:pPr>
      <w:r>
        <w:t>“B. REMOTENESS OF THE APPOINTED INTEREST-GENERAL POWER PRESENTLY EXERCISABLE</w:t>
      </w:r>
    </w:p>
    <w:p w14:paraId="284C6168" w14:textId="77777777" w:rsidR="00D53D4F" w:rsidRDefault="00D53D4F" w:rsidP="00393C4D">
      <w:pPr>
        <w:pStyle w:val="FootnoteText"/>
        <w:ind w:left="720"/>
      </w:pPr>
      <w:r>
        <w:t xml:space="preserve">No interest created by the exercise of a valid general power presently exercisable is good unless it must vest, if at all, not later than twenty-one years after some life in being at the time of the appointment. Thus if A devises property to B for life, remainder to whom B appoints by deed or will, and B appoints by deed to his son C (unborn at A's death) for life, remainder to C's first son, the remainder to C's first son is valid. It is valid because </w:t>
      </w:r>
      <w:r w:rsidRPr="00393C4D">
        <w:rPr>
          <w:b/>
        </w:rPr>
        <w:t>in determining the validity of an interest created by the exercise of a general power presently exercisable, the period of the Rule Against Perpetuities is counted from the time of the exercise of the power, and at the time of the exercise C was a life in being. This, of course, is in contrast to the Rule in relation to special and general testamentary powers where the period is computed from the time of the creation of the power.</w:t>
      </w:r>
      <w:r>
        <w:t>”</w:t>
      </w:r>
    </w:p>
    <w:p w14:paraId="1541A282" w14:textId="46E01ABB" w:rsidR="00D53D4F" w:rsidRDefault="00D53D4F" w:rsidP="00393C4D">
      <w:pPr>
        <w:pStyle w:val="FootnoteText"/>
      </w:pPr>
      <w:r>
        <w:t xml:space="preserve">See, e.g. NY </w:t>
      </w:r>
      <w:r w:rsidRPr="00882FD4">
        <w:t>EPTL 10-8.1</w:t>
      </w:r>
      <w:r>
        <w:t xml:space="preserve">, </w:t>
      </w:r>
      <w:hyperlink r:id="rId24" w:history="1">
        <w:r w:rsidRPr="001B2AF8">
          <w:rPr>
            <w:rStyle w:val="Hyperlink"/>
          </w:rPr>
          <w:t>Uniform Statutory Rule Against Perpetuities</w:t>
        </w:r>
      </w:hyperlink>
      <w:r>
        <w:t xml:space="preserve"> §</w:t>
      </w:r>
      <w:r w:rsidRPr="00882FD4">
        <w:t xml:space="preserve"> 2(b), cmt. sub. (b), ex. 2</w:t>
      </w:r>
      <w:r>
        <w:t xml:space="preserve"> for proposition that a PEG power starts a new RAP.  This seems counterintuitive for a tax provision that is intended to attack delayed vesting and avoiding transfer tax, since a beneficiary holding a typical PEG power appears </w:t>
      </w:r>
      <w:r w:rsidR="00445D28">
        <w:t xml:space="preserve">to be </w:t>
      </w:r>
      <w:r>
        <w:t xml:space="preserve">the </w:t>
      </w:r>
      <w:r w:rsidRPr="00B55D50">
        <w:rPr>
          <w:i/>
        </w:rPr>
        <w:t>de facto</w:t>
      </w:r>
      <w:r>
        <w:t xml:space="preserve"> owner</w:t>
      </w:r>
      <w:r w:rsidR="00445D28">
        <w:t xml:space="preserve"> for estate/gift/GST purposes</w:t>
      </w:r>
      <w:r>
        <w:t xml:space="preserve"> and </w:t>
      </w:r>
      <w:r w:rsidR="00445D28">
        <w:t xml:space="preserve">it </w:t>
      </w:r>
      <w:r>
        <w:t xml:space="preserve">would not be “GST-exempt” absent further planning, but that is the conclusion of many accomplished authors and Treasury’s own examples. Could a power of appointment be crafted under state law so as to trigger a new vesting period and §2041(a)(3), yet not be a GPOA under §2514/§2041 or state creditor protection law, such as a power limited to ascertainable standards?  </w:t>
      </w:r>
      <w:r w:rsidRPr="008D0C35">
        <w:rPr>
          <w:i/>
          <w:iCs/>
        </w:rPr>
        <w:t>Probably</w:t>
      </w:r>
      <w:r>
        <w:t xml:space="preserve"> </w:t>
      </w:r>
      <w:r w:rsidRPr="008D0C35">
        <w:rPr>
          <w:b/>
          <w:i/>
          <w:iCs/>
        </w:rPr>
        <w:t>not</w:t>
      </w:r>
      <w:r>
        <w:t xml:space="preserve">, because this would not be “presently exercisable”, which under common law means it must not be conditioned on </w:t>
      </w:r>
      <w:r w:rsidRPr="00BD2D10">
        <w:t>the</w:t>
      </w:r>
      <w:r>
        <w:t xml:space="preserve"> </w:t>
      </w:r>
      <w:r w:rsidRPr="00BD2D10">
        <w:t>occurrence of a specified event, the satisfaction</w:t>
      </w:r>
      <w:r>
        <w:t xml:space="preserve"> </w:t>
      </w:r>
      <w:r w:rsidRPr="00BD2D10">
        <w:t>of an ascertainable standard, or the passage of a</w:t>
      </w:r>
      <w:r>
        <w:t xml:space="preserve"> </w:t>
      </w:r>
      <w:r w:rsidRPr="00BD2D10">
        <w:t xml:space="preserve">specified period of time. </w:t>
      </w:r>
      <w:r w:rsidRPr="00EA3A37">
        <w:rPr>
          <w:i/>
        </w:rPr>
        <w:t>Restatement Property, 3</w:t>
      </w:r>
      <w:r w:rsidRPr="00EA3A37">
        <w:rPr>
          <w:i/>
          <w:vertAlign w:val="superscript"/>
        </w:rPr>
        <w:t>rd</w:t>
      </w:r>
      <w:r w:rsidRPr="00EA3A37">
        <w:rPr>
          <w:i/>
        </w:rPr>
        <w:t>, Donative Transfers</w:t>
      </w:r>
      <w:r>
        <w:t xml:space="preserve">, </w:t>
      </w:r>
      <w:r w:rsidRPr="00BD2D10">
        <w:t>§17.4.</w:t>
      </w:r>
      <w:r>
        <w:t xml:space="preserve">  However, this is very state specific, see discussion later herein on pages 53-54</w:t>
      </w:r>
      <w:r w:rsidR="00C72FCF">
        <w:t>:</w:t>
      </w:r>
      <w:r>
        <w:t xml:space="preserve"> some states may start a new RAP through granting a power </w:t>
      </w:r>
      <w:r w:rsidR="00FC37C7">
        <w:t>that is general for state law purposes but</w:t>
      </w:r>
      <w:r w:rsidR="0065116F">
        <w:t xml:space="preserve"> is</w:t>
      </w:r>
      <w:r w:rsidR="00FC37C7">
        <w:t xml:space="preserve"> not for federal tax purposes </w:t>
      </w:r>
      <w:r w:rsidR="00992E82">
        <w:t xml:space="preserve">(IRC </w:t>
      </w:r>
      <w:r w:rsidR="00927F87" w:rsidRPr="00927F87">
        <w:t>§</w:t>
      </w:r>
      <w:r w:rsidR="00324FD1">
        <w:t xml:space="preserve"> 2041/2514)</w:t>
      </w:r>
      <w:r w:rsidR="0065116F">
        <w:t xml:space="preserve">, </w:t>
      </w:r>
      <w:r w:rsidR="00FC37C7">
        <w:t xml:space="preserve">such as </w:t>
      </w:r>
      <w:r>
        <w:t xml:space="preserve">if it is only exercisable with the consent of an </w:t>
      </w:r>
      <w:r w:rsidRPr="00882FD4">
        <w:rPr>
          <w:i/>
        </w:rPr>
        <w:t>adverse party</w:t>
      </w:r>
      <w:r>
        <w:t xml:space="preserve">. </w:t>
      </w:r>
      <w:r w:rsidR="00562AA3">
        <w:t xml:space="preserve">Surprisingly, </w:t>
      </w:r>
      <w:r w:rsidR="001909F6">
        <w:t>at common law, as evidenced by the Restatement Second of Property, Donative Transfers, such powers are general.  The Third Restatement and the Uniform Power of Appointment Act</w:t>
      </w:r>
      <w:r w:rsidR="00837F07">
        <w:t xml:space="preserve"> </w:t>
      </w:r>
      <w:r w:rsidR="00145803">
        <w:t>§</w:t>
      </w:r>
      <w:r w:rsidR="00837F07">
        <w:t>205</w:t>
      </w:r>
      <w:r w:rsidR="001909F6">
        <w:t>, however, take a contrary view, in trying to align state law with federal tax law.  This is discussed further herein.</w:t>
      </w:r>
    </w:p>
  </w:footnote>
  <w:footnote w:id="122">
    <w:p w14:paraId="1843087A" w14:textId="1FA6C4E4" w:rsidR="00C6439E" w:rsidRDefault="00C6439E" w:rsidP="005F709F">
      <w:pPr>
        <w:pStyle w:val="FootnoteText"/>
        <w:spacing w:before="120"/>
      </w:pPr>
      <w:r>
        <w:rPr>
          <w:rStyle w:val="FootnoteReference"/>
        </w:rPr>
        <w:footnoteRef/>
      </w:r>
      <w:r>
        <w:t xml:space="preserve"> See James Casner, </w:t>
      </w:r>
      <w:r w:rsidRPr="00D00E24">
        <w:rPr>
          <w:i/>
          <w:iCs/>
        </w:rPr>
        <w:t>Estate Planning</w:t>
      </w:r>
      <w:r>
        <w:t xml:space="preserve">, </w:t>
      </w:r>
      <w:r w:rsidR="00D00E24">
        <w:rPr>
          <w:rFonts w:ascii="Arial" w:hAnsi="Arial" w:cs="Arial"/>
        </w:rPr>
        <w:t>§</w:t>
      </w:r>
      <w:r w:rsidR="00D00E24">
        <w:t>12.2.2.2 n. 6</w:t>
      </w:r>
      <w:r w:rsidR="00AB19EE">
        <w:t xml:space="preserve"> as well as citations in the footnote above.</w:t>
      </w:r>
    </w:p>
  </w:footnote>
  <w:footnote w:id="123">
    <w:p w14:paraId="120412E5" w14:textId="6056A3B2" w:rsidR="00D53D4F" w:rsidRDefault="00D53D4F" w:rsidP="00393C4D">
      <w:pPr>
        <w:pStyle w:val="FootnoteText"/>
        <w:spacing w:before="120" w:after="120"/>
      </w:pPr>
      <w:r>
        <w:rPr>
          <w:rStyle w:val="FootnoteReference"/>
        </w:rPr>
        <w:footnoteRef/>
      </w:r>
      <w:r>
        <w:t xml:space="preserve"> Treas. Reg. §20.2041-3(e)(2).  There is a near</w:t>
      </w:r>
      <w:r w:rsidR="005F709F">
        <w:t>ly</w:t>
      </w:r>
      <w:r>
        <w:t xml:space="preserve"> identical </w:t>
      </w:r>
      <w:r w:rsidRPr="00E22412">
        <w:rPr>
          <w:i/>
        </w:rPr>
        <w:t>gift</w:t>
      </w:r>
      <w:r>
        <w:t xml:space="preserve"> tax regulation at Treas. Reg. §25.2514-3(d).</w:t>
      </w:r>
    </w:p>
  </w:footnote>
  <w:footnote w:id="124">
    <w:p w14:paraId="4155A179" w14:textId="77777777" w:rsidR="00D53D4F" w:rsidRPr="006572E7" w:rsidRDefault="00D53D4F" w:rsidP="00F404E2">
      <w:pPr>
        <w:pStyle w:val="FootnoteText"/>
        <w:spacing w:after="120"/>
        <w:rPr>
          <w:sz w:val="22"/>
          <w:szCs w:val="22"/>
          <w:lang w:val="en"/>
        </w:rPr>
      </w:pPr>
      <w:r w:rsidRPr="006572E7">
        <w:rPr>
          <w:rStyle w:val="FootnoteReference"/>
          <w:sz w:val="22"/>
          <w:szCs w:val="22"/>
        </w:rPr>
        <w:footnoteRef/>
      </w:r>
      <w:r w:rsidRPr="006572E7">
        <w:rPr>
          <w:sz w:val="22"/>
          <w:szCs w:val="22"/>
        </w:rPr>
        <w:t xml:space="preserve"> Contrast lifetime GPOAs in </w:t>
      </w:r>
      <w:r w:rsidRPr="006572E7">
        <w:rPr>
          <w:i/>
          <w:sz w:val="22"/>
          <w:szCs w:val="22"/>
        </w:rPr>
        <w:t>Restatement of Property, Second, Donative Transfers</w:t>
      </w:r>
      <w:r w:rsidRPr="006572E7">
        <w:rPr>
          <w:sz w:val="22"/>
          <w:szCs w:val="22"/>
        </w:rPr>
        <w:t xml:space="preserve">, §13.2 and §13.5 with the testamentary variations in §13.4 (state law), §13.6 (bankruptcy).  Whether it’s a testamentary or lifetime (presently exercisable) GPOA makes a </w:t>
      </w:r>
      <w:r w:rsidRPr="006572E7">
        <w:rPr>
          <w:i/>
          <w:sz w:val="22"/>
          <w:szCs w:val="22"/>
        </w:rPr>
        <w:t>huge</w:t>
      </w:r>
      <w:r w:rsidRPr="006572E7">
        <w:rPr>
          <w:sz w:val="22"/>
          <w:szCs w:val="22"/>
        </w:rPr>
        <w:t xml:space="preserve"> difference in bankruptcy.  See 11 U.S.C. § 541(b)(1).</w:t>
      </w:r>
    </w:p>
  </w:footnote>
  <w:footnote w:id="125">
    <w:p w14:paraId="175A74C1" w14:textId="5F1B4886" w:rsidR="002832C3" w:rsidRDefault="002832C3" w:rsidP="00ED1EA7">
      <w:pPr>
        <w:pStyle w:val="FootnoteText"/>
        <w:spacing w:after="120"/>
      </w:pPr>
      <w:r w:rsidRPr="006572E7">
        <w:rPr>
          <w:rStyle w:val="FootnoteReference"/>
          <w:sz w:val="22"/>
          <w:szCs w:val="22"/>
        </w:rPr>
        <w:footnoteRef/>
      </w:r>
      <w:r w:rsidRPr="002E175A">
        <w:rPr>
          <w:sz w:val="22"/>
          <w:szCs w:val="22"/>
        </w:rPr>
        <w:t xml:space="preserve"> </w:t>
      </w:r>
      <w:r w:rsidRPr="002E175A">
        <w:rPr>
          <w:i/>
          <w:iCs/>
          <w:sz w:val="22"/>
          <w:szCs w:val="22"/>
        </w:rPr>
        <w:t>Lucas v. Hamm</w:t>
      </w:r>
      <w:r w:rsidRPr="002E175A">
        <w:rPr>
          <w:sz w:val="22"/>
          <w:szCs w:val="22"/>
        </w:rPr>
        <w:t xml:space="preserve">, 56 Cal.2d 583, 15 Cal. </w:t>
      </w:r>
      <w:r w:rsidRPr="006572E7">
        <w:rPr>
          <w:sz w:val="22"/>
          <w:szCs w:val="22"/>
        </w:rPr>
        <w:t>Rptr. 821, 364 P.2d 685 (Cal. 1961) dealt with an attorney sued for</w:t>
      </w:r>
      <w:r w:rsidR="007255BA" w:rsidRPr="006572E7">
        <w:rPr>
          <w:sz w:val="22"/>
          <w:szCs w:val="22"/>
        </w:rPr>
        <w:t xml:space="preserve"> failing to recognize a </w:t>
      </w:r>
      <w:r w:rsidR="00022B28" w:rsidRPr="006572E7">
        <w:rPr>
          <w:sz w:val="22"/>
          <w:szCs w:val="22"/>
        </w:rPr>
        <w:t>negligently drawn Will that violated the Rule Against Perpetuities.</w:t>
      </w:r>
      <w:r w:rsidRPr="006572E7">
        <w:rPr>
          <w:sz w:val="22"/>
          <w:szCs w:val="22"/>
        </w:rPr>
        <w:t xml:space="preserve"> </w:t>
      </w:r>
      <w:r w:rsidR="00EE4677" w:rsidRPr="006572E7">
        <w:rPr>
          <w:sz w:val="22"/>
          <w:szCs w:val="22"/>
        </w:rPr>
        <w:t xml:space="preserve">The </w:t>
      </w:r>
      <w:r w:rsidR="00732804" w:rsidRPr="006572E7">
        <w:rPr>
          <w:sz w:val="22"/>
          <w:szCs w:val="22"/>
        </w:rPr>
        <w:t>Supreme Court of California</w:t>
      </w:r>
      <w:r w:rsidR="00EE4677" w:rsidRPr="006572E7">
        <w:rPr>
          <w:sz w:val="22"/>
          <w:szCs w:val="22"/>
        </w:rPr>
        <w:t xml:space="preserve"> held that the lack of privity between the drafting lawyer and the beneficiaries</w:t>
      </w:r>
      <w:r w:rsidR="00F7473B" w:rsidRPr="006572E7">
        <w:rPr>
          <w:sz w:val="22"/>
          <w:szCs w:val="22"/>
        </w:rPr>
        <w:t xml:space="preserve"> who were never directly clients</w:t>
      </w:r>
      <w:r w:rsidR="008F2319" w:rsidRPr="006572E7">
        <w:rPr>
          <w:sz w:val="22"/>
          <w:szCs w:val="22"/>
        </w:rPr>
        <w:t xml:space="preserve"> </w:t>
      </w:r>
      <w:r w:rsidR="00F7473B" w:rsidRPr="006572E7">
        <w:rPr>
          <w:sz w:val="22"/>
          <w:szCs w:val="22"/>
        </w:rPr>
        <w:t>did not prevent an action against the attorney</w:t>
      </w:r>
      <w:r w:rsidR="00C167A0" w:rsidRPr="006572E7">
        <w:rPr>
          <w:sz w:val="22"/>
          <w:szCs w:val="22"/>
        </w:rPr>
        <w:t xml:space="preserve">.  </w:t>
      </w:r>
      <w:r w:rsidR="00FF2057" w:rsidRPr="006572E7">
        <w:rPr>
          <w:sz w:val="22"/>
          <w:szCs w:val="22"/>
        </w:rPr>
        <w:t>Despite this, the court affirmed the lower court in dismissing the case</w:t>
      </w:r>
      <w:r w:rsidR="00757D3A" w:rsidRPr="006572E7">
        <w:rPr>
          <w:sz w:val="22"/>
          <w:szCs w:val="22"/>
        </w:rPr>
        <w:t xml:space="preserve">, </w:t>
      </w:r>
      <w:r w:rsidR="008B63FC">
        <w:rPr>
          <w:sz w:val="22"/>
          <w:szCs w:val="22"/>
        </w:rPr>
        <w:t>finding that</w:t>
      </w:r>
      <w:r w:rsidR="00757D3A" w:rsidRPr="006572E7">
        <w:rPr>
          <w:sz w:val="22"/>
          <w:szCs w:val="22"/>
        </w:rPr>
        <w:t xml:space="preserve"> it “cannot state causes of action” </w:t>
      </w:r>
      <w:r w:rsidR="005E30B7" w:rsidRPr="006572E7">
        <w:rPr>
          <w:sz w:val="22"/>
          <w:szCs w:val="22"/>
        </w:rPr>
        <w:t xml:space="preserve">because </w:t>
      </w:r>
      <w:r w:rsidR="00C8740E" w:rsidRPr="006572E7">
        <w:rPr>
          <w:sz w:val="22"/>
          <w:szCs w:val="22"/>
        </w:rPr>
        <w:t>the Rule Against Perpetuities</w:t>
      </w:r>
      <w:r w:rsidR="00C167A0" w:rsidRPr="006572E7">
        <w:rPr>
          <w:sz w:val="22"/>
          <w:szCs w:val="22"/>
        </w:rPr>
        <w:t xml:space="preserve"> </w:t>
      </w:r>
      <w:r w:rsidR="00180D41" w:rsidRPr="006572E7">
        <w:rPr>
          <w:sz w:val="22"/>
          <w:szCs w:val="22"/>
        </w:rPr>
        <w:t>was so complex</w:t>
      </w:r>
      <w:r w:rsidR="00CB6227" w:rsidRPr="006572E7">
        <w:rPr>
          <w:sz w:val="22"/>
          <w:szCs w:val="22"/>
        </w:rPr>
        <w:t xml:space="preserve"> </w:t>
      </w:r>
      <w:r w:rsidR="00EF10FE" w:rsidRPr="006572E7">
        <w:rPr>
          <w:sz w:val="22"/>
          <w:szCs w:val="22"/>
        </w:rPr>
        <w:t xml:space="preserve">it was beyond the skill of an ordinary attorney!  It </w:t>
      </w:r>
      <w:r w:rsidR="00CB6227" w:rsidRPr="006572E7">
        <w:rPr>
          <w:sz w:val="22"/>
          <w:szCs w:val="22"/>
        </w:rPr>
        <w:t xml:space="preserve">quoted treatises describing </w:t>
      </w:r>
      <w:r w:rsidR="00EF10FE" w:rsidRPr="006572E7">
        <w:rPr>
          <w:sz w:val="22"/>
          <w:szCs w:val="22"/>
        </w:rPr>
        <w:t>the Rule</w:t>
      </w:r>
      <w:r w:rsidR="00CB6227" w:rsidRPr="006572E7">
        <w:rPr>
          <w:sz w:val="22"/>
          <w:szCs w:val="22"/>
        </w:rPr>
        <w:t xml:space="preserve"> as a "technicality-ridden legal nightmare"</w:t>
      </w:r>
      <w:r w:rsidR="00652D12" w:rsidRPr="006572E7">
        <w:rPr>
          <w:sz w:val="22"/>
          <w:szCs w:val="22"/>
        </w:rPr>
        <w:t xml:space="preserve"> and a "dangerous instrumentality in the hands of most members of the bar".  </w:t>
      </w:r>
    </w:p>
  </w:footnote>
  <w:footnote w:id="126">
    <w:p w14:paraId="0D208756" w14:textId="77777777" w:rsidR="00D53D4F" w:rsidRPr="007F28A4" w:rsidRDefault="00D53D4F" w:rsidP="00F404E2">
      <w:pPr>
        <w:pStyle w:val="FootnoteText"/>
        <w:spacing w:after="120"/>
        <w:rPr>
          <w:sz w:val="22"/>
          <w:szCs w:val="22"/>
        </w:rPr>
      </w:pPr>
      <w:r w:rsidRPr="007F28A4">
        <w:rPr>
          <w:rStyle w:val="FootnoteReference"/>
          <w:sz w:val="22"/>
          <w:szCs w:val="22"/>
        </w:rPr>
        <w:footnoteRef/>
      </w:r>
      <w:r w:rsidRPr="007F28A4">
        <w:rPr>
          <w:sz w:val="22"/>
          <w:szCs w:val="22"/>
        </w:rPr>
        <w:t xml:space="preserve"> See the asset protection effect of PEG powers and lapses 50 state plus D.C. chart in the appendix.</w:t>
      </w:r>
    </w:p>
  </w:footnote>
  <w:footnote w:id="127">
    <w:p w14:paraId="33F4A2B1" w14:textId="77777777" w:rsidR="00D53D4F" w:rsidRPr="007F28A4" w:rsidRDefault="00D53D4F" w:rsidP="00F404E2">
      <w:pPr>
        <w:pStyle w:val="FootnoteText"/>
        <w:spacing w:after="120"/>
        <w:rPr>
          <w:sz w:val="22"/>
          <w:szCs w:val="22"/>
        </w:rPr>
      </w:pPr>
      <w:r w:rsidRPr="007F28A4">
        <w:rPr>
          <w:rStyle w:val="FootnoteReference"/>
          <w:sz w:val="22"/>
          <w:szCs w:val="22"/>
        </w:rPr>
        <w:footnoteRef/>
      </w:r>
      <w:r w:rsidRPr="007F28A4">
        <w:rPr>
          <w:sz w:val="22"/>
          <w:szCs w:val="22"/>
        </w:rPr>
        <w:t xml:space="preserve"> Remember, in UTC states the applicable creditor access provision, §505(b), refers to “powers of withdrawal”.  However, the definition of a power of withdrawal </w:t>
      </w:r>
      <w:r w:rsidRPr="007F28A4">
        <w:rPr>
          <w:i/>
          <w:sz w:val="22"/>
          <w:szCs w:val="22"/>
        </w:rPr>
        <w:t>excludes</w:t>
      </w:r>
      <w:r w:rsidRPr="007F28A4">
        <w:rPr>
          <w:sz w:val="22"/>
          <w:szCs w:val="22"/>
        </w:rPr>
        <w:t xml:space="preserve"> any power that is conditioned on consent of the trustee (</w:t>
      </w:r>
      <w:r w:rsidRPr="007F28A4">
        <w:rPr>
          <w:i/>
          <w:sz w:val="22"/>
          <w:szCs w:val="22"/>
        </w:rPr>
        <w:t>unlike</w:t>
      </w:r>
      <w:r w:rsidRPr="007F28A4">
        <w:rPr>
          <w:sz w:val="22"/>
          <w:szCs w:val="22"/>
        </w:rPr>
        <w:t xml:space="preserve"> the federal tax code, which still considers that a general power under §2514): UTC §103(11) “Power of withdrawal” means a presently exercisable general power of appointment </w:t>
      </w:r>
      <w:r w:rsidRPr="007F28A4">
        <w:rPr>
          <w:b/>
          <w:i/>
          <w:sz w:val="22"/>
          <w:szCs w:val="22"/>
        </w:rPr>
        <w:t>other than a power</w:t>
      </w:r>
      <w:r w:rsidRPr="007F28A4">
        <w:rPr>
          <w:sz w:val="22"/>
          <w:szCs w:val="22"/>
        </w:rPr>
        <w:t xml:space="preserve">: ***(B) </w:t>
      </w:r>
      <w:r w:rsidRPr="007F28A4">
        <w:rPr>
          <w:b/>
          <w:i/>
          <w:sz w:val="22"/>
          <w:szCs w:val="22"/>
        </w:rPr>
        <w:t xml:space="preserve">exercisable by another person only upon consent of the trustee </w:t>
      </w:r>
      <w:r w:rsidRPr="007F28A4">
        <w:rPr>
          <w:sz w:val="22"/>
          <w:szCs w:val="22"/>
        </w:rPr>
        <w:t xml:space="preserve">or a person holding an adverse interest.” [if a power were predicated on adverse party consent, it would no longer be a general power of appointment for estate/gift tax].  Interestingly, this provision appears to apply </w:t>
      </w:r>
      <w:r w:rsidRPr="007F28A4">
        <w:rPr>
          <w:i/>
          <w:sz w:val="22"/>
          <w:szCs w:val="22"/>
        </w:rPr>
        <w:t>even if the powerholder happens to be the SOLE trustee</w:t>
      </w:r>
      <w:r w:rsidRPr="007F28A4">
        <w:rPr>
          <w:sz w:val="22"/>
          <w:szCs w:val="22"/>
        </w:rPr>
        <w:t>, though I would not count on a court taking a literal reading of the statute for debtor/creditor purposes.</w:t>
      </w:r>
    </w:p>
  </w:footnote>
  <w:footnote w:id="128">
    <w:p w14:paraId="4B123FD6" w14:textId="6E784B6A" w:rsidR="00D53D4F" w:rsidRPr="007F28A4" w:rsidRDefault="00D53D4F" w:rsidP="00F404E2">
      <w:pPr>
        <w:pStyle w:val="FootnoteText"/>
        <w:spacing w:after="120"/>
        <w:rPr>
          <w:sz w:val="22"/>
          <w:szCs w:val="22"/>
        </w:rPr>
      </w:pPr>
      <w:r w:rsidRPr="007F28A4">
        <w:rPr>
          <w:rStyle w:val="FootnoteReference"/>
          <w:sz w:val="22"/>
          <w:szCs w:val="22"/>
        </w:rPr>
        <w:footnoteRef/>
      </w:r>
      <w:r w:rsidRPr="007F28A4">
        <w:rPr>
          <w:sz w:val="22"/>
          <w:szCs w:val="22"/>
        </w:rPr>
        <w:t xml:space="preserve"> See </w:t>
      </w:r>
      <w:r w:rsidRPr="007F28A4">
        <w:rPr>
          <w:i/>
          <w:sz w:val="22"/>
          <w:szCs w:val="22"/>
        </w:rPr>
        <w:t>Estate of Tompkins v. Commissioner</w:t>
      </w:r>
      <w:r w:rsidRPr="007F28A4">
        <w:rPr>
          <w:sz w:val="22"/>
          <w:szCs w:val="22"/>
        </w:rPr>
        <w:t xml:space="preserve">, 68 T.C. 912 (T.C. 1977), where a right to withdrawal </w:t>
      </w:r>
      <w:r w:rsidR="007A6F81">
        <w:rPr>
          <w:sz w:val="22"/>
          <w:szCs w:val="22"/>
        </w:rPr>
        <w:t xml:space="preserve">a </w:t>
      </w:r>
      <w:r w:rsidRPr="007F28A4">
        <w:rPr>
          <w:sz w:val="22"/>
          <w:szCs w:val="22"/>
        </w:rPr>
        <w:t xml:space="preserve">lump sum </w:t>
      </w:r>
      <w:r w:rsidR="007A6F81">
        <w:rPr>
          <w:sz w:val="22"/>
          <w:szCs w:val="22"/>
        </w:rPr>
        <w:t xml:space="preserve">of </w:t>
      </w:r>
      <w:r w:rsidRPr="007F28A4">
        <w:rPr>
          <w:sz w:val="22"/>
          <w:szCs w:val="22"/>
        </w:rPr>
        <w:t xml:space="preserve">cash in lieu of </w:t>
      </w:r>
      <w:r w:rsidR="000C67C6">
        <w:rPr>
          <w:sz w:val="22"/>
          <w:szCs w:val="22"/>
        </w:rPr>
        <w:t xml:space="preserve">a </w:t>
      </w:r>
      <w:r w:rsidRPr="007F28A4">
        <w:rPr>
          <w:sz w:val="22"/>
          <w:szCs w:val="22"/>
        </w:rPr>
        <w:t xml:space="preserve">life estate lapsing after 60 days still qualified for the marital deduction, and </w:t>
      </w:r>
      <w:r w:rsidRPr="007F28A4">
        <w:rPr>
          <w:i/>
          <w:sz w:val="22"/>
          <w:szCs w:val="22"/>
        </w:rPr>
        <w:t>Estate of Mackie v. Commissioner</w:t>
      </w:r>
      <w:r w:rsidRPr="007F28A4">
        <w:rPr>
          <w:sz w:val="22"/>
          <w:szCs w:val="22"/>
        </w:rPr>
        <w:t>, 64 T.C. 308 (T.C. 1975), aff’d 545 F.2d 883 (4</w:t>
      </w:r>
      <w:r w:rsidRPr="007F28A4">
        <w:rPr>
          <w:sz w:val="22"/>
          <w:szCs w:val="22"/>
          <w:vertAlign w:val="superscript"/>
        </w:rPr>
        <w:t>th</w:t>
      </w:r>
      <w:r w:rsidRPr="007F28A4">
        <w:rPr>
          <w:sz w:val="22"/>
          <w:szCs w:val="22"/>
        </w:rPr>
        <w:t xml:space="preserve"> Cir. 1976) in which a power lapsing after 4 months if not exercised still qualified for the marital deduction.  The service acquiesced and later issued Rev. Rul. 82-184, 1982-2 C.B. 215 following these cases.   See PLR 2014-10011 in context of prenup.</w:t>
      </w:r>
    </w:p>
  </w:footnote>
  <w:footnote w:id="129">
    <w:p w14:paraId="1627BEED" w14:textId="77777777" w:rsidR="00D53D4F" w:rsidRDefault="00D53D4F" w:rsidP="00F404E2">
      <w:pPr>
        <w:pStyle w:val="FootnoteText"/>
        <w:spacing w:after="120"/>
      </w:pPr>
      <w:r w:rsidRPr="007F28A4">
        <w:rPr>
          <w:rStyle w:val="FootnoteReference"/>
          <w:sz w:val="22"/>
          <w:szCs w:val="22"/>
        </w:rPr>
        <w:footnoteRef/>
      </w:r>
      <w:r w:rsidRPr="007F28A4">
        <w:rPr>
          <w:sz w:val="22"/>
          <w:szCs w:val="22"/>
        </w:rPr>
        <w:t xml:space="preserve"> IRC §2514(e) – the so called “5 and 5” lapse protection.</w:t>
      </w:r>
    </w:p>
  </w:footnote>
  <w:footnote w:id="130">
    <w:p w14:paraId="0DD436D5" w14:textId="77777777" w:rsidR="00D53D4F" w:rsidRPr="007F28A4" w:rsidRDefault="00D53D4F" w:rsidP="00F404E2">
      <w:pPr>
        <w:pStyle w:val="FootnoteText"/>
        <w:spacing w:after="120"/>
        <w:rPr>
          <w:sz w:val="22"/>
          <w:szCs w:val="22"/>
        </w:rPr>
      </w:pPr>
      <w:r w:rsidRPr="007F28A4">
        <w:rPr>
          <w:rStyle w:val="FootnoteReference"/>
          <w:sz w:val="22"/>
          <w:szCs w:val="22"/>
        </w:rPr>
        <w:footnoteRef/>
      </w:r>
      <w:r w:rsidRPr="007F28A4">
        <w:rPr>
          <w:sz w:val="22"/>
          <w:szCs w:val="22"/>
        </w:rPr>
        <w:t xml:space="preserve"> See </w:t>
      </w:r>
      <w:r w:rsidRPr="007F28A4">
        <w:rPr>
          <w:i/>
          <w:sz w:val="22"/>
          <w:szCs w:val="22"/>
        </w:rPr>
        <w:t>Restatement Third Property, Wills and Other Donative Transfers</w:t>
      </w:r>
      <w:r w:rsidRPr="007F28A4">
        <w:rPr>
          <w:sz w:val="22"/>
          <w:szCs w:val="22"/>
        </w:rPr>
        <w:t>, §17.4, comment a, illustration 1, and draft Uniform Power of Appointment Act, §102, comments re ¶14.  It is not testamentary because the powerholder can make an irrevocable transfer of the remainder, effective immediately.</w:t>
      </w:r>
    </w:p>
  </w:footnote>
  <w:footnote w:id="131">
    <w:p w14:paraId="21484DB7" w14:textId="77777777" w:rsidR="00D53D4F" w:rsidRDefault="00D53D4F" w:rsidP="00F404E2">
      <w:pPr>
        <w:pStyle w:val="FootnoteText"/>
        <w:spacing w:after="120"/>
      </w:pPr>
      <w:r w:rsidRPr="007F28A4">
        <w:rPr>
          <w:rStyle w:val="FootnoteReference"/>
          <w:sz w:val="22"/>
          <w:szCs w:val="22"/>
        </w:rPr>
        <w:footnoteRef/>
      </w:r>
      <w:r w:rsidRPr="007F28A4">
        <w:rPr>
          <w:sz w:val="22"/>
          <w:szCs w:val="22"/>
        </w:rPr>
        <w:t xml:space="preserve"> Treas. Reg. §20.2041-3(e)(2), there is a nearly identical gift tax regulation at §25.2514-3(d).</w:t>
      </w:r>
    </w:p>
  </w:footnote>
  <w:footnote w:id="132">
    <w:p w14:paraId="6DDA3221" w14:textId="5D414480" w:rsidR="00D53D4F" w:rsidRPr="007F28A4" w:rsidRDefault="00D53D4F" w:rsidP="00F404E2">
      <w:pPr>
        <w:pStyle w:val="FootnoteText"/>
        <w:spacing w:after="120"/>
        <w:rPr>
          <w:sz w:val="22"/>
          <w:szCs w:val="22"/>
        </w:rPr>
      </w:pPr>
      <w:r w:rsidRPr="007F28A4">
        <w:rPr>
          <w:rStyle w:val="FootnoteReference"/>
          <w:sz w:val="22"/>
          <w:szCs w:val="22"/>
        </w:rPr>
        <w:footnoteRef/>
      </w:r>
      <w:r w:rsidRPr="007F28A4">
        <w:rPr>
          <w:sz w:val="22"/>
          <w:szCs w:val="22"/>
        </w:rPr>
        <w:t xml:space="preserve"> Ohio R.C. §2131.08(D)</w:t>
      </w:r>
      <w:r w:rsidR="007F28A4">
        <w:rPr>
          <w:sz w:val="22"/>
          <w:szCs w:val="22"/>
        </w:rPr>
        <w:t>.</w:t>
      </w:r>
    </w:p>
  </w:footnote>
  <w:footnote w:id="133">
    <w:p w14:paraId="66C21538" w14:textId="2BEDCC3A" w:rsidR="00D53D4F" w:rsidRDefault="00D53D4F" w:rsidP="00F404E2">
      <w:pPr>
        <w:pStyle w:val="FootnoteText"/>
        <w:spacing w:after="120"/>
      </w:pPr>
      <w:r w:rsidRPr="007F28A4">
        <w:rPr>
          <w:rStyle w:val="FootnoteReference"/>
          <w:sz w:val="22"/>
          <w:szCs w:val="22"/>
        </w:rPr>
        <w:footnoteRef/>
      </w:r>
      <w:r w:rsidRPr="007F28A4">
        <w:rPr>
          <w:sz w:val="22"/>
          <w:szCs w:val="22"/>
        </w:rPr>
        <w:t xml:space="preserve"> Ohio R.C. §2131.09(F)</w:t>
      </w:r>
      <w:r w:rsidR="007F28A4">
        <w:rPr>
          <w:sz w:val="22"/>
          <w:szCs w:val="22"/>
        </w:rPr>
        <w:t>.</w:t>
      </w:r>
    </w:p>
  </w:footnote>
  <w:footnote w:id="134">
    <w:p w14:paraId="3EB501A6" w14:textId="51D767AE" w:rsidR="00D53D4F" w:rsidRPr="007F28A4" w:rsidRDefault="00D53D4F" w:rsidP="00F404E2">
      <w:pPr>
        <w:pStyle w:val="FootnoteText"/>
        <w:spacing w:after="120"/>
        <w:rPr>
          <w:sz w:val="22"/>
          <w:szCs w:val="22"/>
        </w:rPr>
      </w:pPr>
      <w:r w:rsidRPr="007F28A4">
        <w:rPr>
          <w:rStyle w:val="FootnoteReference"/>
          <w:sz w:val="22"/>
          <w:szCs w:val="22"/>
        </w:rPr>
        <w:footnoteRef/>
      </w:r>
      <w:r w:rsidRPr="007F28A4">
        <w:rPr>
          <w:sz w:val="22"/>
          <w:szCs w:val="22"/>
        </w:rPr>
        <w:t xml:space="preserve"> Compare: </w:t>
      </w:r>
      <w:r w:rsidRPr="007F28A4">
        <w:rPr>
          <w:i/>
          <w:iCs/>
          <w:sz w:val="22"/>
          <w:szCs w:val="22"/>
        </w:rPr>
        <w:t>Restat 2d of Prop: Donative Transfers</w:t>
      </w:r>
      <w:r w:rsidRPr="007F28A4">
        <w:rPr>
          <w:sz w:val="22"/>
          <w:szCs w:val="22"/>
        </w:rPr>
        <w:t>, § 11.4 “</w:t>
      </w:r>
      <w:r w:rsidRPr="007F28A4">
        <w:rPr>
          <w:i/>
          <w:iCs/>
          <w:sz w:val="22"/>
          <w:szCs w:val="22"/>
        </w:rPr>
        <w:t>a.  General power of appointment</w:t>
      </w:r>
      <w:r w:rsidRPr="007F28A4">
        <w:rPr>
          <w:sz w:val="22"/>
          <w:szCs w:val="22"/>
        </w:rPr>
        <w:t xml:space="preserve">.  A general power of appointment gives the donee of the power the authority to confer on himself or herself the full benefit of the appointive assets to the exclusion of others. If this authority must be exercised jointly with another, even though the joint donee may have an interest in the appointive assets adverse to the exercise of the power in favor of the donee who can be benefited by the exercise of the power, </w:t>
      </w:r>
      <w:r w:rsidRPr="007F28A4">
        <w:rPr>
          <w:b/>
          <w:i/>
          <w:sz w:val="22"/>
          <w:szCs w:val="22"/>
        </w:rPr>
        <w:t>that fact does not prevent the power from being a general one</w:t>
      </w:r>
      <w:r w:rsidRPr="007F28A4">
        <w:rPr>
          <w:sz w:val="22"/>
          <w:szCs w:val="22"/>
        </w:rPr>
        <w:t>. Restat 3d Prop.: Wills and Other Donative Transfers, § 17.3 “</w:t>
      </w:r>
      <w:r w:rsidRPr="007F28A4">
        <w:rPr>
          <w:i/>
          <w:iCs/>
          <w:sz w:val="22"/>
          <w:szCs w:val="22"/>
        </w:rPr>
        <w:t>e. Joint power with nonadverse party or with adverse party</w:t>
      </w:r>
      <w:r w:rsidRPr="007F28A4">
        <w:rPr>
          <w:sz w:val="22"/>
          <w:szCs w:val="22"/>
        </w:rPr>
        <w:t xml:space="preserve">. If a power of appointment can be exercised in favor of the donee, the donee's estate, or the creditors of either, the power is a general power even if the donee can only exercise the power with the joinder of a nonadverse party. If the power can only be exercised with the joinder of an adverse party, however, </w:t>
      </w:r>
      <w:r w:rsidRPr="007F28A4">
        <w:rPr>
          <w:b/>
          <w:i/>
          <w:sz w:val="22"/>
          <w:szCs w:val="22"/>
        </w:rPr>
        <w:t>the power is not a general power</w:t>
      </w:r>
      <w:r w:rsidRPr="007F28A4">
        <w:rPr>
          <w:sz w:val="22"/>
          <w:szCs w:val="22"/>
        </w:rPr>
        <w:t>. An adverse party is a person who has a substantial beneficial interest in the trust or other property arrangement that would be adversely affected by the exercise or nonexercise of the power in favor of the donee, the donee's estate, or the creditors of either; a nonadverse party is a person who does not have such an interest.”</w:t>
      </w:r>
      <w:r w:rsidR="001802EB">
        <w:rPr>
          <w:sz w:val="22"/>
          <w:szCs w:val="22"/>
        </w:rPr>
        <w:t xml:space="preserve">  The Uniform Power of Appointment Act follows the latest restatement.</w:t>
      </w:r>
    </w:p>
  </w:footnote>
  <w:footnote w:id="135">
    <w:p w14:paraId="410D2442" w14:textId="77777777" w:rsidR="00D53D4F" w:rsidRDefault="00D53D4F" w:rsidP="00F404E2">
      <w:pPr>
        <w:pStyle w:val="FootnoteText"/>
        <w:spacing w:after="120"/>
      </w:pPr>
      <w:r w:rsidRPr="007F28A4">
        <w:rPr>
          <w:rStyle w:val="FootnoteReference"/>
          <w:sz w:val="22"/>
          <w:szCs w:val="22"/>
        </w:rPr>
        <w:footnoteRef/>
      </w:r>
      <w:r w:rsidRPr="007F28A4">
        <w:rPr>
          <w:sz w:val="22"/>
          <w:szCs w:val="22"/>
        </w:rPr>
        <w:t xml:space="preserve"> In UTC states the applicable creditor access provision, §505(b), refers to “powers of withdrawal” (see 50 state chart).  However, the definition of a power of withdrawal under the UTC excludes any power that is conditioned on consent of the trustee (unlike the federal tax code, which still considers that a general power under §2514): UTC §103(11) “Power of withdrawal” means a presently exercisable general power of appointment other than a power: ***(B) exercisable by another person only upon consent of the trustee or a person holding an adverse interest.” [if a power were predicated on adverse party consent, it would no longer be a general power of appointment for estate/gift tax].  Interestingly, this provision appears to apply even if the powerholder happens to be the SOLE trustee, though I would not count on a court taking a literal reading of the statute.</w:t>
      </w:r>
    </w:p>
  </w:footnote>
  <w:footnote w:id="136">
    <w:p w14:paraId="3034C17C" w14:textId="77777777" w:rsidR="00D53D4F" w:rsidRPr="007D13EC" w:rsidRDefault="00D53D4F" w:rsidP="00F404E2">
      <w:pPr>
        <w:pStyle w:val="FootnoteText"/>
        <w:spacing w:after="120"/>
      </w:pPr>
      <w:r w:rsidRPr="007F28A4">
        <w:rPr>
          <w:rStyle w:val="FootnoteReference"/>
          <w:sz w:val="22"/>
          <w:szCs w:val="22"/>
        </w:rPr>
        <w:footnoteRef/>
      </w:r>
      <w:r w:rsidRPr="007F28A4">
        <w:rPr>
          <w:sz w:val="22"/>
          <w:szCs w:val="22"/>
        </w:rPr>
        <w:t xml:space="preserve"> See </w:t>
      </w:r>
      <w:hyperlink r:id="rId25" w:history="1">
        <w:r w:rsidRPr="007F28A4">
          <w:rPr>
            <w:rStyle w:val="Hyperlink"/>
            <w:sz w:val="22"/>
            <w:szCs w:val="22"/>
          </w:rPr>
          <w:t>http://www.actec.org/public/Documents/Studies/Zaritsky_RAP_Survey_03_2012.pdf</w:t>
        </w:r>
      </w:hyperlink>
      <w:r w:rsidRPr="007F28A4">
        <w:rPr>
          <w:sz w:val="22"/>
          <w:szCs w:val="22"/>
        </w:rPr>
        <w:t xml:space="preserve">, ironically, even Delaware has foreclosed this use for GST exempt trusts, the very situations where it will now most often be useful.  According to the survey, Kentucky and Wisconsin have the most useful statutes (or, depending on the point of view, treacherous, if dealing with an inadvertent appointment and taxable estates), in that appointing to a trust that grants a </w:t>
      </w:r>
      <w:r w:rsidRPr="007F28A4">
        <w:rPr>
          <w:i/>
          <w:sz w:val="22"/>
          <w:szCs w:val="22"/>
        </w:rPr>
        <w:t>testamentary</w:t>
      </w:r>
      <w:r w:rsidRPr="007F28A4">
        <w:rPr>
          <w:sz w:val="22"/>
          <w:szCs w:val="22"/>
        </w:rPr>
        <w:t xml:space="preserve"> GPOA can also trigger 2041(a)(3), which would at least improve upon the asset protection/control issues.</w:t>
      </w:r>
    </w:p>
  </w:footnote>
  <w:footnote w:id="137">
    <w:p w14:paraId="72EF6CCA" w14:textId="77777777" w:rsidR="00D53D4F" w:rsidRPr="00BD4DE2" w:rsidRDefault="00D53D4F" w:rsidP="00F404E2">
      <w:pPr>
        <w:pStyle w:val="FootnoteText"/>
        <w:spacing w:after="120"/>
        <w:rPr>
          <w:i/>
        </w:rPr>
      </w:pPr>
      <w:r w:rsidRPr="007F28A4">
        <w:rPr>
          <w:rStyle w:val="FootnoteReference"/>
          <w:sz w:val="22"/>
          <w:szCs w:val="22"/>
        </w:rPr>
        <w:footnoteRef/>
      </w:r>
      <w:r w:rsidRPr="007F28A4">
        <w:rPr>
          <w:sz w:val="22"/>
          <w:szCs w:val="22"/>
        </w:rPr>
        <w:t xml:space="preserve"> See, e.g., Howard Zaritsky, Carol Harrington and Lloyd Plaine’s treatise </w:t>
      </w:r>
      <w:r w:rsidRPr="007F28A4">
        <w:rPr>
          <w:i/>
          <w:sz w:val="22"/>
          <w:szCs w:val="22"/>
        </w:rPr>
        <w:t xml:space="preserve">Generation Skipping Transfer Tax, </w:t>
      </w:r>
      <w:r w:rsidRPr="007F28A4">
        <w:rPr>
          <w:sz w:val="22"/>
          <w:szCs w:val="22"/>
        </w:rPr>
        <w:t>various forms channeling distribution of “the largest amount, if any, of my wife’s available GST exemption”. You can find multiple examples of such clauses online from CLEs done decades ago.</w:t>
      </w:r>
    </w:p>
  </w:footnote>
  <w:footnote w:id="138">
    <w:p w14:paraId="662D6ACE" w14:textId="77777777" w:rsidR="00D53D4F" w:rsidRPr="007F28A4" w:rsidRDefault="00D53D4F" w:rsidP="00F404E2">
      <w:pPr>
        <w:pStyle w:val="FootnoteText"/>
        <w:spacing w:after="120"/>
        <w:rPr>
          <w:sz w:val="22"/>
          <w:szCs w:val="22"/>
        </w:rPr>
      </w:pPr>
      <w:r w:rsidRPr="007F28A4">
        <w:rPr>
          <w:rStyle w:val="FootnoteReference"/>
          <w:sz w:val="22"/>
          <w:szCs w:val="22"/>
        </w:rPr>
        <w:footnoteRef/>
      </w:r>
      <w:r w:rsidRPr="007F28A4">
        <w:rPr>
          <w:sz w:val="22"/>
          <w:szCs w:val="22"/>
        </w:rPr>
        <w:t xml:space="preserve"> “If the settlor of a trust empowers a trustee or another person to change a power of appointment from a general power into a nongeneral power, or vice versa, the power is either general or nongeneral depending on the scope of the power at any particular time.” Comments to Uniform Power of Appointment Act, §102</w:t>
      </w:r>
    </w:p>
  </w:footnote>
  <w:footnote w:id="139">
    <w:p w14:paraId="7767508D" w14:textId="77777777" w:rsidR="00D53D4F" w:rsidRDefault="00D53D4F" w:rsidP="00F404E2">
      <w:pPr>
        <w:pStyle w:val="FootnoteText"/>
        <w:spacing w:after="120"/>
      </w:pPr>
      <w:r w:rsidRPr="007F28A4">
        <w:rPr>
          <w:rStyle w:val="FootnoteReference"/>
          <w:sz w:val="22"/>
          <w:szCs w:val="22"/>
        </w:rPr>
        <w:footnoteRef/>
      </w:r>
      <w:r w:rsidRPr="007F28A4">
        <w:rPr>
          <w:sz w:val="22"/>
          <w:szCs w:val="22"/>
        </w:rPr>
        <w:t xml:space="preserve"> PLR 9527024</w:t>
      </w:r>
    </w:p>
  </w:footnote>
  <w:footnote w:id="140">
    <w:p w14:paraId="0CA418ED" w14:textId="182E650A" w:rsidR="008F6987" w:rsidRDefault="008F6987">
      <w:pPr>
        <w:pStyle w:val="FootnoteText"/>
      </w:pPr>
      <w:r>
        <w:rPr>
          <w:rStyle w:val="FootnoteReference"/>
        </w:rPr>
        <w:footnoteRef/>
      </w:r>
      <w:r>
        <w:t xml:space="preserve"> </w:t>
      </w:r>
      <w:hyperlink r:id="rId26" w:history="1">
        <w:r w:rsidRPr="004F56F6">
          <w:rPr>
            <w:rStyle w:val="Hyperlink"/>
          </w:rPr>
          <w:t>PLR 2004-03094</w:t>
        </w:r>
      </w:hyperlink>
      <w:r>
        <w:t xml:space="preserve">, </w:t>
      </w:r>
      <w:hyperlink r:id="rId27" w:history="1">
        <w:r w:rsidR="00BA09DF" w:rsidRPr="001469B1">
          <w:rPr>
            <w:rStyle w:val="Hyperlink"/>
          </w:rPr>
          <w:t>PLR 2006-04028</w:t>
        </w:r>
      </w:hyperlink>
      <w:r w:rsidR="009D24BC">
        <w:t xml:space="preserve"> – although the</w:t>
      </w:r>
      <w:r w:rsidR="00907963">
        <w:t>se two PLRs</w:t>
      </w:r>
      <w:r w:rsidR="009D24BC">
        <w:t xml:space="preserve"> involved</w:t>
      </w:r>
      <w:r w:rsidR="005736C2">
        <w:t xml:space="preserve"> additional issues discussed later herein regarding JEST trusts and </w:t>
      </w:r>
      <w:r w:rsidR="00D50920">
        <w:t>techniques to get a step up in basis at the first spouse to die’s death in a separate property state, they might still be informative as to how the IRS views</w:t>
      </w:r>
      <w:r w:rsidR="00907963">
        <w:t xml:space="preserve"> the scope of</w:t>
      </w:r>
      <w:r w:rsidR="00D50920">
        <w:t xml:space="preserve"> </w:t>
      </w:r>
      <w:r w:rsidR="00907963">
        <w:t>IRC 2041</w:t>
      </w:r>
      <w:r w:rsidR="009D2D9D">
        <w:t xml:space="preserve"> and caps on powers.</w:t>
      </w:r>
    </w:p>
  </w:footnote>
  <w:footnote w:id="141">
    <w:p w14:paraId="7BA1F913" w14:textId="128A121D" w:rsidR="005620E6" w:rsidRDefault="005620E6">
      <w:pPr>
        <w:pStyle w:val="FootnoteText"/>
      </w:pPr>
      <w:r>
        <w:rPr>
          <w:rStyle w:val="FootnoteReference"/>
        </w:rPr>
        <w:footnoteRef/>
      </w:r>
      <w:r>
        <w:t xml:space="preserve"> </w:t>
      </w:r>
      <w:hyperlink r:id="rId28" w:history="1">
        <w:r w:rsidRPr="008D31E7">
          <w:rPr>
            <w:rStyle w:val="Hyperlink"/>
          </w:rPr>
          <w:t xml:space="preserve">PLR </w:t>
        </w:r>
        <w:r w:rsidR="00667029" w:rsidRPr="008D31E7">
          <w:rPr>
            <w:rStyle w:val="Hyperlink"/>
          </w:rPr>
          <w:t>202206008</w:t>
        </w:r>
      </w:hyperlink>
      <w:r w:rsidR="00667029">
        <w:t xml:space="preserve">.  See also, </w:t>
      </w:r>
      <w:r w:rsidR="00667029" w:rsidRPr="00053DD2">
        <w:rPr>
          <w:i/>
          <w:iCs/>
        </w:rPr>
        <w:t>Ed Morrow on PLR 202206008: Judicial Settlement Modification &amp; Formula Testamentary General Powers of Appointment</w:t>
      </w:r>
      <w:r w:rsidR="008D31E7">
        <w:t xml:space="preserve">, </w:t>
      </w:r>
      <w:r w:rsidR="00053DD2" w:rsidRPr="00053DD2">
        <w:t>LISI Estate Planning Newsletter #2945 (March 16, 2022)</w:t>
      </w:r>
      <w:r w:rsidR="00053DD2">
        <w:t>.</w:t>
      </w:r>
    </w:p>
  </w:footnote>
  <w:footnote w:id="142">
    <w:p w14:paraId="518A2AC1" w14:textId="040E422A" w:rsidR="00D53D4F" w:rsidRPr="001B6630" w:rsidRDefault="00D53D4F" w:rsidP="00F404E2">
      <w:pPr>
        <w:pStyle w:val="FootnoteText"/>
        <w:spacing w:after="120"/>
        <w:rPr>
          <w:sz w:val="22"/>
          <w:szCs w:val="22"/>
        </w:rPr>
      </w:pPr>
      <w:r w:rsidRPr="001B6630">
        <w:rPr>
          <w:rStyle w:val="FootnoteReference"/>
          <w:sz w:val="22"/>
          <w:szCs w:val="22"/>
        </w:rPr>
        <w:footnoteRef/>
      </w:r>
      <w:r w:rsidRPr="001B6630">
        <w:rPr>
          <w:sz w:val="22"/>
          <w:szCs w:val="22"/>
        </w:rPr>
        <w:t xml:space="preserve"> </w:t>
      </w:r>
      <w:r w:rsidRPr="001B6630">
        <w:rPr>
          <w:i/>
          <w:sz w:val="22"/>
          <w:szCs w:val="22"/>
        </w:rPr>
        <w:t>Estate of Kurz</w:t>
      </w:r>
      <w:r w:rsidRPr="001B6630">
        <w:rPr>
          <w:sz w:val="22"/>
          <w:szCs w:val="22"/>
        </w:rPr>
        <w:t>, 101 T.C. 44 (1993), aff’d 68 F.3d 1027 (7</w:t>
      </w:r>
      <w:r w:rsidRPr="001B6630">
        <w:rPr>
          <w:sz w:val="22"/>
          <w:szCs w:val="22"/>
          <w:vertAlign w:val="superscript"/>
        </w:rPr>
        <w:t>th</w:t>
      </w:r>
      <w:r w:rsidRPr="001B6630">
        <w:rPr>
          <w:sz w:val="22"/>
          <w:szCs w:val="22"/>
        </w:rPr>
        <w:t xml:space="preserve"> Cir. 1995) – I suggest reading both the district court and appellate court opinions, even though the latter is controlling. </w:t>
      </w:r>
    </w:p>
  </w:footnote>
  <w:footnote w:id="143">
    <w:p w14:paraId="3C971FEE" w14:textId="77777777" w:rsidR="00D53D4F" w:rsidRPr="00E13B5B" w:rsidRDefault="00D53D4F" w:rsidP="00F404E2">
      <w:pPr>
        <w:pStyle w:val="FootnoteText"/>
        <w:spacing w:after="120"/>
      </w:pPr>
      <w:r w:rsidRPr="001B6630">
        <w:rPr>
          <w:rStyle w:val="FootnoteReference"/>
          <w:sz w:val="22"/>
          <w:szCs w:val="22"/>
        </w:rPr>
        <w:footnoteRef/>
      </w:r>
      <w:r w:rsidRPr="001B6630">
        <w:rPr>
          <w:sz w:val="22"/>
          <w:szCs w:val="22"/>
        </w:rPr>
        <w:t xml:space="preserve"> E.g., Treas. Reg. §20.2041-1(b)(3)</w:t>
      </w:r>
      <w:r w:rsidRPr="001B6630">
        <w:rPr>
          <w:rStyle w:val="enumxml"/>
          <w:b/>
          <w:bCs/>
          <w:color w:val="000000"/>
          <w:sz w:val="22"/>
          <w:szCs w:val="22"/>
        </w:rPr>
        <w:t>:</w:t>
      </w:r>
      <w:r w:rsidRPr="001B6630">
        <w:rPr>
          <w:rStyle w:val="apple-converted-space"/>
          <w:color w:val="000000"/>
          <w:sz w:val="22"/>
          <w:szCs w:val="22"/>
        </w:rPr>
        <w:t> “</w:t>
      </w:r>
      <w:r w:rsidRPr="001B6630">
        <w:rPr>
          <w:rStyle w:val="Emphasis"/>
          <w:b/>
          <w:bCs/>
          <w:color w:val="000000"/>
          <w:sz w:val="22"/>
          <w:szCs w:val="22"/>
        </w:rPr>
        <w:t>Powers over a portion of property.</w:t>
      </w:r>
      <w:r w:rsidRPr="001B6630">
        <w:rPr>
          <w:rStyle w:val="apple-converted-space"/>
          <w:b/>
          <w:bCs/>
          <w:color w:val="000000"/>
          <w:sz w:val="22"/>
          <w:szCs w:val="22"/>
        </w:rPr>
        <w:t> </w:t>
      </w:r>
      <w:r w:rsidRPr="001B6630">
        <w:rPr>
          <w:rStyle w:val="ptext-2"/>
          <w:color w:val="000000"/>
          <w:sz w:val="22"/>
          <w:szCs w:val="22"/>
        </w:rPr>
        <w:t>If a power of appointment exists as to part of an entire group of assets or only over a limited interest in property, section 2041 applies only to such part or interest” See also</w:t>
      </w:r>
      <w:r w:rsidRPr="001B6630">
        <w:rPr>
          <w:sz w:val="22"/>
          <w:szCs w:val="22"/>
        </w:rPr>
        <w:t>, Treas. Reg. §25.2518-3(d) example 20,</w:t>
      </w:r>
      <w:r w:rsidRPr="001B6630">
        <w:rPr>
          <w:rFonts w:ascii="Calibri" w:hAnsi="Calibri"/>
          <w:sz w:val="22"/>
          <w:szCs w:val="22"/>
        </w:rPr>
        <w:t xml:space="preserve"> </w:t>
      </w:r>
      <w:r w:rsidRPr="001B6630">
        <w:rPr>
          <w:sz w:val="22"/>
          <w:szCs w:val="22"/>
        </w:rPr>
        <w:t>quoted and discussed on page 20, footnotes 43, 44</w:t>
      </w:r>
    </w:p>
  </w:footnote>
  <w:footnote w:id="144">
    <w:p w14:paraId="0CB0C3EF" w14:textId="5E54FCBB" w:rsidR="00D53D4F" w:rsidRPr="001B6630" w:rsidRDefault="00D53D4F" w:rsidP="00F404E2">
      <w:pPr>
        <w:pStyle w:val="FootnoteText"/>
        <w:spacing w:after="120"/>
        <w:rPr>
          <w:sz w:val="22"/>
          <w:szCs w:val="22"/>
        </w:rPr>
      </w:pPr>
      <w:r w:rsidRPr="001B6630">
        <w:rPr>
          <w:rStyle w:val="FootnoteReference"/>
          <w:sz w:val="22"/>
          <w:szCs w:val="22"/>
        </w:rPr>
        <w:footnoteRef/>
      </w:r>
      <w:r w:rsidRPr="001B6630">
        <w:rPr>
          <w:sz w:val="22"/>
          <w:szCs w:val="22"/>
        </w:rPr>
        <w:t xml:space="preserve"> This is essentially paraphrasing the 7</w:t>
      </w:r>
      <w:r w:rsidRPr="001B6630">
        <w:rPr>
          <w:sz w:val="22"/>
          <w:szCs w:val="22"/>
          <w:vertAlign w:val="superscript"/>
        </w:rPr>
        <w:t>th</w:t>
      </w:r>
      <w:r w:rsidRPr="001B6630">
        <w:rPr>
          <w:sz w:val="22"/>
          <w:szCs w:val="22"/>
        </w:rPr>
        <w:t xml:space="preserve"> Circuit’s </w:t>
      </w:r>
      <w:r w:rsidRPr="001B6630">
        <w:rPr>
          <w:i/>
          <w:sz w:val="22"/>
          <w:szCs w:val="22"/>
        </w:rPr>
        <w:t>Kurz</w:t>
      </w:r>
      <w:r w:rsidRPr="001B6630">
        <w:rPr>
          <w:sz w:val="22"/>
          <w:szCs w:val="22"/>
        </w:rPr>
        <w:t xml:space="preserve"> opinion, at page 1029</w:t>
      </w:r>
      <w:r w:rsidR="00052379">
        <w:rPr>
          <w:sz w:val="22"/>
          <w:szCs w:val="22"/>
        </w:rPr>
        <w:t>, “</w:t>
      </w:r>
      <w:r w:rsidR="00052379" w:rsidRPr="00052379">
        <w:rPr>
          <w:sz w:val="22"/>
          <w:szCs w:val="22"/>
        </w:rPr>
        <w:t>ask how much wealth the decedent actually controlled at death</w:t>
      </w:r>
      <w:r w:rsidR="00052379">
        <w:rPr>
          <w:sz w:val="22"/>
          <w:szCs w:val="22"/>
        </w:rPr>
        <w:t>”</w:t>
      </w:r>
      <w:r w:rsidRPr="001B6630">
        <w:rPr>
          <w:sz w:val="22"/>
          <w:szCs w:val="22"/>
        </w:rPr>
        <w:t>, and the definition of when a general power is determined and measured as such under the restatement – see Restat 2d of Prop: Donative Transfers, § 11.4;</w:t>
      </w:r>
      <w:r w:rsidRPr="001B6630">
        <w:rPr>
          <w:rFonts w:ascii="Verdana" w:hAnsi="Verdana"/>
          <w:color w:val="333333"/>
          <w:sz w:val="22"/>
          <w:szCs w:val="22"/>
        </w:rPr>
        <w:t xml:space="preserve"> </w:t>
      </w:r>
      <w:r w:rsidRPr="001B6630">
        <w:rPr>
          <w:color w:val="333333"/>
          <w:sz w:val="22"/>
          <w:szCs w:val="22"/>
        </w:rPr>
        <w:t>Restat 3d Property: Wills and Other Donative Transfers, § 17.3 “</w:t>
      </w:r>
      <w:r w:rsidRPr="001B6630">
        <w:rPr>
          <w:i/>
          <w:iCs/>
          <w:sz w:val="22"/>
          <w:szCs w:val="22"/>
        </w:rPr>
        <w:t>d. Effect of fiduciary exercising authority to change nongeneral power to general power and vice versa</w:t>
      </w:r>
      <w:r w:rsidRPr="001B6630">
        <w:rPr>
          <w:sz w:val="22"/>
          <w:szCs w:val="22"/>
        </w:rPr>
        <w:t>. If the settlor of a trust empowers the trustee or a trust protector to change a donee's general power into a nongeneral power or to change a donee's nongeneral power into a general power, the donee's power is either general or nongeneral depending on the scope of the donee's power at any particular time.”</w:t>
      </w:r>
    </w:p>
  </w:footnote>
  <w:footnote w:id="145">
    <w:p w14:paraId="74594C76" w14:textId="77777777" w:rsidR="00D53D4F" w:rsidRDefault="00D53D4F" w:rsidP="00F404E2">
      <w:pPr>
        <w:pStyle w:val="FootnoteText"/>
        <w:spacing w:after="120"/>
      </w:pPr>
      <w:r w:rsidRPr="001B6630">
        <w:rPr>
          <w:rStyle w:val="FootnoteReference"/>
          <w:sz w:val="22"/>
          <w:szCs w:val="22"/>
        </w:rPr>
        <w:footnoteRef/>
      </w:r>
      <w:r w:rsidRPr="001B6630">
        <w:rPr>
          <w:sz w:val="22"/>
          <w:szCs w:val="22"/>
        </w:rPr>
        <w:t xml:space="preserve"> Treas. Reg. §20.2056(b)-7(h) Ex 7: [After example of a “zeroed out” QTIP formula]*** “The value of the share qualifies for the marital deduction even though the executor's determinations to claim administration expenses as estate or income tax deductions and the final estate tax values will affect the size of the fractional share.”</w:t>
      </w:r>
    </w:p>
  </w:footnote>
  <w:footnote w:id="146">
    <w:p w14:paraId="20D74441" w14:textId="77777777" w:rsidR="00D53D4F" w:rsidRPr="001B6630" w:rsidRDefault="00D53D4F" w:rsidP="00F404E2">
      <w:pPr>
        <w:pStyle w:val="FootnoteText"/>
        <w:spacing w:after="120"/>
        <w:rPr>
          <w:sz w:val="22"/>
          <w:szCs w:val="22"/>
        </w:rPr>
      </w:pPr>
      <w:r w:rsidRPr="001B6630">
        <w:rPr>
          <w:rStyle w:val="FootnoteReference"/>
          <w:sz w:val="22"/>
          <w:szCs w:val="22"/>
        </w:rPr>
        <w:footnoteRef/>
      </w:r>
      <w:r w:rsidRPr="001B6630">
        <w:rPr>
          <w:sz w:val="22"/>
          <w:szCs w:val="22"/>
        </w:rPr>
        <w:t xml:space="preserve"> E.g., see the otherwise excellent client-friendly summary of the idea in July 2014 newsletter by the law firm Day Pitney LLP at </w:t>
      </w:r>
      <w:hyperlink r:id="rId29" w:anchor="page=1" w:history="1">
        <w:r w:rsidRPr="001B6630">
          <w:rPr>
            <w:rStyle w:val="Hyperlink"/>
            <w:sz w:val="22"/>
            <w:szCs w:val="22"/>
          </w:rPr>
          <w:t>http://www.daypitney.com/news/docs/dp_5344.pdf#page=1</w:t>
        </w:r>
      </w:hyperlink>
      <w:r w:rsidRPr="001B6630">
        <w:rPr>
          <w:sz w:val="22"/>
          <w:szCs w:val="22"/>
        </w:rPr>
        <w:t xml:space="preserve"> </w:t>
      </w:r>
    </w:p>
  </w:footnote>
  <w:footnote w:id="147">
    <w:p w14:paraId="7D622EFA" w14:textId="77777777" w:rsidR="00D53D4F" w:rsidRPr="001B6630" w:rsidRDefault="00D53D4F" w:rsidP="00F404E2">
      <w:pPr>
        <w:pStyle w:val="FootnoteText"/>
        <w:spacing w:after="120"/>
        <w:rPr>
          <w:sz w:val="22"/>
          <w:szCs w:val="22"/>
        </w:rPr>
      </w:pPr>
      <w:r w:rsidRPr="001B6630">
        <w:rPr>
          <w:rStyle w:val="FootnoteReference"/>
          <w:sz w:val="22"/>
          <w:szCs w:val="22"/>
        </w:rPr>
        <w:footnoteRef/>
      </w:r>
      <w:r w:rsidRPr="001B6630">
        <w:rPr>
          <w:sz w:val="22"/>
          <w:szCs w:val="22"/>
        </w:rPr>
        <w:t xml:space="preserve"> Thanks to California attorney Terence Nunan for pointing out this conservative drafting option.  See his article </w:t>
      </w:r>
      <w:r w:rsidRPr="001B6630">
        <w:rPr>
          <w:i/>
          <w:sz w:val="22"/>
          <w:szCs w:val="22"/>
        </w:rPr>
        <w:t>Basis Harvesting</w:t>
      </w:r>
      <w:r w:rsidRPr="001B6630">
        <w:rPr>
          <w:sz w:val="22"/>
          <w:szCs w:val="22"/>
        </w:rPr>
        <w:t>, Probate and Property, Sept/Oct 2011, and sample language in appendix with both options</w:t>
      </w:r>
    </w:p>
  </w:footnote>
  <w:footnote w:id="148">
    <w:p w14:paraId="3AB123F5" w14:textId="77777777" w:rsidR="00D53D4F" w:rsidRPr="001B6630" w:rsidRDefault="00D53D4F" w:rsidP="00F404E2">
      <w:pPr>
        <w:pStyle w:val="FootnoteText"/>
        <w:spacing w:after="120"/>
        <w:rPr>
          <w:sz w:val="22"/>
          <w:szCs w:val="22"/>
        </w:rPr>
      </w:pPr>
      <w:r w:rsidRPr="001B6630">
        <w:rPr>
          <w:rStyle w:val="FootnoteReference"/>
          <w:sz w:val="22"/>
          <w:szCs w:val="22"/>
        </w:rPr>
        <w:footnoteRef/>
      </w:r>
      <w:r w:rsidRPr="001B6630">
        <w:rPr>
          <w:sz w:val="22"/>
          <w:szCs w:val="22"/>
        </w:rPr>
        <w:t xml:space="preserve"> See, </w:t>
      </w:r>
      <w:r w:rsidRPr="001B6630">
        <w:rPr>
          <w:i/>
          <w:sz w:val="22"/>
          <w:szCs w:val="22"/>
        </w:rPr>
        <w:t>Commissioner v. Proctor</w:t>
      </w:r>
      <w:r w:rsidRPr="001B6630">
        <w:rPr>
          <w:sz w:val="22"/>
          <w:szCs w:val="22"/>
        </w:rPr>
        <w:t xml:space="preserve">, </w:t>
      </w:r>
      <w:r w:rsidRPr="001B6630">
        <w:rPr>
          <w:sz w:val="22"/>
          <w:szCs w:val="22"/>
          <w:lang w:val="en"/>
        </w:rPr>
        <w:t>142 F2d 824 (4th Cir. 1944), cert. denied, 323 U.S. 756 (1944), and two subsequent revenue rulings wherein the IRS will not give effect to subsequent trust changes or subsequent formula valuation changes based on IRS reassessment of valuation.  Rev. Rul. 66-144 and Rev. Rul. 86-41.</w:t>
      </w:r>
    </w:p>
  </w:footnote>
  <w:footnote w:id="149">
    <w:p w14:paraId="38BD40A7" w14:textId="77777777" w:rsidR="00D53D4F" w:rsidRDefault="00D53D4F" w:rsidP="00F404E2">
      <w:pPr>
        <w:pStyle w:val="FootnoteText"/>
        <w:spacing w:after="120"/>
      </w:pPr>
      <w:r w:rsidRPr="0008014E">
        <w:rPr>
          <w:rStyle w:val="FootnoteReference"/>
          <w:sz w:val="22"/>
          <w:szCs w:val="22"/>
        </w:rPr>
        <w:footnoteRef/>
      </w:r>
      <w:r w:rsidRPr="0008014E">
        <w:rPr>
          <w:sz w:val="22"/>
          <w:szCs w:val="22"/>
        </w:rPr>
        <w:t xml:space="preserve"> Treas. Reg. 20.2041-1(d): “</w:t>
      </w:r>
      <w:r w:rsidRPr="0008014E">
        <w:rPr>
          <w:rStyle w:val="ptext-18"/>
          <w:sz w:val="22"/>
          <w:szCs w:val="22"/>
          <w:lang w:val="en"/>
        </w:rPr>
        <w:t>However, regardless of local law, a power of appointment is considered as exercised for purposes of section 2041 even though the exercise is in favor of the taker in default of appointment, and irrespective of whether the appointed interest and the interest in default of appointment are identical or whether the appointee renounces any right to take under the appointment.”</w:t>
      </w:r>
    </w:p>
  </w:footnote>
  <w:footnote w:id="150">
    <w:p w14:paraId="4F66078E" w14:textId="0FDFD051" w:rsidR="00D53D4F" w:rsidRPr="0008014E" w:rsidRDefault="00D53D4F" w:rsidP="00F404E2">
      <w:pPr>
        <w:pStyle w:val="FootnoteText"/>
        <w:spacing w:after="120"/>
        <w:rPr>
          <w:sz w:val="22"/>
          <w:szCs w:val="22"/>
        </w:rPr>
      </w:pPr>
      <w:r w:rsidRPr="0008014E">
        <w:rPr>
          <w:rStyle w:val="FootnoteReference"/>
          <w:sz w:val="22"/>
          <w:szCs w:val="22"/>
        </w:rPr>
        <w:footnoteRef/>
      </w:r>
      <w:r w:rsidRPr="0008014E">
        <w:rPr>
          <w:sz w:val="22"/>
          <w:szCs w:val="22"/>
        </w:rPr>
        <w:t xml:space="preserve"> E.g.</w:t>
      </w:r>
      <w:r w:rsidR="0008014E" w:rsidRPr="0008014E">
        <w:rPr>
          <w:sz w:val="22"/>
          <w:szCs w:val="22"/>
        </w:rPr>
        <w:t>,</w:t>
      </w:r>
      <w:r w:rsidRPr="0008014E">
        <w:rPr>
          <w:sz w:val="22"/>
          <w:szCs w:val="22"/>
        </w:rPr>
        <w:t xml:space="preserve"> </w:t>
      </w:r>
      <w:r w:rsidRPr="0008014E">
        <w:rPr>
          <w:i/>
          <w:sz w:val="22"/>
          <w:szCs w:val="22"/>
        </w:rPr>
        <w:t>Estate of Christiansen v. Comm</w:t>
      </w:r>
      <w:r w:rsidRPr="0008014E">
        <w:rPr>
          <w:sz w:val="22"/>
          <w:szCs w:val="22"/>
        </w:rPr>
        <w:t xml:space="preserve">., </w:t>
      </w:r>
      <w:r w:rsidRPr="0008014E">
        <w:rPr>
          <w:color w:val="333333"/>
          <w:sz w:val="22"/>
          <w:szCs w:val="22"/>
        </w:rPr>
        <w:t>586 F.3d 1061(8th Cir. 2009), there are also examples in Regulations</w:t>
      </w:r>
    </w:p>
  </w:footnote>
  <w:footnote w:id="151">
    <w:p w14:paraId="183CB7F7" w14:textId="77777777" w:rsidR="00D53D4F" w:rsidRPr="0008014E" w:rsidRDefault="00D53D4F" w:rsidP="00F404E2">
      <w:pPr>
        <w:pStyle w:val="FootnoteText"/>
        <w:spacing w:after="120"/>
        <w:rPr>
          <w:i/>
          <w:sz w:val="22"/>
          <w:szCs w:val="22"/>
        </w:rPr>
      </w:pPr>
      <w:r w:rsidRPr="0008014E">
        <w:rPr>
          <w:rStyle w:val="FootnoteReference"/>
          <w:sz w:val="22"/>
          <w:szCs w:val="22"/>
        </w:rPr>
        <w:footnoteRef/>
      </w:r>
      <w:r w:rsidRPr="0008014E">
        <w:rPr>
          <w:sz w:val="22"/>
          <w:szCs w:val="22"/>
        </w:rPr>
        <w:t xml:space="preserve"> The 2014-2015 versions of this white paper missed much of this nuance, and this version corrects a few points on disclaiming PEG powers – thanks to Illinois tax attorney Robert Kolasa for bringing questions on this point to my attention.  See his excellent article </w:t>
      </w:r>
      <w:r w:rsidRPr="0008014E">
        <w:rPr>
          <w:i/>
          <w:sz w:val="22"/>
          <w:szCs w:val="22"/>
        </w:rPr>
        <w:t xml:space="preserve">Stepped-up Basis for Credit Shelter Trusts Using PEG powers Under Illinois Law, </w:t>
      </w:r>
      <w:r w:rsidRPr="0008014E">
        <w:rPr>
          <w:sz w:val="22"/>
          <w:szCs w:val="22"/>
        </w:rPr>
        <w:t>Illinois State Bar Association Trusts and Estates Newsletter, Vol. 62, No. 10, April 2016</w:t>
      </w:r>
    </w:p>
  </w:footnote>
  <w:footnote w:id="152">
    <w:p w14:paraId="6C6A4F5A" w14:textId="77777777" w:rsidR="00D53D4F" w:rsidRPr="0008014E" w:rsidRDefault="00D53D4F" w:rsidP="00F404E2">
      <w:pPr>
        <w:pStyle w:val="FootnoteText"/>
        <w:spacing w:after="120"/>
        <w:rPr>
          <w:sz w:val="22"/>
          <w:szCs w:val="22"/>
        </w:rPr>
      </w:pPr>
      <w:r w:rsidRPr="0008014E">
        <w:rPr>
          <w:rStyle w:val="FootnoteReference"/>
          <w:sz w:val="22"/>
          <w:szCs w:val="22"/>
        </w:rPr>
        <w:footnoteRef/>
      </w:r>
      <w:r w:rsidRPr="0008014E">
        <w:rPr>
          <w:sz w:val="22"/>
          <w:szCs w:val="22"/>
        </w:rPr>
        <w:t xml:space="preserve"> IRC §2518(b); Treas. Reg. §25.2518-2(c)(3) “In the case of a general power of appointment, the holder of the power has a 9-month period after the transfer creating the power in which to disclaim. If a person to whom any interest in property passes by reason of the exercise, release, or lapse of a general power desires to make a qualified disclaimer, the disclaimer must be made within a 9-month period after the exercise, release, or lapse regardless of whether the exercise, release, or lapse is subject to estate or gift tax. In the case of a nongeneral power of appointment, the holder of the power, permissible appointees, or takers in default of appointment must disclaim within a 9-month period after the original transfer that created or authorized the creation of the power. If the transfer is for the life of an income beneficiary with succeeding interests to other persons, both the life tenant and the other remaindermen, whether their interests are vested or contingent, must disclaim no later than 9 months after the original transfer creating an interest. In the case of a remainder interest in property which an executor elects to treat as qualified terminable interest property under section 2056(b)(7), the remainderman must disclaim within 9 months of the transfer creating the interest, rather than 9 months from the date such interest is subject to tax under section 2044 or 2519. A person who receives an interest in property as the result of a qualified disclaimer of the interest must disclaim the previously disclaimed interest no later than 9 months after the date of the transfer creating the interest in the preceding disclaimant. Thus, if A were to make a qualified disclaimer of a specific bequest and as a result of the qualified disclaimer the property passed as part of the residue, the beneficiary of the residue could make a qualified disclaimer no later than 9 months after the date of the testator's death.</w:t>
      </w:r>
    </w:p>
    <w:p w14:paraId="45731A9E" w14:textId="77777777" w:rsidR="00D53D4F" w:rsidRPr="0008014E" w:rsidRDefault="00D53D4F" w:rsidP="00F404E2">
      <w:pPr>
        <w:pStyle w:val="FootnoteText"/>
        <w:spacing w:after="120"/>
        <w:rPr>
          <w:sz w:val="22"/>
          <w:szCs w:val="22"/>
        </w:rPr>
      </w:pPr>
      <w:r w:rsidRPr="0008014E">
        <w:rPr>
          <w:sz w:val="22"/>
          <w:szCs w:val="22"/>
        </w:rPr>
        <w:t>***</w:t>
      </w:r>
      <w:r w:rsidRPr="0008014E">
        <w:rPr>
          <w:sz w:val="22"/>
          <w:szCs w:val="22"/>
        </w:rPr>
        <w:br/>
        <w:t xml:space="preserve">Example (1). On May 13, 1978, in a transfer which constitutes a completed gift for Federal gift tax purposes, A creates a trust in which B is given a lifetime interest in the income from the trust. B is also given a nongeneral testamentary power of appointment over the corpus of the trust. The power of appointment may be exercised in favor of any of the issue of A and B. If there are no surviving issue at B's death or if the power is not exercised, the corpus is to pass to E. On May 13, 1978, A and B have two surviving children, C and D. If A, B, C or D wishes to make a qualified disclaimer, </w:t>
      </w:r>
      <w:r w:rsidRPr="0008014E">
        <w:rPr>
          <w:i/>
          <w:sz w:val="22"/>
          <w:szCs w:val="22"/>
        </w:rPr>
        <w:t>the disclaimer must be made no later than 9 months after May 13, 1978</w:t>
      </w:r>
      <w:r w:rsidRPr="0008014E">
        <w:rPr>
          <w:sz w:val="22"/>
          <w:szCs w:val="22"/>
        </w:rPr>
        <w:t>.</w:t>
      </w:r>
      <w:r w:rsidRPr="0008014E">
        <w:rPr>
          <w:sz w:val="22"/>
          <w:szCs w:val="22"/>
        </w:rPr>
        <w:br/>
        <w:t xml:space="preserve">Example (2). Assume the same facts as in example (1) except that B is given a </w:t>
      </w:r>
      <w:r w:rsidRPr="0008014E">
        <w:rPr>
          <w:i/>
          <w:sz w:val="22"/>
          <w:szCs w:val="22"/>
        </w:rPr>
        <w:t>general</w:t>
      </w:r>
      <w:r w:rsidRPr="0008014E">
        <w:rPr>
          <w:sz w:val="22"/>
          <w:szCs w:val="22"/>
        </w:rPr>
        <w:t xml:space="preserve"> power of appointment over the corpus of the trust. B exercises the general power of appointment in favor of C </w:t>
      </w:r>
      <w:r w:rsidRPr="0008014E">
        <w:rPr>
          <w:i/>
          <w:sz w:val="22"/>
          <w:szCs w:val="22"/>
        </w:rPr>
        <w:t>upon B's death on June 17, 1989. C may make a qualified disclaimer no later than 9 months after June 17, 1989</w:t>
      </w:r>
      <w:r w:rsidRPr="0008014E">
        <w:rPr>
          <w:sz w:val="22"/>
          <w:szCs w:val="22"/>
        </w:rPr>
        <w:t>. If B had died without exercising the general power of appointment, E could have made a qualified disclaimer no later than 9 months after June 17, 1989.</w:t>
      </w:r>
    </w:p>
  </w:footnote>
  <w:footnote w:id="153">
    <w:p w14:paraId="6BD10107" w14:textId="6C3C8454" w:rsidR="00D53D4F" w:rsidRPr="00DE35D8" w:rsidRDefault="00D53D4F" w:rsidP="00F404E2">
      <w:pPr>
        <w:pStyle w:val="FootnoteText"/>
        <w:spacing w:after="120"/>
        <w:rPr>
          <w:sz w:val="22"/>
          <w:szCs w:val="22"/>
        </w:rPr>
      </w:pPr>
      <w:r w:rsidRPr="00DE35D8">
        <w:rPr>
          <w:rStyle w:val="FootnoteReference"/>
          <w:sz w:val="22"/>
          <w:szCs w:val="22"/>
        </w:rPr>
        <w:footnoteRef/>
      </w:r>
      <w:r w:rsidRPr="00DE35D8">
        <w:rPr>
          <w:sz w:val="22"/>
          <w:szCs w:val="22"/>
        </w:rPr>
        <w:t xml:space="preserve"> Treas. Reg. §20.2041-1(d)</w:t>
      </w:r>
      <w:r w:rsidR="00DE35D8" w:rsidRPr="00DE35D8">
        <w:rPr>
          <w:sz w:val="22"/>
          <w:szCs w:val="22"/>
        </w:rPr>
        <w:t>.</w:t>
      </w:r>
    </w:p>
  </w:footnote>
  <w:footnote w:id="154">
    <w:p w14:paraId="4C215D62" w14:textId="77777777" w:rsidR="00D53D4F" w:rsidRDefault="00D53D4F" w:rsidP="00F404E2">
      <w:pPr>
        <w:pStyle w:val="FootnoteText"/>
        <w:spacing w:after="120"/>
      </w:pPr>
      <w:r w:rsidRPr="00DE35D8">
        <w:rPr>
          <w:rStyle w:val="FootnoteReference"/>
          <w:sz w:val="22"/>
          <w:szCs w:val="22"/>
        </w:rPr>
        <w:footnoteRef/>
      </w:r>
      <w:r w:rsidRPr="00DE35D8">
        <w:rPr>
          <w:sz w:val="22"/>
          <w:szCs w:val="22"/>
        </w:rPr>
        <w:t xml:space="preserve"> See discussion of these nuances in the Uniform Disclaimer of Property Interests, §</w:t>
      </w:r>
      <w:r w:rsidRPr="00DE35D8">
        <w:rPr>
          <w:sz w:val="28"/>
          <w:szCs w:val="28"/>
        </w:rPr>
        <w:t xml:space="preserve"> </w:t>
      </w:r>
      <w:r w:rsidRPr="00DE35D8">
        <w:rPr>
          <w:sz w:val="22"/>
          <w:szCs w:val="22"/>
        </w:rPr>
        <w:t>10, example 1 and 2(b) and Uniform Probate Code §2-1110 based thereon.</w:t>
      </w:r>
    </w:p>
  </w:footnote>
  <w:footnote w:id="155">
    <w:p w14:paraId="37084B8C" w14:textId="77777777" w:rsidR="00D53D4F" w:rsidRPr="00DE35D8" w:rsidRDefault="00D53D4F" w:rsidP="00F404E2">
      <w:pPr>
        <w:pStyle w:val="FootnoteText"/>
        <w:spacing w:after="120"/>
        <w:rPr>
          <w:sz w:val="22"/>
          <w:szCs w:val="22"/>
        </w:rPr>
      </w:pPr>
      <w:r w:rsidRPr="00DE35D8">
        <w:rPr>
          <w:rStyle w:val="FootnoteReference"/>
          <w:sz w:val="22"/>
          <w:szCs w:val="22"/>
        </w:rPr>
        <w:footnoteRef/>
      </w:r>
      <w:r w:rsidRPr="00DE35D8">
        <w:rPr>
          <w:sz w:val="22"/>
          <w:szCs w:val="22"/>
        </w:rPr>
        <w:t xml:space="preserve"> These distinctions and effects may vary state to state.  See NY EPTL § 2-1.11, which deems a “renunciation” under that statute to be retroactive.  The terminology is not as important as the legal effect – is it a transfer by the power holder under state law or not?  The Uniform Disclaimers of Property Interests Act § 13(f), Uniform Probate Code as § 2-113(f), provides: "A disclaimer of an interest in property which is barred by this section takes effect as a transfer of the interest disclaimed to the persons who would have taken the interest under this [Act] had the disclaimer not been barred."</w:t>
      </w:r>
    </w:p>
  </w:footnote>
  <w:footnote w:id="156">
    <w:p w14:paraId="5447169F" w14:textId="77777777" w:rsidR="00D53D4F" w:rsidRPr="00DE35D8" w:rsidRDefault="00D53D4F" w:rsidP="00F404E2">
      <w:pPr>
        <w:pStyle w:val="FootnoteText"/>
        <w:spacing w:after="120"/>
        <w:rPr>
          <w:sz w:val="22"/>
          <w:szCs w:val="22"/>
        </w:rPr>
      </w:pPr>
      <w:r w:rsidRPr="00DE35D8">
        <w:rPr>
          <w:rStyle w:val="FootnoteReference"/>
          <w:sz w:val="22"/>
          <w:szCs w:val="22"/>
        </w:rPr>
        <w:footnoteRef/>
      </w:r>
      <w:r w:rsidRPr="00DE35D8">
        <w:rPr>
          <w:sz w:val="22"/>
          <w:szCs w:val="22"/>
        </w:rPr>
        <w:t xml:space="preserve"> Treas. Reg. §20.2041-1(d): “***However, regardless of local law, a power of appointment </w:t>
      </w:r>
      <w:r w:rsidRPr="00DE35D8">
        <w:rPr>
          <w:i/>
          <w:sz w:val="22"/>
          <w:szCs w:val="22"/>
        </w:rPr>
        <w:t xml:space="preserve">is considered as exercised </w:t>
      </w:r>
      <w:r w:rsidRPr="00DE35D8">
        <w:rPr>
          <w:sz w:val="22"/>
          <w:szCs w:val="22"/>
        </w:rPr>
        <w:t xml:space="preserve">for purposes of section 2041 even though the exercise is in favor of the taker in default of appointment, and irrespective of whether the appointed interest and the interest in default of appointment are identical </w:t>
      </w:r>
      <w:r w:rsidRPr="00DE35D8">
        <w:rPr>
          <w:i/>
          <w:sz w:val="22"/>
          <w:szCs w:val="22"/>
        </w:rPr>
        <w:t>or whether the appointee renounces any right to take under the appointment</w:t>
      </w:r>
      <w:r w:rsidRPr="00DE35D8">
        <w:rPr>
          <w:sz w:val="22"/>
          <w:szCs w:val="22"/>
        </w:rPr>
        <w:t>.</w:t>
      </w:r>
    </w:p>
  </w:footnote>
  <w:footnote w:id="157">
    <w:p w14:paraId="463BA6A8" w14:textId="54C3E80A" w:rsidR="00D53D4F" w:rsidRDefault="00D53D4F" w:rsidP="00F404E2">
      <w:pPr>
        <w:pStyle w:val="FootnoteText"/>
        <w:spacing w:after="120"/>
      </w:pPr>
      <w:r w:rsidRPr="00DE35D8">
        <w:rPr>
          <w:rStyle w:val="FootnoteReference"/>
          <w:sz w:val="22"/>
          <w:szCs w:val="22"/>
        </w:rPr>
        <w:footnoteRef/>
      </w:r>
      <w:r w:rsidRPr="00DE35D8">
        <w:rPr>
          <w:sz w:val="22"/>
          <w:szCs w:val="22"/>
        </w:rPr>
        <w:t xml:space="preserve"> See the </w:t>
      </w:r>
      <w:r w:rsidRPr="00DE35D8">
        <w:rPr>
          <w:i/>
          <w:sz w:val="22"/>
          <w:szCs w:val="22"/>
        </w:rPr>
        <w:t>Drye</w:t>
      </w:r>
      <w:r w:rsidRPr="00DE35D8">
        <w:rPr>
          <w:sz w:val="22"/>
          <w:szCs w:val="22"/>
        </w:rPr>
        <w:t xml:space="preserve"> case, restatement, cases and statutes cited in footnote 24</w:t>
      </w:r>
      <w:r w:rsidR="00950BB4">
        <w:rPr>
          <w:sz w:val="22"/>
          <w:szCs w:val="22"/>
        </w:rPr>
        <w:t>.  N</w:t>
      </w:r>
      <w:r w:rsidRPr="00DE35D8">
        <w:rPr>
          <w:sz w:val="22"/>
          <w:szCs w:val="22"/>
        </w:rPr>
        <w:t>otable exceptions to post-disclaimer asset protection include Medicaid look back for improper transfers</w:t>
      </w:r>
      <w:r w:rsidR="00950BB4">
        <w:rPr>
          <w:sz w:val="22"/>
          <w:szCs w:val="22"/>
        </w:rPr>
        <w:t xml:space="preserve"> and</w:t>
      </w:r>
      <w:r w:rsidRPr="00DE35D8">
        <w:rPr>
          <w:sz w:val="22"/>
          <w:szCs w:val="22"/>
        </w:rPr>
        <w:t xml:space="preserve"> federal tax liens.</w:t>
      </w:r>
    </w:p>
  </w:footnote>
  <w:footnote w:id="158">
    <w:p w14:paraId="79754D26" w14:textId="292C7BBF" w:rsidR="00D53D4F" w:rsidRDefault="00D53D4F" w:rsidP="00F404E2">
      <w:pPr>
        <w:pStyle w:val="FootnoteText"/>
        <w:spacing w:after="120"/>
      </w:pPr>
      <w:r w:rsidRPr="00DE35D8">
        <w:rPr>
          <w:rStyle w:val="FootnoteReference"/>
          <w:sz w:val="22"/>
          <w:szCs w:val="22"/>
        </w:rPr>
        <w:footnoteRef/>
      </w:r>
      <w:r w:rsidRPr="00DE35D8">
        <w:rPr>
          <w:sz w:val="22"/>
          <w:szCs w:val="22"/>
        </w:rPr>
        <w:t xml:space="preserve"> Powers of appointment exercised by will (even general) should not subject an estate to additional executor or attorney for executor fees either.  </w:t>
      </w:r>
      <w:r w:rsidRPr="00DE35D8">
        <w:rPr>
          <w:i/>
          <w:sz w:val="22"/>
          <w:szCs w:val="22"/>
        </w:rPr>
        <w:t>In re Estate of Wylie</w:t>
      </w:r>
      <w:r w:rsidRPr="00DE35D8">
        <w:rPr>
          <w:sz w:val="22"/>
          <w:szCs w:val="22"/>
        </w:rPr>
        <w:t>, 342 So. 2d 996 (Fla. Dist. Ct. App. 4th Dist. Feb. 4, 1977)</w:t>
      </w:r>
      <w:r w:rsidR="00DE35D8" w:rsidRPr="00DE35D8">
        <w:rPr>
          <w:sz w:val="22"/>
          <w:szCs w:val="22"/>
        </w:rPr>
        <w:t>.</w:t>
      </w:r>
    </w:p>
  </w:footnote>
  <w:footnote w:id="159">
    <w:p w14:paraId="241DAE02" w14:textId="77777777" w:rsidR="00D53D4F" w:rsidRDefault="00D53D4F" w:rsidP="00F404E2">
      <w:pPr>
        <w:pStyle w:val="FootnoteText"/>
        <w:spacing w:after="120"/>
      </w:pPr>
      <w:r w:rsidRPr="00722C38">
        <w:rPr>
          <w:rStyle w:val="FootnoteReference"/>
          <w:sz w:val="22"/>
          <w:szCs w:val="22"/>
        </w:rPr>
        <w:footnoteRef/>
      </w:r>
      <w:r w:rsidRPr="00722C38">
        <w:rPr>
          <w:sz w:val="22"/>
          <w:szCs w:val="22"/>
        </w:rPr>
        <w:t xml:space="preserve"> This is contrary to a </w:t>
      </w:r>
      <w:r w:rsidRPr="00722C38">
        <w:rPr>
          <w:i/>
          <w:sz w:val="22"/>
          <w:szCs w:val="22"/>
        </w:rPr>
        <w:t>testamentary</w:t>
      </w:r>
      <w:r w:rsidRPr="00722C38">
        <w:rPr>
          <w:sz w:val="22"/>
          <w:szCs w:val="22"/>
        </w:rPr>
        <w:t xml:space="preserve"> power, as discussed in Part III.h. – see citations in that section.</w:t>
      </w:r>
    </w:p>
  </w:footnote>
  <w:footnote w:id="160">
    <w:p w14:paraId="21A9384D" w14:textId="77777777" w:rsidR="00D53D4F" w:rsidRPr="00722C38" w:rsidRDefault="00D53D4F" w:rsidP="00F404E2">
      <w:pPr>
        <w:pStyle w:val="FootnoteText"/>
        <w:spacing w:after="120"/>
        <w:rPr>
          <w:sz w:val="22"/>
          <w:szCs w:val="22"/>
        </w:rPr>
      </w:pPr>
      <w:r w:rsidRPr="00722C38">
        <w:rPr>
          <w:rStyle w:val="FootnoteReference"/>
          <w:sz w:val="22"/>
          <w:szCs w:val="22"/>
        </w:rPr>
        <w:footnoteRef/>
      </w:r>
      <w:r w:rsidRPr="00722C38">
        <w:rPr>
          <w:sz w:val="22"/>
          <w:szCs w:val="22"/>
        </w:rPr>
        <w:t xml:space="preserve"> 5 Del. Code Title 25, § 504, amended by 79 Del. Laws, c. 352 (effective August 1, 2014)</w:t>
      </w:r>
    </w:p>
  </w:footnote>
  <w:footnote w:id="161">
    <w:p w14:paraId="73E1B6F0" w14:textId="77777777" w:rsidR="00D53D4F" w:rsidRPr="00722C38" w:rsidRDefault="00D53D4F" w:rsidP="00F404E2">
      <w:pPr>
        <w:pStyle w:val="FootnoteText"/>
        <w:spacing w:after="120"/>
        <w:rPr>
          <w:sz w:val="22"/>
          <w:szCs w:val="22"/>
        </w:rPr>
      </w:pPr>
      <w:r w:rsidRPr="00722C38">
        <w:rPr>
          <w:rStyle w:val="FootnoteReference"/>
          <w:sz w:val="22"/>
          <w:szCs w:val="22"/>
        </w:rPr>
        <w:footnoteRef/>
      </w:r>
      <w:r w:rsidRPr="00722C38">
        <w:rPr>
          <w:sz w:val="22"/>
          <w:szCs w:val="22"/>
        </w:rPr>
        <w:t xml:space="preserve"> Also see </w:t>
      </w:r>
      <w:r w:rsidRPr="00722C38">
        <w:rPr>
          <w:i/>
          <w:sz w:val="22"/>
          <w:szCs w:val="22"/>
        </w:rPr>
        <w:t>Deliberately Violating the Delaware Tax Trap to Achieve a Step-Up in Income Tax Basis</w:t>
      </w:r>
      <w:r w:rsidRPr="00722C38">
        <w:rPr>
          <w:sz w:val="22"/>
          <w:szCs w:val="22"/>
        </w:rPr>
        <w:t xml:space="preserve">, by Michael Breslow, VOL. XXV, NO. 3, Spring 2016, Philadephia Estate Planning Council, discussing Pennsylvania law, available online at </w:t>
      </w:r>
      <w:hyperlink r:id="rId30" w:history="1">
        <w:r w:rsidRPr="00722C38">
          <w:rPr>
            <w:rStyle w:val="Hyperlink"/>
            <w:sz w:val="22"/>
            <w:szCs w:val="22"/>
          </w:rPr>
          <w:t>https://www.htts.com/documents/Del-Tax-Trap.pdf</w:t>
        </w:r>
      </w:hyperlink>
      <w:r w:rsidRPr="00722C38">
        <w:rPr>
          <w:sz w:val="22"/>
          <w:szCs w:val="22"/>
        </w:rPr>
        <w:t>.  For post-2006 trusts this opting into the trap is apparently also available in PA, but for pre-2007 trusts a PEG power would have to be used.</w:t>
      </w:r>
    </w:p>
  </w:footnote>
  <w:footnote w:id="162">
    <w:p w14:paraId="353414A4" w14:textId="77777777" w:rsidR="00D53D4F" w:rsidRPr="00722C38" w:rsidRDefault="00D53D4F" w:rsidP="00F404E2">
      <w:pPr>
        <w:pStyle w:val="FootnoteText"/>
        <w:spacing w:after="120"/>
        <w:rPr>
          <w:sz w:val="22"/>
          <w:szCs w:val="22"/>
        </w:rPr>
      </w:pPr>
      <w:r w:rsidRPr="00722C38">
        <w:rPr>
          <w:rStyle w:val="FootnoteReference"/>
          <w:sz w:val="22"/>
          <w:szCs w:val="22"/>
        </w:rPr>
        <w:footnoteRef/>
      </w:r>
      <w:r w:rsidRPr="00722C38">
        <w:rPr>
          <w:sz w:val="22"/>
          <w:szCs w:val="22"/>
        </w:rPr>
        <w:t xml:space="preserve"> ARS §14-2905(C), 14-2902(A).  Thanks to attorneys Mickey Davis (TX), Justin Savioli (FL) and John Debruyn (CO) for sharing their respective state proposals modifying Tx Stat. Sec. 181.083, Fla Stat. 689.225, Co. Stat. § 15-11-1102.5.  Other state bar committees should strongly consider reviewing these to adapt their own version.</w:t>
      </w:r>
    </w:p>
  </w:footnote>
  <w:footnote w:id="163">
    <w:p w14:paraId="2A08B05F" w14:textId="77777777" w:rsidR="00D53D4F" w:rsidRPr="00722C38" w:rsidRDefault="00D53D4F" w:rsidP="00F404E2">
      <w:pPr>
        <w:pStyle w:val="FootnoteText"/>
        <w:spacing w:after="120"/>
        <w:rPr>
          <w:sz w:val="22"/>
          <w:szCs w:val="22"/>
        </w:rPr>
      </w:pPr>
      <w:r w:rsidRPr="00722C38">
        <w:rPr>
          <w:rStyle w:val="FootnoteReference"/>
          <w:sz w:val="22"/>
          <w:szCs w:val="22"/>
        </w:rPr>
        <w:footnoteRef/>
      </w:r>
      <w:r w:rsidRPr="00722C38">
        <w:rPr>
          <w:sz w:val="22"/>
          <w:szCs w:val="22"/>
        </w:rPr>
        <w:t xml:space="preserve"> 25 Del. Code §504</w:t>
      </w:r>
    </w:p>
  </w:footnote>
  <w:footnote w:id="164">
    <w:p w14:paraId="2A62E95B" w14:textId="77777777" w:rsidR="00D53D4F" w:rsidRPr="00722C38" w:rsidRDefault="00D53D4F" w:rsidP="00F404E2">
      <w:pPr>
        <w:pStyle w:val="FootnoteText"/>
        <w:spacing w:after="120"/>
        <w:rPr>
          <w:sz w:val="22"/>
          <w:szCs w:val="22"/>
        </w:rPr>
      </w:pPr>
      <w:r w:rsidRPr="00722C38">
        <w:rPr>
          <w:rStyle w:val="FootnoteReference"/>
          <w:sz w:val="22"/>
          <w:szCs w:val="22"/>
        </w:rPr>
        <w:footnoteRef/>
      </w:r>
      <w:r w:rsidRPr="00722C38">
        <w:rPr>
          <w:sz w:val="22"/>
          <w:szCs w:val="22"/>
        </w:rPr>
        <w:t xml:space="preserve"> Uniform Trust Code §107, see also Restatement, Second, Conflicts of Laws §270</w:t>
      </w:r>
    </w:p>
  </w:footnote>
  <w:footnote w:id="165">
    <w:p w14:paraId="2F9F0E6B" w14:textId="77777777" w:rsidR="00D53D4F" w:rsidRPr="00722C38" w:rsidRDefault="00D53D4F" w:rsidP="00F404E2">
      <w:pPr>
        <w:pStyle w:val="FootnoteText"/>
        <w:spacing w:after="120"/>
        <w:rPr>
          <w:sz w:val="22"/>
          <w:szCs w:val="22"/>
        </w:rPr>
      </w:pPr>
      <w:r w:rsidRPr="00722C38">
        <w:rPr>
          <w:rStyle w:val="FootnoteReference"/>
          <w:sz w:val="22"/>
          <w:szCs w:val="22"/>
        </w:rPr>
        <w:footnoteRef/>
      </w:r>
      <w:r w:rsidRPr="00722C38">
        <w:rPr>
          <w:sz w:val="22"/>
          <w:szCs w:val="22"/>
        </w:rPr>
        <w:t xml:space="preserve"> For ACTEC compilation of state statutes re: change of law, situs from Gordon, Fournaris &amp; Mammarella, P.A: http://www.actec.org/assets/1/6/Gordon_Transfer_of_Situs_and_Governing_Law.pdf</w:t>
      </w:r>
    </w:p>
  </w:footnote>
  <w:footnote w:id="166">
    <w:p w14:paraId="03F8E7DB" w14:textId="77777777" w:rsidR="00D53D4F" w:rsidRPr="00722C38" w:rsidRDefault="00D53D4F" w:rsidP="00F404E2">
      <w:pPr>
        <w:pStyle w:val="FootnoteText"/>
        <w:spacing w:after="120"/>
        <w:rPr>
          <w:sz w:val="22"/>
          <w:szCs w:val="22"/>
        </w:rPr>
      </w:pPr>
      <w:r w:rsidRPr="00722C38">
        <w:rPr>
          <w:rStyle w:val="FootnoteReference"/>
          <w:sz w:val="22"/>
          <w:szCs w:val="22"/>
        </w:rPr>
        <w:footnoteRef/>
      </w:r>
      <w:r w:rsidRPr="00722C38">
        <w:rPr>
          <w:sz w:val="22"/>
          <w:szCs w:val="22"/>
        </w:rPr>
        <w:t xml:space="preserve"> E.g., </w:t>
      </w:r>
      <w:r w:rsidRPr="00722C38">
        <w:rPr>
          <w:i/>
          <w:sz w:val="22"/>
          <w:szCs w:val="22"/>
        </w:rPr>
        <w:t>In re Huber</w:t>
      </w:r>
      <w:r w:rsidRPr="00722C38">
        <w:rPr>
          <w:sz w:val="22"/>
          <w:szCs w:val="22"/>
        </w:rPr>
        <w:t>, 2013 Bankr. LEXIS 2038 (May 13, 2013)</w:t>
      </w:r>
    </w:p>
  </w:footnote>
  <w:footnote w:id="167">
    <w:p w14:paraId="7EE36CE2" w14:textId="77777777" w:rsidR="00D53D4F" w:rsidRPr="00722C38" w:rsidRDefault="00D53D4F" w:rsidP="00F404E2">
      <w:pPr>
        <w:pStyle w:val="FootnoteText"/>
        <w:spacing w:after="120"/>
        <w:rPr>
          <w:i/>
          <w:sz w:val="22"/>
          <w:szCs w:val="22"/>
        </w:rPr>
      </w:pPr>
      <w:r w:rsidRPr="00722C38">
        <w:rPr>
          <w:rStyle w:val="FootnoteReference"/>
          <w:sz w:val="22"/>
          <w:szCs w:val="22"/>
        </w:rPr>
        <w:footnoteRef/>
      </w:r>
      <w:r w:rsidRPr="00722C38">
        <w:rPr>
          <w:sz w:val="22"/>
          <w:szCs w:val="22"/>
        </w:rPr>
        <w:t xml:space="preserve"> See </w:t>
      </w:r>
      <w:r w:rsidRPr="00722C38">
        <w:rPr>
          <w:i/>
          <w:sz w:val="22"/>
          <w:szCs w:val="22"/>
        </w:rPr>
        <w:t>Unconstitutional Perpetual Trusts</w:t>
      </w:r>
      <w:r w:rsidRPr="00722C38">
        <w:rPr>
          <w:sz w:val="22"/>
          <w:szCs w:val="22"/>
        </w:rPr>
        <w:t xml:space="preserve">, by Steven J. Horowitz and Robert H. Sitkoff, 67 Vand. L. Rev. 1769 (2014), </w:t>
      </w:r>
      <w:r w:rsidRPr="00722C38">
        <w:rPr>
          <w:i/>
          <w:sz w:val="22"/>
          <w:szCs w:val="22"/>
        </w:rPr>
        <w:t>Jonathan Blattmachr, Mitchell Gans &amp; William Lipkind: What If Perpetual Trusts Are Unconstitutional?</w:t>
      </w:r>
      <w:r w:rsidRPr="00722C38">
        <w:rPr>
          <w:sz w:val="22"/>
          <w:szCs w:val="22"/>
        </w:rPr>
        <w:t xml:space="preserve"> LISI Estate Planning Newsletter #2263, (December 18, 2014) </w:t>
      </w:r>
      <w:r w:rsidRPr="00722C38">
        <w:rPr>
          <w:i/>
          <w:sz w:val="22"/>
          <w:szCs w:val="22"/>
        </w:rPr>
        <w:t>Steve Oshins: The Rebuttal to Unconstitutional Perpetual Trusts</w:t>
      </w:r>
      <w:r w:rsidRPr="00722C38">
        <w:rPr>
          <w:sz w:val="22"/>
          <w:szCs w:val="22"/>
        </w:rPr>
        <w:t xml:space="preserve">, LISI Estate Planning Newsletter #2265 (December 22, 2014) available at </w:t>
      </w:r>
      <w:hyperlink r:id="rId31" w:history="1">
        <w:r w:rsidRPr="00722C38">
          <w:rPr>
            <w:rStyle w:val="Hyperlink"/>
            <w:sz w:val="22"/>
            <w:szCs w:val="22"/>
          </w:rPr>
          <w:t>http://www.leimbergservices.com</w:t>
        </w:r>
      </w:hyperlink>
      <w:r w:rsidRPr="00722C38">
        <w:rPr>
          <w:sz w:val="22"/>
          <w:szCs w:val="22"/>
        </w:rPr>
        <w:t>, which discusses potential issues in nine states with constitutional perpetuities restrictions in their constitutions: Arizona, Arkansas, Montana, Nevada, North Carolina, Oklahoma, Tennessee, Texas and Wyoming.  Of these states, Arizona, Nevada, North Carolina, Tennessee and Wyoming have enacted longer-term perpetuity statutes.</w:t>
      </w:r>
    </w:p>
  </w:footnote>
  <w:footnote w:id="168">
    <w:p w14:paraId="75D5205F" w14:textId="77777777" w:rsidR="00D53D4F" w:rsidRPr="00722C38" w:rsidRDefault="00D53D4F" w:rsidP="00F404E2">
      <w:pPr>
        <w:pStyle w:val="FootnoteText"/>
        <w:spacing w:after="120"/>
        <w:rPr>
          <w:rFonts w:ascii="Verdana" w:hAnsi="Verdana"/>
          <w:color w:val="333333"/>
          <w:sz w:val="22"/>
          <w:szCs w:val="22"/>
          <w:shd w:val="clear" w:color="auto" w:fill="FFFFFF"/>
        </w:rPr>
      </w:pPr>
      <w:r w:rsidRPr="00722C38">
        <w:rPr>
          <w:rStyle w:val="FootnoteReference"/>
          <w:sz w:val="22"/>
          <w:szCs w:val="22"/>
        </w:rPr>
        <w:footnoteRef/>
      </w:r>
      <w:r w:rsidRPr="00722C38">
        <w:rPr>
          <w:sz w:val="22"/>
          <w:szCs w:val="22"/>
        </w:rPr>
        <w:t xml:space="preserve"> Restatement, Second, Conflict of Laws, §269, comment i: “</w:t>
      </w:r>
      <w:r w:rsidRPr="00722C38">
        <w:rPr>
          <w:i/>
          <w:iCs/>
          <w:sz w:val="22"/>
          <w:szCs w:val="22"/>
        </w:rPr>
        <w:t>i.  Policy of state of testator's domicil at death</w:t>
      </w:r>
      <w:r w:rsidRPr="00722C38">
        <w:rPr>
          <w:sz w:val="22"/>
          <w:szCs w:val="22"/>
        </w:rPr>
        <w:t>.  A trust provision in a will is invalid to the extent that it is invalid under the strong public policy of the state of the testator's domicil at death, even though it would be valid under the local law of the state designated in the will to govern the validity of the trust or under the local law of the state where the trust is to be administered.</w:t>
      </w:r>
      <w:r w:rsidRPr="00722C38">
        <w:rPr>
          <w:sz w:val="22"/>
          <w:szCs w:val="22"/>
        </w:rPr>
        <w:br/>
        <w:t xml:space="preserve">The mere fact, however, that the provision would be invalid under the local law of the state of the testator's domicil does not invalidate the provision. If the provision is valid under the local law of the state designated by the testator or under the local law of the place of administration, it will be held to be valid if it does not contravene a strong policy of the state of the testator's domicil. </w:t>
      </w:r>
      <w:r w:rsidRPr="00722C38">
        <w:rPr>
          <w:b/>
          <w:i/>
          <w:sz w:val="22"/>
          <w:szCs w:val="22"/>
        </w:rPr>
        <w:t>No such strong policy is involved in rules against perpetuities or rules against accumulations or rules as to indefiniteness of beneficiaries.</w:t>
      </w:r>
      <w:r w:rsidRPr="00722C38">
        <w:rPr>
          <w:rFonts w:ascii="Verdana" w:hAnsi="Verdana"/>
          <w:color w:val="333333"/>
          <w:sz w:val="22"/>
          <w:szCs w:val="22"/>
          <w:shd w:val="clear" w:color="auto" w:fill="FFFFFF"/>
        </w:rPr>
        <w:t xml:space="preserve"> </w:t>
      </w:r>
    </w:p>
    <w:p w14:paraId="0C47C989" w14:textId="77777777" w:rsidR="00D53D4F" w:rsidRPr="009624A9" w:rsidRDefault="00D53D4F" w:rsidP="00F404E2">
      <w:pPr>
        <w:pStyle w:val="FootnoteText"/>
        <w:spacing w:after="120"/>
      </w:pPr>
      <w:r w:rsidRPr="00722C38">
        <w:rPr>
          <w:sz w:val="22"/>
          <w:szCs w:val="22"/>
        </w:rPr>
        <w:t>On the other hand, when a testator who dies domiciled in one state leaves his estate to a trust company in another state in trust to pay the principal to a beneficiary if and when the marriage to the beneficiary's present wife should be dissolved, and the condition is against the strong public policy of the testator's domicil as tending to encourage divorce, it may be held that the condition is illegal, even though it would not be illegal under the local law of the state of administration. Possibly in such a case it would be held that the local law of the beneficiary's domicil would be applicable.”</w:t>
      </w:r>
      <w:r w:rsidRPr="00722C38">
        <w:rPr>
          <w:sz w:val="22"/>
          <w:szCs w:val="22"/>
        </w:rPr>
        <w:br/>
      </w:r>
      <w:r w:rsidRPr="009624A9">
        <w:br/>
      </w:r>
      <w:r w:rsidRPr="009624A9">
        <w:br/>
      </w:r>
      <w:r w:rsidRPr="009624A9">
        <w:br/>
      </w:r>
    </w:p>
  </w:footnote>
  <w:footnote w:id="169">
    <w:p w14:paraId="390B4B56" w14:textId="77777777" w:rsidR="00D53D4F" w:rsidRPr="00722C38" w:rsidRDefault="00D53D4F">
      <w:pPr>
        <w:pStyle w:val="FootnoteText"/>
        <w:rPr>
          <w:sz w:val="22"/>
          <w:szCs w:val="22"/>
        </w:rPr>
      </w:pPr>
      <w:r w:rsidRPr="00722C38">
        <w:rPr>
          <w:rStyle w:val="FootnoteReference"/>
          <w:sz w:val="22"/>
          <w:szCs w:val="22"/>
        </w:rPr>
        <w:footnoteRef/>
      </w:r>
      <w:r w:rsidRPr="00722C38">
        <w:rPr>
          <w:sz w:val="22"/>
          <w:szCs w:val="22"/>
        </w:rPr>
        <w:t xml:space="preserve"> This section was updated, overhauled and expanded into a more comprehensive article: </w:t>
      </w:r>
      <w:r w:rsidRPr="00722C38">
        <w:rPr>
          <w:i/>
          <w:sz w:val="22"/>
          <w:szCs w:val="22"/>
        </w:rPr>
        <w:t xml:space="preserve">Ed Morrow - The “Disclaim to Gain” Strategy and the Missed Opportunities to Save Income Tax for Jointly Held Marital Accounts and Joint Trusts, </w:t>
      </w:r>
      <w:r w:rsidRPr="00722C38">
        <w:rPr>
          <w:sz w:val="22"/>
          <w:szCs w:val="22"/>
        </w:rPr>
        <w:t>LISI Estate Planning Newsletter #2686 (November 29, 2018)</w:t>
      </w:r>
      <w:r w:rsidRPr="00722C38">
        <w:rPr>
          <w:i/>
          <w:sz w:val="22"/>
          <w:szCs w:val="22"/>
        </w:rPr>
        <w:t>.</w:t>
      </w:r>
    </w:p>
  </w:footnote>
  <w:footnote w:id="170">
    <w:p w14:paraId="0155EF6C" w14:textId="77777777" w:rsidR="00D53D4F" w:rsidRPr="00722C38" w:rsidRDefault="00D53D4F" w:rsidP="00F404E2">
      <w:pPr>
        <w:pStyle w:val="FootnoteText"/>
        <w:spacing w:after="120"/>
        <w:rPr>
          <w:sz w:val="22"/>
          <w:szCs w:val="28"/>
        </w:rPr>
      </w:pPr>
      <w:r w:rsidRPr="00722C38">
        <w:rPr>
          <w:rStyle w:val="FootnoteReference"/>
          <w:sz w:val="22"/>
          <w:szCs w:val="28"/>
        </w:rPr>
        <w:footnoteRef/>
      </w:r>
      <w:r w:rsidRPr="00722C38">
        <w:rPr>
          <w:sz w:val="22"/>
          <w:szCs w:val="28"/>
        </w:rPr>
        <w:t xml:space="preserve"> IRC §§ 2040 and 1014.</w:t>
      </w:r>
    </w:p>
  </w:footnote>
  <w:footnote w:id="171">
    <w:p w14:paraId="58CEB928" w14:textId="77777777" w:rsidR="00D53D4F" w:rsidRPr="00722C38" w:rsidRDefault="00D53D4F" w:rsidP="00F404E2">
      <w:pPr>
        <w:pStyle w:val="FootnoteText"/>
        <w:spacing w:after="120"/>
        <w:rPr>
          <w:sz w:val="22"/>
          <w:szCs w:val="28"/>
        </w:rPr>
      </w:pPr>
      <w:r w:rsidRPr="00722C38">
        <w:rPr>
          <w:rStyle w:val="FootnoteReference"/>
          <w:sz w:val="22"/>
          <w:szCs w:val="28"/>
        </w:rPr>
        <w:footnoteRef/>
      </w:r>
      <w:r w:rsidRPr="00722C38">
        <w:rPr>
          <w:sz w:val="22"/>
          <w:szCs w:val="28"/>
        </w:rPr>
        <w:t xml:space="preserve"> Reg. §25.2518-2(c)(4)(iii). </w:t>
      </w:r>
    </w:p>
  </w:footnote>
  <w:footnote w:id="172">
    <w:p w14:paraId="0DA212D8" w14:textId="77777777" w:rsidR="00D53D4F" w:rsidRPr="00A9562F" w:rsidRDefault="00D53D4F" w:rsidP="00F404E2">
      <w:pPr>
        <w:pStyle w:val="FootnoteText"/>
        <w:spacing w:after="120"/>
        <w:rPr>
          <w:sz w:val="22"/>
          <w:szCs w:val="28"/>
          <w:lang w:val="es-ES"/>
        </w:rPr>
      </w:pPr>
      <w:r w:rsidRPr="00722C38">
        <w:rPr>
          <w:rStyle w:val="FootnoteReference"/>
          <w:sz w:val="22"/>
          <w:szCs w:val="28"/>
        </w:rPr>
        <w:footnoteRef/>
      </w:r>
      <w:r w:rsidRPr="00A9562F">
        <w:rPr>
          <w:sz w:val="22"/>
          <w:szCs w:val="28"/>
          <w:lang w:val="es-ES"/>
        </w:rPr>
        <w:t xml:space="preserve"> Reg. §25.2518-2(c)(4)(iii).</w:t>
      </w:r>
    </w:p>
  </w:footnote>
  <w:footnote w:id="173">
    <w:p w14:paraId="1DB9A936" w14:textId="77777777" w:rsidR="00D53D4F" w:rsidRPr="00A9562F" w:rsidRDefault="00D53D4F" w:rsidP="00F404E2">
      <w:pPr>
        <w:pStyle w:val="FootnoteText"/>
        <w:spacing w:after="120"/>
        <w:rPr>
          <w:sz w:val="22"/>
          <w:szCs w:val="22"/>
          <w:lang w:val="es-ES"/>
        </w:rPr>
      </w:pPr>
      <w:r w:rsidRPr="00722C38">
        <w:rPr>
          <w:rStyle w:val="FootnoteReference"/>
          <w:sz w:val="22"/>
          <w:szCs w:val="22"/>
        </w:rPr>
        <w:footnoteRef/>
      </w:r>
      <w:r w:rsidRPr="00A9562F">
        <w:rPr>
          <w:sz w:val="22"/>
          <w:szCs w:val="22"/>
          <w:lang w:val="es-ES"/>
        </w:rPr>
        <w:t xml:space="preserve"> Reg. §25.2518-2(c)(5), Ex. 12</w:t>
      </w:r>
    </w:p>
  </w:footnote>
  <w:footnote w:id="174">
    <w:p w14:paraId="769D2DB1" w14:textId="77777777" w:rsidR="00D53D4F" w:rsidRPr="00A9562F" w:rsidRDefault="00D53D4F" w:rsidP="00F404E2">
      <w:pPr>
        <w:pStyle w:val="FootnoteText"/>
        <w:spacing w:after="120"/>
        <w:rPr>
          <w:sz w:val="22"/>
          <w:szCs w:val="22"/>
          <w:lang w:val="es-ES"/>
        </w:rPr>
      </w:pPr>
      <w:r w:rsidRPr="00722C38">
        <w:rPr>
          <w:rStyle w:val="FootnoteReference"/>
          <w:sz w:val="22"/>
          <w:szCs w:val="22"/>
        </w:rPr>
        <w:footnoteRef/>
      </w:r>
      <w:r w:rsidRPr="00A9562F">
        <w:rPr>
          <w:sz w:val="22"/>
          <w:szCs w:val="22"/>
          <w:lang w:val="es-ES"/>
        </w:rPr>
        <w:t xml:space="preserve"> Reg. §25.2518-2(e)(2).</w:t>
      </w:r>
    </w:p>
  </w:footnote>
  <w:footnote w:id="175">
    <w:p w14:paraId="06EEDE88" w14:textId="77777777" w:rsidR="00D53D4F" w:rsidRPr="00A9562F" w:rsidRDefault="00D53D4F" w:rsidP="00F404E2">
      <w:pPr>
        <w:pStyle w:val="FootnoteText"/>
        <w:spacing w:after="120"/>
        <w:rPr>
          <w:sz w:val="18"/>
          <w:szCs w:val="22"/>
          <w:lang w:val="es-ES"/>
        </w:rPr>
      </w:pPr>
      <w:r w:rsidRPr="00722C38">
        <w:rPr>
          <w:rStyle w:val="FootnoteReference"/>
          <w:sz w:val="22"/>
          <w:szCs w:val="22"/>
        </w:rPr>
        <w:footnoteRef/>
      </w:r>
      <w:r w:rsidRPr="00A9562F">
        <w:rPr>
          <w:sz w:val="22"/>
          <w:szCs w:val="22"/>
          <w:lang w:val="es-ES"/>
        </w:rPr>
        <w:t xml:space="preserve"> Reg. §25.2518-2(c)(5), Ex. 14</w:t>
      </w:r>
    </w:p>
  </w:footnote>
  <w:footnote w:id="176">
    <w:p w14:paraId="14DBCB5F" w14:textId="77777777" w:rsidR="00D53D4F" w:rsidRPr="00023F0D" w:rsidRDefault="00D53D4F" w:rsidP="00F404E2">
      <w:pPr>
        <w:pStyle w:val="FootnoteText"/>
        <w:spacing w:after="120"/>
        <w:rPr>
          <w:sz w:val="16"/>
        </w:rPr>
      </w:pPr>
      <w:r w:rsidRPr="00722C38">
        <w:rPr>
          <w:rStyle w:val="FootnoteReference"/>
          <w:sz w:val="22"/>
          <w:szCs w:val="22"/>
        </w:rPr>
        <w:footnoteRef/>
      </w:r>
      <w:r w:rsidRPr="00722C38">
        <w:rPr>
          <w:sz w:val="22"/>
          <w:szCs w:val="22"/>
        </w:rPr>
        <w:t xml:space="preserve"> There is no specific guidance on the “consideration furnished” test under Reg. §25.2518(c)(4)(iii).  However, Reg. §20.2040-1(a)(2) contains a rebuttable presumption that the decedent furnished all the consideration for a joint account.  It is unclear to what extent this regulation may influence any interpretation of §2518, which contains no analogous presumption. </w:t>
      </w:r>
    </w:p>
  </w:footnote>
  <w:footnote w:id="177">
    <w:p w14:paraId="4F15A552" w14:textId="4A4F9C4E" w:rsidR="00D53D4F" w:rsidRPr="00722C38" w:rsidRDefault="00D53D4F" w:rsidP="00F404E2">
      <w:pPr>
        <w:pStyle w:val="FootnoteText"/>
        <w:spacing w:after="120"/>
        <w:rPr>
          <w:sz w:val="22"/>
          <w:szCs w:val="22"/>
        </w:rPr>
      </w:pPr>
      <w:r w:rsidRPr="00722C38">
        <w:rPr>
          <w:rStyle w:val="FootnoteReference"/>
          <w:sz w:val="22"/>
          <w:szCs w:val="22"/>
        </w:rPr>
        <w:footnoteRef/>
      </w:r>
      <w:r w:rsidRPr="00722C38">
        <w:rPr>
          <w:sz w:val="22"/>
          <w:szCs w:val="22"/>
        </w:rPr>
        <w:t xml:space="preserve"> Treas. Reg. §25.2511-1(h)(4), referenced in Treas. Reg. §25.2518-2(c)(4)(iii)</w:t>
      </w:r>
      <w:r w:rsidR="00722C38">
        <w:rPr>
          <w:sz w:val="22"/>
          <w:szCs w:val="22"/>
        </w:rPr>
        <w:t>.</w:t>
      </w:r>
    </w:p>
  </w:footnote>
  <w:footnote w:id="178">
    <w:p w14:paraId="0C742245" w14:textId="6B2C3DF7" w:rsidR="00D53D4F" w:rsidRPr="00722C38" w:rsidRDefault="00D53D4F" w:rsidP="00F404E2">
      <w:pPr>
        <w:pStyle w:val="FootnoteText"/>
        <w:spacing w:after="120"/>
        <w:rPr>
          <w:sz w:val="28"/>
          <w:szCs w:val="28"/>
        </w:rPr>
      </w:pPr>
      <w:r w:rsidRPr="00722C38">
        <w:rPr>
          <w:rStyle w:val="FootnoteReference"/>
          <w:sz w:val="22"/>
          <w:szCs w:val="22"/>
        </w:rPr>
        <w:footnoteRef/>
      </w:r>
      <w:r w:rsidRPr="00722C38">
        <w:rPr>
          <w:sz w:val="22"/>
          <w:szCs w:val="22"/>
        </w:rPr>
        <w:t xml:space="preserve"> </w:t>
      </w:r>
      <w:r w:rsidRPr="00722C38">
        <w:rPr>
          <w:i/>
          <w:sz w:val="22"/>
          <w:szCs w:val="22"/>
        </w:rPr>
        <w:t>Gallenstein v. U.S.</w:t>
      </w:r>
      <w:r w:rsidRPr="00722C38">
        <w:rPr>
          <w:sz w:val="22"/>
          <w:szCs w:val="22"/>
        </w:rPr>
        <w:t>, 975 F.2d 286 (6</w:t>
      </w:r>
      <w:r w:rsidRPr="00722C38">
        <w:rPr>
          <w:sz w:val="22"/>
          <w:szCs w:val="22"/>
          <w:vertAlign w:val="superscript"/>
        </w:rPr>
        <w:t>th</w:t>
      </w:r>
      <w:r w:rsidRPr="00722C38">
        <w:rPr>
          <w:sz w:val="22"/>
          <w:szCs w:val="22"/>
        </w:rPr>
        <w:t xml:space="preserve"> Cir. 1992), see also </w:t>
      </w:r>
      <w:r w:rsidRPr="00722C38">
        <w:rPr>
          <w:i/>
          <w:sz w:val="22"/>
          <w:szCs w:val="22"/>
        </w:rPr>
        <w:t>Hahn v. Comm.</w:t>
      </w:r>
      <w:r w:rsidRPr="00722C38">
        <w:rPr>
          <w:sz w:val="22"/>
          <w:szCs w:val="22"/>
        </w:rPr>
        <w:t>, 110 TC 140 (1998), acq. IRB 2001-42</w:t>
      </w:r>
      <w:r w:rsidR="00722C38">
        <w:rPr>
          <w:sz w:val="22"/>
          <w:szCs w:val="22"/>
        </w:rPr>
        <w:t>.</w:t>
      </w:r>
    </w:p>
  </w:footnote>
  <w:footnote w:id="179">
    <w:p w14:paraId="5E535E9F" w14:textId="7B175CCA" w:rsidR="00D53D4F" w:rsidRDefault="00D53D4F" w:rsidP="00F404E2">
      <w:pPr>
        <w:pStyle w:val="FootnoteText"/>
        <w:spacing w:after="120"/>
      </w:pPr>
      <w:r w:rsidRPr="00722C38">
        <w:rPr>
          <w:rStyle w:val="FootnoteReference"/>
          <w:sz w:val="22"/>
          <w:szCs w:val="22"/>
        </w:rPr>
        <w:footnoteRef/>
      </w:r>
      <w:r w:rsidRPr="00722C38">
        <w:rPr>
          <w:sz w:val="22"/>
          <w:szCs w:val="22"/>
        </w:rPr>
        <w:t xml:space="preserve"> Treas. Reg. §25.2518-2(e)(2)</w:t>
      </w:r>
      <w:r w:rsidR="00722C38">
        <w:rPr>
          <w:sz w:val="22"/>
          <w:szCs w:val="22"/>
        </w:rPr>
        <w:t>.</w:t>
      </w:r>
    </w:p>
  </w:footnote>
  <w:footnote w:id="180">
    <w:p w14:paraId="3F61E463"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There is authority that an LPOA may be retained by a surviving spouse to the extent the QTIP election is made: </w:t>
      </w:r>
      <w:r w:rsidRPr="00DB2B98">
        <w:rPr>
          <w:i/>
          <w:sz w:val="22"/>
          <w:szCs w:val="22"/>
        </w:rPr>
        <w:t>Estate of Lassiter v. Commissioner</w:t>
      </w:r>
      <w:r w:rsidRPr="00DB2B98">
        <w:rPr>
          <w:sz w:val="22"/>
          <w:szCs w:val="22"/>
        </w:rPr>
        <w:t xml:space="preserve">, T.C. Memo 2000-324, p70-74, ruled a disclaimer was qualified despite the surviving spouse retaining a testamentary </w:t>
      </w:r>
      <w:r w:rsidRPr="00DB2B98">
        <w:rPr>
          <w:i/>
          <w:sz w:val="22"/>
          <w:szCs w:val="22"/>
        </w:rPr>
        <w:t>LPOA</w:t>
      </w:r>
      <w:r w:rsidRPr="00DB2B98">
        <w:rPr>
          <w:sz w:val="22"/>
          <w:szCs w:val="22"/>
        </w:rPr>
        <w:t>, because the later transfer at the surviving spouse’s death would be subject to federal estate tax due to the QTIP election, an exception under Treas. Reg. §25.2518-2(e)(2) quoted above.</w:t>
      </w:r>
      <w:r w:rsidRPr="00DB2B98">
        <w:rPr>
          <w:rFonts w:ascii="Verdana" w:hAnsi="Verdana"/>
          <w:color w:val="333333"/>
          <w:sz w:val="16"/>
          <w:szCs w:val="16"/>
        </w:rPr>
        <w:t xml:space="preserve"> </w:t>
      </w:r>
      <w:r w:rsidRPr="00DB2B98">
        <w:rPr>
          <w:sz w:val="22"/>
          <w:szCs w:val="22"/>
        </w:rPr>
        <w:t xml:space="preserve">“We therefore conclude that retention of such a testamentary power does not cause the disclaimer of an inter vivos power to fail to satisfy the section 2518 requirement </w:t>
      </w:r>
      <w:r w:rsidRPr="00DB2B98">
        <w:rPr>
          <w:i/>
          <w:sz w:val="22"/>
          <w:szCs w:val="22"/>
        </w:rPr>
        <w:t>when a QTIP deduction will be taken</w:t>
      </w:r>
      <w:r w:rsidRPr="00DB2B98">
        <w:rPr>
          <w:sz w:val="22"/>
          <w:szCs w:val="22"/>
        </w:rPr>
        <w:t xml:space="preserve"> for the trust to which the powers relate.”  A lifetime LPOA should equally be permitted due to IRC §2519 causing a taxable gift over the entire amount of the transfer, if not the entire trust.  A bypass trust, however, can be more targeted.</w:t>
      </w:r>
    </w:p>
  </w:footnote>
  <w:footnote w:id="181">
    <w:p w14:paraId="29836FA6"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Treas. Reg. §25.2518-2(e)(5) Ex. 5 illustrates why disclaiming spouses may not retain ordinary LPOAs in a bypass trust in order to be qualified, but Ex. 7 illustrates that disclaiming spouses may retain GPOAs (the “5 and 5” withdrawal power in the example is a lifetime GPOA, aka PEG power, “subject to Federal estate and gift tax”)</w:t>
      </w:r>
    </w:p>
  </w:footnote>
  <w:footnote w:id="182">
    <w:p w14:paraId="325F0A4C" w14:textId="77777777" w:rsidR="00D53D4F" w:rsidRDefault="00D53D4F" w:rsidP="00F404E2">
      <w:pPr>
        <w:pStyle w:val="FootnoteText"/>
        <w:spacing w:after="120"/>
      </w:pPr>
      <w:r w:rsidRPr="00DB2B98">
        <w:rPr>
          <w:rStyle w:val="FootnoteReference"/>
          <w:sz w:val="22"/>
          <w:szCs w:val="22"/>
        </w:rPr>
        <w:footnoteRef/>
      </w:r>
      <w:r w:rsidRPr="00DB2B98">
        <w:rPr>
          <w:sz w:val="22"/>
          <w:szCs w:val="22"/>
        </w:rPr>
        <w:t xml:space="preserve"> </w:t>
      </w:r>
      <w:r w:rsidRPr="00DB2B98">
        <w:rPr>
          <w:sz w:val="22"/>
          <w:szCs w:val="22"/>
          <w:lang w:val="en"/>
        </w:rPr>
        <w:t xml:space="preserve">See, e.g., the Uniform Powers of Appointment Act, §401 and §404, at </w:t>
      </w:r>
      <w:hyperlink r:id="rId32" w:history="1">
        <w:r w:rsidRPr="00DB2B98">
          <w:rPr>
            <w:rStyle w:val="Hyperlink"/>
            <w:sz w:val="22"/>
            <w:szCs w:val="22"/>
            <w:lang w:val="en"/>
          </w:rPr>
          <w:t>www.uniformlaws.org</w:t>
        </w:r>
      </w:hyperlink>
      <w:r w:rsidRPr="00DB2B98">
        <w:rPr>
          <w:sz w:val="22"/>
          <w:szCs w:val="22"/>
          <w:lang w:val="en"/>
        </w:rPr>
        <w:t>, but see Mich. Comp. Laws §556.118(2) for a counterexample.</w:t>
      </w:r>
    </w:p>
  </w:footnote>
  <w:footnote w:id="183">
    <w:p w14:paraId="031ADB08" w14:textId="77777777" w:rsidR="00D53D4F" w:rsidRDefault="00D53D4F" w:rsidP="00F404E2">
      <w:pPr>
        <w:pStyle w:val="FootnoteText"/>
        <w:spacing w:after="120"/>
      </w:pPr>
      <w:r w:rsidRPr="00DB2B98">
        <w:rPr>
          <w:rStyle w:val="FootnoteReference"/>
          <w:sz w:val="22"/>
          <w:szCs w:val="22"/>
        </w:rPr>
        <w:footnoteRef/>
      </w:r>
      <w:r w:rsidRPr="00DB2B98">
        <w:rPr>
          <w:sz w:val="22"/>
          <w:szCs w:val="22"/>
        </w:rPr>
        <w:t xml:space="preserve"> Treas. Reg. §25.2518-2(c)(3), which is extensively cited with examples in footnote 123 above.</w:t>
      </w:r>
    </w:p>
  </w:footnote>
  <w:footnote w:id="184">
    <w:p w14:paraId="335926FE" w14:textId="77777777" w:rsidR="00EC1BE1" w:rsidRDefault="00D53D4F" w:rsidP="00EC1BE1">
      <w:pPr>
        <w:pStyle w:val="NormalWeb"/>
        <w:rPr>
          <w:rFonts w:ascii="Publico" w:hAnsi="Publico"/>
          <w:color w:val="000000"/>
        </w:rPr>
      </w:pPr>
      <w:r w:rsidRPr="00DB2B98">
        <w:rPr>
          <w:rStyle w:val="FootnoteReference"/>
          <w:sz w:val="22"/>
          <w:szCs w:val="22"/>
        </w:rPr>
        <w:footnoteRef/>
      </w:r>
      <w:r w:rsidRPr="00DB2B98">
        <w:rPr>
          <w:sz w:val="22"/>
          <w:szCs w:val="22"/>
        </w:rPr>
        <w:t xml:space="preserve"> IRC §1014(b)(6). States and territories with a default </w:t>
      </w:r>
      <w:r w:rsidR="00EC1BE1">
        <w:rPr>
          <w:rFonts w:ascii="Publico" w:hAnsi="Publico"/>
          <w:color w:val="000000"/>
        </w:rPr>
        <w:t>In </w:t>
      </w:r>
      <w:r w:rsidR="00EC1BE1">
        <w:rPr>
          <w:rFonts w:ascii="Publico" w:hAnsi="Publico"/>
          <w:i/>
          <w:iCs/>
          <w:color w:val="000000"/>
        </w:rPr>
        <w:t>Commissioner v. Harmon</w:t>
      </w:r>
      <w:r w:rsidR="00EC1BE1">
        <w:rPr>
          <w:rFonts w:ascii="Publico" w:hAnsi="Publico"/>
          <w:color w:val="000000"/>
        </w:rPr>
        <w:t>, 323 U.S. 44 (1944), the Supreme Court ruled that an Oklahoma statute allowing spouses to elect community property under that state’s law would not be recognized for federal income tax purposes. Accordingly, some commentators argue that the IRS may rely on </w:t>
      </w:r>
      <w:r w:rsidR="00EC1BE1">
        <w:rPr>
          <w:rFonts w:ascii="Publico" w:hAnsi="Publico"/>
          <w:i/>
          <w:iCs/>
          <w:color w:val="000000"/>
        </w:rPr>
        <w:t>Harmon</w:t>
      </w:r>
      <w:r w:rsidR="00EC1BE1">
        <w:rPr>
          <w:rFonts w:ascii="Publico" w:hAnsi="Publico"/>
          <w:color w:val="000000"/>
        </w:rPr>
        <w:t> to disallow the full step-up in basis for community property acquired through an opt-in community property state.</w:t>
      </w:r>
    </w:p>
    <w:p w14:paraId="7E39A48D" w14:textId="77777777" w:rsidR="00EC1BE1" w:rsidRDefault="00EC1BE1" w:rsidP="00EC1BE1">
      <w:pPr>
        <w:pStyle w:val="NormalWeb"/>
        <w:rPr>
          <w:rFonts w:ascii="Publico" w:hAnsi="Publico"/>
          <w:color w:val="000000"/>
        </w:rPr>
      </w:pPr>
      <w:r>
        <w:rPr>
          <w:rFonts w:ascii="Publico" w:hAnsi="Publico"/>
          <w:color w:val="000000"/>
        </w:rPr>
        <w:t>But other commentators believe that </w:t>
      </w:r>
      <w:r>
        <w:rPr>
          <w:rFonts w:ascii="Publico" w:hAnsi="Publico"/>
          <w:i/>
          <w:iCs/>
          <w:color w:val="000000"/>
        </w:rPr>
        <w:t>Harmon </w:t>
      </w:r>
      <w:r>
        <w:rPr>
          <w:rFonts w:ascii="Publico" w:hAnsi="Publico"/>
          <w:color w:val="000000"/>
        </w:rPr>
        <w:t>does not affect the community property classification under an opt-in system. In Revenue Ruling 77-359, 1977-1 C.B. 357, the IRS addressed the tax treatment of community property agreements entered into by a husband and wife residing in the State of Washington (a community property state). It concluded that the conversion of separate property to community property by residents of a community property state would be effective for federal gift tax purposes but ineffective for the transmutation of income from such property. The Ruling, citing </w:t>
      </w:r>
      <w:r>
        <w:rPr>
          <w:rFonts w:ascii="Publico" w:hAnsi="Publico"/>
          <w:i/>
          <w:iCs/>
          <w:color w:val="000000"/>
        </w:rPr>
        <w:t>Harmon</w:t>
      </w:r>
      <w:r>
        <w:rPr>
          <w:rFonts w:ascii="Publico" w:hAnsi="Publico"/>
          <w:color w:val="000000"/>
        </w:rPr>
        <w:t>, noted, “[t]o the extent that the agreement affects the income from separate property and not the separate property itself, the Service will not permit the spouses to split that income for Federal income tax purposes where they file separate income tax returns.” Based on this 1977 Revenue Ruling, the IRS may treat the underlying property as community property and not distinguish between elective and default community property regimes.</w:t>
      </w:r>
    </w:p>
    <w:p w14:paraId="38517815" w14:textId="046AC3F7" w:rsidR="00D53D4F" w:rsidRPr="00DB2B98" w:rsidRDefault="00D53D4F" w:rsidP="00F404E2">
      <w:pPr>
        <w:pStyle w:val="FootnoteText"/>
        <w:spacing w:after="120"/>
        <w:rPr>
          <w:sz w:val="22"/>
          <w:szCs w:val="22"/>
        </w:rPr>
      </w:pPr>
      <w:r w:rsidRPr="00DB2B98">
        <w:rPr>
          <w:sz w:val="22"/>
          <w:szCs w:val="22"/>
        </w:rPr>
        <w:t xml:space="preserve"> system are Arizona, California, Idaho, Louisiana, Nevada, New Mexico, Texas, Washington, Wisconsin and Puerto Rico.</w:t>
      </w:r>
    </w:p>
  </w:footnote>
  <w:footnote w:id="185">
    <w:p w14:paraId="28787D9F"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w:t>
      </w:r>
      <w:r w:rsidRPr="00DB2B98">
        <w:rPr>
          <w:i/>
          <w:sz w:val="22"/>
          <w:szCs w:val="22"/>
        </w:rPr>
        <w:t xml:space="preserve">U.S. v. Elam, </w:t>
      </w:r>
      <w:r w:rsidRPr="00DB2B98">
        <w:rPr>
          <w:sz w:val="22"/>
          <w:szCs w:val="22"/>
        </w:rPr>
        <w:t>112 F.3d 1036 (9</w:t>
      </w:r>
      <w:r w:rsidRPr="00DB2B98">
        <w:rPr>
          <w:sz w:val="22"/>
          <w:szCs w:val="22"/>
          <w:vertAlign w:val="superscript"/>
        </w:rPr>
        <w:t>th</w:t>
      </w:r>
      <w:r w:rsidRPr="00DB2B98">
        <w:rPr>
          <w:sz w:val="22"/>
          <w:szCs w:val="22"/>
        </w:rPr>
        <w:t xml:space="preserve"> Cir. 1997).</w:t>
      </w:r>
    </w:p>
  </w:footnote>
  <w:footnote w:id="186">
    <w:p w14:paraId="31780BE3" w14:textId="77777777" w:rsidR="00D53D4F" w:rsidRDefault="00D53D4F" w:rsidP="00F404E2">
      <w:pPr>
        <w:pStyle w:val="FootnoteText"/>
        <w:spacing w:after="120"/>
      </w:pPr>
      <w:r w:rsidRPr="00DB2B98">
        <w:rPr>
          <w:rStyle w:val="FootnoteReference"/>
          <w:sz w:val="22"/>
          <w:szCs w:val="22"/>
        </w:rPr>
        <w:footnoteRef/>
      </w:r>
      <w:r w:rsidRPr="00DB2B98">
        <w:rPr>
          <w:sz w:val="22"/>
          <w:szCs w:val="22"/>
        </w:rPr>
        <w:t xml:space="preserve"> Sixteen states have adopted the Uniform Disposition of Community Property Rights at Death Act as of 2014  (at </w:t>
      </w:r>
      <w:hyperlink r:id="rId33" w:history="1">
        <w:r w:rsidRPr="00DB2B98">
          <w:rPr>
            <w:rStyle w:val="Hyperlink"/>
            <w:sz w:val="22"/>
            <w:szCs w:val="22"/>
          </w:rPr>
          <w:t>www.uniformlaws.org</w:t>
        </w:r>
      </w:hyperlink>
      <w:r w:rsidRPr="00DB2B98">
        <w:rPr>
          <w:sz w:val="22"/>
          <w:szCs w:val="22"/>
        </w:rPr>
        <w:t>), which provides that on the death of a spouse, the community property rights of the estate and survivor will be respected: AK, AR, CO, CT, FL, HI, KY, MI, MN, MT, NY, NC, OR, UT, VA, WY.</w:t>
      </w:r>
      <w:r w:rsidRPr="00DB2B98">
        <w:rPr>
          <w:sz w:val="22"/>
          <w:szCs w:val="22"/>
        </w:rPr>
        <w:cr/>
        <w:t>Other states may honor it under case law: see Restatement, Conflict of Laws, §259, comment b</w:t>
      </w:r>
    </w:p>
  </w:footnote>
  <w:footnote w:id="187">
    <w:p w14:paraId="656CD61C" w14:textId="5D05180E"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E.g.</w:t>
      </w:r>
      <w:r w:rsidR="00DB2B98" w:rsidRPr="00DB2B98">
        <w:rPr>
          <w:sz w:val="22"/>
          <w:szCs w:val="22"/>
        </w:rPr>
        <w:t>,</w:t>
      </w:r>
      <w:r w:rsidRPr="00DB2B98">
        <w:rPr>
          <w:sz w:val="22"/>
          <w:szCs w:val="22"/>
        </w:rPr>
        <w:t xml:space="preserve"> </w:t>
      </w:r>
      <w:r w:rsidRPr="00DB2B98">
        <w:rPr>
          <w:b/>
          <w:sz w:val="22"/>
          <w:szCs w:val="22"/>
        </w:rPr>
        <w:t>all</w:t>
      </w:r>
      <w:r w:rsidRPr="00DB2B98">
        <w:rPr>
          <w:sz w:val="22"/>
          <w:szCs w:val="22"/>
        </w:rPr>
        <w:t xml:space="preserve"> community property may be susceptible to creditors of only </w:t>
      </w:r>
      <w:r w:rsidRPr="00DB2B98">
        <w:rPr>
          <w:b/>
          <w:sz w:val="22"/>
          <w:szCs w:val="22"/>
        </w:rPr>
        <w:t>one</w:t>
      </w:r>
      <w:r w:rsidRPr="00DB2B98">
        <w:rPr>
          <w:sz w:val="22"/>
          <w:szCs w:val="22"/>
        </w:rPr>
        <w:t xml:space="preserve"> spouse! Tex. Fam. Code §3.202(d)</w:t>
      </w:r>
      <w:r w:rsidR="00DB2B98">
        <w:rPr>
          <w:sz w:val="22"/>
          <w:szCs w:val="22"/>
        </w:rPr>
        <w:t>.</w:t>
      </w:r>
    </w:p>
  </w:footnote>
  <w:footnote w:id="188">
    <w:p w14:paraId="1B5ED76D"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IRC §2040(b) will limit estate inclusion of “qualified joint interests” such as joint tenancy or tenancy by the entireties to 50% (tenancy in common or more than three owner joint tenancies would be under a different general rule under IRC §2040(a).  Community property that also has a right of survivorship would still receive the generally more favorable basis treatment.  See Rev. Rul. 87-98.  While rarer every day, you have a different rule if you run across joint property purchased pre-1977 per </w:t>
      </w:r>
      <w:r w:rsidRPr="00DB2B98">
        <w:rPr>
          <w:i/>
          <w:sz w:val="22"/>
          <w:szCs w:val="22"/>
        </w:rPr>
        <w:t>Gallenstein v. U.S</w:t>
      </w:r>
      <w:r w:rsidRPr="00DB2B98">
        <w:rPr>
          <w:sz w:val="22"/>
          <w:szCs w:val="22"/>
        </w:rPr>
        <w:t>., 975 F.2d 286 (6</w:t>
      </w:r>
      <w:r w:rsidRPr="00DB2B98">
        <w:rPr>
          <w:sz w:val="22"/>
          <w:szCs w:val="22"/>
          <w:vertAlign w:val="superscript"/>
        </w:rPr>
        <w:t>th</w:t>
      </w:r>
      <w:r w:rsidRPr="00DB2B98">
        <w:rPr>
          <w:sz w:val="22"/>
          <w:szCs w:val="22"/>
        </w:rPr>
        <w:t xml:space="preserve"> Cir. 1992).  For unique planning opportunities to exploit this for joint bank/brokerage accounts using disclaimers, see Part IV of outline.</w:t>
      </w:r>
    </w:p>
  </w:footnote>
  <w:footnote w:id="189">
    <w:p w14:paraId="207B2F9D" w14:textId="2778C4BD"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Alaska Stat. §34.77.100, Tenn. Code Ann. ch. 35-17, S.D.C.L. ch. 55-17 </w:t>
      </w:r>
    </w:p>
  </w:footnote>
  <w:footnote w:id="190">
    <w:p w14:paraId="30DE6AA9"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Rev. Rul. 66-283</w:t>
      </w:r>
    </w:p>
  </w:footnote>
  <w:footnote w:id="191">
    <w:p w14:paraId="5FAE99F4"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Alaska Stat. §34.77.010 et seq, with the community property trust requirements at §34.77.100</w:t>
      </w:r>
    </w:p>
  </w:footnote>
  <w:footnote w:id="192">
    <w:p w14:paraId="48550732"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IRS Publication #555 “Community Property”, page 2: “</w:t>
      </w:r>
      <w:r w:rsidRPr="00DB2B98">
        <w:rPr>
          <w:b/>
          <w:bCs/>
          <w:i/>
          <w:iCs/>
          <w:sz w:val="22"/>
          <w:szCs w:val="22"/>
        </w:rPr>
        <w:t xml:space="preserve">Note. </w:t>
      </w:r>
      <w:r w:rsidRPr="00DB2B98">
        <w:rPr>
          <w:sz w:val="22"/>
          <w:szCs w:val="22"/>
        </w:rPr>
        <w:t xml:space="preserve">This publication does not address the federal tax treatment of income or property subject to the “community property” election under Alaska state laws.” </w:t>
      </w:r>
    </w:p>
  </w:footnote>
  <w:footnote w:id="193">
    <w:p w14:paraId="0101F60A"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Rev. Rul. 87-13</w:t>
      </w:r>
    </w:p>
  </w:footnote>
  <w:footnote w:id="194">
    <w:p w14:paraId="43488E30"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w:t>
      </w:r>
      <w:r w:rsidRPr="00DB2B98">
        <w:rPr>
          <w:i/>
          <w:sz w:val="22"/>
          <w:szCs w:val="22"/>
        </w:rPr>
        <w:t>Commissioner v. Harmon</w:t>
      </w:r>
      <w:r w:rsidRPr="00DB2B98">
        <w:rPr>
          <w:sz w:val="22"/>
          <w:szCs w:val="22"/>
        </w:rPr>
        <w:t>, 323 US 44 (1944): “</w:t>
      </w:r>
      <w:r w:rsidRPr="00DB2B98">
        <w:rPr>
          <w:color w:val="333333"/>
          <w:sz w:val="22"/>
          <w:szCs w:val="22"/>
        </w:rPr>
        <w:t>The important fact is that the community system of Oklahoma is not a system, dictated by State policy, as an incident of matrimony.”  This certainly applies to TN/AK CP trusts.</w:t>
      </w:r>
    </w:p>
  </w:footnote>
  <w:footnote w:id="195">
    <w:p w14:paraId="518395E3"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E.g. David Westfall &amp; George P. Mair, Estate Planning Law &amp; Taxation, §4.01(1) (4th ed. 2001 &amp; Supp. Feb. 2011) (arguing it should not be effective); Jonathan G. Blattmachr, Howard M. Zaritsky &amp; Mark L. Ascher, </w:t>
      </w:r>
      <w:r w:rsidRPr="00DB2B98">
        <w:rPr>
          <w:i/>
          <w:sz w:val="22"/>
          <w:szCs w:val="22"/>
        </w:rPr>
        <w:t>Tax Planning with Consensual Community Property: Alaska’s New Community Property Law</w:t>
      </w:r>
      <w:r w:rsidRPr="00DB2B98">
        <w:rPr>
          <w:sz w:val="22"/>
          <w:szCs w:val="22"/>
        </w:rPr>
        <w:t xml:space="preserve">, 33 Real Prop., Prob. &amp; Tr. J. 614 (1999) (arguing it should be).  The latter has a better legal argument, despite </w:t>
      </w:r>
      <w:r w:rsidRPr="00DB2B98">
        <w:rPr>
          <w:i/>
          <w:sz w:val="22"/>
          <w:szCs w:val="22"/>
        </w:rPr>
        <w:t>Harmon</w:t>
      </w:r>
      <w:r w:rsidRPr="00DB2B98">
        <w:rPr>
          <w:sz w:val="22"/>
          <w:szCs w:val="22"/>
        </w:rPr>
        <w:t>, but it’s uncertain.</w:t>
      </w:r>
    </w:p>
  </w:footnote>
  <w:footnote w:id="196">
    <w:p w14:paraId="401A1196"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IRS Manual 25.18.1.2.2 (03-04-2011) </w:t>
      </w:r>
      <w:r w:rsidRPr="00DB2B98">
        <w:rPr>
          <w:i/>
          <w:sz w:val="22"/>
          <w:szCs w:val="22"/>
        </w:rPr>
        <w:t>Community Property Law</w:t>
      </w:r>
      <w:r w:rsidRPr="00DB2B98">
        <w:rPr>
          <w:sz w:val="22"/>
          <w:szCs w:val="22"/>
        </w:rPr>
        <w:t xml:space="preserve">: “Alaska has also adopted a community property system, but it is optional. Spouses may create community property by entering into a community property agreement or by creating a community property trust. See Alaska Stat. §§ 34.77.020 - 34.77.995. The U.S. Supreme Court ruled that a similar statute allowing spouses to elect a community property system under Oklahoma law would not be recognized for federal income tax reporting purposes. </w:t>
      </w:r>
      <w:r w:rsidRPr="00DB2B98">
        <w:rPr>
          <w:i/>
          <w:sz w:val="22"/>
          <w:szCs w:val="22"/>
        </w:rPr>
        <w:t>Commissioner v. Harmon</w:t>
      </w:r>
      <w:r w:rsidRPr="00DB2B98">
        <w:rPr>
          <w:sz w:val="22"/>
          <w:szCs w:val="22"/>
        </w:rPr>
        <w:t>, 323 U.S. 44 (1944). The Harmon decision should also apply to the Alaska system for income reporting purposes.”</w:t>
      </w:r>
    </w:p>
  </w:footnote>
  <w:footnote w:id="197">
    <w:p w14:paraId="43218574" w14:textId="77777777" w:rsidR="00D53D4F" w:rsidRPr="00DB2B98" w:rsidRDefault="00D53D4F" w:rsidP="00F404E2">
      <w:pPr>
        <w:pStyle w:val="FootnoteText"/>
        <w:spacing w:after="120"/>
        <w:rPr>
          <w:sz w:val="22"/>
          <w:szCs w:val="22"/>
        </w:rPr>
      </w:pPr>
      <w:r w:rsidRPr="00DB2B98">
        <w:rPr>
          <w:rStyle w:val="FootnoteReference"/>
          <w:sz w:val="22"/>
          <w:szCs w:val="22"/>
        </w:rPr>
        <w:footnoteRef/>
      </w:r>
      <w:r w:rsidRPr="00DB2B98">
        <w:rPr>
          <w:sz w:val="22"/>
          <w:szCs w:val="22"/>
        </w:rPr>
        <w:t xml:space="preserve"> See Restatement, Second, of Conflicts of Laws, §258, comment b, and §270 (regarding trusts).  See also Uniform Probate Code §2-703</w:t>
      </w:r>
    </w:p>
  </w:footnote>
  <w:footnote w:id="198">
    <w:p w14:paraId="7809846F"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w:t>
      </w:r>
      <w:r w:rsidRPr="008A4A41">
        <w:rPr>
          <w:i/>
          <w:sz w:val="22"/>
          <w:szCs w:val="22"/>
        </w:rPr>
        <w:t>In re Huber</w:t>
      </w:r>
      <w:r w:rsidRPr="008A4A41">
        <w:rPr>
          <w:sz w:val="22"/>
          <w:szCs w:val="22"/>
        </w:rPr>
        <w:t>, 2013 Bankr. LEXIS 2038 (May 13, 2013)</w:t>
      </w:r>
    </w:p>
  </w:footnote>
  <w:footnote w:id="199">
    <w:p w14:paraId="202A999A" w14:textId="77777777" w:rsidR="00D53D4F" w:rsidRPr="008A4A41" w:rsidRDefault="00D53D4F" w:rsidP="00F404E2">
      <w:pPr>
        <w:spacing w:after="120"/>
        <w:outlineLvl w:val="2"/>
        <w:rPr>
          <w:sz w:val="28"/>
          <w:szCs w:val="28"/>
        </w:rPr>
      </w:pPr>
      <w:r w:rsidRPr="008A4A41">
        <w:rPr>
          <w:rStyle w:val="FootnoteReference"/>
          <w:sz w:val="22"/>
          <w:szCs w:val="22"/>
        </w:rPr>
        <w:footnoteRef/>
      </w:r>
      <w:r w:rsidRPr="008A4A41">
        <w:rPr>
          <w:sz w:val="22"/>
          <w:szCs w:val="22"/>
        </w:rPr>
        <w:t xml:space="preserve"> Ohio R.C. §</w:t>
      </w:r>
      <w:r w:rsidRPr="008A4A41">
        <w:rPr>
          <w:bCs/>
          <w:sz w:val="22"/>
          <w:szCs w:val="22"/>
        </w:rPr>
        <w:t>3103.06 “Contracts affecting marriage.</w:t>
      </w:r>
      <w:r w:rsidRPr="008A4A41">
        <w:rPr>
          <w:b/>
          <w:bCs/>
          <w:sz w:val="22"/>
          <w:szCs w:val="22"/>
        </w:rPr>
        <w:t xml:space="preserve">  </w:t>
      </w:r>
      <w:r w:rsidRPr="008A4A41">
        <w:rPr>
          <w:sz w:val="22"/>
          <w:szCs w:val="22"/>
        </w:rPr>
        <w:t xml:space="preserve">A husband and wife cannot, by any contract with each other, alter their legal relations, except that they may agree to an immediate separation and make provisions for the support of either of them and their children during the separation.”   </w:t>
      </w:r>
    </w:p>
  </w:footnote>
  <w:footnote w:id="200">
    <w:p w14:paraId="1D53656A"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A postnuptial agreement executed by Ohio residents in a state where it was permissible was held invalid in </w:t>
      </w:r>
      <w:r w:rsidRPr="008A4A41">
        <w:rPr>
          <w:i/>
          <w:sz w:val="22"/>
          <w:szCs w:val="22"/>
        </w:rPr>
        <w:t>Brewsaugh v. Brewsaugh</w:t>
      </w:r>
      <w:r w:rsidRPr="008A4A41">
        <w:rPr>
          <w:sz w:val="22"/>
          <w:szCs w:val="22"/>
        </w:rPr>
        <w:t xml:space="preserve">, 23 Ohio Misc. 2d 19, 491 N.E.2d 748, 1985 Ohio Misc. LEXIS 92 (Ohio C.P. 1985).  However, Ohio would recognize community property rights of former community property state residents who later move to Ohio after establishment of the community property.  </w:t>
      </w:r>
      <w:r w:rsidRPr="008A4A41">
        <w:rPr>
          <w:i/>
          <w:sz w:val="22"/>
          <w:szCs w:val="22"/>
        </w:rPr>
        <w:t>Estate of Kessler</w:t>
      </w:r>
      <w:r w:rsidRPr="008A4A41">
        <w:rPr>
          <w:sz w:val="22"/>
          <w:szCs w:val="22"/>
        </w:rPr>
        <w:t>, 77 Ohio St 136, 138, 203 NE 2d 221 (1964).</w:t>
      </w:r>
    </w:p>
  </w:footnote>
  <w:footnote w:id="201">
    <w:p w14:paraId="23665D64"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See, e.g., </w:t>
      </w:r>
      <w:r w:rsidRPr="008A4A41">
        <w:rPr>
          <w:i/>
          <w:sz w:val="22"/>
          <w:szCs w:val="22"/>
        </w:rPr>
        <w:t>Hisquierdo v. Hisquierdo</w:t>
      </w:r>
      <w:r w:rsidRPr="008A4A41">
        <w:rPr>
          <w:sz w:val="22"/>
          <w:szCs w:val="22"/>
        </w:rPr>
        <w:t xml:space="preserve">, 439 U.S. 572 (1979) (railroad retirement benefits); </w:t>
      </w:r>
      <w:r w:rsidRPr="008A4A41">
        <w:rPr>
          <w:i/>
          <w:sz w:val="22"/>
          <w:szCs w:val="22"/>
        </w:rPr>
        <w:t>Bunney v. Commissioner</w:t>
      </w:r>
      <w:r w:rsidRPr="008A4A41">
        <w:rPr>
          <w:sz w:val="22"/>
          <w:szCs w:val="22"/>
        </w:rPr>
        <w:t xml:space="preserve">, 114 T.C. 259 (2000) (IRA withdrawals); </w:t>
      </w:r>
      <w:r w:rsidRPr="008A4A41">
        <w:rPr>
          <w:i/>
          <w:sz w:val="22"/>
          <w:szCs w:val="22"/>
        </w:rPr>
        <w:t>In re Marriage of Hillerman</w:t>
      </w:r>
      <w:r w:rsidRPr="008A4A41">
        <w:rPr>
          <w:sz w:val="22"/>
          <w:szCs w:val="22"/>
        </w:rPr>
        <w:t xml:space="preserve">, 109 Cal. App. 3d 334, 167 Cal. Rptr. 240 (1980) (social security benefits); </w:t>
      </w:r>
      <w:r w:rsidRPr="008A4A41">
        <w:rPr>
          <w:i/>
          <w:sz w:val="22"/>
          <w:szCs w:val="22"/>
        </w:rPr>
        <w:t>Free v. Bland</w:t>
      </w:r>
      <w:r w:rsidRPr="008A4A41">
        <w:rPr>
          <w:sz w:val="22"/>
          <w:szCs w:val="22"/>
        </w:rPr>
        <w:t xml:space="preserve">, 369 U.S. 663 (1962) (US savings bonds); Rev. Rul. 87-52, 1987-26 I.R.B. 28, 1987-1 C.B. 347 (Earned income credit), </w:t>
      </w:r>
      <w:r w:rsidRPr="008A4A41">
        <w:rPr>
          <w:i/>
          <w:sz w:val="22"/>
          <w:szCs w:val="22"/>
        </w:rPr>
        <w:t>McCarty v. McCarty</w:t>
      </w:r>
      <w:r w:rsidRPr="008A4A41">
        <w:rPr>
          <w:sz w:val="22"/>
          <w:szCs w:val="22"/>
        </w:rPr>
        <w:t>, 453 U.S. 210 (military pay).</w:t>
      </w:r>
    </w:p>
  </w:footnote>
  <w:footnote w:id="202">
    <w:p w14:paraId="29197C8D" w14:textId="4A3C2ECE"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IRC §2040(b)</w:t>
      </w:r>
      <w:r w:rsidR="008A4A41">
        <w:rPr>
          <w:sz w:val="22"/>
          <w:szCs w:val="22"/>
        </w:rPr>
        <w:t>.</w:t>
      </w:r>
    </w:p>
  </w:footnote>
  <w:footnote w:id="203">
    <w:p w14:paraId="51CC020A"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w:t>
      </w:r>
      <w:r w:rsidRPr="008A4A41">
        <w:rPr>
          <w:i/>
          <w:sz w:val="22"/>
          <w:szCs w:val="22"/>
        </w:rPr>
        <w:t>Propstra v. United States</w:t>
      </w:r>
      <w:r w:rsidRPr="008A4A41">
        <w:rPr>
          <w:sz w:val="22"/>
          <w:szCs w:val="22"/>
        </w:rPr>
        <w:t>, 680 F.2d 1248 (9th Cir. Ariz. 1982)</w:t>
      </w:r>
    </w:p>
  </w:footnote>
  <w:footnote w:id="204">
    <w:p w14:paraId="1A772B27"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w:t>
      </w:r>
      <w:r w:rsidRPr="008A4A41">
        <w:rPr>
          <w:i/>
          <w:sz w:val="22"/>
          <w:szCs w:val="22"/>
        </w:rPr>
        <w:t>Estate of Lee v. Commissioner</w:t>
      </w:r>
      <w:r w:rsidRPr="008A4A41">
        <w:rPr>
          <w:sz w:val="22"/>
          <w:szCs w:val="22"/>
        </w:rPr>
        <w:t>, 1978 U.S. Tax Ct. LEXIS 165 (T.C. 1978)</w:t>
      </w:r>
    </w:p>
  </w:footnote>
  <w:footnote w:id="205">
    <w:p w14:paraId="68BF31C2"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w:t>
      </w:r>
      <w:r w:rsidRPr="008A4A41">
        <w:rPr>
          <w:i/>
          <w:sz w:val="22"/>
          <w:szCs w:val="22"/>
        </w:rPr>
        <w:t>Estate of Bright v. United States</w:t>
      </w:r>
      <w:r w:rsidRPr="008A4A41">
        <w:rPr>
          <w:sz w:val="22"/>
          <w:szCs w:val="22"/>
        </w:rPr>
        <w:t>, 658 F.2d 999 (5th Cir. Tex. 1981)</w:t>
      </w:r>
    </w:p>
  </w:footnote>
  <w:footnote w:id="206">
    <w:p w14:paraId="09E4E155"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Rev. Rul. 79-124 permits the inside basis of both halves of LLC/LP interests to be adjusted upwards or downwards with a §754 election to reflect the change at date of death (or alternate valuation date) to the outside basis.  Usually, this is favorable, and you may think that no one would ever make a §754 election if it would mean the inside basis would </w:t>
      </w:r>
      <w:r w:rsidRPr="008A4A41">
        <w:rPr>
          <w:i/>
          <w:sz w:val="22"/>
          <w:szCs w:val="22"/>
        </w:rPr>
        <w:t>decrease</w:t>
      </w:r>
      <w:r w:rsidRPr="008A4A41">
        <w:rPr>
          <w:sz w:val="22"/>
          <w:szCs w:val="22"/>
        </w:rPr>
        <w:t xml:space="preserve">.  However, this result may be forced upon a taxpayer in two instances: </w:t>
      </w:r>
    </w:p>
    <w:p w14:paraId="2CA5250A" w14:textId="77777777" w:rsidR="00D53D4F" w:rsidRPr="008A4A41" w:rsidRDefault="00D53D4F" w:rsidP="00F404E2">
      <w:pPr>
        <w:pStyle w:val="FootnoteText"/>
        <w:spacing w:after="120"/>
        <w:ind w:left="360"/>
        <w:rPr>
          <w:sz w:val="22"/>
          <w:szCs w:val="22"/>
        </w:rPr>
      </w:pPr>
      <w:r w:rsidRPr="008A4A41">
        <w:rPr>
          <w:sz w:val="22"/>
          <w:szCs w:val="22"/>
        </w:rPr>
        <w:t xml:space="preserve">1) if the partnership had in prior years already made a §754 election, such as upon a prior death or sale by a partner/member, which is applicable “to all transfers of interests in the partnership during the taxable year with respect to which such election was filed </w:t>
      </w:r>
      <w:r w:rsidRPr="008A4A41">
        <w:rPr>
          <w:b/>
          <w:sz w:val="22"/>
          <w:szCs w:val="22"/>
        </w:rPr>
        <w:t>and all subsequent taxable years</w:t>
      </w:r>
      <w:r w:rsidRPr="008A4A41">
        <w:rPr>
          <w:sz w:val="22"/>
          <w:szCs w:val="22"/>
        </w:rPr>
        <w:t xml:space="preserve">” Treasury regulations do permit a revocation of the election with the approval of the district director of the IRS, but note that “no application for revocation of an election shall be approved when the purpose of the revocation is primarily to avoid stepping down the basis of partnership assets upon a transfer or distribution.”  Treas. Reg. §1.751-1(c); or </w:t>
      </w:r>
    </w:p>
    <w:p w14:paraId="568ABC16" w14:textId="77777777" w:rsidR="00D53D4F" w:rsidRPr="008A4A41" w:rsidRDefault="00D53D4F" w:rsidP="00F404E2">
      <w:pPr>
        <w:pStyle w:val="FootnoteText"/>
        <w:spacing w:after="120"/>
        <w:ind w:left="360"/>
        <w:rPr>
          <w:sz w:val="22"/>
          <w:szCs w:val="22"/>
        </w:rPr>
      </w:pPr>
      <w:r w:rsidRPr="008A4A41">
        <w:rPr>
          <w:sz w:val="22"/>
          <w:szCs w:val="22"/>
        </w:rPr>
        <w:t>2) if the LLC/LP has a substantial built-in loss immediately after the transfer (more than $250,000), IRC § 743(a) and (d) would require inside basis to be reduced regardless of whether a §754 election is made.</w:t>
      </w:r>
    </w:p>
  </w:footnote>
  <w:footnote w:id="207">
    <w:p w14:paraId="235E6E76"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E.g. </w:t>
      </w:r>
      <w:hyperlink r:id="rId34" w:history="1">
        <w:r w:rsidRPr="008A4A41">
          <w:rPr>
            <w:rStyle w:val="Hyperlink"/>
            <w:sz w:val="22"/>
            <w:szCs w:val="22"/>
          </w:rPr>
          <w:t>Cal. Civ. Code §682.1</w:t>
        </w:r>
      </w:hyperlink>
      <w:r w:rsidRPr="008A4A41">
        <w:rPr>
          <w:sz w:val="22"/>
          <w:szCs w:val="22"/>
        </w:rPr>
        <w:t xml:space="preserve">, </w:t>
      </w:r>
      <w:hyperlink r:id="rId35" w:history="1">
        <w:r w:rsidRPr="008A4A41">
          <w:rPr>
            <w:rStyle w:val="Hyperlink"/>
            <w:sz w:val="22"/>
            <w:szCs w:val="22"/>
          </w:rPr>
          <w:t>Nev. Rev. Stat. §123.250</w:t>
        </w:r>
      </w:hyperlink>
      <w:r w:rsidRPr="008A4A41">
        <w:rPr>
          <w:sz w:val="22"/>
          <w:szCs w:val="22"/>
        </w:rPr>
        <w:t xml:space="preserve">, </w:t>
      </w:r>
      <w:r w:rsidRPr="008A4A41">
        <w:rPr>
          <w:rFonts w:ascii="Calibri" w:hAnsi="Calibri" w:cs="Calibri"/>
          <w:sz w:val="22"/>
          <w:szCs w:val="22"/>
        </w:rPr>
        <w:t>§</w:t>
      </w:r>
      <w:hyperlink r:id="rId36" w:history="1">
        <w:r w:rsidRPr="008A4A41">
          <w:rPr>
            <w:rStyle w:val="Hyperlink"/>
            <w:sz w:val="22"/>
            <w:szCs w:val="22"/>
          </w:rPr>
          <w:t>111.064</w:t>
        </w:r>
      </w:hyperlink>
      <w:r w:rsidRPr="008A4A41">
        <w:rPr>
          <w:sz w:val="22"/>
          <w:szCs w:val="22"/>
        </w:rPr>
        <w:t xml:space="preserve">, </w:t>
      </w:r>
      <w:hyperlink r:id="rId37" w:history="1">
        <w:r w:rsidRPr="008A4A41">
          <w:rPr>
            <w:rStyle w:val="Hyperlink"/>
            <w:sz w:val="22"/>
            <w:szCs w:val="22"/>
          </w:rPr>
          <w:t>Texas Sec. 112.051 et seq.</w:t>
        </w:r>
      </w:hyperlink>
      <w:r w:rsidRPr="008A4A41">
        <w:rPr>
          <w:sz w:val="22"/>
          <w:szCs w:val="22"/>
        </w:rPr>
        <w:t xml:space="preserve">; </w:t>
      </w:r>
      <w:hyperlink r:id="rId38" w:history="1">
        <w:r w:rsidRPr="008A4A41">
          <w:rPr>
            <w:rStyle w:val="Hyperlink"/>
            <w:sz w:val="22"/>
            <w:szCs w:val="22"/>
          </w:rPr>
          <w:t>Wis. Stat. §766.60(5)</w:t>
        </w:r>
      </w:hyperlink>
      <w:r w:rsidRPr="008A4A41">
        <w:rPr>
          <w:sz w:val="22"/>
          <w:szCs w:val="22"/>
        </w:rPr>
        <w:t xml:space="preserve">, </w:t>
      </w:r>
      <w:hyperlink r:id="rId39" w:history="1">
        <w:r w:rsidRPr="008A4A41">
          <w:rPr>
            <w:rStyle w:val="Hyperlink"/>
            <w:sz w:val="22"/>
            <w:szCs w:val="22"/>
          </w:rPr>
          <w:t>Idaho Code §15-6-401</w:t>
        </w:r>
      </w:hyperlink>
      <w:r w:rsidRPr="008A4A41">
        <w:rPr>
          <w:sz w:val="22"/>
          <w:szCs w:val="22"/>
        </w:rPr>
        <w:t xml:space="preserve"> (real property) and </w:t>
      </w:r>
      <w:hyperlink r:id="rId40" w:history="1">
        <w:r w:rsidRPr="008A4A41">
          <w:rPr>
            <w:rStyle w:val="Hyperlink"/>
            <w:sz w:val="22"/>
            <w:szCs w:val="22"/>
          </w:rPr>
          <w:t>Idaho Code §15-6-403</w:t>
        </w:r>
      </w:hyperlink>
      <w:r w:rsidRPr="008A4A41">
        <w:rPr>
          <w:sz w:val="22"/>
          <w:szCs w:val="22"/>
        </w:rPr>
        <w:t xml:space="preserve"> (personal property); </w:t>
      </w:r>
      <w:hyperlink r:id="rId41" w:history="1">
        <w:r w:rsidRPr="008A4A41">
          <w:rPr>
            <w:rStyle w:val="Hyperlink"/>
            <w:sz w:val="22"/>
            <w:szCs w:val="22"/>
          </w:rPr>
          <w:t>Ariz. Rev. Stat. § 33-431</w:t>
        </w:r>
      </w:hyperlink>
      <w:r w:rsidRPr="008A4A41">
        <w:rPr>
          <w:sz w:val="22"/>
          <w:szCs w:val="22"/>
        </w:rPr>
        <w:t xml:space="preserve">; </w:t>
      </w:r>
      <w:hyperlink r:id="rId42" w:history="1">
        <w:r w:rsidRPr="008A4A41">
          <w:rPr>
            <w:rStyle w:val="Hyperlink"/>
            <w:sz w:val="22"/>
            <w:szCs w:val="22"/>
          </w:rPr>
          <w:t>Alaska Stat. § 34.77.110(e)</w:t>
        </w:r>
      </w:hyperlink>
      <w:r w:rsidRPr="008A4A41">
        <w:rPr>
          <w:sz w:val="22"/>
          <w:szCs w:val="22"/>
        </w:rPr>
        <w:t xml:space="preserve">; </w:t>
      </w:r>
      <w:hyperlink r:id="rId43" w:history="1">
        <w:r w:rsidRPr="008A4A41">
          <w:rPr>
            <w:rStyle w:val="Hyperlink"/>
            <w:sz w:val="22"/>
            <w:szCs w:val="22"/>
          </w:rPr>
          <w:t>NM Stat § 40-3-8(B)</w:t>
        </w:r>
      </w:hyperlink>
      <w:r w:rsidRPr="008A4A41">
        <w:rPr>
          <w:sz w:val="22"/>
          <w:szCs w:val="22"/>
        </w:rPr>
        <w:t xml:space="preserve">; </w:t>
      </w:r>
      <w:hyperlink r:id="rId44" w:anchor="64.28.010" w:history="1">
        <w:r w:rsidRPr="008A4A41">
          <w:rPr>
            <w:rStyle w:val="Hyperlink"/>
            <w:sz w:val="22"/>
            <w:szCs w:val="22"/>
          </w:rPr>
          <w:t>RCW 64.28.010 et seq</w:t>
        </w:r>
      </w:hyperlink>
      <w:r w:rsidRPr="008A4A41">
        <w:rPr>
          <w:sz w:val="22"/>
          <w:szCs w:val="22"/>
        </w:rPr>
        <w:t xml:space="preserve">.  Apparently Louisiana is a holdout. </w:t>
      </w:r>
    </w:p>
  </w:footnote>
  <w:footnote w:id="208">
    <w:p w14:paraId="78C06FDE"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Rev. Rul. 87-98, 1987-2 C.B. 206.</w:t>
      </w:r>
    </w:p>
  </w:footnote>
  <w:footnote w:id="209">
    <w:p w14:paraId="09909109"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w:t>
      </w:r>
      <w:hyperlink r:id="rId45" w:history="1">
        <w:r w:rsidRPr="008A4A41">
          <w:rPr>
            <w:rStyle w:val="Hyperlink"/>
            <w:sz w:val="22"/>
            <w:szCs w:val="22"/>
          </w:rPr>
          <w:t>Texas Sec. 112.052(d)</w:t>
        </w:r>
      </w:hyperlink>
      <w:r w:rsidRPr="008A4A41">
        <w:rPr>
          <w:sz w:val="22"/>
          <w:szCs w:val="22"/>
        </w:rPr>
        <w:t xml:space="preserve"> “A survivorship agreement may not be inferred from the mere fact that an account is a joint account or that an account is designated as JT TEN, Joint Tenancy, or joint, or with other similar language.”</w:t>
      </w:r>
    </w:p>
  </w:footnote>
  <w:footnote w:id="210">
    <w:p w14:paraId="0A18C3A4"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See PLRs 2001-01021, 2002-10051, 2004-03094, 2006-04028, TAM 9308002.  Many question the holdings that transfers from the owner-spouse to the decedent-spouse at death qualify for the marital deduction under IRC §2523.  However, other aspects of those rulings are non-controversial, including capping a GPOA to an amount able to be soaked up by a power holder’s applicable exclusion amount.  Regardless, those with smaller estates probably would not care about loss of the marital deduction and “double use” of exclusion anyway.</w:t>
      </w:r>
    </w:p>
  </w:footnote>
  <w:footnote w:id="211">
    <w:p w14:paraId="731614FC"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w:t>
      </w:r>
      <w:r w:rsidRPr="008A4A41">
        <w:rPr>
          <w:bCs/>
          <w:color w:val="000000"/>
          <w:sz w:val="22"/>
          <w:szCs w:val="22"/>
        </w:rPr>
        <w:t>Thus, this is no longer really a “poorer spouse” technique, the “poorer spouse” problem has largely been eliminated by portability except for GST exploitation and common disaster scenarios – see Part I of this article.</w:t>
      </w:r>
    </w:p>
  </w:footnote>
  <w:footnote w:id="212">
    <w:p w14:paraId="31300068"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w:t>
      </w:r>
      <w:r w:rsidRPr="008A4A41">
        <w:rPr>
          <w:bCs/>
          <w:color w:val="000000"/>
          <w:sz w:val="22"/>
          <w:szCs w:val="22"/>
        </w:rPr>
        <w:t>Some PLRs in this area used joint trusts, but the same concepts apply either way.</w:t>
      </w:r>
    </w:p>
  </w:footnote>
  <w:footnote w:id="213">
    <w:p w14:paraId="198C6F2C"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For an argument that the lifetime GPOA variant is superior, see the excellent article </w:t>
      </w:r>
      <w:r w:rsidRPr="008A4A41">
        <w:rPr>
          <w:i/>
          <w:sz w:val="22"/>
          <w:szCs w:val="22"/>
        </w:rPr>
        <w:t>The Minimum Income Tax Trust</w:t>
      </w:r>
      <w:r w:rsidRPr="008A4A41">
        <w:rPr>
          <w:sz w:val="22"/>
          <w:szCs w:val="22"/>
        </w:rPr>
        <w:t xml:space="preserve">, by James G. Blase, Trusts and Estates, May 2014, which argues that §1014(e) should not apply because there is not a completed gift to the power holder.  However, there is an unsettled question whether you can even have an effective GPOA in the donee spouse while the power is revocable by the donor spouse. Because it would essentially be revocable until exercised, there is an argument it’s really only effective with the consent of the creator of the power, which would disqualify it as a GPOA for tax purposes under §2514(c)(3) until it is exercised or the creator releases the power to revoke it.  Finding there only to be a creation of a GPOA when the transfer is complete and irrevocable is consistent with qualified disclaimer regulations that hold that the nine-month window runs from when the gift/transfer is complete. Treas. Reg. § 25.2518-2(c)(3). While it is not conclusive for §2041/tax purposes, the Restatement of Trusts seems to imply that such a power is essentially disregarded until exercised, even to the point of being protected from a powerholder beneficiaries creditors while the grantor can revoke: “The other beneficiaries of a revocable trust are treated, for many of these purposes, as if they had no existing property interests (that is, their rights may be treated like the bare expectancies of will beneficiaries) so long as the power to revoke exists. Accordingly, these revocable interests are not reachable by the creditors of those beneficiaries.” </w:t>
      </w:r>
      <w:r w:rsidRPr="008A4A41">
        <w:rPr>
          <w:i/>
          <w:sz w:val="22"/>
          <w:szCs w:val="22"/>
        </w:rPr>
        <w:t>Restatement (Third) of Trusts</w:t>
      </w:r>
      <w:r w:rsidRPr="008A4A41">
        <w:rPr>
          <w:sz w:val="22"/>
          <w:szCs w:val="22"/>
        </w:rPr>
        <w:t xml:space="preserve"> § 56, comment b.  Note that one of the above-mentioned PLRs, 2002-10051, applied §1014(e) to </w:t>
      </w:r>
      <w:r w:rsidRPr="008A4A41">
        <w:rPr>
          <w:i/>
          <w:sz w:val="22"/>
          <w:szCs w:val="22"/>
        </w:rPr>
        <w:t>deny</w:t>
      </w:r>
      <w:r w:rsidRPr="008A4A41">
        <w:rPr>
          <w:sz w:val="22"/>
          <w:szCs w:val="22"/>
        </w:rPr>
        <w:t xml:space="preserve"> a step up in basis even though it involved a </w:t>
      </w:r>
      <w:r w:rsidRPr="008A4A41">
        <w:rPr>
          <w:i/>
          <w:sz w:val="22"/>
          <w:szCs w:val="22"/>
        </w:rPr>
        <w:t>presently</w:t>
      </w:r>
      <w:r w:rsidRPr="008A4A41">
        <w:rPr>
          <w:sz w:val="22"/>
          <w:szCs w:val="22"/>
        </w:rPr>
        <w:t xml:space="preserve"> </w:t>
      </w:r>
      <w:r w:rsidRPr="008A4A41">
        <w:rPr>
          <w:i/>
          <w:sz w:val="22"/>
          <w:szCs w:val="22"/>
        </w:rPr>
        <w:t>exercisable</w:t>
      </w:r>
      <w:r w:rsidRPr="008A4A41">
        <w:rPr>
          <w:sz w:val="22"/>
          <w:szCs w:val="22"/>
        </w:rPr>
        <w:t xml:space="preserve"> rather than </w:t>
      </w:r>
      <w:r w:rsidRPr="008A4A41">
        <w:rPr>
          <w:i/>
          <w:sz w:val="22"/>
          <w:szCs w:val="22"/>
        </w:rPr>
        <w:t>testamentary</w:t>
      </w:r>
      <w:r w:rsidRPr="008A4A41">
        <w:rPr>
          <w:sz w:val="22"/>
          <w:szCs w:val="22"/>
        </w:rPr>
        <w:t xml:space="preserve"> general power of appointment.  Therefore, I prefer other methods to optimize step up in basis. </w:t>
      </w:r>
    </w:p>
  </w:footnote>
  <w:footnote w:id="214">
    <w:p w14:paraId="3B91B936"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Learned attorney opinions of the IRS’s conclusions range from scathingly dismissive - “smoke and mirrors” to accepting - “common sense suggests that the IRS is correct on the marital deduction issue”, from Clary Redd’s article </w:t>
      </w:r>
      <w:r w:rsidRPr="008A4A41">
        <w:rPr>
          <w:i/>
          <w:sz w:val="22"/>
          <w:szCs w:val="22"/>
        </w:rPr>
        <w:t>Sharing Exemptions?  Not So Fast,</w:t>
      </w:r>
      <w:r w:rsidRPr="008A4A41">
        <w:rPr>
          <w:sz w:val="22"/>
          <w:szCs w:val="22"/>
        </w:rPr>
        <w:t xml:space="preserve"> Trusts and Estates, April 2008 and</w:t>
      </w:r>
      <w:r w:rsidRPr="008A4A41">
        <w:rPr>
          <w:b/>
          <w:bCs/>
          <w:color w:val="000000"/>
          <w:sz w:val="22"/>
          <w:szCs w:val="22"/>
        </w:rPr>
        <w:t xml:space="preserve"> </w:t>
      </w:r>
      <w:r w:rsidRPr="008A4A41">
        <w:rPr>
          <w:bCs/>
          <w:i/>
          <w:color w:val="000000"/>
          <w:sz w:val="22"/>
          <w:szCs w:val="22"/>
        </w:rPr>
        <w:t>It's Just a JEST, the Joint Exempt Step-Up Trust,</w:t>
      </w:r>
      <w:r w:rsidRPr="008A4A41">
        <w:rPr>
          <w:b/>
          <w:bCs/>
          <w:color w:val="000000"/>
          <w:sz w:val="22"/>
          <w:szCs w:val="22"/>
        </w:rPr>
        <w:t xml:space="preserve"> </w:t>
      </w:r>
      <w:r w:rsidRPr="008A4A41">
        <w:rPr>
          <w:b/>
          <w:bCs/>
          <w:color w:val="3333FF"/>
          <w:sz w:val="22"/>
          <w:szCs w:val="22"/>
        </w:rPr>
        <w:t>LISI</w:t>
      </w:r>
      <w:r w:rsidRPr="008A4A41">
        <w:rPr>
          <w:sz w:val="22"/>
          <w:szCs w:val="22"/>
        </w:rPr>
        <w:t xml:space="preserve"> Estate Planning Newsletter #2086 (April 3, 2013) by Alan </w:t>
      </w:r>
      <w:r w:rsidRPr="008A4A41">
        <w:rPr>
          <w:bCs/>
          <w:color w:val="000000"/>
          <w:sz w:val="22"/>
          <w:szCs w:val="22"/>
        </w:rPr>
        <w:t xml:space="preserve">Gassman, Thomas Ellwanger &amp; Kacie Hohnadell, respectively.  The issues are much more complex than you would think for a simple technique.  </w:t>
      </w:r>
    </w:p>
  </w:footnote>
  <w:footnote w:id="215">
    <w:p w14:paraId="607B185E"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Treas. Reg. §20.2056(c)-2(e).  See the </w:t>
      </w:r>
      <w:r w:rsidRPr="008A4A41">
        <w:rPr>
          <w:i/>
          <w:sz w:val="22"/>
          <w:szCs w:val="22"/>
        </w:rPr>
        <w:t>Bagley</w:t>
      </w:r>
      <w:r w:rsidRPr="008A4A41">
        <w:rPr>
          <w:sz w:val="22"/>
          <w:szCs w:val="22"/>
        </w:rPr>
        <w:t xml:space="preserve"> and </w:t>
      </w:r>
      <w:r w:rsidRPr="008A4A41">
        <w:rPr>
          <w:i/>
          <w:sz w:val="22"/>
          <w:szCs w:val="22"/>
        </w:rPr>
        <w:t>Johnstone</w:t>
      </w:r>
      <w:r w:rsidRPr="008A4A41">
        <w:rPr>
          <w:sz w:val="22"/>
          <w:szCs w:val="22"/>
        </w:rPr>
        <w:t xml:space="preserve"> cases cited and discussed in 422-429 of  </w:t>
      </w:r>
      <w:r w:rsidRPr="008A4A41">
        <w:rPr>
          <w:i/>
          <w:sz w:val="22"/>
          <w:szCs w:val="22"/>
        </w:rPr>
        <w:t xml:space="preserve">Estate Tax Exemption Portability: What Should the IRS Do?  And What Should Planners Do in the Interim?  </w:t>
      </w:r>
      <w:r w:rsidRPr="008A4A41">
        <w:rPr>
          <w:sz w:val="22"/>
          <w:szCs w:val="22"/>
        </w:rPr>
        <w:t>By Mitchell Gans, Johnathan Blattmachr and Austin Bramwell, 42 RPT Journal Fall 2007.</w:t>
      </w:r>
    </w:p>
  </w:footnote>
  <w:footnote w:id="216">
    <w:p w14:paraId="6D62C07D"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Treas. Reg. §25.2511-1(h)(1), see also PLR 9114023</w:t>
      </w:r>
    </w:p>
  </w:footnote>
  <w:footnote w:id="217">
    <w:p w14:paraId="007F5C4C"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Of course, these deductions are based on what the donee receives, which, depending on the valuation of the business before and after, may not increase by the full $1.2 million – it may increase by less.</w:t>
      </w:r>
    </w:p>
  </w:footnote>
  <w:footnote w:id="218">
    <w:p w14:paraId="31047DD7"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Treas. Reg. §25.2511-1(e)</w:t>
      </w:r>
    </w:p>
  </w:footnote>
  <w:footnote w:id="219">
    <w:p w14:paraId="145C7DB9"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From PLR 2002-10051 - “In addition, section 1014(e) will apply to any Trust property includible in the deceased Donor's gross estate that is attributable to the surviving Donor's contribution to Trust and that is acquired by the surviving Donor, either directly or indirectly, pursuant to the deceased Donor's exercise, or failure to exercise, the general power of appointment over the Trust property.”  PLR 2001-01021 has near identical language.  PLR 9026036 would deny the step up altogether but a revision of that PLR, PLR 9321050, would apportion based on the value of the income interest in the trust that the donor would later receive: “Notwithstanding our no ruling position with respect to the basis of the </w:t>
      </w:r>
      <w:r w:rsidRPr="008A4A41">
        <w:rPr>
          <w:b/>
          <w:i/>
          <w:sz w:val="22"/>
          <w:szCs w:val="22"/>
        </w:rPr>
        <w:t>income</w:t>
      </w:r>
      <w:r w:rsidRPr="008A4A41">
        <w:rPr>
          <w:sz w:val="22"/>
          <w:szCs w:val="22"/>
        </w:rPr>
        <w:t xml:space="preserve"> interest in the Husband's Trust on the death of Husband, the basis of the </w:t>
      </w:r>
      <w:r w:rsidRPr="008A4A41">
        <w:rPr>
          <w:b/>
          <w:i/>
          <w:sz w:val="22"/>
          <w:szCs w:val="22"/>
        </w:rPr>
        <w:t>remainder</w:t>
      </w:r>
      <w:r w:rsidRPr="008A4A41">
        <w:rPr>
          <w:sz w:val="22"/>
          <w:szCs w:val="22"/>
        </w:rPr>
        <w:t xml:space="preserve"> interest presents a different question. Upon the death of Husband, section 2041 will be applicable to any remaining Husband's Trust assets and the entire value of the Husband's Trust will be includible in Husband's gross estate. Accordingly, section 1014(b)(10) will apply, and the basis of the remainder interest in Husband's Trust will be as described in section 1014(a).”</w:t>
      </w:r>
    </w:p>
  </w:footnote>
  <w:footnote w:id="220">
    <w:p w14:paraId="3B4FCE4E"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w:t>
      </w:r>
      <w:r w:rsidRPr="008A4A41">
        <w:rPr>
          <w:i/>
          <w:sz w:val="22"/>
          <w:szCs w:val="22"/>
        </w:rPr>
        <w:t xml:space="preserve">Estate of Kite v. Commissioner, </w:t>
      </w:r>
      <w:r w:rsidRPr="008A4A41">
        <w:rPr>
          <w:sz w:val="22"/>
          <w:szCs w:val="22"/>
        </w:rPr>
        <w:t>T.C. Memo 2013-43, fn 9 – wife funded trust for husband, who died one week later, assets came back to wife in trust and the tax court noted without discussion that “All of the underlying trust assets, including the OG&amp;E stock transferred to Mr. Kite in 1995, received a step-up in basis under sec. 1014”</w:t>
      </w:r>
    </w:p>
  </w:footnote>
  <w:footnote w:id="221">
    <w:p w14:paraId="42BEC802" w14:textId="01EE4831"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“For example, assume that A gives appreciated property with a basis of $10 and a fair market value of $100 to D within one year of D's death, that D's date of death basis was $20, and that the date of death fair market value of the property was $200. If A is entitled to the property by reason of D's death, A's basis in the property will be $20. If A subsequently sells the property for its fair market value of $200, A will recognize gain of $180. If, instead, the executor sells of the property, distributing the proceeds to A, similar rules will apply and the estate will recognize a gain of $180. </w:t>
      </w:r>
    </w:p>
    <w:p w14:paraId="5CDAD884" w14:textId="09E4B09B" w:rsidR="00D53D4F" w:rsidRPr="008A4A41" w:rsidRDefault="00D53D4F" w:rsidP="00F404E2">
      <w:pPr>
        <w:pStyle w:val="FootnoteText"/>
        <w:spacing w:after="120"/>
        <w:rPr>
          <w:sz w:val="22"/>
          <w:szCs w:val="22"/>
        </w:rPr>
      </w:pPr>
      <w:r w:rsidRPr="008A4A41">
        <w:rPr>
          <w:sz w:val="22"/>
          <w:szCs w:val="22"/>
        </w:rPr>
        <w:t>This rule applies only to the extent that the donor-heir or his spouse is entitled to receive the value of the appreciated property. If the heir or his spouse is only entitled to a portion of the property (e.g., because the property must be used to satisfy debts or administration expenses), the rule applies on a pro-rata basis. Thus, in the</w:t>
      </w:r>
      <w:r w:rsidR="00401248" w:rsidRPr="008A4A41">
        <w:rPr>
          <w:sz w:val="22"/>
          <w:szCs w:val="22"/>
        </w:rPr>
        <w:t xml:space="preserve"> </w:t>
      </w:r>
      <w:r w:rsidRPr="008A4A41">
        <w:rPr>
          <w:sz w:val="22"/>
          <w:szCs w:val="22"/>
        </w:rPr>
        <w:t>above example, if the decedent's estate consisted only of the appreciated property and total estate liabilities were $50, the heir would only be entitled to three-fourths of the appreciated property. Accordingly, the portion of the property to which the donor-heir was not entitled (one-fourth in the example) will receive a stepped-up basis. In such a case, the basis of the appreciated property in the hands of the executor or the heir will be $65 (i.e., one-fourth of $200 (or $50) plus three-fourths of $20 (or $15)).” General Explanation of the Economic Recovery Tax Act of 1981 (H.R. 4242, 97th Congress; Public Law 97-34), Prepared by the Staff of the Joint Committee on Taxation, December 29, 1981, H. Rep. No. 201, 97th Cong., 1st Sess. 188-189 (1981)</w:t>
      </w:r>
    </w:p>
  </w:footnote>
  <w:footnote w:id="222">
    <w:p w14:paraId="52B13969" w14:textId="77777777" w:rsidR="00D53D4F" w:rsidRPr="008A4A41" w:rsidRDefault="00D53D4F" w:rsidP="00F404E2">
      <w:pPr>
        <w:pStyle w:val="NormalWeb"/>
        <w:shd w:val="clear" w:color="auto" w:fill="FFFFFF"/>
        <w:spacing w:before="0" w:beforeAutospacing="0" w:after="120" w:afterAutospacing="0"/>
        <w:rPr>
          <w:color w:val="222222"/>
          <w:sz w:val="22"/>
          <w:szCs w:val="22"/>
        </w:rPr>
      </w:pPr>
      <w:r w:rsidRPr="008A4A41">
        <w:rPr>
          <w:rStyle w:val="FootnoteReference"/>
          <w:sz w:val="22"/>
          <w:szCs w:val="22"/>
        </w:rPr>
        <w:footnoteRef/>
      </w:r>
      <w:r w:rsidRPr="008A4A41">
        <w:rPr>
          <w:sz w:val="22"/>
          <w:szCs w:val="22"/>
        </w:rPr>
        <w:t xml:space="preserve"> PLR </w:t>
      </w:r>
      <w:r w:rsidRPr="008A4A41">
        <w:rPr>
          <w:rStyle w:val="Emphasis"/>
          <w:i w:val="0"/>
          <w:color w:val="222222"/>
          <w:sz w:val="22"/>
          <w:szCs w:val="22"/>
        </w:rPr>
        <w:t>2011-22007</w:t>
      </w:r>
    </w:p>
    <w:p w14:paraId="73F45BD7" w14:textId="77777777" w:rsidR="00D53D4F" w:rsidRDefault="00D53D4F" w:rsidP="00F404E2">
      <w:pPr>
        <w:pStyle w:val="FootnoteText"/>
        <w:spacing w:after="120"/>
      </w:pPr>
    </w:p>
  </w:footnote>
  <w:footnote w:id="223">
    <w:p w14:paraId="00743A20"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w:t>
      </w:r>
      <w:r w:rsidRPr="008A4A41">
        <w:rPr>
          <w:sz w:val="22"/>
          <w:szCs w:val="22"/>
          <w:lang w:val="en"/>
        </w:rPr>
        <w:t xml:space="preserve">Treas. Reg. 25.2518-3(d), Example 20: “A bequeathed his residuary estate to B. B disclaims a fractional share of the residuary estate. Any disclaimed property will pass to A's surviving spouse, W. </w:t>
      </w:r>
      <w:r w:rsidRPr="008A4A41">
        <w:rPr>
          <w:b/>
          <w:sz w:val="22"/>
          <w:szCs w:val="22"/>
          <w:lang w:val="en"/>
        </w:rPr>
        <w:t>The numerator of the fraction disclaimed is the smallest amount which will allow A's estate to pass free of Federal estate tax and the denominator is the value of the residuary estate.</w:t>
      </w:r>
      <w:r w:rsidRPr="008A4A41">
        <w:rPr>
          <w:sz w:val="22"/>
          <w:szCs w:val="22"/>
          <w:lang w:val="en"/>
        </w:rPr>
        <w:t xml:space="preserve"> B's disclaimer is a qualified disclaimer.”  </w:t>
      </w:r>
    </w:p>
  </w:footnote>
  <w:footnote w:id="224">
    <w:p w14:paraId="05E68A36"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w:t>
      </w:r>
      <w:r w:rsidRPr="008A4A41">
        <w:rPr>
          <w:sz w:val="22"/>
          <w:szCs w:val="22"/>
          <w:lang w:val="en"/>
        </w:rPr>
        <w:t>Treas. Reg. §20.2056(b)-7(h): “</w:t>
      </w:r>
      <w:r w:rsidRPr="008A4A41">
        <w:rPr>
          <w:sz w:val="22"/>
          <w:szCs w:val="22"/>
        </w:rPr>
        <w:t xml:space="preserve">Example 7. **** D's executor elects to deduct a fractional share of the residuary estate under section 2056(b)(7). The election specifies </w:t>
      </w:r>
      <w:r w:rsidRPr="008A4A41">
        <w:rPr>
          <w:b/>
          <w:sz w:val="22"/>
          <w:szCs w:val="22"/>
        </w:rPr>
        <w:t>that the numerator of the fraction is the amount of deduction necessary to reduce the Federal estate tax to zero (taking into account final estate tax values) and the denominator of the fraction is the final estate tax value of the residuary estate (taking into account any specific bequests or liabilities of the estate paid out of the residuary estate). The formula election is of a fractional share. The value of the share qualifies for the marital deduction even though the executor's determinations to claim administration expenses as estate or income tax deductions and the final estate tax values will affect the size of the fractional share.</w:t>
      </w:r>
      <w:r w:rsidRPr="008A4A41">
        <w:rPr>
          <w:sz w:val="22"/>
          <w:szCs w:val="22"/>
        </w:rPr>
        <w:t>”</w:t>
      </w:r>
    </w:p>
  </w:footnote>
  <w:footnote w:id="225">
    <w:p w14:paraId="7850F003" w14:textId="77777777" w:rsidR="00D53D4F" w:rsidRPr="008A4A41" w:rsidRDefault="00D53D4F" w:rsidP="00F404E2">
      <w:pPr>
        <w:pStyle w:val="FootnoteText"/>
        <w:spacing w:after="120"/>
        <w:rPr>
          <w:sz w:val="22"/>
          <w:szCs w:val="22"/>
        </w:rPr>
      </w:pPr>
      <w:r w:rsidRPr="008A4A41">
        <w:rPr>
          <w:rStyle w:val="FootnoteReference"/>
          <w:sz w:val="22"/>
          <w:szCs w:val="22"/>
        </w:rPr>
        <w:footnoteRef/>
      </w:r>
      <w:r w:rsidRPr="008A4A41">
        <w:rPr>
          <w:sz w:val="22"/>
          <w:szCs w:val="22"/>
        </w:rPr>
        <w:t xml:space="preserve"> </w:t>
      </w:r>
      <w:r w:rsidRPr="008A4A41">
        <w:rPr>
          <w:sz w:val="22"/>
          <w:szCs w:val="22"/>
          <w:lang w:val="en"/>
        </w:rPr>
        <w:t>Treas. Reg. §20.2056(b)-7(c).</w:t>
      </w:r>
    </w:p>
  </w:footnote>
  <w:footnote w:id="226">
    <w:p w14:paraId="5414A9D8" w14:textId="77777777" w:rsidR="00D53D4F" w:rsidRPr="009D6BBD" w:rsidRDefault="00D53D4F" w:rsidP="000949AF">
      <w:pPr>
        <w:pStyle w:val="FootnoteText"/>
        <w:spacing w:after="120"/>
      </w:pPr>
      <w:r w:rsidRPr="009D6BBD">
        <w:rPr>
          <w:rStyle w:val="FootnoteReference"/>
          <w:sz w:val="22"/>
        </w:rPr>
        <w:footnoteRef/>
      </w:r>
      <w:r w:rsidRPr="009D6BBD">
        <w:rPr>
          <w:sz w:val="22"/>
        </w:rPr>
        <w:t xml:space="preserve"> IRC §1014(e)(1).</w:t>
      </w:r>
    </w:p>
  </w:footnote>
  <w:footnote w:id="227">
    <w:p w14:paraId="37C49CB6" w14:textId="77777777" w:rsidR="00D53D4F" w:rsidRDefault="00D53D4F" w:rsidP="000949AF">
      <w:pPr>
        <w:pStyle w:val="FootnoteText"/>
        <w:spacing w:after="120"/>
      </w:pPr>
      <w:r w:rsidRPr="009D6BBD">
        <w:rPr>
          <w:rStyle w:val="FootnoteReference"/>
          <w:sz w:val="22"/>
        </w:rPr>
        <w:footnoteRef/>
      </w:r>
      <w:r w:rsidRPr="009D6BBD">
        <w:rPr>
          <w:sz w:val="22"/>
        </w:rPr>
        <w:t xml:space="preserve"> There are many regulations under §1014, Treas. Reg. §1.1014-1 to §1.1014-9, none of which add any insight to §1014(e).</w:t>
      </w:r>
    </w:p>
  </w:footnote>
  <w:footnote w:id="228">
    <w:p w14:paraId="0CBCB269" w14:textId="77777777" w:rsidR="00D53D4F" w:rsidRPr="008A4A41" w:rsidRDefault="00D53D4F" w:rsidP="000949AF">
      <w:pPr>
        <w:pStyle w:val="FootnoteText"/>
        <w:spacing w:after="120"/>
        <w:rPr>
          <w:sz w:val="22"/>
          <w:szCs w:val="22"/>
        </w:rPr>
      </w:pPr>
      <w:r w:rsidRPr="008A4A41">
        <w:rPr>
          <w:rStyle w:val="FootnoteReference"/>
          <w:sz w:val="22"/>
          <w:szCs w:val="22"/>
        </w:rPr>
        <w:footnoteRef/>
      </w:r>
      <w:r w:rsidRPr="008A4A41">
        <w:rPr>
          <w:sz w:val="22"/>
          <w:szCs w:val="22"/>
        </w:rPr>
        <w:t xml:space="preserve"> Note, this technique does not work for outright gifts, where donee spouse buys assets from donor spouse, because IRC §1041(b) deems transfers between spouses to be treated as gifts. </w:t>
      </w:r>
    </w:p>
  </w:footnote>
  <w:footnote w:id="229">
    <w:p w14:paraId="3E1513C7" w14:textId="77777777" w:rsidR="00D53D4F" w:rsidRPr="00A9562F" w:rsidRDefault="00D53D4F" w:rsidP="000949AF">
      <w:pPr>
        <w:pStyle w:val="FootnoteText"/>
        <w:spacing w:after="120"/>
        <w:rPr>
          <w:sz w:val="22"/>
          <w:szCs w:val="22"/>
          <w:lang w:val="es-ES"/>
        </w:rPr>
      </w:pPr>
      <w:r w:rsidRPr="008A4A41">
        <w:rPr>
          <w:rStyle w:val="FootnoteReference"/>
          <w:sz w:val="22"/>
          <w:szCs w:val="22"/>
        </w:rPr>
        <w:footnoteRef/>
      </w:r>
      <w:r w:rsidRPr="00A9562F">
        <w:rPr>
          <w:sz w:val="22"/>
          <w:szCs w:val="22"/>
          <w:lang w:val="es-ES"/>
        </w:rPr>
        <w:t xml:space="preserve"> IRC §1014(e)(2)(B).  </w:t>
      </w:r>
    </w:p>
  </w:footnote>
  <w:footnote w:id="230">
    <w:p w14:paraId="49A48485" w14:textId="77777777" w:rsidR="00D53D4F" w:rsidRPr="00A9562F" w:rsidRDefault="00D53D4F" w:rsidP="000949AF">
      <w:pPr>
        <w:pStyle w:val="FootnoteText"/>
        <w:spacing w:after="120"/>
        <w:rPr>
          <w:sz w:val="22"/>
          <w:szCs w:val="22"/>
          <w:lang w:val="es-ES"/>
        </w:rPr>
      </w:pPr>
      <w:r w:rsidRPr="008A4A41">
        <w:rPr>
          <w:rStyle w:val="FootnoteReference"/>
          <w:sz w:val="22"/>
          <w:szCs w:val="22"/>
        </w:rPr>
        <w:footnoteRef/>
      </w:r>
      <w:r w:rsidRPr="00A9562F">
        <w:rPr>
          <w:sz w:val="22"/>
          <w:szCs w:val="22"/>
          <w:lang w:val="es-ES"/>
        </w:rPr>
        <w:t xml:space="preserve"> Treas. Reg. §1.671-2(e): </w:t>
      </w:r>
    </w:p>
    <w:p w14:paraId="477CCA3E" w14:textId="77777777" w:rsidR="00D53D4F" w:rsidRPr="008A4A41" w:rsidRDefault="00D53D4F" w:rsidP="00667959">
      <w:pPr>
        <w:pStyle w:val="FootnoteText"/>
        <w:spacing w:after="120"/>
        <w:ind w:left="720"/>
        <w:rPr>
          <w:sz w:val="22"/>
          <w:szCs w:val="22"/>
        </w:rPr>
      </w:pPr>
      <w:r w:rsidRPr="008A4A41">
        <w:rPr>
          <w:sz w:val="22"/>
          <w:szCs w:val="22"/>
        </w:rPr>
        <w:t>“(1) For purposes of part I of subchapter J, chapter 1 of the Internal Revenue Code, a grantor includes any person to the extent such person either creates a trust, or directly or indirectly makes a gratuitous transfer (within the meaning of paragraph (e)(2) of this section) of property to a trust. ********</w:t>
      </w:r>
    </w:p>
    <w:p w14:paraId="196783E4" w14:textId="77777777" w:rsidR="00D53D4F" w:rsidRPr="008A4A41" w:rsidRDefault="00D53D4F" w:rsidP="00667959">
      <w:pPr>
        <w:pStyle w:val="FootnoteText"/>
        <w:spacing w:after="120"/>
        <w:ind w:left="720"/>
        <w:rPr>
          <w:sz w:val="22"/>
          <w:szCs w:val="22"/>
        </w:rPr>
      </w:pPr>
      <w:r w:rsidRPr="008A4A41">
        <w:rPr>
          <w:sz w:val="22"/>
          <w:szCs w:val="22"/>
        </w:rPr>
        <w:t xml:space="preserve">(2) (i) A gratuitous transfer is any transfer other than a transfer for fair market value. </w:t>
      </w:r>
    </w:p>
    <w:p w14:paraId="333B93BA" w14:textId="77777777" w:rsidR="00D53D4F" w:rsidRPr="008A4A41" w:rsidRDefault="00D53D4F" w:rsidP="00667959">
      <w:pPr>
        <w:pStyle w:val="FootnoteText"/>
        <w:spacing w:after="120"/>
        <w:ind w:left="720"/>
        <w:rPr>
          <w:sz w:val="22"/>
          <w:szCs w:val="22"/>
        </w:rPr>
      </w:pPr>
      <w:r w:rsidRPr="008A4A41">
        <w:rPr>
          <w:sz w:val="22"/>
          <w:szCs w:val="22"/>
        </w:rPr>
        <w:t>****</w:t>
      </w:r>
    </w:p>
    <w:p w14:paraId="0F9F0E81" w14:textId="77777777" w:rsidR="00D53D4F" w:rsidRPr="008A4A41" w:rsidRDefault="00D53D4F" w:rsidP="000949AF">
      <w:pPr>
        <w:pStyle w:val="FootnoteText"/>
        <w:spacing w:after="120"/>
        <w:rPr>
          <w:sz w:val="22"/>
          <w:szCs w:val="22"/>
        </w:rPr>
      </w:pPr>
      <w:r w:rsidRPr="008A4A41">
        <w:rPr>
          <w:sz w:val="22"/>
          <w:szCs w:val="22"/>
        </w:rPr>
        <w:t xml:space="preserve"> (5) If a trust makes a gratuitous transfer of property to another trust, the grantor of the transferor trust generally will be treated as the grantor of the transferee trust. However, if a person with a general power of appointment over the transferor trust exercises that power in favor of another trust, then such person will be treated as the grantor of the transferee trust, even if the grantor of the transferor trust is treated as the owner of the transferor trust under subpart E of part I, subchapter J, chapter 1 of the Internal Revenue Code.”</w:t>
      </w:r>
    </w:p>
  </w:footnote>
  <w:footnote w:id="231">
    <w:p w14:paraId="63FC2CB9" w14:textId="77777777" w:rsidR="00D53D4F" w:rsidRPr="008A4A41" w:rsidRDefault="00D53D4F" w:rsidP="000949AF">
      <w:pPr>
        <w:pStyle w:val="FootnoteText"/>
        <w:spacing w:after="120"/>
        <w:rPr>
          <w:sz w:val="22"/>
          <w:szCs w:val="22"/>
        </w:rPr>
      </w:pPr>
      <w:r w:rsidRPr="008A4A41">
        <w:rPr>
          <w:rStyle w:val="FootnoteReference"/>
          <w:sz w:val="22"/>
          <w:szCs w:val="22"/>
        </w:rPr>
        <w:footnoteRef/>
      </w:r>
      <w:r w:rsidRPr="008A4A41">
        <w:rPr>
          <w:sz w:val="22"/>
          <w:szCs w:val="22"/>
        </w:rPr>
        <w:t xml:space="preserve"> “This rule applies only to the extent that the donor-heir or his spouse is entitled to receive the value of the appreciated property. If the heir or his spouse is only entitled to a portion of the property (e.g., because the property must be used to satisfy debts or administration expenses), the rule applies on a pro-rata basis. Thus, in the above example, if the decedent's estate consisted only of the appreciated property and total estate liabilities were $50, the heir would only be entitled to three-fourths of the appreciated property. Accordingly, the portion of the property to which the donor-heir was not entitled (one-fourth in the example) will receive a stepped-up basis. In such a case, the basis of the appreciated property in the hands of the executor or the heir will be $65 (i.e., one-fourth of $200 (or $50) plus three-fourths of $20 (or $15)).” General Explanation of the Economic Recovery Tax Act of 1981 (H.R. 4242, 97th Congress; Public Law 97-34), Prepared by the Staff of the Joint Committee on Taxation, December 29, 1981, H. Rep. No. 201, 97th Cong., 1st Sess. 188-189 (1981)</w:t>
      </w:r>
    </w:p>
  </w:footnote>
  <w:footnote w:id="232">
    <w:p w14:paraId="5C4CA872" w14:textId="77777777" w:rsidR="00D53D4F" w:rsidRPr="008A4A41" w:rsidRDefault="00D53D4F" w:rsidP="000949AF">
      <w:pPr>
        <w:pStyle w:val="FootnoteText"/>
        <w:spacing w:after="120"/>
        <w:rPr>
          <w:sz w:val="22"/>
          <w:szCs w:val="22"/>
        </w:rPr>
      </w:pPr>
      <w:r w:rsidRPr="008A4A41">
        <w:rPr>
          <w:rStyle w:val="FootnoteReference"/>
          <w:sz w:val="22"/>
          <w:szCs w:val="22"/>
        </w:rPr>
        <w:footnoteRef/>
      </w:r>
      <w:r w:rsidRPr="008A4A41">
        <w:rPr>
          <w:sz w:val="22"/>
          <w:szCs w:val="22"/>
        </w:rPr>
        <w:t xml:space="preserve"> For a recent scathing rebuke of the IRS using substance over form to recast transactions authorized by the law, see </w:t>
      </w:r>
      <w:r w:rsidRPr="008A4A41">
        <w:rPr>
          <w:i/>
          <w:sz w:val="22"/>
          <w:szCs w:val="22"/>
        </w:rPr>
        <w:t>Summa Holdings, Inc. v. Comm'r</w:t>
      </w:r>
      <w:r w:rsidRPr="008A4A41">
        <w:rPr>
          <w:sz w:val="22"/>
          <w:szCs w:val="22"/>
        </w:rPr>
        <w:t>, 2017 U.S. App. LEXIS 2713 (6th Cir. Feb. 16, 2017).</w:t>
      </w:r>
    </w:p>
  </w:footnote>
  <w:footnote w:id="233">
    <w:p w14:paraId="03E70532" w14:textId="77777777" w:rsidR="00D53D4F" w:rsidRPr="008A4A41" w:rsidRDefault="00D53D4F" w:rsidP="000949AF">
      <w:pPr>
        <w:pStyle w:val="FootnoteText"/>
        <w:spacing w:after="120"/>
        <w:rPr>
          <w:sz w:val="22"/>
          <w:szCs w:val="22"/>
        </w:rPr>
      </w:pPr>
      <w:r w:rsidRPr="008A4A41">
        <w:rPr>
          <w:rStyle w:val="FootnoteReference"/>
          <w:sz w:val="22"/>
          <w:szCs w:val="22"/>
        </w:rPr>
        <w:footnoteRef/>
      </w:r>
      <w:r w:rsidRPr="008A4A41">
        <w:rPr>
          <w:sz w:val="22"/>
          <w:szCs w:val="22"/>
        </w:rPr>
        <w:t xml:space="preserve"> </w:t>
      </w:r>
      <w:r w:rsidRPr="008A4A41">
        <w:rPr>
          <w:i/>
          <w:sz w:val="22"/>
          <w:szCs w:val="22"/>
        </w:rPr>
        <w:t>Estate of Kite v. Commissioner</w:t>
      </w:r>
      <w:r w:rsidRPr="008A4A41">
        <w:rPr>
          <w:sz w:val="22"/>
          <w:szCs w:val="22"/>
        </w:rPr>
        <w:t>, T.C. Memo 2013-43, fn 9.</w:t>
      </w:r>
    </w:p>
  </w:footnote>
  <w:footnote w:id="234">
    <w:p w14:paraId="50BEF23B" w14:textId="77777777" w:rsidR="00D53D4F" w:rsidRPr="008A4A41" w:rsidRDefault="00D53D4F" w:rsidP="000949AF">
      <w:pPr>
        <w:pStyle w:val="FootnoteText"/>
        <w:spacing w:after="120"/>
        <w:rPr>
          <w:sz w:val="22"/>
          <w:szCs w:val="22"/>
        </w:rPr>
      </w:pPr>
      <w:r w:rsidRPr="008A4A41">
        <w:rPr>
          <w:rStyle w:val="FootnoteReference"/>
          <w:sz w:val="22"/>
          <w:szCs w:val="22"/>
        </w:rPr>
        <w:footnoteRef/>
      </w:r>
      <w:r w:rsidRPr="008A4A41">
        <w:rPr>
          <w:sz w:val="22"/>
          <w:szCs w:val="22"/>
        </w:rPr>
        <w:t xml:space="preserve"> The IRS ultimately prevailed in part by nixing a private annuity transaction. See </w:t>
      </w:r>
      <w:r w:rsidRPr="008A4A41">
        <w:rPr>
          <w:i/>
          <w:sz w:val="22"/>
          <w:szCs w:val="22"/>
        </w:rPr>
        <w:t>Jeff Pennell on Estate of Kite: Will It Fly?</w:t>
      </w:r>
      <w:r w:rsidRPr="008A4A41">
        <w:rPr>
          <w:sz w:val="22"/>
          <w:szCs w:val="22"/>
        </w:rPr>
        <w:t xml:space="preserve">, LISI Estate Planning Newsletter # 2062 (February 11, 2013), </w:t>
      </w:r>
      <w:r w:rsidRPr="008A4A41">
        <w:rPr>
          <w:i/>
          <w:sz w:val="22"/>
          <w:szCs w:val="22"/>
        </w:rPr>
        <w:t>Steve Akers on Kite</w:t>
      </w:r>
      <w:r w:rsidRPr="008A4A41">
        <w:rPr>
          <w:sz w:val="22"/>
          <w:szCs w:val="22"/>
        </w:rPr>
        <w:t>, LISI Estate Planning Newsletter #2072 (March 5, 2013).</w:t>
      </w:r>
    </w:p>
  </w:footnote>
  <w:footnote w:id="235">
    <w:p w14:paraId="485F9B92" w14:textId="77777777" w:rsidR="00D53D4F" w:rsidRPr="008E20FC" w:rsidRDefault="00D53D4F" w:rsidP="000949AF">
      <w:pPr>
        <w:pStyle w:val="FootnoteText"/>
        <w:spacing w:after="120"/>
        <w:rPr>
          <w:i/>
        </w:rPr>
      </w:pPr>
      <w:r w:rsidRPr="00B80E45">
        <w:rPr>
          <w:rStyle w:val="FootnoteReference"/>
          <w:sz w:val="22"/>
        </w:rPr>
        <w:footnoteRef/>
      </w:r>
      <w:r w:rsidRPr="00B80E45">
        <w:rPr>
          <w:sz w:val="22"/>
        </w:rPr>
        <w:t xml:space="preserve"> See LISI Estate Planning Newsletter #2094, </w:t>
      </w:r>
      <w:r w:rsidRPr="00B80E45">
        <w:rPr>
          <w:i/>
          <w:sz w:val="22"/>
        </w:rPr>
        <w:t>David Handler &amp; the Estate Trust Revival: Maximizing Full Basis Step-Up</w:t>
      </w:r>
      <w:r>
        <w:rPr>
          <w:i/>
          <w:sz w:val="22"/>
        </w:rPr>
        <w:t xml:space="preserve"> </w:t>
      </w:r>
      <w:r w:rsidRPr="00CB6301">
        <w:rPr>
          <w:sz w:val="22"/>
        </w:rPr>
        <w:t>(April 30, 2013)</w:t>
      </w:r>
      <w:r>
        <w:rPr>
          <w:i/>
          <w:sz w:val="22"/>
        </w:rPr>
        <w:t>.</w:t>
      </w:r>
    </w:p>
  </w:footnote>
  <w:footnote w:id="236">
    <w:p w14:paraId="16E01D96" w14:textId="606EA26B" w:rsidR="00D53D4F" w:rsidRPr="00CB6301" w:rsidRDefault="00D53D4F" w:rsidP="000949AF">
      <w:pPr>
        <w:pStyle w:val="FootnoteText"/>
        <w:spacing w:after="120"/>
        <w:rPr>
          <w:sz w:val="22"/>
        </w:rPr>
      </w:pPr>
      <w:r w:rsidRPr="00CB6301">
        <w:rPr>
          <w:rStyle w:val="FootnoteReference"/>
          <w:sz w:val="22"/>
        </w:rPr>
        <w:footnoteRef/>
      </w:r>
      <w:r w:rsidRPr="00CB6301">
        <w:rPr>
          <w:sz w:val="22"/>
        </w:rPr>
        <w:t xml:space="preserve"> Treas. Reg. §25.2511-2(b)</w:t>
      </w:r>
      <w:r w:rsidR="002452BB">
        <w:rPr>
          <w:sz w:val="22"/>
        </w:rPr>
        <w:t>.</w:t>
      </w:r>
    </w:p>
  </w:footnote>
  <w:footnote w:id="237">
    <w:p w14:paraId="2EDBCC66" w14:textId="0F59E001" w:rsidR="00D53D4F" w:rsidRPr="00CB6301" w:rsidRDefault="00D53D4F" w:rsidP="000949AF">
      <w:pPr>
        <w:pStyle w:val="FootnoteText"/>
        <w:spacing w:after="120"/>
        <w:rPr>
          <w:sz w:val="22"/>
        </w:rPr>
      </w:pPr>
      <w:r w:rsidRPr="00CB6301">
        <w:rPr>
          <w:rStyle w:val="FootnoteReference"/>
          <w:sz w:val="22"/>
        </w:rPr>
        <w:footnoteRef/>
      </w:r>
      <w:r w:rsidRPr="00CB6301">
        <w:rPr>
          <w:sz w:val="22"/>
        </w:rPr>
        <w:t xml:space="preserve"> Treas. Reg. §25.2511-2(d)</w:t>
      </w:r>
      <w:r w:rsidR="002452BB">
        <w:rPr>
          <w:sz w:val="22"/>
        </w:rPr>
        <w:t>.</w:t>
      </w:r>
    </w:p>
  </w:footnote>
  <w:footnote w:id="238">
    <w:p w14:paraId="413D34C7" w14:textId="77777777" w:rsidR="00D53D4F" w:rsidRDefault="00D53D4F" w:rsidP="000949AF">
      <w:pPr>
        <w:pStyle w:val="FootnoteText"/>
        <w:spacing w:after="120"/>
      </w:pPr>
      <w:r w:rsidRPr="00CB6301">
        <w:rPr>
          <w:rStyle w:val="FootnoteReference"/>
          <w:sz w:val="22"/>
        </w:rPr>
        <w:footnoteRef/>
      </w:r>
      <w:r w:rsidRPr="00CB6301">
        <w:rPr>
          <w:sz w:val="22"/>
        </w:rPr>
        <w:t xml:space="preserve"> IRC §2038 is broader than garden variety revocable living trusts: “To the extent of any interest therein of which the decedent has at any time made a transfer (except in case of a bona fide sale for an adequate and full consideration in money or money’s worth), by trust or otherwise, where the enjoyment thereof was subject at the date of his death to </w:t>
      </w:r>
      <w:r w:rsidRPr="00CB6301">
        <w:rPr>
          <w:b/>
          <w:sz w:val="22"/>
        </w:rPr>
        <w:t>any change</w:t>
      </w:r>
      <w:r w:rsidRPr="00CB6301">
        <w:rPr>
          <w:sz w:val="22"/>
        </w:rPr>
        <w:t xml:space="preserve"> </w:t>
      </w:r>
      <w:r w:rsidRPr="00CB6301">
        <w:rPr>
          <w:b/>
          <w:sz w:val="22"/>
        </w:rPr>
        <w:t>through the exercise of a power</w:t>
      </w:r>
      <w:r w:rsidRPr="00CB6301">
        <w:rPr>
          <w:sz w:val="22"/>
        </w:rPr>
        <w:t xml:space="preserve"> (in whatever capacity exercisable) by the decedent alone or by the decedent in conjunction with any other person (without regard to when or from what source the decedent acquired such power), </w:t>
      </w:r>
      <w:r w:rsidRPr="00CB6301">
        <w:rPr>
          <w:b/>
          <w:sz w:val="22"/>
        </w:rPr>
        <w:t>to alter</w:t>
      </w:r>
      <w:r w:rsidRPr="00CB6301">
        <w:rPr>
          <w:sz w:val="22"/>
        </w:rPr>
        <w:t xml:space="preserve">, </w:t>
      </w:r>
      <w:r w:rsidRPr="00CB6301">
        <w:rPr>
          <w:b/>
          <w:sz w:val="22"/>
        </w:rPr>
        <w:t>amend</w:t>
      </w:r>
      <w:r w:rsidRPr="00CB6301">
        <w:rPr>
          <w:sz w:val="22"/>
        </w:rPr>
        <w:t>, revoke, or terminate, or where any such power is relinquished during the 3 year period ending on the date of the decedent’s death.  Treas. Reg. §20.2038(a)-1 also makes it clear that mere veto power over distributions or the ability to affect timing can trigger §2038, even if the ultimate gift may be complete: “Section 2038 is applicable to any power affecting the time or manner of enjoyment of property or its income, even though the identity of the beneficiary is not affected. For example, Section 2038 is applicable to a power reserved by the grantor of a trust to accumulate income or distribute it to A, and to distribute corpus to A, even though the remainder is vested in A or his estate, and no other person has any beneficial interest in the trust.”</w:t>
      </w:r>
    </w:p>
  </w:footnote>
  <w:footnote w:id="239">
    <w:p w14:paraId="641E9A52" w14:textId="77777777" w:rsidR="00D53D4F" w:rsidRDefault="00D53D4F" w:rsidP="000949AF">
      <w:pPr>
        <w:pStyle w:val="FootnoteText"/>
        <w:spacing w:after="120"/>
      </w:pPr>
      <w:r w:rsidRPr="00CB6301">
        <w:rPr>
          <w:rStyle w:val="FootnoteReference"/>
          <w:sz w:val="22"/>
        </w:rPr>
        <w:footnoteRef/>
      </w:r>
      <w:r w:rsidRPr="00CB6301">
        <w:rPr>
          <w:sz w:val="22"/>
        </w:rPr>
        <w:t xml:space="preserve"> IRC §2523(f)(5)(A)(i) “such property shall not be includible in the gros</w:t>
      </w:r>
      <w:r>
        <w:rPr>
          <w:sz w:val="22"/>
        </w:rPr>
        <w:t>s estate of the donor spouse”. I</w:t>
      </w:r>
      <w:r w:rsidRPr="00CB6301">
        <w:rPr>
          <w:sz w:val="22"/>
        </w:rPr>
        <w:t>ntervivos marital trusts granting a spouse a GPOA rather than QTIP have a similar clause in §2523(e)(2).</w:t>
      </w:r>
    </w:p>
  </w:footnote>
  <w:footnote w:id="240">
    <w:p w14:paraId="05132870" w14:textId="77777777" w:rsidR="00D53D4F" w:rsidRDefault="00D53D4F" w:rsidP="000949AF">
      <w:pPr>
        <w:pStyle w:val="FootnoteText"/>
        <w:spacing w:after="120"/>
      </w:pPr>
      <w:r w:rsidRPr="00CB6301">
        <w:rPr>
          <w:rStyle w:val="FootnoteReference"/>
          <w:sz w:val="22"/>
        </w:rPr>
        <w:footnoteRef/>
      </w:r>
      <w:r w:rsidRPr="00CB6301">
        <w:rPr>
          <w:sz w:val="22"/>
        </w:rPr>
        <w:t xml:space="preserve"> IRS </w:t>
      </w:r>
      <w:r w:rsidRPr="00CB6301">
        <w:rPr>
          <w:bCs/>
          <w:sz w:val="22"/>
        </w:rPr>
        <w:t>Technical Advice Memorandum (TAM) 2009-07025.</w:t>
      </w:r>
    </w:p>
  </w:footnote>
  <w:footnote w:id="241">
    <w:p w14:paraId="4B0312B3" w14:textId="77777777" w:rsidR="00D53D4F" w:rsidRPr="00CB6301" w:rsidRDefault="00D53D4F" w:rsidP="000949AF">
      <w:pPr>
        <w:pStyle w:val="FootnoteText"/>
        <w:spacing w:after="120"/>
        <w:rPr>
          <w:sz w:val="22"/>
        </w:rPr>
      </w:pPr>
      <w:r w:rsidRPr="00CB6301">
        <w:rPr>
          <w:rStyle w:val="FootnoteReference"/>
          <w:sz w:val="22"/>
        </w:rPr>
        <w:footnoteRef/>
      </w:r>
      <w:r w:rsidRPr="00CB6301">
        <w:rPr>
          <w:sz w:val="22"/>
        </w:rPr>
        <w:t xml:space="preserve"> Portions of this section were published in </w:t>
      </w:r>
      <w:r w:rsidRPr="00CB6301">
        <w:rPr>
          <w:i/>
          <w:sz w:val="22"/>
        </w:rPr>
        <w:t>The Upstream Crummey Optimal Basis Increase Trust</w:t>
      </w:r>
      <w:r w:rsidRPr="00CB6301">
        <w:rPr>
          <w:sz w:val="22"/>
        </w:rPr>
        <w:t>, May 2014 issue of CCH Estate Planning Review</w:t>
      </w:r>
      <w:r>
        <w:rPr>
          <w:sz w:val="22"/>
        </w:rPr>
        <w:t>.</w:t>
      </w:r>
    </w:p>
  </w:footnote>
  <w:footnote w:id="242">
    <w:p w14:paraId="4FF137D7" w14:textId="77777777" w:rsidR="00D53D4F" w:rsidRDefault="00D53D4F" w:rsidP="000949AF">
      <w:pPr>
        <w:pStyle w:val="FootnoteText"/>
        <w:spacing w:after="120"/>
      </w:pPr>
      <w:r w:rsidRPr="00CB6301">
        <w:rPr>
          <w:rStyle w:val="FootnoteReference"/>
          <w:sz w:val="22"/>
        </w:rPr>
        <w:footnoteRef/>
      </w:r>
      <w:r w:rsidRPr="00CB6301">
        <w:rPr>
          <w:sz w:val="22"/>
        </w:rPr>
        <w:t xml:space="preserve"> </w:t>
      </w:r>
      <w:r w:rsidRPr="00CB6301">
        <w:rPr>
          <w:i/>
          <w:sz w:val="22"/>
        </w:rPr>
        <w:t>Dickman v. Commisioner</w:t>
      </w:r>
      <w:r w:rsidRPr="00CB6301">
        <w:rPr>
          <w:sz w:val="22"/>
        </w:rPr>
        <w:t>, 465 US 330, 338 (1984)</w:t>
      </w:r>
    </w:p>
  </w:footnote>
  <w:footnote w:id="243">
    <w:p w14:paraId="73F812A3" w14:textId="77777777" w:rsidR="00D53D4F" w:rsidRDefault="00D53D4F" w:rsidP="000949AF">
      <w:pPr>
        <w:pStyle w:val="FootnoteText"/>
        <w:spacing w:after="120"/>
      </w:pPr>
      <w:r>
        <w:rPr>
          <w:rStyle w:val="FootnoteReference"/>
        </w:rPr>
        <w:footnoteRef/>
      </w:r>
      <w:r>
        <w:t xml:space="preserve"> This technique could certainly be done with other non-depreciable property or use continuing annual </w:t>
      </w:r>
      <w:r w:rsidRPr="001A0F26">
        <w:rPr>
          <w:i/>
        </w:rPr>
        <w:t>Crummey</w:t>
      </w:r>
      <w:r>
        <w:t xml:space="preserve"> gifts, but this article will keep the example stark and simple in order to more easily follow the concepts.</w:t>
      </w:r>
    </w:p>
  </w:footnote>
  <w:footnote w:id="244">
    <w:p w14:paraId="0EEFE7C3" w14:textId="77777777" w:rsidR="00D53D4F" w:rsidRDefault="00D53D4F" w:rsidP="000949AF">
      <w:pPr>
        <w:pStyle w:val="FootnoteText"/>
        <w:spacing w:after="120"/>
      </w:pPr>
      <w:r>
        <w:rPr>
          <w:rStyle w:val="FootnoteReference"/>
        </w:rPr>
        <w:footnoteRef/>
      </w:r>
      <w:r>
        <w:t xml:space="preserve"> Rev. Rul. 85-13, 1985-1 CB 184, most recently followed by IRS in </w:t>
      </w:r>
      <w:r w:rsidRPr="00D60372">
        <w:rPr>
          <w:rFonts w:cs="Calibri"/>
          <w:bCs/>
        </w:rPr>
        <w:t>CCA 2013</w:t>
      </w:r>
      <w:r>
        <w:rPr>
          <w:rFonts w:cs="Calibri"/>
          <w:bCs/>
        </w:rPr>
        <w:t>-</w:t>
      </w:r>
      <w:r w:rsidRPr="00D60372">
        <w:rPr>
          <w:rFonts w:cs="Calibri"/>
          <w:bCs/>
        </w:rPr>
        <w:t>43021</w:t>
      </w:r>
      <w:r>
        <w:t>.</w:t>
      </w:r>
      <w:r w:rsidRPr="003C7937">
        <w:t xml:space="preserve"> </w:t>
      </w:r>
      <w:r>
        <w:t xml:space="preserve">Also, </w:t>
      </w:r>
      <w:r w:rsidRPr="003C7937">
        <w:t>Rev. Rul. 2007-13</w:t>
      </w:r>
    </w:p>
  </w:footnote>
  <w:footnote w:id="245">
    <w:p w14:paraId="249AD0B9" w14:textId="77777777" w:rsidR="00D53D4F" w:rsidRDefault="00D53D4F" w:rsidP="000949AF">
      <w:pPr>
        <w:pStyle w:val="FootnoteText"/>
        <w:spacing w:after="120"/>
      </w:pPr>
      <w:r>
        <w:rPr>
          <w:rStyle w:val="FootnoteReference"/>
        </w:rPr>
        <w:footnoteRef/>
      </w:r>
      <w:r>
        <w:t xml:space="preserve"> The</w:t>
      </w:r>
      <w:r w:rsidRPr="007F2213">
        <w:t xml:space="preserve"> appointive assets subject to the power would typically be capped to </w:t>
      </w:r>
      <w:r>
        <w:t>the powerholder’s</w:t>
      </w:r>
      <w:r w:rsidRPr="007F2213">
        <w:t xml:space="preserve"> available applicable exclusion amount</w:t>
      </w:r>
      <w:r>
        <w:t>, or to the available state estate tax exemption.</w:t>
      </w:r>
    </w:p>
  </w:footnote>
  <w:footnote w:id="246">
    <w:p w14:paraId="62461B7A" w14:textId="77777777" w:rsidR="00D53D4F" w:rsidRPr="00CB6301" w:rsidRDefault="00D53D4F" w:rsidP="000949AF">
      <w:pPr>
        <w:pStyle w:val="FootnoteText"/>
        <w:spacing w:after="120"/>
        <w:rPr>
          <w:sz w:val="22"/>
        </w:rPr>
      </w:pPr>
      <w:r w:rsidRPr="00CB6301">
        <w:rPr>
          <w:rStyle w:val="FootnoteReference"/>
          <w:sz w:val="22"/>
        </w:rPr>
        <w:footnoteRef/>
      </w:r>
      <w:r w:rsidRPr="00CB6301">
        <w:rPr>
          <w:sz w:val="22"/>
        </w:rPr>
        <w:t xml:space="preserve"> </w:t>
      </w:r>
      <w:r w:rsidRPr="00CB6301">
        <w:rPr>
          <w:i/>
          <w:iCs/>
          <w:sz w:val="22"/>
          <w:lang w:val="en"/>
        </w:rPr>
        <w:t>Crane v. Commissioner</w:t>
      </w:r>
      <w:r w:rsidRPr="00CB6301">
        <w:rPr>
          <w:sz w:val="22"/>
          <w:lang w:val="en"/>
        </w:rPr>
        <w:t xml:space="preserve">, 331 U.S. 1 (1947). See also </w:t>
      </w:r>
      <w:hyperlink r:id="rId46" w:history="1">
        <w:r w:rsidRPr="00CB6301">
          <w:rPr>
            <w:rStyle w:val="Hyperlink"/>
            <w:i/>
            <w:sz w:val="22"/>
            <w:lang w:val="en"/>
          </w:rPr>
          <w:t>Tufts v. Comm.</w:t>
        </w:r>
        <w:r w:rsidRPr="00CB6301">
          <w:rPr>
            <w:rStyle w:val="Hyperlink"/>
            <w:sz w:val="22"/>
            <w:lang w:val="en"/>
          </w:rPr>
          <w:t>, 461 U.S. 300</w:t>
        </w:r>
      </w:hyperlink>
      <w:r w:rsidRPr="00CB6301">
        <w:rPr>
          <w:sz w:val="22"/>
          <w:lang w:val="en"/>
        </w:rPr>
        <w:t xml:space="preserve"> (1983).</w:t>
      </w:r>
    </w:p>
  </w:footnote>
  <w:footnote w:id="247">
    <w:p w14:paraId="36990218" w14:textId="77777777" w:rsidR="00D53D4F" w:rsidRPr="00CB6301" w:rsidRDefault="00D53D4F" w:rsidP="000949AF">
      <w:pPr>
        <w:pStyle w:val="FootnoteText"/>
        <w:spacing w:after="120"/>
        <w:rPr>
          <w:sz w:val="22"/>
        </w:rPr>
      </w:pPr>
      <w:r w:rsidRPr="00CB6301">
        <w:rPr>
          <w:rStyle w:val="FootnoteReference"/>
          <w:sz w:val="22"/>
        </w:rPr>
        <w:footnoteRef/>
      </w:r>
      <w:r w:rsidRPr="00CB6301">
        <w:rPr>
          <w:sz w:val="22"/>
        </w:rPr>
        <w:t xml:space="preserve"> IRC §2053.</w:t>
      </w:r>
    </w:p>
  </w:footnote>
  <w:footnote w:id="248">
    <w:p w14:paraId="26F22657" w14:textId="77777777" w:rsidR="00D53D4F" w:rsidRDefault="00D53D4F" w:rsidP="000949AF">
      <w:pPr>
        <w:pStyle w:val="FootnoteText"/>
        <w:spacing w:after="120"/>
      </w:pPr>
      <w:r w:rsidRPr="00CB6301">
        <w:rPr>
          <w:rStyle w:val="FootnoteReference"/>
          <w:sz w:val="22"/>
        </w:rPr>
        <w:footnoteRef/>
      </w:r>
      <w:r w:rsidRPr="00CB6301">
        <w:rPr>
          <w:sz w:val="22"/>
        </w:rPr>
        <w:t xml:space="preserve"> Treas. Reg. §20.2053-7.</w:t>
      </w:r>
    </w:p>
  </w:footnote>
  <w:footnote w:id="249">
    <w:p w14:paraId="32B5A65B" w14:textId="77777777" w:rsidR="00D53D4F" w:rsidRDefault="00D53D4F" w:rsidP="000949AF">
      <w:pPr>
        <w:pStyle w:val="FootnoteText"/>
        <w:spacing w:after="120"/>
      </w:pPr>
      <w:r>
        <w:rPr>
          <w:rStyle w:val="FootnoteReference"/>
        </w:rPr>
        <w:footnoteRef/>
      </w:r>
      <w:r>
        <w:t xml:space="preserve"> See Uniform Commercial Code §8, §9 and good short articles from the law firms of Carlisle, Patchen and Murphy and Spencer Fane on UCC filing differences between securing stock and LLC/LP interests, see </w:t>
      </w:r>
      <w:hyperlink r:id="rId47" w:history="1">
        <w:r w:rsidRPr="00506DCF">
          <w:rPr>
            <w:rStyle w:val="Hyperlink"/>
          </w:rPr>
          <w:t>http://www.cpmlaw.com/NewsDetail/LLC-and-LP-interests</w:t>
        </w:r>
      </w:hyperlink>
      <w:r>
        <w:t xml:space="preserve"> and </w:t>
      </w:r>
      <w:hyperlink r:id="rId48" w:history="1">
        <w:r w:rsidRPr="00506DCF">
          <w:rPr>
            <w:rStyle w:val="Hyperlink"/>
          </w:rPr>
          <w:t>http://www.spencerfane.com/Perfecting-a-Security-Interest-in-a-Limited-Liability-Company-Ownership-Interest--Not-a-Simple-Task-02-06-2013/</w:t>
        </w:r>
      </w:hyperlink>
      <w:r>
        <w:rPr>
          <w:rStyle w:val="Hyperlink"/>
        </w:rPr>
        <w:t>.</w:t>
      </w:r>
    </w:p>
  </w:footnote>
  <w:footnote w:id="250">
    <w:p w14:paraId="7DBBC739" w14:textId="77777777" w:rsidR="00D53D4F" w:rsidRDefault="00D53D4F" w:rsidP="000949AF">
      <w:pPr>
        <w:pStyle w:val="FootnoteText"/>
        <w:spacing w:after="120"/>
      </w:pPr>
      <w:r>
        <w:rPr>
          <w:rStyle w:val="FootnoteReference"/>
        </w:rPr>
        <w:footnoteRef/>
      </w:r>
      <w:r>
        <w:t xml:space="preserve"> Treas. Reg. §1.742-1.</w:t>
      </w:r>
    </w:p>
  </w:footnote>
  <w:footnote w:id="251">
    <w:p w14:paraId="27D6D191" w14:textId="77777777" w:rsidR="00D53D4F" w:rsidRDefault="00D53D4F" w:rsidP="000949AF">
      <w:pPr>
        <w:pStyle w:val="FootnoteText"/>
        <w:spacing w:after="120"/>
      </w:pPr>
      <w:r>
        <w:rPr>
          <w:rStyle w:val="FootnoteReference"/>
        </w:rPr>
        <w:footnoteRef/>
      </w:r>
      <w:r>
        <w:t xml:space="preserve"> IRC §1014(f) added by the </w:t>
      </w:r>
      <w:r w:rsidRPr="00DA0B08">
        <w:t>Surface Transportation and Veterans Health Care Choice Improvement Act of 201</w:t>
      </w:r>
      <w:r>
        <w:t>5.</w:t>
      </w:r>
    </w:p>
  </w:footnote>
  <w:footnote w:id="252">
    <w:p w14:paraId="773264E4" w14:textId="77777777" w:rsidR="00D53D4F" w:rsidRDefault="00D53D4F" w:rsidP="000949AF">
      <w:pPr>
        <w:pStyle w:val="FootnoteText"/>
        <w:spacing w:after="120"/>
      </w:pPr>
      <w:r>
        <w:rPr>
          <w:rStyle w:val="FootnoteReference"/>
        </w:rPr>
        <w:footnoteRef/>
      </w:r>
      <w:r>
        <w:t xml:space="preserve"> Prop. Treas. Reg. §1.1014-10(e), Example 4, available at </w:t>
      </w:r>
      <w:hyperlink r:id="rId49" w:history="1">
        <w:r w:rsidRPr="00546DCD">
          <w:rPr>
            <w:rStyle w:val="Hyperlink"/>
          </w:rPr>
          <w:t>https://s3.amazonaws.com/public-inspection.federalregister.gov/2016-04718.pdf</w:t>
        </w:r>
      </w:hyperlink>
      <w:r>
        <w:t>.</w:t>
      </w:r>
    </w:p>
  </w:footnote>
  <w:footnote w:id="253">
    <w:p w14:paraId="63556807" w14:textId="77777777" w:rsidR="00D53D4F" w:rsidRDefault="00D53D4F" w:rsidP="000949AF">
      <w:pPr>
        <w:pStyle w:val="FootnoteText"/>
        <w:spacing w:after="120"/>
      </w:pPr>
      <w:r>
        <w:rPr>
          <w:rStyle w:val="FootnoteReference"/>
        </w:rPr>
        <w:footnoteRef/>
      </w:r>
      <w:r>
        <w:t xml:space="preserve"> </w:t>
      </w:r>
      <w:r w:rsidRPr="00E92C7C">
        <w:t>Prop. Treas. Reg. §1.1014-10</w:t>
      </w:r>
      <w:r>
        <w:t>(e), Example 1</w:t>
      </w:r>
      <w:r w:rsidRPr="00E92C7C">
        <w:t xml:space="preserve">, available at </w:t>
      </w:r>
      <w:hyperlink r:id="rId50" w:history="1">
        <w:r w:rsidRPr="00E92C7C">
          <w:rPr>
            <w:rStyle w:val="Hyperlink"/>
          </w:rPr>
          <w:t>https://s3.amazonaws.com/public-inspection.federalregister.gov/2016-04718.pdf</w:t>
        </w:r>
      </w:hyperlink>
      <w:r>
        <w:rPr>
          <w:rStyle w:val="Hyperlink"/>
        </w:rPr>
        <w:t>.</w:t>
      </w:r>
      <w:r w:rsidRPr="00E92C7C">
        <w:t xml:space="preserve"> </w:t>
      </w:r>
    </w:p>
  </w:footnote>
  <w:footnote w:id="254">
    <w:p w14:paraId="5E84AF48" w14:textId="77777777" w:rsidR="00D53D4F" w:rsidRDefault="00D53D4F" w:rsidP="000949AF">
      <w:pPr>
        <w:pStyle w:val="FootnoteText"/>
        <w:spacing w:after="120"/>
      </w:pPr>
      <w:r>
        <w:rPr>
          <w:rStyle w:val="FootnoteReference"/>
        </w:rPr>
        <w:footnoteRef/>
      </w:r>
      <w:r>
        <w:t xml:space="preserve"> </w:t>
      </w:r>
      <w:r w:rsidRPr="009833AE">
        <w:t>Prop. Treas. Reg. §1.1014-10</w:t>
      </w:r>
      <w:r>
        <w:t>(a</w:t>
      </w:r>
      <w:r w:rsidRPr="009833AE">
        <w:t>)</w:t>
      </w:r>
      <w:r>
        <w:t>(2)</w:t>
      </w:r>
      <w:r w:rsidRPr="009833AE">
        <w:t xml:space="preserve">, available at </w:t>
      </w:r>
      <w:hyperlink r:id="rId51" w:history="1">
        <w:r w:rsidRPr="009833AE">
          <w:rPr>
            <w:rStyle w:val="Hyperlink"/>
          </w:rPr>
          <w:t>https://s3.amazonaws.com/public-inspection.federalregister.gov/2016-04718.pdf</w:t>
        </w:r>
      </w:hyperlink>
      <w:r>
        <w:rPr>
          <w:rStyle w:val="Hyperlink"/>
        </w:rPr>
        <w:t>.</w:t>
      </w:r>
    </w:p>
  </w:footnote>
  <w:footnote w:id="255">
    <w:p w14:paraId="234535B9" w14:textId="77777777" w:rsidR="00D53D4F" w:rsidRDefault="00D53D4F" w:rsidP="000949AF">
      <w:pPr>
        <w:pStyle w:val="FootnoteText"/>
        <w:spacing w:after="120"/>
      </w:pPr>
      <w:r>
        <w:rPr>
          <w:rStyle w:val="FootnoteReference"/>
        </w:rPr>
        <w:footnoteRef/>
      </w:r>
      <w:r>
        <w:t xml:space="preserve"> A “tontine” is an annuity, insurance or trust arrangement wherein all the benefits go to the last survivor of the pool.  They were quite common hundreds of years ago but more likely encountered by readers today in novels or in episodes of M*A*S*H or The Simpsons.  I do not know if there is a historical precedent for a “reverse” tontine where the first beneficiary-to-die’s estate receives (or at least potentially controls) the spoils rather than the last survivor’s, but that is the concept here.</w:t>
      </w:r>
    </w:p>
  </w:footnote>
  <w:footnote w:id="256">
    <w:p w14:paraId="312AC882" w14:textId="77777777" w:rsidR="00D53D4F" w:rsidRDefault="00D53D4F" w:rsidP="000949AF">
      <w:pPr>
        <w:pStyle w:val="FootnoteText"/>
        <w:spacing w:after="120"/>
      </w:pPr>
      <w:r>
        <w:rPr>
          <w:rStyle w:val="FootnoteReference"/>
        </w:rPr>
        <w:footnoteRef/>
      </w:r>
      <w:r>
        <w:t xml:space="preserve"> Or, maybe not, see discussion in section above concerning the Use of Intervivos QTIP Trusts to avoid §1014(e) – many of the same arguments in that section could equally apply here.</w:t>
      </w:r>
    </w:p>
  </w:footnote>
  <w:footnote w:id="257">
    <w:p w14:paraId="515AF5F2" w14:textId="77777777" w:rsidR="00D53D4F" w:rsidRDefault="00D53D4F" w:rsidP="000949AF">
      <w:pPr>
        <w:pStyle w:val="FootnoteText"/>
        <w:spacing w:after="120"/>
      </w:pPr>
      <w:r>
        <w:rPr>
          <w:rStyle w:val="FootnoteReference"/>
        </w:rPr>
        <w:footnoteRef/>
      </w:r>
      <w:r>
        <w:t xml:space="preserve"> See Part V, and more recent LISI Estate Planning Newsletter #2192, </w:t>
      </w:r>
      <w:r w:rsidRPr="00E04C9F">
        <w:rPr>
          <w:bCs/>
          <w:i/>
        </w:rPr>
        <w:t>Jeff Scroggin: Understanding Section 1014(e) &amp; Tax Basis Planning,</w:t>
      </w:r>
      <w:r>
        <w:rPr>
          <w:bCs/>
          <w:i/>
        </w:rPr>
        <w:t xml:space="preserve"> </w:t>
      </w:r>
      <w:r w:rsidRPr="00E04C9F">
        <w:rPr>
          <w:bCs/>
        </w:rPr>
        <w:t>and</w:t>
      </w:r>
      <w:r w:rsidRPr="00E04C9F">
        <w:rPr>
          <w:bCs/>
          <w:i/>
        </w:rPr>
        <w:t xml:space="preserve"> LISI </w:t>
      </w:r>
      <w:r>
        <w:rPr>
          <w:bCs/>
          <w:i/>
        </w:rPr>
        <w:t xml:space="preserve">Estate Planning Newsletter </w:t>
      </w:r>
      <w:r w:rsidRPr="00E04C9F">
        <w:rPr>
          <w:bCs/>
          <w:i/>
        </w:rPr>
        <w:t xml:space="preserve">#2194, Jeff Scroggin &amp; Michael Burns on Tax Basis Planning: The Basics, LISI </w:t>
      </w:r>
      <w:r>
        <w:rPr>
          <w:bCs/>
          <w:i/>
        </w:rPr>
        <w:t xml:space="preserve">Estate Planning Newsletter </w:t>
      </w:r>
      <w:r w:rsidRPr="00E04C9F">
        <w:rPr>
          <w:bCs/>
          <w:i/>
        </w:rPr>
        <w:t>#2203, Alan Gassman, Christopher Denicolo and Ed Morrow Response to Jeff Scroggin’s Commentary</w:t>
      </w:r>
      <w:r>
        <w:rPr>
          <w:bCs/>
          <w:i/>
        </w:rPr>
        <w:t>.</w:t>
      </w:r>
    </w:p>
  </w:footnote>
  <w:footnote w:id="258">
    <w:p w14:paraId="299A3323" w14:textId="77777777" w:rsidR="00D53D4F" w:rsidRDefault="00D53D4F" w:rsidP="000949AF">
      <w:pPr>
        <w:pStyle w:val="FootnoteText"/>
        <w:spacing w:after="120"/>
      </w:pPr>
      <w:r>
        <w:rPr>
          <w:rStyle w:val="FootnoteReference"/>
        </w:rPr>
        <w:footnoteRef/>
      </w:r>
      <w:r>
        <w:t xml:space="preserve"> Treas. Reg</w:t>
      </w:r>
      <w:r w:rsidRPr="005F5E7E">
        <w:t xml:space="preserve">. </w:t>
      </w:r>
      <w:r>
        <w:t>§</w:t>
      </w:r>
      <w:r w:rsidRPr="005F5E7E">
        <w:t>1.1001-2, ex. 5</w:t>
      </w:r>
      <w:r>
        <w:t>.</w:t>
      </w:r>
    </w:p>
  </w:footnote>
  <w:footnote w:id="259">
    <w:p w14:paraId="1BA8809C" w14:textId="77777777" w:rsidR="00D53D4F" w:rsidRDefault="00D53D4F" w:rsidP="000949AF">
      <w:pPr>
        <w:pStyle w:val="FootnoteText"/>
        <w:spacing w:after="120"/>
      </w:pPr>
      <w:r>
        <w:rPr>
          <w:rStyle w:val="FootnoteReference"/>
        </w:rPr>
        <w:footnoteRef/>
      </w:r>
      <w:r>
        <w:t xml:space="preserve"> </w:t>
      </w:r>
      <w:r w:rsidRPr="00C72FE8">
        <w:t xml:space="preserve">To mitigate against that event, John might purchase life insurance and of course, if John becomes terminally ill or death is not sudden, he or his agent under a power of attorney would repurchase the assets before his death and cancel the note, substituting cash or even </w:t>
      </w:r>
      <w:r>
        <w:t xml:space="preserve">better, </w:t>
      </w:r>
      <w:r w:rsidRPr="00C72FE8">
        <w:t>assets</w:t>
      </w:r>
      <w:r>
        <w:t xml:space="preserve"> otherwise destined to be in his estate with higher basis than fair market value</w:t>
      </w:r>
      <w:r w:rsidRPr="00C72FE8">
        <w:t>.</w:t>
      </w:r>
      <w:r>
        <w:t xml:space="preserve"> But the</w:t>
      </w:r>
      <w:r w:rsidRPr="00C72FE8">
        <w:t xml:space="preserve"> odds</w:t>
      </w:r>
      <w:r>
        <w:t xml:space="preserve"> of John suddenly dying before the other three without warning</w:t>
      </w:r>
      <w:r w:rsidRPr="00C72FE8">
        <w:t xml:space="preserve"> are </w:t>
      </w:r>
      <w:r>
        <w:t>extremely</w:t>
      </w:r>
      <w:r w:rsidRPr="00C72FE8">
        <w:t xml:space="preserve"> slim.</w:t>
      </w:r>
    </w:p>
  </w:footnote>
  <w:footnote w:id="260">
    <w:p w14:paraId="2A5AB1AC" w14:textId="77777777" w:rsidR="00D53D4F" w:rsidRDefault="00D53D4F" w:rsidP="000949AF">
      <w:pPr>
        <w:pStyle w:val="FootnoteText"/>
        <w:spacing w:after="120"/>
      </w:pPr>
      <w:r>
        <w:rPr>
          <w:rStyle w:val="FootnoteReference"/>
        </w:rPr>
        <w:footnoteRef/>
      </w:r>
      <w:r>
        <w:t xml:space="preserve"> This ability should not compromise the asset protection or completed gift status of the initial gift. </w:t>
      </w:r>
    </w:p>
  </w:footnote>
  <w:footnote w:id="261">
    <w:p w14:paraId="745ED485" w14:textId="77777777" w:rsidR="00D53D4F" w:rsidRDefault="00D53D4F" w:rsidP="000949AF">
      <w:pPr>
        <w:pStyle w:val="FootnoteText"/>
        <w:spacing w:after="120"/>
      </w:pPr>
      <w:r>
        <w:rPr>
          <w:rStyle w:val="FootnoteReference"/>
        </w:rPr>
        <w:footnoteRef/>
      </w:r>
      <w:r>
        <w:t xml:space="preserve"> Provided John and Jane are still married, this does not necessarily cancel the note or transaction for state property law, but Code Sec. 1041 expressly ignores sales/exchanges between spouses, which would of course include grantor trusts as to spouses as well, per Rev. Rul. 85-13.  IRC §1041 is not exactly the same as Rev. Rul. 85-13, however – the sale/exchange is ignored, but not necessarily the interest payments.  See </w:t>
      </w:r>
      <w:r w:rsidRPr="00B66581">
        <w:rPr>
          <w:i/>
        </w:rPr>
        <w:t>Gibbs v. Commissioner</w:t>
      </w:r>
      <w:r>
        <w:t>, T.C. Memo 1997-196 (T.C. 1997).  However, this could very easily be fixed by later gift or sale.</w:t>
      </w:r>
    </w:p>
  </w:footnote>
  <w:footnote w:id="262">
    <w:p w14:paraId="750BE5A1" w14:textId="77777777" w:rsidR="00D53D4F" w:rsidRPr="000C711D" w:rsidRDefault="00D53D4F" w:rsidP="000949AF">
      <w:pPr>
        <w:pStyle w:val="FootnoteText"/>
        <w:spacing w:after="120"/>
      </w:pPr>
      <w:r>
        <w:rPr>
          <w:rStyle w:val="FootnoteReference"/>
        </w:rPr>
        <w:footnoteRef/>
      </w:r>
      <w:r>
        <w:t xml:space="preserve"> See Reg. §1.671-2</w:t>
      </w:r>
      <w:r w:rsidRPr="000C711D">
        <w:t>(e)</w:t>
      </w:r>
      <w:r>
        <w:t>:</w:t>
      </w:r>
      <w:r w:rsidRPr="000C711D">
        <w:t xml:space="preserve"> </w:t>
      </w:r>
    </w:p>
    <w:p w14:paraId="6475404E" w14:textId="77777777" w:rsidR="00D53D4F" w:rsidRDefault="00D53D4F" w:rsidP="00CB6301">
      <w:pPr>
        <w:pStyle w:val="FootnoteText"/>
        <w:spacing w:after="120"/>
        <w:ind w:left="360"/>
        <w:rPr>
          <w:rFonts w:ascii="Lucida Sans Unicode" w:hAnsi="Lucida Sans Unicode" w:cs="Lucida Sans Unicode"/>
          <w:color w:val="000000"/>
          <w:sz w:val="22"/>
          <w:szCs w:val="22"/>
        </w:rPr>
      </w:pPr>
      <w:r w:rsidRPr="000C711D">
        <w:t xml:space="preserve">(1) For purposes of part I of subchapter J, chapter 1 of the Internal Revenue Code, a grantor includes any person to the extent such person either creates a trust, or directly </w:t>
      </w:r>
      <w:r w:rsidRPr="005E1105">
        <w:rPr>
          <w:b/>
          <w:i/>
        </w:rPr>
        <w:t>or indirectly</w:t>
      </w:r>
      <w:r w:rsidRPr="000C711D">
        <w:t xml:space="preserve"> makes a </w:t>
      </w:r>
      <w:r>
        <w:t xml:space="preserve">gratuitous transfer (within the </w:t>
      </w:r>
      <w:r w:rsidRPr="000C711D">
        <w:t>meaning of paragraph (e)(2) of this section) of property to a trust.</w:t>
      </w:r>
      <w:r w:rsidRPr="000C711D">
        <w:rPr>
          <w:rFonts w:ascii="Lucida Sans Unicode" w:hAnsi="Lucida Sans Unicode" w:cs="Lucida Sans Unicode"/>
          <w:color w:val="000000"/>
          <w:sz w:val="22"/>
          <w:szCs w:val="22"/>
        </w:rPr>
        <w:t xml:space="preserve"> </w:t>
      </w:r>
      <w:r>
        <w:rPr>
          <w:rFonts w:ascii="Lucida Sans Unicode" w:hAnsi="Lucida Sans Unicode" w:cs="Lucida Sans Unicode"/>
          <w:color w:val="000000"/>
          <w:sz w:val="22"/>
          <w:szCs w:val="22"/>
        </w:rPr>
        <w:t>********</w:t>
      </w:r>
    </w:p>
    <w:p w14:paraId="0130E30E" w14:textId="77777777" w:rsidR="00D53D4F" w:rsidRDefault="00D53D4F" w:rsidP="00CB6301">
      <w:pPr>
        <w:pStyle w:val="FootnoteText"/>
        <w:spacing w:after="120"/>
        <w:ind w:left="360"/>
      </w:pPr>
      <w:bookmarkStart w:id="5" w:name="e_2"/>
      <w:bookmarkEnd w:id="5"/>
      <w:r w:rsidRPr="006249C3">
        <w:rPr>
          <w:b/>
          <w:bCs/>
        </w:rPr>
        <w:t>(2)</w:t>
      </w:r>
      <w:r w:rsidRPr="006249C3">
        <w:t xml:space="preserve"> </w:t>
      </w:r>
      <w:bookmarkStart w:id="6" w:name="e_2_i"/>
      <w:bookmarkEnd w:id="6"/>
      <w:r w:rsidRPr="006249C3">
        <w:rPr>
          <w:b/>
          <w:bCs/>
        </w:rPr>
        <w:t>(i)</w:t>
      </w:r>
      <w:r w:rsidRPr="006249C3">
        <w:t xml:space="preserve"> A gratuitous transfer is any transfer other than a transfer for fair market value. </w:t>
      </w:r>
    </w:p>
    <w:p w14:paraId="4B834715" w14:textId="77777777" w:rsidR="00D53D4F" w:rsidRPr="006249C3" w:rsidRDefault="00D53D4F" w:rsidP="00CB6301">
      <w:pPr>
        <w:pStyle w:val="FootnoteText"/>
        <w:spacing w:after="120"/>
        <w:ind w:left="360"/>
      </w:pPr>
      <w:r>
        <w:t>****</w:t>
      </w:r>
    </w:p>
    <w:p w14:paraId="064AD6E9" w14:textId="77777777" w:rsidR="00D53D4F" w:rsidRDefault="00D53D4F" w:rsidP="00CB6301">
      <w:pPr>
        <w:pStyle w:val="FootnoteText"/>
        <w:spacing w:after="120"/>
        <w:ind w:left="360"/>
      </w:pPr>
      <w:r w:rsidRPr="006249C3">
        <w:t xml:space="preserve"> </w:t>
      </w:r>
      <w:r w:rsidRPr="000C711D">
        <w:t xml:space="preserve">(5) If a trust makes a gratuitous transfer of property to another trust, the grantor of the transferor trust generally will be treated as the grantor of the transferee trust. However, if a person with a </w:t>
      </w:r>
      <w:r w:rsidRPr="005E1105">
        <w:rPr>
          <w:b/>
          <w:i/>
        </w:rPr>
        <w:t>general</w:t>
      </w:r>
      <w:r w:rsidRPr="000C711D">
        <w:t xml:space="preserve"> power of appointment over the transferor trust </w:t>
      </w:r>
      <w:r w:rsidRPr="00A258CB">
        <w:rPr>
          <w:b/>
        </w:rPr>
        <w:t>exercises</w:t>
      </w:r>
      <w:r w:rsidRPr="000C711D">
        <w:t xml:space="preserve"> that power in favor of another trust, </w:t>
      </w:r>
      <w:r w:rsidRPr="00A258CB">
        <w:rPr>
          <w:i/>
        </w:rPr>
        <w:t>then such person will be treated as the grantor of the transferee trust</w:t>
      </w:r>
      <w:r w:rsidRPr="000C711D">
        <w:t>, even if the grantor of the transferor trust is treated as the owner of the transferor trust under subpart E of part I, subchapter J, chapter 1 of the Internal Revenue Code.</w:t>
      </w:r>
    </w:p>
    <w:p w14:paraId="00236544" w14:textId="77777777" w:rsidR="00D53D4F" w:rsidRDefault="00D53D4F" w:rsidP="00CB6301">
      <w:pPr>
        <w:pStyle w:val="FootnoteText"/>
        <w:spacing w:after="120"/>
        <w:ind w:left="360"/>
      </w:pPr>
      <w:r>
        <w:t>****</w:t>
      </w:r>
    </w:p>
    <w:p w14:paraId="68F09327" w14:textId="77777777" w:rsidR="00D53D4F" w:rsidRPr="00016A09" w:rsidRDefault="00D53D4F" w:rsidP="00CB6301">
      <w:pPr>
        <w:pStyle w:val="FootnoteText"/>
        <w:spacing w:after="120"/>
        <w:ind w:left="360"/>
        <w:rPr>
          <w:b/>
          <w:bCs/>
        </w:rPr>
      </w:pPr>
      <w:r w:rsidRPr="00016A09">
        <w:rPr>
          <w:b/>
          <w:bCs/>
        </w:rPr>
        <w:t>Example 9.</w:t>
      </w:r>
    </w:p>
    <w:p w14:paraId="704A3AE0" w14:textId="77777777" w:rsidR="00D53D4F" w:rsidRDefault="00D53D4F" w:rsidP="00CB6301">
      <w:pPr>
        <w:pStyle w:val="FootnoteText"/>
        <w:spacing w:after="120"/>
        <w:ind w:left="360"/>
      </w:pPr>
      <w:r w:rsidRPr="00016A09">
        <w:t>G creates and funds a trust, T1, for the benefit of B. G retains a power to revest the assets of T1 in G within the meaning of section 676. Under the trust agreement, B is given a general power of appointment over the assets of T1. B exercises the general power of appointment with respect to one-half of the corpus of T1 in favor of a trust, T2, that is for the benefit of C, B's child. Under paragraph (e)(1) of this section, G is the grantor of T1, and under paragraphs (e)(1) and (5) of this section, B is the grantor of T2.</w:t>
      </w:r>
    </w:p>
  </w:footnote>
  <w:footnote w:id="263">
    <w:p w14:paraId="6AC18754" w14:textId="77777777" w:rsidR="00D53D4F" w:rsidRDefault="00D53D4F" w:rsidP="000949AF">
      <w:pPr>
        <w:pStyle w:val="FootnoteText"/>
        <w:spacing w:after="120"/>
      </w:pPr>
      <w:r>
        <w:rPr>
          <w:rStyle w:val="FootnoteReference"/>
        </w:rPr>
        <w:footnoteRef/>
      </w:r>
      <w:r>
        <w:t xml:space="preserve"> Reg. §1.671-2(e)(5), above.</w:t>
      </w:r>
    </w:p>
  </w:footnote>
  <w:footnote w:id="264">
    <w:p w14:paraId="1D718758" w14:textId="77777777" w:rsidR="00D53D4F" w:rsidRDefault="00D53D4F" w:rsidP="000949AF">
      <w:pPr>
        <w:pStyle w:val="FootnoteText"/>
        <w:spacing w:after="120"/>
      </w:pPr>
      <w:r>
        <w:rPr>
          <w:rStyle w:val="FootnoteReference"/>
        </w:rPr>
        <w:footnoteRef/>
      </w:r>
      <w:r>
        <w:t xml:space="preserve"> </w:t>
      </w:r>
      <w:r w:rsidRPr="00D629FE">
        <w:rPr>
          <w:i/>
        </w:rPr>
        <w:t>Restat. 3d of Trusts</w:t>
      </w:r>
      <w:r w:rsidRPr="00527275">
        <w:t>, § 58, Comment f</w:t>
      </w:r>
      <w:r>
        <w:t>.</w:t>
      </w:r>
    </w:p>
  </w:footnote>
  <w:footnote w:id="265">
    <w:p w14:paraId="27620F0A" w14:textId="77777777" w:rsidR="00D53D4F" w:rsidRDefault="00D53D4F" w:rsidP="000949AF">
      <w:pPr>
        <w:pStyle w:val="FootnoteText"/>
        <w:spacing w:after="120"/>
      </w:pPr>
      <w:r>
        <w:rPr>
          <w:rStyle w:val="FootnoteReference"/>
        </w:rPr>
        <w:footnoteRef/>
      </w:r>
      <w:r>
        <w:t xml:space="preserve"> See extensive state by state chart in the appendix outlining state law creditor protection aspects of lapses of general powers of appointment (withdrawal), including citations to common law.</w:t>
      </w:r>
    </w:p>
  </w:footnote>
  <w:footnote w:id="266">
    <w:p w14:paraId="77E7C4D3" w14:textId="77777777" w:rsidR="00D53D4F" w:rsidRDefault="00D53D4F" w:rsidP="000949AF">
      <w:pPr>
        <w:pStyle w:val="FootnoteText"/>
        <w:spacing w:after="120"/>
      </w:pPr>
      <w:r>
        <w:rPr>
          <w:rStyle w:val="FootnoteReference"/>
        </w:rPr>
        <w:footnoteRef/>
      </w:r>
      <w:r>
        <w:t xml:space="preserve"> Many states, such as Maine, tax based in large part on the residency of the settlor.  Since the exercise of a GPOA (unlike an LPOA) would likely create a new Settlor/grantor for state trust and tax law as well as federal tax law, if the powerholder is a resident of another state this may help avoid state income taxes, or even, in the case of New York, where the powerholder was a resident, since NY’s anti-DING legislation would no longer apply.  To examine whether exercise the testamentary general power of appointment is beneficial requires examination of state income tax law of the settlor, power holder as well as the intended remainder/appointee beneficiaries.</w:t>
      </w:r>
    </w:p>
  </w:footnote>
  <w:footnote w:id="267">
    <w:p w14:paraId="1176DCD3" w14:textId="77777777" w:rsidR="00D53D4F" w:rsidRDefault="00D53D4F" w:rsidP="000949AF">
      <w:pPr>
        <w:pStyle w:val="FootnoteText"/>
        <w:spacing w:after="120"/>
      </w:pPr>
      <w:r>
        <w:rPr>
          <w:rStyle w:val="FootnoteReference"/>
        </w:rPr>
        <w:footnoteRef/>
      </w:r>
      <w:r>
        <w:t xml:space="preserve"> </w:t>
      </w:r>
      <w:r w:rsidRPr="006F6994">
        <w:rPr>
          <w:rStyle w:val="Emphasis"/>
          <w:szCs w:val="21"/>
          <w:lang w:val="en"/>
        </w:rPr>
        <w:t>Madorin v. Commissioner</w:t>
      </w:r>
      <w:r>
        <w:rPr>
          <w:szCs w:val="21"/>
          <w:lang w:val="en"/>
        </w:rPr>
        <w:t>, 84 T.C. 667 (1985); Treas.</w:t>
      </w:r>
      <w:r w:rsidRPr="006F6994">
        <w:rPr>
          <w:szCs w:val="21"/>
          <w:lang w:val="en"/>
        </w:rPr>
        <w:t xml:space="preserve"> Reg</w:t>
      </w:r>
      <w:r>
        <w:rPr>
          <w:szCs w:val="21"/>
          <w:lang w:val="en"/>
        </w:rPr>
        <w:t>.</w:t>
      </w:r>
      <w:r w:rsidRPr="006F6994">
        <w:rPr>
          <w:szCs w:val="21"/>
          <w:lang w:val="en"/>
        </w:rPr>
        <w:t xml:space="preserve"> </w:t>
      </w:r>
      <w:r>
        <w:rPr>
          <w:szCs w:val="21"/>
          <w:lang w:val="en"/>
        </w:rPr>
        <w:t>§</w:t>
      </w:r>
      <w:r w:rsidRPr="006F6994">
        <w:rPr>
          <w:szCs w:val="21"/>
          <w:lang w:val="en"/>
        </w:rPr>
        <w:t xml:space="preserve"> 1.1001-2(c), Ex. (5); Rev. Rul. 77-402. Each of these authorities involves debt relief as consideration paid.</w:t>
      </w:r>
    </w:p>
  </w:footnote>
  <w:footnote w:id="268">
    <w:p w14:paraId="18023C08" w14:textId="77777777" w:rsidR="00D53D4F" w:rsidRDefault="00D53D4F" w:rsidP="000949AF">
      <w:pPr>
        <w:pStyle w:val="FootnoteText"/>
        <w:spacing w:after="120"/>
      </w:pPr>
      <w:r>
        <w:rPr>
          <w:rStyle w:val="FootnoteReference"/>
        </w:rPr>
        <w:footnoteRef/>
      </w:r>
      <w:r>
        <w:t xml:space="preserve"> Rev. Rul. 85-13, 1985-1 CB 184.  Rev. Rul. 2007-13</w:t>
      </w:r>
    </w:p>
  </w:footnote>
  <w:footnote w:id="269">
    <w:p w14:paraId="28C5CD48" w14:textId="77777777" w:rsidR="00D53D4F" w:rsidRDefault="00D53D4F" w:rsidP="000949AF">
      <w:pPr>
        <w:pStyle w:val="FootnoteText"/>
        <w:spacing w:after="120"/>
      </w:pPr>
      <w:r>
        <w:rPr>
          <w:rStyle w:val="FootnoteReference"/>
        </w:rPr>
        <w:footnoteRef/>
      </w:r>
      <w:r>
        <w:t xml:space="preserve"> PLR </w:t>
      </w:r>
      <w:r w:rsidRPr="00C37E2C">
        <w:t>9109027</w:t>
      </w:r>
      <w:r>
        <w:t xml:space="preserve">, citing </w:t>
      </w:r>
      <w:r w:rsidRPr="00D50E3C">
        <w:rPr>
          <w:i/>
        </w:rPr>
        <w:t>Post v. Commissioner</w:t>
      </w:r>
      <w:r w:rsidRPr="00D50E3C">
        <w:t>, 26 T.C. 1055 (T.C. 1956)</w:t>
      </w:r>
      <w:r>
        <w:t xml:space="preserve"> and §1015 regulations for the proposition that §1015 basis rules regarding gifts still apply even though the initial donor and donee were initially the same taxpayer for income tax purposes (a grantor trust).  However, the PLR did not rule on whether the basis was increased by gift tax paid </w:t>
      </w:r>
      <w:r w:rsidRPr="00501793">
        <w:rPr>
          <w:i/>
        </w:rPr>
        <w:t>immediately</w:t>
      </w:r>
      <w:r>
        <w:t xml:space="preserve">, since it was only asked to rule on basis increase in the eventual hands of the remaindermen after grantor trust status ended (which it did approve).  It implied that the basis should increase immediately after the gift by declaring (citing </w:t>
      </w:r>
      <w:r w:rsidRPr="00937AAB">
        <w:rPr>
          <w:i/>
        </w:rPr>
        <w:t>Post</w:t>
      </w:r>
      <w:r>
        <w:t xml:space="preserve">) that the date of the gift for </w:t>
      </w:r>
      <w:r w:rsidRPr="00501793">
        <w:rPr>
          <w:b/>
          <w:i/>
        </w:rPr>
        <w:t>income</w:t>
      </w:r>
      <w:r>
        <w:t xml:space="preserve"> tax purposes to be the creation of the trust rather than the later vesting in remaindermen (despite the fact that the taxpayer did not change until then for income tax purposes).  However, the ruling stopped short of so declaring. </w:t>
      </w:r>
    </w:p>
  </w:footnote>
  <w:footnote w:id="270">
    <w:p w14:paraId="47611CD8" w14:textId="77777777" w:rsidR="00D53D4F" w:rsidRDefault="00D53D4F" w:rsidP="000949AF">
      <w:pPr>
        <w:pStyle w:val="FootnoteText"/>
        <w:spacing w:after="120"/>
      </w:pPr>
      <w:r>
        <w:rPr>
          <w:rStyle w:val="FootnoteReference"/>
        </w:rPr>
        <w:footnoteRef/>
      </w:r>
      <w:r>
        <w:t xml:space="preserve"> Code Sec. 1014(b)</w:t>
      </w:r>
      <w:r w:rsidRPr="003607D2">
        <w:rPr>
          <w:bCs/>
        </w:rPr>
        <w:t>(9)</w:t>
      </w:r>
      <w:r>
        <w:rPr>
          <w:bCs/>
        </w:rPr>
        <w:t>:</w:t>
      </w:r>
      <w:r w:rsidRPr="003607D2">
        <w:t xml:space="preserve"> </w:t>
      </w:r>
      <w:r>
        <w:t>“</w:t>
      </w:r>
      <w:r w:rsidRPr="003607D2">
        <w:t xml:space="preserve">In the case of decedents dying after December 31, 1953, property acquired from the decedent by reason of death, form of ownership, or other conditions (including property acquired through the exercise </w:t>
      </w:r>
      <w:r w:rsidRPr="00234384">
        <w:rPr>
          <w:b/>
          <w:i/>
        </w:rPr>
        <w:t>or non-exercise</w:t>
      </w:r>
      <w:r w:rsidRPr="003607D2">
        <w:t xml:space="preserve"> of a power of appointment), if by reason thereof the property is required to be included in determining the value of the decedent’s gross estate under chapter 11 of subtitle B or under the Internal Revenue Code of 1939. In such case, if the property is acquired before the death of the decedent, the basis shall be the amount determined under subsection (a) reduced by the amount allowed to the taxpayer as deductions in computing taxable income under this subtitle or prior income tax laws for exhaustion, wear and tear, obsolescence, amortization, and depletion on such property before the death of the decedent.</w:t>
      </w:r>
      <w:r>
        <w:t xml:space="preserve">”  See also </w:t>
      </w:r>
      <w:r w:rsidRPr="00234384">
        <w:t>Treas. Reg.</w:t>
      </w:r>
      <w:r>
        <w:t xml:space="preserve"> §</w:t>
      </w:r>
      <w:r w:rsidRPr="00234384">
        <w:t>1.1014-2(a)(4). Treas. Reg.</w:t>
      </w:r>
      <w:r>
        <w:t xml:space="preserve"> §1.1014-2(b), Treas. Reg. §1.1014-6(a)(3).</w:t>
      </w:r>
    </w:p>
  </w:footnote>
  <w:footnote w:id="271">
    <w:p w14:paraId="739C7490" w14:textId="77777777" w:rsidR="00D53D4F" w:rsidRDefault="00D53D4F" w:rsidP="000949AF">
      <w:pPr>
        <w:pStyle w:val="FootnoteText"/>
        <w:spacing w:after="120"/>
      </w:pPr>
      <w:r>
        <w:rPr>
          <w:rStyle w:val="FootnoteReference"/>
        </w:rPr>
        <w:footnoteRef/>
      </w:r>
      <w:r>
        <w:t xml:space="preserve"> Treas. Reg. §1.1014-6(a)(1).</w:t>
      </w:r>
    </w:p>
  </w:footnote>
  <w:footnote w:id="272">
    <w:p w14:paraId="5430C04E" w14:textId="77777777" w:rsidR="00D53D4F" w:rsidRDefault="00D53D4F" w:rsidP="00AE6800">
      <w:pPr>
        <w:pStyle w:val="FootnoteText"/>
        <w:spacing w:after="120"/>
      </w:pPr>
      <w:r>
        <w:rPr>
          <w:rStyle w:val="FootnoteReference"/>
        </w:rPr>
        <w:footnoteRef/>
      </w:r>
      <w:r>
        <w:t xml:space="preserve"> Code Sec. 1014(b)(4)</w:t>
      </w:r>
      <w:bookmarkStart w:id="7" w:name="b_4"/>
      <w:bookmarkEnd w:id="7"/>
      <w:r>
        <w:rPr>
          <w:rFonts w:ascii="Lucida Sans Unicode" w:hAnsi="Lucida Sans Unicode" w:cs="Lucida Sans Unicode"/>
          <w:b/>
          <w:bCs/>
          <w:sz w:val="21"/>
          <w:szCs w:val="21"/>
        </w:rPr>
        <w:t xml:space="preserve">: </w:t>
      </w:r>
      <w:r w:rsidRPr="00054D89">
        <w:rPr>
          <w:rFonts w:ascii="Lucida Sans Unicode" w:hAnsi="Lucida Sans Unicode" w:cs="Lucida Sans Unicode"/>
          <w:bCs/>
          <w:sz w:val="21"/>
          <w:szCs w:val="21"/>
        </w:rPr>
        <w:t>“</w:t>
      </w:r>
      <w:r w:rsidRPr="006F1D5F">
        <w:t xml:space="preserve">Property passing without full and adequate consideration under a general power of </w:t>
      </w:r>
      <w:r>
        <w:t>a</w:t>
      </w:r>
      <w:r w:rsidRPr="006F1D5F">
        <w:t>ppointment exercised by the decedent by will;</w:t>
      </w:r>
      <w:r>
        <w:t>”.  There is no reduction for prior depreciation as in (b)(9).</w:t>
      </w:r>
    </w:p>
  </w:footnote>
  <w:footnote w:id="273">
    <w:p w14:paraId="6D4E643F" w14:textId="77777777" w:rsidR="00D53D4F" w:rsidRDefault="00D53D4F" w:rsidP="00AE6800">
      <w:pPr>
        <w:pStyle w:val="FootnoteText"/>
        <w:spacing w:after="120"/>
      </w:pPr>
      <w:r>
        <w:rPr>
          <w:rStyle w:val="FootnoteReference"/>
        </w:rPr>
        <w:footnoteRef/>
      </w:r>
      <w:r>
        <w:t xml:space="preserve"> If a power holder simply appoints to the exact same party that would have taken by default in absence of appointment, the appointment is deemed not to have been exercised and the assets pass by default.  See Restatement Third of Property, Donative Transfers, §19.26, also Uniform Power of Appointment Act, §313.</w:t>
      </w:r>
    </w:p>
  </w:footnote>
  <w:footnote w:id="274">
    <w:p w14:paraId="7368C503" w14:textId="77777777" w:rsidR="00D53D4F" w:rsidRDefault="00D53D4F" w:rsidP="00AE6800">
      <w:pPr>
        <w:pStyle w:val="FootnoteText"/>
        <w:spacing w:after="120"/>
      </w:pPr>
      <w:r>
        <w:rPr>
          <w:rStyle w:val="FootnoteReference"/>
        </w:rPr>
        <w:footnoteRef/>
      </w:r>
      <w:r>
        <w:t xml:space="preserve">  Testamentary general powers may or may not be subject to a powerholder’s estate’s creditors. Contrary to a popular myth, third-party created testamentary GPOAs and LPOAs are generally </w:t>
      </w:r>
      <w:r w:rsidRPr="00325ED4">
        <w:rPr>
          <w:b/>
          <w:i/>
        </w:rPr>
        <w:t>not</w:t>
      </w:r>
      <w:r>
        <w:t xml:space="preserve"> subject to state statutory share laws. See </w:t>
      </w:r>
      <w:r w:rsidRPr="00C73E96">
        <w:t xml:space="preserve">Uniform Probate Code </w:t>
      </w:r>
      <w:r>
        <w:t>§</w:t>
      </w:r>
      <w:r w:rsidRPr="00C73E96">
        <w:t xml:space="preserve">2-201, </w:t>
      </w:r>
      <w:r>
        <w:t>§</w:t>
      </w:r>
      <w:r w:rsidRPr="00C73E96">
        <w:t>2-205(1)(A)</w:t>
      </w:r>
      <w:r>
        <w:t xml:space="preserve">, </w:t>
      </w:r>
      <w:r w:rsidRPr="00C73E96">
        <w:t>Fla</w:t>
      </w:r>
      <w:r>
        <w:t>.</w:t>
      </w:r>
      <w:r w:rsidRPr="00C73E96">
        <w:t xml:space="preserve"> Stat</w:t>
      </w:r>
      <w:r>
        <w:t>.</w:t>
      </w:r>
      <w:r w:rsidRPr="00C73E96">
        <w:t xml:space="preserve"> 732.2045</w:t>
      </w:r>
      <w:r>
        <w:t xml:space="preserve">, </w:t>
      </w:r>
      <w:r w:rsidRPr="00B62913">
        <w:rPr>
          <w:bCs/>
          <w:i/>
        </w:rPr>
        <w:t>Bongaards v. Millen</w:t>
      </w:r>
      <w:r>
        <w:rPr>
          <w:bCs/>
          <w:i/>
        </w:rPr>
        <w:t xml:space="preserve">, </w:t>
      </w:r>
      <w:r w:rsidRPr="00B62913">
        <w:rPr>
          <w:bCs/>
        </w:rPr>
        <w:t>793 N.E.2d 335</w:t>
      </w:r>
      <w:r>
        <w:rPr>
          <w:bCs/>
        </w:rPr>
        <w:t xml:space="preserve"> (Sup. Ct. Mass. 2003).</w:t>
      </w:r>
    </w:p>
  </w:footnote>
  <w:footnote w:id="275">
    <w:p w14:paraId="155AF54F" w14:textId="77777777" w:rsidR="00D53D4F" w:rsidRDefault="00D53D4F" w:rsidP="00AE6800">
      <w:pPr>
        <w:pStyle w:val="FootnoteText"/>
        <w:spacing w:after="120"/>
      </w:pPr>
      <w:r>
        <w:rPr>
          <w:rStyle w:val="FootnoteReference"/>
        </w:rPr>
        <w:footnoteRef/>
      </w:r>
      <w:r>
        <w:t xml:space="preserve"> Treas. Reg. §</w:t>
      </w:r>
      <w:r w:rsidRPr="00C764BA">
        <w:t xml:space="preserve"> 1.170A-6</w:t>
      </w:r>
      <w:r>
        <w:t xml:space="preserve">(c)(2), </w:t>
      </w:r>
      <w:r w:rsidRPr="00C61BAB">
        <w:t>Treas</w:t>
      </w:r>
      <w:r>
        <w:t>. Reg. § 20.2055-2(e)(2)(vi)(a).</w:t>
      </w:r>
    </w:p>
  </w:footnote>
  <w:footnote w:id="276">
    <w:p w14:paraId="5D819CDB" w14:textId="0D85CCA4" w:rsidR="00D53D4F" w:rsidRDefault="00D53D4F" w:rsidP="00AE6800">
      <w:pPr>
        <w:pStyle w:val="FootnoteText"/>
        <w:spacing w:after="120"/>
      </w:pPr>
      <w:r>
        <w:rPr>
          <w:rStyle w:val="FootnoteReference"/>
        </w:rPr>
        <w:footnoteRef/>
      </w:r>
      <w:r>
        <w:t xml:space="preserve"> The First Circuit overruled a lower court and held that such a scenario did </w:t>
      </w:r>
      <w:r w:rsidRPr="001823DD">
        <w:rPr>
          <w:b/>
          <w:i/>
        </w:rPr>
        <w:t>not</w:t>
      </w:r>
      <w:r>
        <w:t xml:space="preserve"> create deemed control/grantor status as to the father who was the original transferor to a trust for child, where child later transferred the same funds to a new trust with father as beneficiary in </w:t>
      </w:r>
      <w:r w:rsidRPr="002A7B98">
        <w:rPr>
          <w:i/>
        </w:rPr>
        <w:t>Plimpton v. Commissioner</w:t>
      </w:r>
      <w:r w:rsidRPr="002A7B98">
        <w:t>, 135 F.2d 482 (1st Cir. 1943)</w:t>
      </w:r>
      <w:r w:rsidR="00DD6EC3">
        <w:t>.</w:t>
      </w:r>
    </w:p>
  </w:footnote>
  <w:footnote w:id="277">
    <w:p w14:paraId="506B707F" w14:textId="77777777" w:rsidR="00D53D4F" w:rsidRDefault="00D53D4F" w:rsidP="00AE6800">
      <w:pPr>
        <w:pStyle w:val="FootnoteText"/>
        <w:spacing w:after="120"/>
      </w:pPr>
      <w:r>
        <w:rPr>
          <w:rStyle w:val="FootnoteReference"/>
        </w:rPr>
        <w:footnoteRef/>
      </w:r>
      <w:r>
        <w:t xml:space="preserve"> </w:t>
      </w:r>
      <w:r w:rsidRPr="00FC0614">
        <w:rPr>
          <w:i/>
        </w:rPr>
        <w:t>Christopher C. Close, et ux. v. Commissioner</w:t>
      </w:r>
      <w:r w:rsidRPr="00FC0614">
        <w:t>, TC Memo 2014-25</w:t>
      </w:r>
      <w:r>
        <w:t xml:space="preserve">.  For other cases and discussion of when third party created spendthrift trusts can be busted or disregarded by the IRS or other creditors, see </w:t>
      </w:r>
      <w:r w:rsidRPr="006076E4">
        <w:rPr>
          <w:i/>
        </w:rPr>
        <w:t>Ed Morrow: Asset Protection Dangers When a Beneficiary Is Sole Trustee and Piercing the Third Party, Beneficiary-Controlled, Irrevocable Trust</w:t>
      </w:r>
      <w:r w:rsidRPr="006076E4">
        <w:t>, Steve Leimberg's Asset Protection Planning Newsletter #339 (March 9, 2017)</w:t>
      </w:r>
      <w:r>
        <w:t>.</w:t>
      </w:r>
    </w:p>
  </w:footnote>
  <w:footnote w:id="278">
    <w:p w14:paraId="44C7AA67" w14:textId="77777777" w:rsidR="00D53D4F" w:rsidRDefault="00D53D4F" w:rsidP="00AE6800">
      <w:pPr>
        <w:pStyle w:val="FootnoteText"/>
        <w:spacing w:after="120"/>
      </w:pPr>
      <w:r>
        <w:rPr>
          <w:rStyle w:val="FootnoteReference"/>
        </w:rPr>
        <w:footnoteRef/>
      </w:r>
      <w:r>
        <w:t xml:space="preserve"> Most of these cases involve same day, preplanned transfers – consider this excerpt from </w:t>
      </w:r>
      <w:r w:rsidRPr="00397868">
        <w:rPr>
          <w:i/>
        </w:rPr>
        <w:t>Pierre v. Comm'r</w:t>
      </w:r>
      <w:r>
        <w:t xml:space="preserve">, T.C. Memo 2010-106, in which the tax court applied the step transaction doctrine: “It is appropriate to use the step transaction doctrine where the only reason that a single transaction was done as two or more separate transactions was to avoid gift tax. </w:t>
      </w:r>
      <w:r w:rsidRPr="00397868">
        <w:rPr>
          <w:i/>
        </w:rPr>
        <w:t xml:space="preserve">Estate of Cidulka v. Commissioner, </w:t>
      </w:r>
      <w:r w:rsidRPr="00176F5F">
        <w:t>T.C. Memo</w:t>
      </w:r>
      <w:r>
        <w:t xml:space="preserve"> 1996-149 (collapsing decedent's transfer to family members of minority interests in closely held stock with his same-day sale/redemption of his remaining stock in the corporation in exchange for a note). We have applied the step transaction doctrine to aggregate a taxpayer's two separate same-day transfers to a partnership of undivided 50-percent interests in land to reflect the economic substance of the transaction. See </w:t>
      </w:r>
      <w:r w:rsidRPr="00397868">
        <w:rPr>
          <w:i/>
        </w:rPr>
        <w:t>Shepherd v. Commissioner</w:t>
      </w:r>
      <w:r>
        <w:t xml:space="preserve">, 115 T.C. 376, 389 (2000), affd. 283 F.3d 1258 (11th Cir. 2002). We have also collapsed a taxpayer's separate same-day steps of funding a partnership with the taxpayer's gifts of partnership interests where, at best, the transactions were integrated and, in effect, simultaneous. </w:t>
      </w:r>
      <w:r w:rsidRPr="00397868">
        <w:rPr>
          <w:i/>
        </w:rPr>
        <w:t>Senda v. Commissioner</w:t>
      </w:r>
      <w:r>
        <w:t xml:space="preserve">, T.C. Memo 2004-160, </w:t>
      </w:r>
      <w:r w:rsidRPr="00AE6800">
        <w:rPr>
          <w:i/>
        </w:rPr>
        <w:t>aff</w:t>
      </w:r>
      <w:r>
        <w:rPr>
          <w:i/>
        </w:rPr>
        <w:t>’</w:t>
      </w:r>
      <w:r w:rsidRPr="00AE6800">
        <w:rPr>
          <w:i/>
        </w:rPr>
        <w:t>d</w:t>
      </w:r>
      <w:r>
        <w:t>. 433 F.3d 1044 (8th Cir. 2006).</w:t>
      </w:r>
    </w:p>
    <w:p w14:paraId="3AE10B55" w14:textId="77777777" w:rsidR="00D53D4F" w:rsidRDefault="00D53D4F" w:rsidP="00AE6800">
      <w:pPr>
        <w:pStyle w:val="FootnoteText"/>
        <w:spacing w:after="120"/>
      </w:pPr>
      <w:r>
        <w:t xml:space="preserve">Whether several transactions should be considered integrated steps of a single transaction is a question of fact. </w:t>
      </w:r>
      <w:r w:rsidRPr="00397868">
        <w:rPr>
          <w:i/>
        </w:rPr>
        <w:t>Senda v. Commissioner</w:t>
      </w:r>
      <w:r>
        <w:t>, 433 F.3d at 1048. We therefore turn to the facts. The transfers at issue all occurred on the same day. Moreover, virtually no time elapsed between the transfers. Petitioner gave away her entire interest in Pierre LLC within the time it took for four documents to be signed.”</w:t>
      </w:r>
    </w:p>
  </w:footnote>
  <w:footnote w:id="279">
    <w:p w14:paraId="667C9484" w14:textId="77777777" w:rsidR="00D53D4F" w:rsidRDefault="00D53D4F" w:rsidP="00AE6800">
      <w:pPr>
        <w:pStyle w:val="FootnoteText"/>
        <w:spacing w:after="120"/>
      </w:pPr>
      <w:r>
        <w:rPr>
          <w:rStyle w:val="FootnoteReference"/>
        </w:rPr>
        <w:footnoteRef/>
      </w:r>
      <w:r>
        <w:t xml:space="preserve"> E.g., </w:t>
      </w:r>
      <w:r>
        <w:rPr>
          <w:i/>
        </w:rPr>
        <w:t xml:space="preserve">T. H. </w:t>
      </w:r>
      <w:r w:rsidRPr="009704E2">
        <w:rPr>
          <w:i/>
          <w:iCs/>
        </w:rPr>
        <w:t>Holman</w:t>
      </w:r>
      <w:r>
        <w:rPr>
          <w:i/>
          <w:iCs/>
        </w:rPr>
        <w:t xml:space="preserve"> Jr. v. Comm’r.</w:t>
      </w:r>
      <w:r w:rsidRPr="009704E2">
        <w:t>, 601 F.3d 763, 770, 772 (</w:t>
      </w:r>
      <w:r>
        <w:t>8</w:t>
      </w:r>
      <w:r w:rsidRPr="00176F5F">
        <w:rPr>
          <w:vertAlign w:val="superscript"/>
        </w:rPr>
        <w:t>th</w:t>
      </w:r>
      <w:r>
        <w:t xml:space="preserve"> Cir. </w:t>
      </w:r>
      <w:r w:rsidRPr="009704E2">
        <w:t>2010)</w:t>
      </w:r>
      <w:r>
        <w:t>.</w:t>
      </w:r>
    </w:p>
  </w:footnote>
  <w:footnote w:id="280">
    <w:p w14:paraId="545A8795" w14:textId="77777777" w:rsidR="00D53D4F" w:rsidRPr="00176F5F" w:rsidRDefault="00D53D4F" w:rsidP="00AE6800">
      <w:pPr>
        <w:pStyle w:val="FootnoteText"/>
        <w:spacing w:after="120"/>
      </w:pPr>
      <w:r>
        <w:rPr>
          <w:rStyle w:val="FootnoteReference"/>
        </w:rPr>
        <w:footnoteRef/>
      </w:r>
      <w:r>
        <w:t xml:space="preserve"> </w:t>
      </w:r>
      <w:r w:rsidRPr="006076E4">
        <w:rPr>
          <w:i/>
        </w:rPr>
        <w:t>Summa Holdings, Inc. v. Comm'r</w:t>
      </w:r>
      <w:r w:rsidRPr="006076E4">
        <w:t>, 2017 U.S. App. LEXIS 2713 (6th Cir. Feb. 16, 2017)</w:t>
      </w:r>
      <w:r>
        <w:t>.  Leimberg Information Services had three articles on the case:</w:t>
      </w:r>
      <w:r w:rsidRPr="006076E4">
        <w:t xml:space="preserve"> </w:t>
      </w:r>
      <w:r w:rsidRPr="00176F5F">
        <w:rPr>
          <w:i/>
        </w:rPr>
        <w:t>Michael Geeraerts, Paul Vecchione &amp; Jim Magner on Summa Holdings v. Commissioner: IRS Often Argues Substance-Over-Form, But Sometimes Form Is Substance</w:t>
      </w:r>
      <w:r>
        <w:rPr>
          <w:i/>
        </w:rPr>
        <w:t>,</w:t>
      </w:r>
      <w:r w:rsidRPr="00176F5F">
        <w:t xml:space="preserve"> LISI Employee Benefits &amp; Retirement Planning Newsletter #670 (March 16, 2017)</w:t>
      </w:r>
      <w:r>
        <w:t xml:space="preserve">; </w:t>
      </w:r>
      <w:r w:rsidRPr="00176F5F">
        <w:rPr>
          <w:i/>
        </w:rPr>
        <w:t>Ed Morrow on Summa Holdings Inc. v. Commissioner: 6th Circuit Properly Rejects IRS and Tax Court Substance Over Form Attack on IRAs Owning IC-DISCs, But the IRS Missed the Prohibited Transactions</w:t>
      </w:r>
      <w:r>
        <w:t xml:space="preserve">, </w:t>
      </w:r>
      <w:r w:rsidRPr="00176F5F">
        <w:t>LISI Employee Benefits &amp; Retirement Planning Newsletter #672 (March 23, 2017)</w:t>
      </w:r>
      <w:r>
        <w:t xml:space="preserve">; </w:t>
      </w:r>
      <w:r w:rsidRPr="00176F5F">
        <w:rPr>
          <w:i/>
        </w:rPr>
        <w:t>Peter Melcher &amp; Grant Keebler on Summa Holdings v. Commissioner</w:t>
      </w:r>
      <w:r>
        <w:t xml:space="preserve">, </w:t>
      </w:r>
      <w:r w:rsidRPr="00176F5F">
        <w:t>LISI Employee Benefits &amp; Ret</w:t>
      </w:r>
      <w:r>
        <w:t>irement Planning Newsletter #673 (March 30, 2017).</w:t>
      </w:r>
    </w:p>
  </w:footnote>
  <w:footnote w:id="281">
    <w:p w14:paraId="30105418" w14:textId="77777777" w:rsidR="00D53D4F" w:rsidRDefault="00D53D4F" w:rsidP="00AE6800">
      <w:pPr>
        <w:pStyle w:val="FootnoteText"/>
        <w:spacing w:after="120"/>
      </w:pPr>
      <w:r>
        <w:rPr>
          <w:rStyle w:val="FootnoteReference"/>
        </w:rPr>
        <w:footnoteRef/>
      </w:r>
      <w:r>
        <w:t xml:space="preserve"> </w:t>
      </w:r>
      <w:r w:rsidRPr="00300D6D">
        <w:rPr>
          <w:lang w:val="en"/>
        </w:rPr>
        <w:t>Treas. Reg. §25.2523(f)- 1(f), Example 11, which provides that assets held</w:t>
      </w:r>
      <w:r>
        <w:rPr>
          <w:lang w:val="en"/>
        </w:rPr>
        <w:t xml:space="preserve"> in an inter vivos QTIP trust </w:t>
      </w:r>
      <w:r w:rsidRPr="00300D6D">
        <w:rPr>
          <w:lang w:val="en"/>
        </w:rPr>
        <w:t>for the benefit of the settlor after the death of his or her spo</w:t>
      </w:r>
      <w:r>
        <w:rPr>
          <w:lang w:val="en"/>
        </w:rPr>
        <w:t>use</w:t>
      </w:r>
      <w:r w:rsidRPr="00300D6D">
        <w:rPr>
          <w:lang w:val="en"/>
        </w:rPr>
        <w:t xml:space="preserve"> will not be includible in the settlor’s taxable estate under </w:t>
      </w:r>
      <w:r>
        <w:rPr>
          <w:lang w:val="en"/>
        </w:rPr>
        <w:t>IRC §§2036 or</w:t>
      </w:r>
      <w:r w:rsidRPr="00300D6D">
        <w:rPr>
          <w:lang w:val="en"/>
        </w:rPr>
        <w:t xml:space="preserve"> 2038</w:t>
      </w:r>
      <w:r>
        <w:rPr>
          <w:lang w:val="en"/>
        </w:rPr>
        <w:t xml:space="preserve">.  The regulation does </w:t>
      </w:r>
      <w:r w:rsidRPr="00B364EE">
        <w:rPr>
          <w:i/>
          <w:lang w:val="en"/>
        </w:rPr>
        <w:t>not</w:t>
      </w:r>
      <w:r>
        <w:rPr>
          <w:lang w:val="en"/>
        </w:rPr>
        <w:t xml:space="preserve"> speak to §2041, hence the statutory fixes discussed in FN 38.</w:t>
      </w:r>
    </w:p>
  </w:footnote>
  <w:footnote w:id="282">
    <w:p w14:paraId="7D76E4F2" w14:textId="77777777" w:rsidR="00D53D4F" w:rsidRDefault="00D53D4F" w:rsidP="00AE6800">
      <w:pPr>
        <w:pStyle w:val="FootnoteText"/>
        <w:spacing w:after="120"/>
      </w:pPr>
      <w:r>
        <w:rPr>
          <w:rStyle w:val="FootnoteReference"/>
        </w:rPr>
        <w:footnoteRef/>
      </w:r>
      <w:r>
        <w:t xml:space="preserve"> </w:t>
      </w:r>
      <w:r w:rsidRPr="00CF64EB">
        <w:t xml:space="preserve">For example, the Fifth Circuit approved disclaimers by </w:t>
      </w:r>
      <w:r w:rsidRPr="00CF64EB">
        <w:rPr>
          <w:b/>
        </w:rPr>
        <w:t>29</w:t>
      </w:r>
      <w:r w:rsidRPr="00CF64EB">
        <w:t xml:space="preserve"> devisees of Louise Monroe, some of whom were unrelated to her, made at the request of her husband's nephew. The disclaimers caused the disclaimed property to pass to the decedent's husband free of estate tax. Shortly thereafter, the husband made generous gifts to each of the disclaimants, in many cases equal to the amount disclaimed. The Tax Court had found that the disclaimers were </w:t>
      </w:r>
      <w:r>
        <w:t>un</w:t>
      </w:r>
      <w:r w:rsidRPr="00CF64EB">
        <w:t>qualified because they were the result of an implied promise by the husband to make gifts to the devisees if they disclaimed. However, the Court of Appeals for the Fifth Circuit reversed that decision, stating that the very purpose of disclaimers is "to facilitate post-mortem estate tax planning and to increase family wealth on the `expectation' that there will thus remain more wealth to pass on to the disclaimants in the future."</w:t>
      </w:r>
      <w:r>
        <w:t xml:space="preserve">  </w:t>
      </w:r>
      <w:r w:rsidRPr="00CF64EB">
        <w:rPr>
          <w:i/>
        </w:rPr>
        <w:t>Estate of Monroe v. C.L</w:t>
      </w:r>
      <w:r>
        <w:rPr>
          <w:i/>
        </w:rPr>
        <w:t>.</w:t>
      </w:r>
      <w:r w:rsidRPr="00CF64EB">
        <w:rPr>
          <w:i/>
        </w:rPr>
        <w:t>R</w:t>
      </w:r>
      <w:r>
        <w:rPr>
          <w:i/>
        </w:rPr>
        <w:t>.</w:t>
      </w:r>
      <w:r w:rsidRPr="00CF64EB">
        <w:t>, 124 F3d 699 (5th Cir 1997)</w:t>
      </w:r>
      <w:r>
        <w:t>.</w:t>
      </w:r>
    </w:p>
  </w:footnote>
  <w:footnote w:id="283">
    <w:p w14:paraId="553A1C03" w14:textId="77777777" w:rsidR="00D53D4F" w:rsidRDefault="00D53D4F" w:rsidP="00AE6800">
      <w:pPr>
        <w:pStyle w:val="FootnoteText"/>
        <w:spacing w:after="120"/>
      </w:pPr>
      <w:r>
        <w:rPr>
          <w:rStyle w:val="FootnoteReference"/>
        </w:rPr>
        <w:footnoteRef/>
      </w:r>
      <w:r>
        <w:t xml:space="preserve"> </w:t>
      </w:r>
      <w:r w:rsidRPr="00E844CF">
        <w:rPr>
          <w:i/>
        </w:rPr>
        <w:t>Estate of Steve K. Backemeyer v. Comm'r</w:t>
      </w:r>
      <w:r w:rsidRPr="00E844CF">
        <w:t>, 2016 U.S. Tax Ct. LEXIS 35 (T.C. 2016)</w:t>
      </w:r>
      <w:r>
        <w:t xml:space="preserve">, </w:t>
      </w:r>
      <w:r w:rsidRPr="00E844CF">
        <w:t>147 T.C. No. 17</w:t>
      </w:r>
      <w:r>
        <w:t>.</w:t>
      </w:r>
    </w:p>
  </w:footnote>
  <w:footnote w:id="284">
    <w:p w14:paraId="315181EC" w14:textId="77777777" w:rsidR="00D53D4F" w:rsidRDefault="00D53D4F" w:rsidP="00AE6800">
      <w:pPr>
        <w:pStyle w:val="FootnoteText"/>
        <w:spacing w:after="120"/>
      </w:pPr>
      <w:r>
        <w:rPr>
          <w:rStyle w:val="FootnoteReference"/>
        </w:rPr>
        <w:footnoteRef/>
      </w:r>
      <w:r>
        <w:t xml:space="preserve"> </w:t>
      </w:r>
      <w:r w:rsidRPr="00D97000">
        <w:t xml:space="preserve">This is discussed in </w:t>
      </w:r>
      <w:r w:rsidRPr="00D97000">
        <w:rPr>
          <w:i/>
        </w:rPr>
        <w:t>It’s Just a JEST – the Joint Exempt Step Up Trust</w:t>
      </w:r>
      <w:r w:rsidRPr="00D97000">
        <w:t>, LISI Estate Planning Newsletter #2086 (April 3, 2013), by Gassman, Ellwanger and Hohnadell</w:t>
      </w:r>
    </w:p>
  </w:footnote>
  <w:footnote w:id="285">
    <w:p w14:paraId="1EF2049E" w14:textId="77777777" w:rsidR="00D53D4F" w:rsidRDefault="00D53D4F" w:rsidP="00AE6800">
      <w:pPr>
        <w:pStyle w:val="FootnoteText"/>
        <w:spacing w:after="120"/>
      </w:pPr>
      <w:r>
        <w:rPr>
          <w:rStyle w:val="FootnoteReference"/>
        </w:rPr>
        <w:footnoteRef/>
      </w:r>
      <w:r>
        <w:t xml:space="preserve"> IRC §2523 (lifetime marital gift tax deduction), IRC §2503(b) (annual present interest exclusion from gift tax) – as will be discussed, there is no reason lifetime applicable exclusion amount cannot be used as well.</w:t>
      </w:r>
    </w:p>
  </w:footnote>
  <w:footnote w:id="286">
    <w:p w14:paraId="45A7D89F" w14:textId="77777777" w:rsidR="00D53D4F" w:rsidRDefault="00D53D4F" w:rsidP="00AE6800">
      <w:pPr>
        <w:pStyle w:val="FootnoteText"/>
        <w:spacing w:after="120"/>
      </w:pPr>
      <w:r>
        <w:rPr>
          <w:rStyle w:val="FootnoteReference"/>
        </w:rPr>
        <w:footnoteRef/>
      </w:r>
      <w:r>
        <w:t xml:space="preserve"> Treas. Reg. §25.2511-2, Cessation of Donor’s Dominion and Control.</w:t>
      </w:r>
    </w:p>
  </w:footnote>
  <w:footnote w:id="287">
    <w:p w14:paraId="532E2094" w14:textId="77777777" w:rsidR="00D53D4F" w:rsidRDefault="00D53D4F" w:rsidP="00AE6800">
      <w:pPr>
        <w:pStyle w:val="FootnoteText"/>
        <w:spacing w:after="120"/>
      </w:pPr>
      <w:r>
        <w:rPr>
          <w:rStyle w:val="FootnoteReference"/>
        </w:rPr>
        <w:footnoteRef/>
      </w:r>
      <w:r>
        <w:t xml:space="preserve"> CCA 2012-08026, in spite of a seemingly contrary treasury regulation at Treas. Reg. §25.2511-2(b).</w:t>
      </w:r>
    </w:p>
  </w:footnote>
  <w:footnote w:id="288">
    <w:p w14:paraId="2BA4BF49" w14:textId="647DB675" w:rsidR="00D53D4F" w:rsidRDefault="00D53D4F" w:rsidP="00AE6800">
      <w:pPr>
        <w:pStyle w:val="FootnoteText"/>
        <w:spacing w:after="120"/>
      </w:pPr>
      <w:r>
        <w:rPr>
          <w:rStyle w:val="FootnoteReference"/>
        </w:rPr>
        <w:footnoteRef/>
      </w:r>
      <w:r>
        <w:t xml:space="preserve"> It would not cause inclusion under §2041, since a settlor/donor cannot create a general power in him/herself.  IRC §2036 generally requires an interest </w:t>
      </w:r>
      <w:r w:rsidR="00B1093F">
        <w:t>be “</w:t>
      </w:r>
      <w:r>
        <w:t>retained”</w:t>
      </w:r>
      <w:r w:rsidRPr="00142199">
        <w:t xml:space="preserve"> </w:t>
      </w:r>
      <w:r>
        <w:t>whereas a time gap is irrelevant to §2038 if the power exists at death: “</w:t>
      </w:r>
      <w:r w:rsidRPr="00142199">
        <w:t>(without regard to when or from what source the decedent acquired such power)</w:t>
      </w:r>
      <w:r>
        <w:t xml:space="preserve">”.  For a case showing partial §2036 inclusion when the power of control was only over a portion (over only 80% rather than 100%, causing 80% inclusion), see </w:t>
      </w:r>
      <w:r w:rsidRPr="00032B0E">
        <w:rPr>
          <w:i/>
        </w:rPr>
        <w:t>Joy v. United States</w:t>
      </w:r>
      <w:r>
        <w:t>, 272 F. Supp. 544 (</w:t>
      </w:r>
      <w:r w:rsidRPr="00032B0E">
        <w:t>E.D. Mich. 1967)</w:t>
      </w:r>
      <w:r>
        <w:t>.  Thus, these string provisions are not all or nothing.</w:t>
      </w:r>
    </w:p>
  </w:footnote>
  <w:footnote w:id="289">
    <w:p w14:paraId="6A4B0E1C" w14:textId="77777777" w:rsidR="00D53D4F" w:rsidRDefault="00D53D4F" w:rsidP="00AE6800">
      <w:pPr>
        <w:pStyle w:val="FootnoteText"/>
        <w:spacing w:after="120"/>
      </w:pPr>
      <w:r>
        <w:rPr>
          <w:rStyle w:val="FootnoteReference"/>
        </w:rPr>
        <w:footnoteRef/>
      </w:r>
      <w:r>
        <w:t xml:space="preserve"> See Treas. Reg. §20.2038-1(a).</w:t>
      </w:r>
    </w:p>
  </w:footnote>
  <w:footnote w:id="290">
    <w:p w14:paraId="5C694A05" w14:textId="14F0B40F" w:rsidR="00D53D4F" w:rsidRDefault="00D53D4F" w:rsidP="00AE6800">
      <w:pPr>
        <w:pStyle w:val="FootnoteText"/>
        <w:spacing w:after="120"/>
      </w:pPr>
      <w:r>
        <w:rPr>
          <w:rStyle w:val="FootnoteReference"/>
        </w:rPr>
        <w:footnoteRef/>
      </w:r>
      <w:r>
        <w:t xml:space="preserve"> Internal Revenue Bulletin 2008-35 (of course, it could be 100% inclusion, it depends on prior rate of return, change in 7520; i.e.</w:t>
      </w:r>
      <w:r w:rsidR="007B76CB">
        <w:t>,</w:t>
      </w:r>
      <w:r>
        <w:t xml:space="preserve"> how much is needed to pay the remaining annuity)</w:t>
      </w:r>
    </w:p>
  </w:footnote>
  <w:footnote w:id="291">
    <w:p w14:paraId="4E4999B3" w14:textId="1A238B7F" w:rsidR="00D53D4F" w:rsidRDefault="00D53D4F" w:rsidP="00AE6800">
      <w:pPr>
        <w:pStyle w:val="FootnoteText"/>
        <w:spacing w:after="120"/>
      </w:pPr>
      <w:r>
        <w:rPr>
          <w:rStyle w:val="FootnoteReference"/>
        </w:rPr>
        <w:footnoteRef/>
      </w:r>
      <w:r>
        <w:t xml:space="preserve"> Subject, of course, to the three</w:t>
      </w:r>
      <w:r w:rsidR="007B76CB">
        <w:t>-</w:t>
      </w:r>
      <w:r>
        <w:t>year rule of IRC §2035.</w:t>
      </w:r>
    </w:p>
  </w:footnote>
  <w:footnote w:id="292">
    <w:p w14:paraId="789A59D7" w14:textId="75E28580" w:rsidR="00D53D4F" w:rsidRDefault="00D53D4F" w:rsidP="00AE6800">
      <w:pPr>
        <w:pStyle w:val="FootnoteText"/>
        <w:spacing w:after="120"/>
      </w:pPr>
      <w:r>
        <w:rPr>
          <w:rStyle w:val="FootnoteReference"/>
        </w:rPr>
        <w:footnoteRef/>
      </w:r>
      <w:r>
        <w:t xml:space="preserve"> Treas. Reg. §20.2038(a)-1 – see further discussion in Part V.f</w:t>
      </w:r>
      <w:r w:rsidR="0054524B">
        <w:t>.</w:t>
      </w:r>
    </w:p>
  </w:footnote>
  <w:footnote w:id="293">
    <w:p w14:paraId="547589EF" w14:textId="77777777" w:rsidR="00D53D4F" w:rsidRDefault="00D53D4F" w:rsidP="00AE6800">
      <w:pPr>
        <w:pStyle w:val="FootnoteText"/>
        <w:spacing w:after="120"/>
      </w:pPr>
      <w:r>
        <w:rPr>
          <w:rStyle w:val="FootnoteReference"/>
        </w:rPr>
        <w:footnoteRef/>
      </w:r>
      <w:r>
        <w:t xml:space="preserve"> Treas. Reg. §25.2511-2; contrast paragraphs (b) “complete”, with (d) “incomplete” – embrace (d), avoid (b).  For a case where grantor/trustee’s retained ability to withhold or distribute income caused estate inclusion, see</w:t>
      </w:r>
      <w:r w:rsidRPr="003714E2">
        <w:t xml:space="preserve"> </w:t>
      </w:r>
      <w:r w:rsidRPr="003714E2">
        <w:rPr>
          <w:i/>
        </w:rPr>
        <w:t>United States v. O'Malley</w:t>
      </w:r>
      <w:r w:rsidRPr="003714E2">
        <w:t>, 383 U.S. 627 (U.S. 1966)</w:t>
      </w:r>
      <w:r>
        <w:t>, finding the predecessor to §2036(a)(2) was triggered.</w:t>
      </w:r>
    </w:p>
  </w:footnote>
  <w:footnote w:id="294">
    <w:p w14:paraId="3C398757" w14:textId="77777777" w:rsidR="00D53D4F" w:rsidRDefault="00D53D4F" w:rsidP="00AE6800">
      <w:pPr>
        <w:pStyle w:val="FootnoteText"/>
        <w:spacing w:after="120"/>
      </w:pPr>
      <w:r>
        <w:rPr>
          <w:rStyle w:val="FootnoteReference"/>
        </w:rPr>
        <w:footnoteRef/>
      </w:r>
      <w:r>
        <w:t xml:space="preserve"> IRC §2503(b).</w:t>
      </w:r>
    </w:p>
  </w:footnote>
  <w:footnote w:id="295">
    <w:p w14:paraId="0609F591" w14:textId="77777777" w:rsidR="00D53D4F" w:rsidRDefault="00D53D4F" w:rsidP="004D41CD">
      <w:pPr>
        <w:pStyle w:val="FootnoteText"/>
      </w:pPr>
      <w:r>
        <w:rPr>
          <w:rStyle w:val="FootnoteReference"/>
        </w:rPr>
        <w:footnoteRef/>
      </w:r>
      <w:r>
        <w:t xml:space="preserve"> </w:t>
      </w:r>
      <w:r w:rsidRPr="00692C4D">
        <w:t>PLR 8727031</w:t>
      </w:r>
      <w:r>
        <w:t xml:space="preserve">.  It’s crystal clear from the regulations that even if an income/right to use property is only retained for a term of years, it still causes </w:t>
      </w:r>
      <w:r w:rsidRPr="00D95921">
        <w:rPr>
          <w:i/>
        </w:rPr>
        <w:t>full inclusion</w:t>
      </w:r>
      <w:r>
        <w:t>, see Treas. Reg. 20.2036-1(c)(1)(ii), Examples 1 and 2.</w:t>
      </w:r>
    </w:p>
  </w:footnote>
  <w:footnote w:id="296">
    <w:p w14:paraId="471E70CD" w14:textId="77777777" w:rsidR="00D53D4F" w:rsidRDefault="00D53D4F" w:rsidP="00AE6800">
      <w:pPr>
        <w:pStyle w:val="FootnoteText"/>
        <w:spacing w:after="120"/>
      </w:pPr>
      <w:r>
        <w:rPr>
          <w:rStyle w:val="FootnoteReference"/>
        </w:rPr>
        <w:footnoteRef/>
      </w:r>
      <w:r>
        <w:t xml:space="preserve"> IRC § 1014(b)(6).</w:t>
      </w:r>
    </w:p>
  </w:footnote>
  <w:footnote w:id="297">
    <w:p w14:paraId="75DA39FE" w14:textId="77777777" w:rsidR="00D53D4F" w:rsidRDefault="00D53D4F" w:rsidP="00AE6800">
      <w:pPr>
        <w:pStyle w:val="FootnoteText"/>
        <w:spacing w:after="120"/>
      </w:pPr>
      <w:r>
        <w:rPr>
          <w:rStyle w:val="FootnoteReference"/>
        </w:rPr>
        <w:footnoteRef/>
      </w:r>
      <w:r>
        <w:t xml:space="preserve"> IRC § 2040(b).</w:t>
      </w:r>
    </w:p>
  </w:footnote>
  <w:footnote w:id="298">
    <w:p w14:paraId="4FEFB717" w14:textId="77777777" w:rsidR="00D53D4F" w:rsidRDefault="00D53D4F" w:rsidP="00AE6800">
      <w:pPr>
        <w:pStyle w:val="FootnoteText"/>
        <w:spacing w:after="120"/>
      </w:pPr>
      <w:r>
        <w:rPr>
          <w:rStyle w:val="FootnoteReference"/>
        </w:rPr>
        <w:footnoteRef/>
      </w:r>
      <w:r>
        <w:t xml:space="preserve"> IRC § 1015(a).</w:t>
      </w:r>
    </w:p>
  </w:footnote>
  <w:footnote w:id="299">
    <w:p w14:paraId="3A4FC3E6" w14:textId="77777777" w:rsidR="00D53D4F" w:rsidRDefault="00D53D4F">
      <w:pPr>
        <w:pStyle w:val="FootnoteText"/>
      </w:pPr>
      <w:r>
        <w:rPr>
          <w:rStyle w:val="FootnoteReference"/>
        </w:rPr>
        <w:footnoteRef/>
      </w:r>
      <w:r>
        <w:t xml:space="preserve"> Or more, or perhaps even less, see </w:t>
      </w:r>
      <w:r w:rsidRPr="001B5DC1">
        <w:rPr>
          <w:i/>
        </w:rPr>
        <w:t>Jerry Hesch, Dick Oshins &amp; Jim Magner: Note Sales, Economic Substance and "The 10% Myth"</w:t>
      </w:r>
      <w:r>
        <w:rPr>
          <w:i/>
        </w:rPr>
        <w:t>,</w:t>
      </w:r>
      <w:r w:rsidRPr="001B5DC1">
        <w:t xml:space="preserve"> LISI Estate Planning Newsletter #2412 (May 9, 2016)</w:t>
      </w:r>
      <w:r>
        <w:t>.</w:t>
      </w:r>
    </w:p>
  </w:footnote>
  <w:footnote w:id="300">
    <w:p w14:paraId="211B2087" w14:textId="77777777" w:rsidR="00D53D4F" w:rsidRDefault="00D53D4F" w:rsidP="00AE6800">
      <w:pPr>
        <w:pStyle w:val="FootnoteText"/>
        <w:spacing w:after="120"/>
      </w:pPr>
      <w:r>
        <w:rPr>
          <w:rStyle w:val="FootnoteReference"/>
        </w:rPr>
        <w:footnoteRef/>
      </w:r>
      <w:r>
        <w:t xml:space="preserve"> </w:t>
      </w:r>
      <w:r w:rsidRPr="00C5339B">
        <w:rPr>
          <w:i/>
        </w:rPr>
        <w:t>In re Huber</w:t>
      </w:r>
      <w:r w:rsidRPr="00C5339B">
        <w:t>, 2013 Bankr. LEXIS 2038 (May 13, 2013)</w:t>
      </w:r>
      <w:r>
        <w:t>, and 11 U.S.C. §548(e) which creates 10-year lookback for fraudulent transfers to self-settled trusts or similar devices.</w:t>
      </w:r>
    </w:p>
  </w:footnote>
  <w:footnote w:id="301">
    <w:p w14:paraId="28BBA9F2" w14:textId="77777777" w:rsidR="00D53D4F" w:rsidRDefault="00D53D4F" w:rsidP="00AE6800">
      <w:pPr>
        <w:pStyle w:val="FootnoteText"/>
        <w:spacing w:after="120"/>
      </w:pPr>
      <w:r>
        <w:rPr>
          <w:rStyle w:val="FootnoteReference"/>
        </w:rPr>
        <w:footnoteRef/>
      </w:r>
      <w:r>
        <w:t xml:space="preserve"> See PLR </w:t>
      </w:r>
      <w:r w:rsidRPr="005B6933">
        <w:t>9837007</w:t>
      </w:r>
      <w:r>
        <w:t>, PLR 2009-</w:t>
      </w:r>
      <w:r w:rsidRPr="00137E0E">
        <w:t>44002</w:t>
      </w:r>
      <w:r>
        <w:t>.</w:t>
      </w:r>
    </w:p>
  </w:footnote>
  <w:footnote w:id="302">
    <w:p w14:paraId="427366A8" w14:textId="77777777" w:rsidR="00D53D4F" w:rsidRDefault="00D53D4F" w:rsidP="00AE6800">
      <w:pPr>
        <w:pStyle w:val="FootnoteText"/>
        <w:spacing w:after="120"/>
      </w:pPr>
      <w:r>
        <w:rPr>
          <w:rStyle w:val="FootnoteReference"/>
        </w:rPr>
        <w:footnoteRef/>
      </w:r>
      <w:r>
        <w:t xml:space="preserve"> Tied to the 5% or $5,000 lapse protection of IRC §2514(e).  Advocates of BDITs contend that minimal seeding can be overcome with loan guarantees to enable larger transactions despite smaller seed gifts.</w:t>
      </w:r>
    </w:p>
  </w:footnote>
  <w:footnote w:id="303">
    <w:p w14:paraId="60360848" w14:textId="77777777" w:rsidR="00D53D4F" w:rsidRDefault="00D53D4F">
      <w:pPr>
        <w:pStyle w:val="FootnoteText"/>
      </w:pPr>
      <w:r>
        <w:rPr>
          <w:rStyle w:val="FootnoteReference"/>
        </w:rPr>
        <w:footnoteRef/>
      </w:r>
      <w:r>
        <w:t xml:space="preserve"> Treas. Reg. §20.2038-1(a)(2).</w:t>
      </w:r>
    </w:p>
  </w:footnote>
  <w:footnote w:id="304">
    <w:p w14:paraId="13E8966A" w14:textId="77777777" w:rsidR="00D53D4F" w:rsidRDefault="00D53D4F" w:rsidP="00AE6800">
      <w:pPr>
        <w:pStyle w:val="FootnoteText"/>
        <w:spacing w:after="120"/>
      </w:pPr>
      <w:r>
        <w:rPr>
          <w:rStyle w:val="FootnoteReference"/>
        </w:rPr>
        <w:footnoteRef/>
      </w:r>
      <w:r>
        <w:t xml:space="preserve"> While this is generally the common law, Ohio clarified its common law with R.C. §5805.06(B)(3)(a) – for additional CLE material on asset protection aspects of powers of appointment, email author for separate CLE outline discussing/contrasting the many advantages of “Power Trusts” over DAPTs and various hybrids.</w:t>
      </w:r>
    </w:p>
  </w:footnote>
  <w:footnote w:id="305">
    <w:p w14:paraId="5CDF1555" w14:textId="77777777" w:rsidR="00D53D4F" w:rsidRDefault="00D53D4F" w:rsidP="00AE6800">
      <w:pPr>
        <w:pStyle w:val="FootnoteText"/>
        <w:spacing w:after="120"/>
      </w:pPr>
      <w:r>
        <w:rPr>
          <w:rStyle w:val="FootnoteReference"/>
        </w:rPr>
        <w:footnoteRef/>
      </w:r>
      <w:r>
        <w:t xml:space="preserve"> See UTC §401, §103(15), Restatement of Trusts, 3d, §10(d), outlining that a POA can be used to establish a trust and the settlor is the person creating or contributing property to it.  This is clear when a GPOA powerholder appoints to a new trust, but uncertain if a GPOA powerholder merely allows the power to lapse.  Is the lapse equivalent to “contributing property” or not? As discussed herein, §2041 doesn’t even require a competent powerholder with knowledge, but state law might have a higher bar for being considered a “settlor”.</w:t>
      </w:r>
    </w:p>
  </w:footnote>
  <w:footnote w:id="306">
    <w:p w14:paraId="754239E3" w14:textId="77777777" w:rsidR="00D53D4F" w:rsidRDefault="00D53D4F" w:rsidP="00AE6800">
      <w:pPr>
        <w:pStyle w:val="FootnoteText"/>
        <w:spacing w:after="120"/>
      </w:pPr>
      <w:r>
        <w:rPr>
          <w:rStyle w:val="FootnoteReference"/>
        </w:rPr>
        <w:footnoteRef/>
      </w:r>
      <w:r>
        <w:t xml:space="preserve"> UTC §505(b), for Ohioans, see newly amended Ohio R.C. §5805.06(B)(3)(b) – protection is 100% in Ohio – note that for GST purposes, the 5% lapse is disregarded and the spouse with the lapsing GPOA would be considered the transferor of 100% for GST purposes – generally an optimal result.  Treas. Reg. 26.2601-1(b)(1)(v).</w:t>
      </w:r>
    </w:p>
  </w:footnote>
  <w:footnote w:id="307">
    <w:p w14:paraId="08B3BBC5" w14:textId="77777777" w:rsidR="00D53D4F" w:rsidRDefault="00D53D4F" w:rsidP="00AE6800">
      <w:pPr>
        <w:pStyle w:val="FootnoteText"/>
        <w:spacing w:after="120"/>
      </w:pPr>
      <w:r>
        <w:rPr>
          <w:rStyle w:val="FootnoteReference"/>
        </w:rPr>
        <w:footnoteRef/>
      </w:r>
      <w:r>
        <w:t xml:space="preserve"> Ohio R.C. §5816.01 et seq., this and others are commonly known as domestic asset protection trust statutes.</w:t>
      </w:r>
    </w:p>
  </w:footnote>
  <w:footnote w:id="308">
    <w:p w14:paraId="7237233E" w14:textId="77777777" w:rsidR="00D53D4F" w:rsidRDefault="00D53D4F" w:rsidP="00AE6800">
      <w:pPr>
        <w:pStyle w:val="FootnoteText"/>
        <w:spacing w:after="120"/>
      </w:pPr>
      <w:r>
        <w:rPr>
          <w:rStyle w:val="FootnoteReference"/>
        </w:rPr>
        <w:footnoteRef/>
      </w:r>
      <w:r>
        <w:t xml:space="preserve"> Arizona may be an exception.  See Ariz. Rev. Stat. 14-10505(E)(3).</w:t>
      </w:r>
    </w:p>
  </w:footnote>
  <w:footnote w:id="309">
    <w:p w14:paraId="485007F2" w14:textId="77777777" w:rsidR="00D53D4F" w:rsidRDefault="00D53D4F" w:rsidP="00AE6800">
      <w:pPr>
        <w:pStyle w:val="FootnoteText"/>
        <w:spacing w:after="120"/>
      </w:pPr>
      <w:r>
        <w:rPr>
          <w:rStyle w:val="FootnoteReference"/>
        </w:rPr>
        <w:footnoteRef/>
      </w:r>
      <w:r>
        <w:t xml:space="preserve"> See footnote 37 for further discussion, explanation and list of state statutes addressing this issue. </w:t>
      </w:r>
    </w:p>
  </w:footnote>
  <w:footnote w:id="310">
    <w:p w14:paraId="414DA3A9" w14:textId="77777777" w:rsidR="00D53D4F" w:rsidRDefault="00D53D4F" w:rsidP="00AE6800">
      <w:pPr>
        <w:pStyle w:val="FootnoteText"/>
        <w:spacing w:after="120"/>
      </w:pPr>
      <w:r>
        <w:rPr>
          <w:rStyle w:val="FootnoteReference"/>
        </w:rPr>
        <w:footnoteRef/>
      </w:r>
      <w:r>
        <w:t xml:space="preserve"> Treas. Reg. §1.671-2(e)(6), Example 9 – thanks to attorney Gary Maddox for correcting a typo and suggesting clarifications to this discussion.</w:t>
      </w:r>
    </w:p>
  </w:footnote>
  <w:footnote w:id="311">
    <w:p w14:paraId="5A8C4E94" w14:textId="77777777" w:rsidR="00D53D4F" w:rsidRDefault="00D53D4F" w:rsidP="00AE6800">
      <w:pPr>
        <w:pStyle w:val="FootnoteText"/>
        <w:spacing w:after="120"/>
      </w:pPr>
      <w:r>
        <w:rPr>
          <w:rStyle w:val="FootnoteReference"/>
        </w:rPr>
        <w:footnoteRef/>
      </w:r>
      <w:r>
        <w:t xml:space="preserve"> Treas. Reg. §</w:t>
      </w:r>
      <w:r>
        <w:rPr>
          <w:color w:val="000000"/>
        </w:rPr>
        <w:t>1.671-2(e)(5).</w:t>
      </w:r>
    </w:p>
  </w:footnote>
  <w:footnote w:id="312">
    <w:p w14:paraId="53AF68D8" w14:textId="77777777" w:rsidR="00D53D4F" w:rsidRPr="003D7AA9" w:rsidRDefault="00D53D4F" w:rsidP="00AE6800">
      <w:pPr>
        <w:autoSpaceDE w:val="0"/>
        <w:autoSpaceDN w:val="0"/>
        <w:adjustRightInd w:val="0"/>
        <w:spacing w:after="120"/>
        <w:rPr>
          <w:color w:val="000000"/>
          <w:sz w:val="20"/>
          <w:szCs w:val="20"/>
        </w:rPr>
      </w:pPr>
      <w:r>
        <w:rPr>
          <w:rStyle w:val="FootnoteReference"/>
        </w:rPr>
        <w:footnoteRef/>
      </w:r>
      <w:r>
        <w:t xml:space="preserve"> </w:t>
      </w:r>
      <w:r w:rsidRPr="00196DF3">
        <w:rPr>
          <w:color w:val="000000"/>
          <w:sz w:val="20"/>
          <w:szCs w:val="20"/>
        </w:rPr>
        <w:t xml:space="preserve">Treasury could have simply added the words "lapse" or "release" of a GPOA </w:t>
      </w:r>
      <w:r>
        <w:rPr>
          <w:color w:val="000000"/>
          <w:sz w:val="20"/>
          <w:szCs w:val="20"/>
        </w:rPr>
        <w:t>in §1.671-2(e)</w:t>
      </w:r>
      <w:r w:rsidRPr="00196DF3">
        <w:rPr>
          <w:color w:val="000000"/>
          <w:sz w:val="20"/>
          <w:szCs w:val="20"/>
        </w:rPr>
        <w:t>, as in other sec</w:t>
      </w:r>
      <w:r>
        <w:rPr>
          <w:color w:val="000000"/>
          <w:sz w:val="20"/>
          <w:szCs w:val="20"/>
        </w:rPr>
        <w:t xml:space="preserve">tions, but did not.  Absent an </w:t>
      </w:r>
      <w:r w:rsidRPr="003D7AA9">
        <w:rPr>
          <w:i/>
          <w:color w:val="000000"/>
          <w:sz w:val="20"/>
          <w:szCs w:val="20"/>
        </w:rPr>
        <w:t>exercise</w:t>
      </w:r>
      <w:r w:rsidRPr="00196DF3">
        <w:rPr>
          <w:color w:val="000000"/>
          <w:sz w:val="20"/>
          <w:szCs w:val="20"/>
        </w:rPr>
        <w:t xml:space="preserve"> of a GPOA, it is unclear under what authority </w:t>
      </w:r>
      <w:r>
        <w:rPr>
          <w:color w:val="000000"/>
          <w:sz w:val="20"/>
          <w:szCs w:val="20"/>
        </w:rPr>
        <w:t>a lapse would override H a</w:t>
      </w:r>
      <w:r w:rsidRPr="00196DF3">
        <w:rPr>
          <w:color w:val="000000"/>
          <w:sz w:val="20"/>
          <w:szCs w:val="20"/>
        </w:rPr>
        <w:t>s the grantor</w:t>
      </w:r>
      <w:r>
        <w:rPr>
          <w:color w:val="000000"/>
          <w:sz w:val="20"/>
          <w:szCs w:val="20"/>
        </w:rPr>
        <w:t xml:space="preserve"> under IRC §671-679 (due to access to income, swap/substitution power, income for insurance or other administrative power)</w:t>
      </w:r>
      <w:r w:rsidRPr="00196DF3">
        <w:rPr>
          <w:color w:val="000000"/>
          <w:sz w:val="20"/>
          <w:szCs w:val="20"/>
        </w:rPr>
        <w:t xml:space="preserve">.  Therefore, H may still be considered the grantor of the trust for income tax purposes, since, contrary to the </w:t>
      </w:r>
      <w:r>
        <w:rPr>
          <w:color w:val="000000"/>
          <w:sz w:val="20"/>
          <w:szCs w:val="20"/>
        </w:rPr>
        <w:t xml:space="preserve">specific language of the </w:t>
      </w:r>
      <w:r w:rsidRPr="00196DF3">
        <w:rPr>
          <w:color w:val="000000"/>
          <w:sz w:val="20"/>
          <w:szCs w:val="20"/>
        </w:rPr>
        <w:t>regulation, W did NOT exercise her GPOA.</w:t>
      </w:r>
    </w:p>
  </w:footnote>
  <w:footnote w:id="313">
    <w:p w14:paraId="0B560196" w14:textId="77777777" w:rsidR="00D53D4F" w:rsidRPr="00717365" w:rsidRDefault="00D53D4F" w:rsidP="00717365">
      <w:pPr>
        <w:pStyle w:val="FootnoteText"/>
      </w:pPr>
      <w:r>
        <w:rPr>
          <w:rStyle w:val="FootnoteReference"/>
        </w:rPr>
        <w:footnoteRef/>
      </w:r>
      <w:r>
        <w:t xml:space="preserve"> Ohio R.C. §5801.10(C) </w:t>
      </w:r>
      <w:r w:rsidRPr="00717365">
        <w:t xml:space="preserve">“The agreement may not effect a termination of the trust before the date specified for the trust's termination in the terms of the trust, change the interests of the beneficiaries in the trust***”; UTC §111 is much more vague.   </w:t>
      </w:r>
      <w:r>
        <w:t>Of course, parties can still carve an agreement and then get a court to bless it.</w:t>
      </w:r>
    </w:p>
  </w:footnote>
  <w:footnote w:id="314">
    <w:p w14:paraId="7D87862B" w14:textId="77777777" w:rsidR="00D53D4F" w:rsidRPr="00C330DE" w:rsidRDefault="00D53D4F" w:rsidP="002A4DBF">
      <w:pPr>
        <w:autoSpaceDE w:val="0"/>
        <w:autoSpaceDN w:val="0"/>
        <w:adjustRightInd w:val="0"/>
        <w:spacing w:after="120"/>
        <w:rPr>
          <w:sz w:val="20"/>
          <w:szCs w:val="20"/>
        </w:rPr>
      </w:pPr>
      <w:r w:rsidRPr="00C330DE">
        <w:rPr>
          <w:rStyle w:val="FootnoteReference"/>
          <w:sz w:val="20"/>
          <w:szCs w:val="20"/>
        </w:rPr>
        <w:footnoteRef/>
      </w:r>
      <w:r w:rsidRPr="00C330DE">
        <w:rPr>
          <w:sz w:val="20"/>
          <w:szCs w:val="20"/>
        </w:rPr>
        <w:t xml:space="preserve"> </w:t>
      </w:r>
      <w:r w:rsidRPr="00C330DE">
        <w:rPr>
          <w:i/>
          <w:sz w:val="20"/>
          <w:szCs w:val="20"/>
        </w:rPr>
        <w:t xml:space="preserve">Commissioner v. Estate of Bosch, </w:t>
      </w:r>
      <w:r w:rsidRPr="00C330DE">
        <w:rPr>
          <w:sz w:val="20"/>
          <w:szCs w:val="20"/>
        </w:rPr>
        <w:t xml:space="preserve">387 U.S. 456 (1967) held </w:t>
      </w:r>
      <w:r>
        <w:rPr>
          <w:sz w:val="20"/>
          <w:szCs w:val="20"/>
        </w:rPr>
        <w:t xml:space="preserve">that </w:t>
      </w:r>
      <w:r w:rsidRPr="00C330DE">
        <w:rPr>
          <w:sz w:val="20"/>
          <w:szCs w:val="20"/>
        </w:rPr>
        <w:t xml:space="preserve">a state trial court </w:t>
      </w:r>
      <w:r>
        <w:rPr>
          <w:sz w:val="20"/>
          <w:szCs w:val="20"/>
        </w:rPr>
        <w:t xml:space="preserve">decision </w:t>
      </w:r>
      <w:r w:rsidRPr="00C330DE">
        <w:rPr>
          <w:sz w:val="20"/>
          <w:szCs w:val="20"/>
        </w:rPr>
        <w:t xml:space="preserve">as to an underlying issue of state law should not be controlling when applied to a federal statute, that the highest court of the state is the best authority on the underlying substantive rule of state law, and if there is no decision by the highest court of a state, then the federal authority must apply what it finds to be state law after giving “proper regard” to the state trial court’s determination and to relevant rulings of other courts of the state. </w:t>
      </w:r>
      <w:r>
        <w:rPr>
          <w:sz w:val="20"/>
          <w:szCs w:val="20"/>
        </w:rPr>
        <w:t xml:space="preserve">It does not say to ignore state law.  For one of several cases denying the marital deduction for attempts at a post-mortem “fix” despite marital savings clauses, see </w:t>
      </w:r>
      <w:r w:rsidRPr="00D85657">
        <w:rPr>
          <w:i/>
          <w:sz w:val="20"/>
          <w:szCs w:val="20"/>
        </w:rPr>
        <w:t>Estate of Rapp</w:t>
      </w:r>
      <w:r>
        <w:rPr>
          <w:sz w:val="20"/>
          <w:szCs w:val="20"/>
        </w:rPr>
        <w:t>, 130 F.3d 1211 (9</w:t>
      </w:r>
      <w:r w:rsidRPr="00D85657">
        <w:rPr>
          <w:sz w:val="20"/>
          <w:szCs w:val="20"/>
          <w:vertAlign w:val="superscript"/>
        </w:rPr>
        <w:t>th</w:t>
      </w:r>
      <w:r>
        <w:rPr>
          <w:sz w:val="20"/>
          <w:szCs w:val="20"/>
        </w:rPr>
        <w:t xml:space="preserve"> Cir. 1998). </w:t>
      </w:r>
    </w:p>
  </w:footnote>
  <w:footnote w:id="315">
    <w:p w14:paraId="5333260B" w14:textId="77777777" w:rsidR="00D53D4F" w:rsidRDefault="00D53D4F" w:rsidP="002A4DBF">
      <w:pPr>
        <w:pStyle w:val="FootnoteText"/>
        <w:spacing w:after="120"/>
      </w:pPr>
      <w:r>
        <w:rPr>
          <w:rStyle w:val="FootnoteReference"/>
        </w:rPr>
        <w:footnoteRef/>
      </w:r>
      <w:r>
        <w:t xml:space="preserve"> Although taxpayers can argue that September 30 of the year after death should be the important date to “fix” a see through trust by, and I would still argue this in </w:t>
      </w:r>
      <w:r w:rsidRPr="00C00AE3">
        <w:rPr>
          <w:i/>
        </w:rPr>
        <w:t>clean up</w:t>
      </w:r>
      <w:r>
        <w:t xml:space="preserve"> mode, the IRS could argue that, except for disclaimers that “relate back”, the Code and Regulations require there to be a beneficiary named by the owner/employee pursuant to the terms of the plan and/or default under agreement to obtain status as a “designated beneficiary” at the time of death, and if the trust changes terms significantly after that, it is arguably not the same beneficiary post-reformation that it was at the time of death, hence no DB, even if effective for non-tax law.   IRC §401(a)(9) and Treas. Reg. 1.401(a)(9)-4, A-1.  See PLRs 2002-18039, 2005-22012, 2005-37044, 2006-08032, 2006-20026, 2007-03047 and 2007-04033 (allowing reformation to affect tax result at death for IRA/trust), and more recent trending PLRs 2007-42026, 2010-21038 (contra). The trend is not favorable. </w:t>
      </w:r>
      <w:r w:rsidRPr="009F2361">
        <w:t>In PLR 2016-28004, PLR 2016-28005 and PLR 2016-28006, the IRS refused to give retroactive effect to a state court reformation of a decedent's IRA beneficiary designation, and insisted that the decedent's three children calculate their RMDs based on the decedent's remaining life expectancy on the date of his death.</w:t>
      </w:r>
    </w:p>
  </w:footnote>
  <w:footnote w:id="316">
    <w:p w14:paraId="6C4748BD" w14:textId="77777777" w:rsidR="00D53D4F" w:rsidRDefault="00D53D4F" w:rsidP="002A4DBF">
      <w:pPr>
        <w:autoSpaceDE w:val="0"/>
        <w:autoSpaceDN w:val="0"/>
        <w:adjustRightInd w:val="0"/>
        <w:spacing w:after="120"/>
      </w:pPr>
      <w:r>
        <w:rPr>
          <w:rStyle w:val="FootnoteReference"/>
        </w:rPr>
        <w:footnoteRef/>
      </w:r>
      <w:r>
        <w:t xml:space="preserve"> </w:t>
      </w:r>
      <w:r>
        <w:rPr>
          <w:sz w:val="20"/>
          <w:szCs w:val="20"/>
        </w:rPr>
        <w:t>“[N]</w:t>
      </w:r>
      <w:r w:rsidRPr="00C00AE3">
        <w:rPr>
          <w:sz w:val="20"/>
          <w:szCs w:val="20"/>
        </w:rPr>
        <w:t>ot even judicial reformation can operate to change the federal tax consequences of a completed transaction."</w:t>
      </w:r>
      <w:r>
        <w:rPr>
          <w:sz w:val="20"/>
          <w:szCs w:val="20"/>
        </w:rPr>
        <w:t xml:space="preserve"> </w:t>
      </w:r>
      <w:r w:rsidRPr="00C00AE3">
        <w:rPr>
          <w:i/>
          <w:sz w:val="20"/>
          <w:szCs w:val="20"/>
        </w:rPr>
        <w:t>American Nurseryman Pub. v. Comm</w:t>
      </w:r>
      <w:r>
        <w:rPr>
          <w:sz w:val="20"/>
          <w:szCs w:val="20"/>
        </w:rPr>
        <w:t>.,</w:t>
      </w:r>
      <w:r w:rsidRPr="00C00AE3">
        <w:t xml:space="preserve"> </w:t>
      </w:r>
      <w:r>
        <w:rPr>
          <w:sz w:val="20"/>
          <w:szCs w:val="20"/>
        </w:rPr>
        <w:t>75 T.C. 271 (</w:t>
      </w:r>
      <w:r w:rsidRPr="00C00AE3">
        <w:rPr>
          <w:sz w:val="20"/>
          <w:szCs w:val="20"/>
        </w:rPr>
        <w:t>1980)</w:t>
      </w:r>
      <w:r>
        <w:rPr>
          <w:sz w:val="20"/>
          <w:szCs w:val="20"/>
        </w:rPr>
        <w:t>, citing a string of cases holding similarly from various circuits.</w:t>
      </w:r>
    </w:p>
  </w:footnote>
  <w:footnote w:id="317">
    <w:p w14:paraId="05BE6536" w14:textId="77777777" w:rsidR="00D53D4F" w:rsidRDefault="00D53D4F" w:rsidP="002A4DBF">
      <w:pPr>
        <w:pStyle w:val="FootnoteText"/>
        <w:spacing w:after="120"/>
      </w:pPr>
      <w:r>
        <w:rPr>
          <w:rStyle w:val="FootnoteReference"/>
        </w:rPr>
        <w:footnoteRef/>
      </w:r>
      <w:r>
        <w:t xml:space="preserve"> Rev. Rul. 73-142.</w:t>
      </w:r>
    </w:p>
  </w:footnote>
  <w:footnote w:id="318">
    <w:p w14:paraId="743D877B" w14:textId="77777777" w:rsidR="00D53D4F" w:rsidRDefault="00D53D4F" w:rsidP="002A4DBF">
      <w:pPr>
        <w:pStyle w:val="FootnoteText"/>
        <w:spacing w:after="120"/>
      </w:pPr>
      <w:r>
        <w:rPr>
          <w:rStyle w:val="FootnoteReference"/>
        </w:rPr>
        <w:footnoteRef/>
      </w:r>
      <w:r>
        <w:t xml:space="preserve"> Treas. Reg. §20.2041-1(b)(1), Rev. Rul. 95-58.</w:t>
      </w:r>
    </w:p>
  </w:footnote>
  <w:footnote w:id="319">
    <w:p w14:paraId="778362BB" w14:textId="77777777" w:rsidR="00D53D4F" w:rsidRDefault="00D53D4F" w:rsidP="002A4DBF">
      <w:pPr>
        <w:pStyle w:val="FootnoteText"/>
        <w:spacing w:after="120"/>
      </w:pPr>
      <w:r>
        <w:rPr>
          <w:rStyle w:val="FootnoteReference"/>
        </w:rPr>
        <w:footnoteRef/>
      </w:r>
      <w:r>
        <w:t xml:space="preserve"> PLR 2005-43037.</w:t>
      </w:r>
    </w:p>
  </w:footnote>
  <w:footnote w:id="320">
    <w:p w14:paraId="066F9341" w14:textId="77777777" w:rsidR="00D53D4F" w:rsidRDefault="00D53D4F" w:rsidP="002A4DBF">
      <w:pPr>
        <w:pStyle w:val="FootnoteText"/>
        <w:spacing w:after="120"/>
      </w:pPr>
      <w:r>
        <w:rPr>
          <w:rStyle w:val="FootnoteReference"/>
        </w:rPr>
        <w:footnoteRef/>
      </w:r>
      <w:r>
        <w:t xml:space="preserve"> For example, a taxpayer successfully reformed an irrevocable trust after the document was drafted and transfer made in order to qualify for annual exclusion, but any retroactive gift tax effect of the reformation was denied: </w:t>
      </w:r>
      <w:r w:rsidRPr="008C573E">
        <w:rPr>
          <w:i/>
        </w:rPr>
        <w:t>Van Den Wymelenberg v. United States</w:t>
      </w:r>
      <w:r>
        <w:t xml:space="preserve">, 397 F.2d 443 </w:t>
      </w:r>
      <w:r w:rsidRPr="008C573E">
        <w:t>(7th Cir. Wis. 1968)</w:t>
      </w:r>
    </w:p>
  </w:footnote>
  <w:footnote w:id="321">
    <w:p w14:paraId="0170C6B6" w14:textId="77777777" w:rsidR="00D53D4F" w:rsidRDefault="00D53D4F" w:rsidP="002A4DBF">
      <w:pPr>
        <w:pStyle w:val="FootnoteText"/>
        <w:spacing w:after="120"/>
      </w:pPr>
      <w:r>
        <w:rPr>
          <w:rStyle w:val="FootnoteReference"/>
        </w:rPr>
        <w:footnoteRef/>
      </w:r>
      <w:r>
        <w:t xml:space="preserve"> Rev. Proc. 94-44, interpreting the effect of Florida’s savings statute that engrafted ascertainable standards onto a beneficiary/trustee to prevent the beneficiary/trustee from holding a general power of appointment.  This is probably now the law in most states, see Uniform Trust Code §814(b).</w:t>
      </w:r>
    </w:p>
  </w:footnote>
  <w:footnote w:id="322">
    <w:p w14:paraId="5E83DA08" w14:textId="77777777" w:rsidR="00D53D4F" w:rsidRDefault="00D53D4F" w:rsidP="002A4DBF">
      <w:pPr>
        <w:pStyle w:val="FootnoteText"/>
        <w:spacing w:after="120"/>
      </w:pPr>
      <w:r>
        <w:rPr>
          <w:rStyle w:val="FootnoteReference"/>
        </w:rPr>
        <w:footnoteRef/>
      </w:r>
      <w:r>
        <w:t xml:space="preserve"> IRC §2514</w:t>
      </w:r>
    </w:p>
  </w:footnote>
  <w:footnote w:id="323">
    <w:p w14:paraId="03503B4E" w14:textId="77777777" w:rsidR="00D53D4F" w:rsidRDefault="00D53D4F" w:rsidP="002A4DBF">
      <w:pPr>
        <w:pStyle w:val="FootnoteText"/>
        <w:spacing w:after="120"/>
      </w:pPr>
      <w:r>
        <w:rPr>
          <w:rStyle w:val="FootnoteReference"/>
        </w:rPr>
        <w:footnoteRef/>
      </w:r>
      <w:r>
        <w:t xml:space="preserve"> PLR 2011-32017, see also PLR 2010-06005 approving reform of a GPOA to an LPOA w/o adverse tax effect.  </w:t>
      </w:r>
    </w:p>
  </w:footnote>
  <w:footnote w:id="324">
    <w:p w14:paraId="37FFC879" w14:textId="77777777" w:rsidR="00D53D4F" w:rsidRDefault="00D53D4F" w:rsidP="00092FF2">
      <w:pPr>
        <w:pStyle w:val="FootnoteText"/>
        <w:spacing w:after="120"/>
      </w:pPr>
      <w:r>
        <w:rPr>
          <w:rStyle w:val="FootnoteReference"/>
        </w:rPr>
        <w:footnoteRef/>
      </w:r>
      <w:r>
        <w:t xml:space="preserve"> PLR 2018-45006.  For a short one-page article on that PLR, see </w:t>
      </w:r>
      <w:hyperlink r:id="rId52" w:history="1">
        <w:r w:rsidRPr="003A6817">
          <w:rPr>
            <w:rStyle w:val="Hyperlink"/>
          </w:rPr>
          <w:t>https://www.linkedin.com/pulse/new-plr-sanctions-amending-irrev-trust-testamentary-edwin-morrow-iii/</w:t>
        </w:r>
      </w:hyperlink>
    </w:p>
  </w:footnote>
  <w:footnote w:id="325">
    <w:p w14:paraId="6ABA9915" w14:textId="77777777" w:rsidR="00D53D4F" w:rsidRDefault="00D53D4F" w:rsidP="002A4DBF">
      <w:pPr>
        <w:pStyle w:val="FootnoteText"/>
        <w:spacing w:after="120"/>
      </w:pPr>
      <w:r>
        <w:rPr>
          <w:rStyle w:val="FootnoteReference"/>
        </w:rPr>
        <w:footnoteRef/>
      </w:r>
      <w:r>
        <w:t xml:space="preserve"> PLR </w:t>
      </w:r>
      <w:r w:rsidRPr="005623AE">
        <w:t>9805025</w:t>
      </w:r>
      <w:r>
        <w:t>.</w:t>
      </w:r>
    </w:p>
  </w:footnote>
  <w:footnote w:id="326">
    <w:p w14:paraId="138FA448" w14:textId="77777777" w:rsidR="00D53D4F" w:rsidRPr="002743F1" w:rsidRDefault="00D53D4F" w:rsidP="002A4DBF">
      <w:pPr>
        <w:pStyle w:val="FootnoteText"/>
        <w:spacing w:after="120"/>
      </w:pPr>
      <w:r>
        <w:rPr>
          <w:rStyle w:val="FootnoteReference"/>
        </w:rPr>
        <w:footnoteRef/>
      </w:r>
      <w:r>
        <w:t xml:space="preserve"> For a great summary of the more than 20 various decanting statutes and their various characteristics, see </w:t>
      </w:r>
      <w:hyperlink r:id="rId53" w:history="1">
        <w:r w:rsidRPr="00D506D4">
          <w:rPr>
            <w:rStyle w:val="Hyperlink"/>
          </w:rPr>
          <w:t>http://www.sidley.com/state-decanting-statutes/</w:t>
        </w:r>
      </w:hyperlink>
      <w:r>
        <w:rPr>
          <w:rStyle w:val="Hyperlink"/>
        </w:rPr>
        <w:t>.</w:t>
      </w:r>
      <w:r>
        <w:rPr>
          <w:rStyle w:val="Hyperlink"/>
          <w:u w:val="none"/>
        </w:rPr>
        <w:t xml:space="preserve">  </w:t>
      </w:r>
      <w:r w:rsidRPr="002743F1">
        <w:rPr>
          <w:rStyle w:val="Hyperlink"/>
          <w:color w:val="auto"/>
          <w:u w:val="none"/>
        </w:rPr>
        <w:t xml:space="preserve">See further discussion of decanting specifically in paragraphs h and </w:t>
      </w:r>
      <w:r>
        <w:rPr>
          <w:rStyle w:val="Hyperlink"/>
          <w:color w:val="auto"/>
          <w:u w:val="none"/>
        </w:rPr>
        <w:t>i</w:t>
      </w:r>
      <w:r w:rsidRPr="002743F1">
        <w:rPr>
          <w:rStyle w:val="Hyperlink"/>
          <w:color w:val="auto"/>
          <w:u w:val="none"/>
        </w:rPr>
        <w:t xml:space="preserve"> of this section.</w:t>
      </w:r>
      <w:r w:rsidRPr="002743F1">
        <w:t xml:space="preserve"> </w:t>
      </w:r>
    </w:p>
  </w:footnote>
  <w:footnote w:id="327">
    <w:p w14:paraId="089E15FB" w14:textId="77777777" w:rsidR="00D53D4F" w:rsidRDefault="00D53D4F" w:rsidP="002A4DBF">
      <w:pPr>
        <w:pStyle w:val="FootnoteText"/>
        <w:spacing w:after="120"/>
      </w:pPr>
      <w:r>
        <w:rPr>
          <w:rStyle w:val="FootnoteReference"/>
        </w:rPr>
        <w:footnoteRef/>
      </w:r>
      <w:r>
        <w:t xml:space="preserve"> Uniform Trust Code §411(b).</w:t>
      </w:r>
    </w:p>
  </w:footnote>
  <w:footnote w:id="328">
    <w:p w14:paraId="33BDFE06" w14:textId="77777777" w:rsidR="00D53D4F" w:rsidRDefault="00D53D4F" w:rsidP="002A4DBF">
      <w:pPr>
        <w:pStyle w:val="FootnoteText"/>
        <w:spacing w:after="120"/>
      </w:pPr>
      <w:r>
        <w:rPr>
          <w:rStyle w:val="FootnoteReference"/>
        </w:rPr>
        <w:footnoteRef/>
      </w:r>
      <w:r>
        <w:t xml:space="preserve"> </w:t>
      </w:r>
      <w:r w:rsidRPr="00CF4141">
        <w:t>Uniform Trust C</w:t>
      </w:r>
      <w:r>
        <w:t>ode §411(a</w:t>
      </w:r>
      <w:r w:rsidRPr="00CF4141">
        <w:t>)</w:t>
      </w:r>
      <w:r>
        <w:t>.</w:t>
      </w:r>
    </w:p>
  </w:footnote>
  <w:footnote w:id="329">
    <w:p w14:paraId="1AC6FCBB" w14:textId="77777777" w:rsidR="00D53D4F" w:rsidRDefault="00D53D4F" w:rsidP="002A4DBF">
      <w:pPr>
        <w:pStyle w:val="FootnoteText"/>
        <w:spacing w:after="120"/>
      </w:pPr>
      <w:r>
        <w:rPr>
          <w:rStyle w:val="FootnoteReference"/>
        </w:rPr>
        <w:footnoteRef/>
      </w:r>
      <w:r>
        <w:t xml:space="preserve"> </w:t>
      </w:r>
      <w:r>
        <w:rPr>
          <w:bCs/>
          <w:color w:val="000000"/>
        </w:rPr>
        <w:t>T</w:t>
      </w:r>
      <w:r w:rsidRPr="00B22436">
        <w:rPr>
          <w:bCs/>
          <w:color w:val="000000"/>
        </w:rPr>
        <w:t xml:space="preserve">his is not to blame the </w:t>
      </w:r>
      <w:r>
        <w:rPr>
          <w:bCs/>
          <w:color w:val="000000"/>
        </w:rPr>
        <w:t>U</w:t>
      </w:r>
      <w:r w:rsidRPr="00B22436">
        <w:rPr>
          <w:bCs/>
          <w:color w:val="000000"/>
        </w:rPr>
        <w:t xml:space="preserve">niform </w:t>
      </w:r>
      <w:r>
        <w:rPr>
          <w:bCs/>
          <w:color w:val="000000"/>
        </w:rPr>
        <w:t>T</w:t>
      </w:r>
      <w:r w:rsidRPr="00B22436">
        <w:rPr>
          <w:bCs/>
          <w:color w:val="000000"/>
        </w:rPr>
        <w:t>rus</w:t>
      </w:r>
      <w:r>
        <w:rPr>
          <w:bCs/>
          <w:color w:val="000000"/>
        </w:rPr>
        <w:t>t C</w:t>
      </w:r>
      <w:r w:rsidRPr="00B22436">
        <w:rPr>
          <w:bCs/>
          <w:color w:val="000000"/>
        </w:rPr>
        <w:t xml:space="preserve">ode – many such options were probably available under common law before anyway, </w:t>
      </w:r>
      <w:r>
        <w:rPr>
          <w:bCs/>
          <w:color w:val="000000"/>
        </w:rPr>
        <w:t xml:space="preserve">or in non-UTC states, </w:t>
      </w:r>
      <w:r w:rsidRPr="00B22436">
        <w:rPr>
          <w:bCs/>
          <w:color w:val="000000"/>
        </w:rPr>
        <w:t xml:space="preserve">but </w:t>
      </w:r>
      <w:r>
        <w:rPr>
          <w:bCs/>
          <w:color w:val="000000"/>
        </w:rPr>
        <w:t>the</w:t>
      </w:r>
      <w:r w:rsidRPr="00B22436">
        <w:rPr>
          <w:bCs/>
          <w:color w:val="000000"/>
        </w:rPr>
        <w:t xml:space="preserve"> </w:t>
      </w:r>
      <w:r>
        <w:rPr>
          <w:bCs/>
          <w:color w:val="000000"/>
        </w:rPr>
        <w:t xml:space="preserve">UTC </w:t>
      </w:r>
      <w:r w:rsidRPr="00B22436">
        <w:rPr>
          <w:bCs/>
          <w:color w:val="000000"/>
        </w:rPr>
        <w:t>undoubtedly c</w:t>
      </w:r>
      <w:r>
        <w:rPr>
          <w:bCs/>
          <w:color w:val="000000"/>
        </w:rPr>
        <w:t>reates clarification, interest and awareness.</w:t>
      </w:r>
    </w:p>
  </w:footnote>
  <w:footnote w:id="330">
    <w:p w14:paraId="5EDA4F86" w14:textId="77777777" w:rsidR="00D53D4F" w:rsidRDefault="00D53D4F" w:rsidP="002A4DBF">
      <w:pPr>
        <w:pStyle w:val="FootnoteText"/>
        <w:spacing w:after="120"/>
      </w:pPr>
      <w:r>
        <w:rPr>
          <w:rStyle w:val="FootnoteReference"/>
        </w:rPr>
        <w:footnoteRef/>
      </w:r>
      <w:r>
        <w:t xml:space="preserve"> </w:t>
      </w:r>
      <w:r w:rsidRPr="00B90470">
        <w:t xml:space="preserve">Rev. Rul. 81-264, </w:t>
      </w:r>
      <w:r>
        <w:t>also</w:t>
      </w:r>
      <w:r w:rsidRPr="00B90470">
        <w:t xml:space="preserve"> </w:t>
      </w:r>
      <w:r>
        <w:t>GCM 38</w:t>
      </w:r>
      <w:r w:rsidRPr="00B90470">
        <w:t>584</w:t>
      </w:r>
      <w:r>
        <w:t>.</w:t>
      </w:r>
    </w:p>
  </w:footnote>
  <w:footnote w:id="331">
    <w:p w14:paraId="7829AD5B" w14:textId="77777777" w:rsidR="00D53D4F" w:rsidRDefault="00D53D4F" w:rsidP="002A4DBF">
      <w:pPr>
        <w:pStyle w:val="FootnoteText"/>
        <w:spacing w:after="120"/>
      </w:pPr>
      <w:r>
        <w:rPr>
          <w:rStyle w:val="FootnoteReference"/>
        </w:rPr>
        <w:footnoteRef/>
      </w:r>
      <w:r>
        <w:t xml:space="preserve"> Rev. Rul. 84-105.  A later ruling is similar: in Rev. Rul. 86-39, a beneficiary of a trust acquiesced in a recapitalization and funding of a trust split that essentially had the effect of shifting more value to the trust over which the beneficiary did not have a testamentary general power of appointment and away from the trust over which he did have a testamentary general power of appointment. The IRS ruled that this would be a taxable gift: “S, as the beneficiary of Trust A, could have asserted the right of a trust beneficiary under local law to prevent the trustee from permitting a loss in value of the trust assets. The execution of the release in which S agreed not to raise an objection to the trustee's conduct with respect to the recapitalization constitutes a release of a general testamentary power of appointment by S over stock worth 70x dollars. For purposes of the gift tax, the release by S is treated as a transfer of property to C, the owner of the remainder interest in Trust B, for which S did not receive adequate and full consideration. See Rev. Rul. 84-105.”</w:t>
      </w:r>
    </w:p>
  </w:footnote>
  <w:footnote w:id="332">
    <w:p w14:paraId="71EC688D" w14:textId="77777777" w:rsidR="00D53D4F" w:rsidRDefault="00D53D4F" w:rsidP="002A4DBF">
      <w:pPr>
        <w:pStyle w:val="FootnoteText"/>
        <w:spacing w:after="120"/>
      </w:pPr>
      <w:r>
        <w:rPr>
          <w:rStyle w:val="FootnoteReference"/>
        </w:rPr>
        <w:footnoteRef/>
      </w:r>
      <w:r>
        <w:t xml:space="preserve"> </w:t>
      </w:r>
      <w:r w:rsidRPr="00717365">
        <w:rPr>
          <w:i/>
        </w:rPr>
        <w:t>Sexton v. U.S.</w:t>
      </w:r>
      <w:r>
        <w:t xml:space="preserve">, 300 F.2d 490 (7th Cir. 1962), </w:t>
      </w:r>
      <w:r w:rsidRPr="007B0B3A">
        <w:rPr>
          <w:i/>
        </w:rPr>
        <w:t>cert denied</w:t>
      </w:r>
      <w:r>
        <w:t xml:space="preserve"> 371 U.S. 820 (1962).</w:t>
      </w:r>
    </w:p>
  </w:footnote>
  <w:footnote w:id="333">
    <w:p w14:paraId="1573EA07" w14:textId="77777777" w:rsidR="00D53D4F" w:rsidRDefault="00D53D4F" w:rsidP="002A4DBF">
      <w:pPr>
        <w:pStyle w:val="FootnoteText"/>
        <w:spacing w:after="120"/>
      </w:pPr>
      <w:r>
        <w:rPr>
          <w:rStyle w:val="FootnoteReference"/>
        </w:rPr>
        <w:footnoteRef/>
      </w:r>
      <w:r>
        <w:t xml:space="preserve"> </w:t>
      </w:r>
      <w:r w:rsidRPr="005C32DE">
        <w:rPr>
          <w:i/>
        </w:rPr>
        <w:t>Brooks v. Welch</w:t>
      </w:r>
      <w:r>
        <w:t>, 29 F.Supp. 819 (D. Mass. 1938).</w:t>
      </w:r>
    </w:p>
  </w:footnote>
  <w:footnote w:id="334">
    <w:p w14:paraId="1AE5CB50" w14:textId="77777777" w:rsidR="00D53D4F" w:rsidRDefault="00D53D4F" w:rsidP="002A4DBF">
      <w:pPr>
        <w:pStyle w:val="FootnoteText"/>
        <w:spacing w:after="120"/>
      </w:pPr>
      <w:r>
        <w:rPr>
          <w:rStyle w:val="FootnoteReference"/>
        </w:rPr>
        <w:footnoteRef/>
      </w:r>
      <w:r>
        <w:t xml:space="preserve"> PLR </w:t>
      </w:r>
      <w:r w:rsidRPr="001D27E7">
        <w:rPr>
          <w:bCs/>
        </w:rPr>
        <w:t>2011</w:t>
      </w:r>
      <w:r>
        <w:rPr>
          <w:bCs/>
        </w:rPr>
        <w:t>-</w:t>
      </w:r>
      <w:r w:rsidRPr="001D27E7">
        <w:rPr>
          <w:bCs/>
        </w:rPr>
        <w:t>22007</w:t>
      </w:r>
      <w:r>
        <w:rPr>
          <w:bCs/>
        </w:rPr>
        <w:t xml:space="preserve">, see also similar PLR </w:t>
      </w:r>
      <w:r w:rsidRPr="008F61AB">
        <w:rPr>
          <w:bCs/>
        </w:rPr>
        <w:t>8535020</w:t>
      </w:r>
      <w:r>
        <w:rPr>
          <w:bCs/>
        </w:rPr>
        <w:t>.</w:t>
      </w:r>
    </w:p>
  </w:footnote>
  <w:footnote w:id="335">
    <w:p w14:paraId="7CB57B73" w14:textId="77777777" w:rsidR="00D53D4F" w:rsidRDefault="00D53D4F" w:rsidP="00DA1E28">
      <w:pPr>
        <w:pStyle w:val="FootnoteText"/>
      </w:pPr>
      <w:r>
        <w:rPr>
          <w:rStyle w:val="FootnoteReference"/>
        </w:rPr>
        <w:footnoteRef/>
      </w:r>
      <w:r>
        <w:t xml:space="preserve"> In addition to PLRs above, Rev. Rul. 67-370, Rev. Rul. 75-550 and PLR 8824025, PLR 8905035, PLR 9451049 (support), PLR 9714030, PLR 9802031, PLR 9811044, PLR 1999-08060, PLR 2002-43026, PLR 2003-39021, PLR 2007-45015, PLR 2007-45016, PLR 2001-22007, PLR 2013-42001 (list copied from fn38 of </w:t>
      </w:r>
      <w:r w:rsidRPr="00E769F8">
        <w:rPr>
          <w:i/>
        </w:rPr>
        <w:t>The Dueling Transferors Problem in Generation Skipping Transfer Taxation</w:t>
      </w:r>
      <w:r>
        <w:t xml:space="preserve">, ACTEC Law Journal </w:t>
      </w:r>
      <w:r w:rsidRPr="00E769F8">
        <w:t>Volume 41 Number 1 Spring 2015</w:t>
      </w:r>
      <w:r>
        <w:t>, by Austin Bramwell and Sean R. Weissbart).</w:t>
      </w:r>
    </w:p>
  </w:footnote>
  <w:footnote w:id="336">
    <w:p w14:paraId="594DDE3E" w14:textId="77777777" w:rsidR="00D53D4F" w:rsidRDefault="00D53D4F" w:rsidP="002A4DBF">
      <w:pPr>
        <w:pStyle w:val="FootnoteText"/>
        <w:spacing w:after="120"/>
      </w:pPr>
      <w:r>
        <w:rPr>
          <w:rStyle w:val="FootnoteReference"/>
        </w:rPr>
        <w:footnoteRef/>
      </w:r>
      <w:r>
        <w:t xml:space="preserve"> IRS TAM 9419007, citing</w:t>
      </w:r>
      <w:r w:rsidRPr="00953A99">
        <w:t xml:space="preserve"> </w:t>
      </w:r>
      <w:r w:rsidRPr="00953A99">
        <w:rPr>
          <w:i/>
        </w:rPr>
        <w:t>Jewett v. Comm'r</w:t>
      </w:r>
      <w:r w:rsidRPr="00953A99">
        <w:t>, 455 U.S. 305 (U.S. 1982)</w:t>
      </w:r>
      <w:r>
        <w:t xml:space="preserve">, the TAM discussing the exercise of a limited power of appointment that essentially eliminated a power holder’s vested contingent remainder interest, and the </w:t>
      </w:r>
      <w:r w:rsidRPr="001B128F">
        <w:rPr>
          <w:i/>
        </w:rPr>
        <w:t>Jewett</w:t>
      </w:r>
      <w:r>
        <w:t xml:space="preserve"> case discussing a non-qualified disclaimer’s elimination of the same. </w:t>
      </w:r>
    </w:p>
  </w:footnote>
  <w:footnote w:id="337">
    <w:p w14:paraId="1B53C6EB" w14:textId="77777777" w:rsidR="00D53D4F" w:rsidRDefault="00D53D4F" w:rsidP="002A4DBF">
      <w:pPr>
        <w:pStyle w:val="FootnoteText"/>
        <w:spacing w:after="120"/>
      </w:pPr>
      <w:r>
        <w:rPr>
          <w:rStyle w:val="FootnoteReference"/>
        </w:rPr>
        <w:footnoteRef/>
      </w:r>
      <w:r>
        <w:t xml:space="preserve"> PLR </w:t>
      </w:r>
      <w:r w:rsidRPr="00071BBB">
        <w:t>9451049</w:t>
      </w:r>
      <w:r>
        <w:t xml:space="preserve">, citing </w:t>
      </w:r>
      <w:r w:rsidRPr="00071BBB">
        <w:t>Rev. Rul. 75-550</w:t>
      </w:r>
      <w:r>
        <w:t xml:space="preserve"> for how to value such interests – just because a discretionary HEMS interest is not in one’s estate for federal tax purposes per §2041, nor subject to creditors under most state laws, does not mean that it has no value as a property right!  Not only is this true in the gift context, but also for tax liens on trust interests, see separate outline by author.</w:t>
      </w:r>
    </w:p>
  </w:footnote>
  <w:footnote w:id="338">
    <w:p w14:paraId="7802E967" w14:textId="77777777" w:rsidR="00D53D4F" w:rsidRDefault="00D53D4F" w:rsidP="002A4DBF">
      <w:pPr>
        <w:pStyle w:val="FootnoteText"/>
        <w:spacing w:after="120"/>
      </w:pPr>
      <w:r>
        <w:rPr>
          <w:rStyle w:val="FootnoteReference"/>
        </w:rPr>
        <w:footnoteRef/>
      </w:r>
      <w:r>
        <w:t xml:space="preserve"> </w:t>
      </w:r>
      <w:r w:rsidRPr="00935EA8">
        <w:t>Treas. Reg. §25.2511-1</w:t>
      </w:r>
      <w:r>
        <w:t>(c)(1), quoted in full above.</w:t>
      </w:r>
    </w:p>
  </w:footnote>
  <w:footnote w:id="339">
    <w:p w14:paraId="22C111ED" w14:textId="77777777" w:rsidR="00D53D4F" w:rsidRDefault="00D53D4F" w:rsidP="00DA1E28">
      <w:pPr>
        <w:pStyle w:val="FootnoteText"/>
      </w:pPr>
      <w:r>
        <w:rPr>
          <w:rStyle w:val="FootnoteReference"/>
        </w:rPr>
        <w:footnoteRef/>
      </w:r>
      <w:r>
        <w:t xml:space="preserve"> See </w:t>
      </w:r>
      <w:hyperlink r:id="rId54" w:history="1">
        <w:r w:rsidRPr="00E769F8">
          <w:rPr>
            <w:rStyle w:val="Hyperlink"/>
          </w:rPr>
          <w:t>PLR 2005-36018</w:t>
        </w:r>
      </w:hyperlink>
      <w:r>
        <w:t xml:space="preserve"> (pages 5-6 discuss gift tax aspects), in which the IRS determined that a court-ordered modification of remainder interests whereby children and grandchildren gave up some interest in the trust favor of their children/grandchildren was a taxable gift.</w:t>
      </w:r>
    </w:p>
  </w:footnote>
  <w:footnote w:id="340">
    <w:p w14:paraId="63D96E2A" w14:textId="77777777" w:rsidR="00D53D4F" w:rsidRDefault="00D53D4F" w:rsidP="002A4DBF">
      <w:pPr>
        <w:pStyle w:val="FootnoteText"/>
        <w:spacing w:after="120"/>
      </w:pPr>
      <w:r>
        <w:rPr>
          <w:rStyle w:val="FootnoteReference"/>
        </w:rPr>
        <w:footnoteRef/>
      </w:r>
      <w:r>
        <w:t xml:space="preserve"> See </w:t>
      </w:r>
      <w:r w:rsidRPr="006C4E14">
        <w:rPr>
          <w:i/>
        </w:rPr>
        <w:t>Gifts by Fiduciaries by Tax Options and Elections</w:t>
      </w:r>
      <w:r>
        <w:rPr>
          <w:i/>
        </w:rPr>
        <w:t>,</w:t>
      </w:r>
      <w:r>
        <w:t xml:space="preserve"> cited and discussed on page 33, footnote 75.  But, recall the beneficiary/spouse/trustee in PLR </w:t>
      </w:r>
      <w:r w:rsidRPr="00822D4B">
        <w:t>9805025</w:t>
      </w:r>
      <w:r>
        <w:t xml:space="preserve"> and PLR 2011-32017 initiated the reformations to no ill effect.</w:t>
      </w:r>
    </w:p>
  </w:footnote>
  <w:footnote w:id="341">
    <w:p w14:paraId="27641C86" w14:textId="39F5EE11" w:rsidR="00D53D4F" w:rsidRDefault="00D53D4F" w:rsidP="002A4DBF">
      <w:pPr>
        <w:pStyle w:val="FootnoteText"/>
        <w:spacing w:after="120"/>
      </w:pPr>
      <w:r>
        <w:rPr>
          <w:rStyle w:val="FootnoteReference"/>
        </w:rPr>
        <w:footnoteRef/>
      </w:r>
      <w:r>
        <w:t xml:space="preserve"> E.g.</w:t>
      </w:r>
      <w:r w:rsidR="00387CAD">
        <w:t>,</w:t>
      </w:r>
      <w:r>
        <w:t xml:space="preserve"> Uniform Trust Code §412, §416.</w:t>
      </w:r>
    </w:p>
  </w:footnote>
  <w:footnote w:id="342">
    <w:p w14:paraId="46A6FD4C" w14:textId="77777777" w:rsidR="00D53D4F" w:rsidRDefault="00D53D4F" w:rsidP="0030207D">
      <w:pPr>
        <w:pStyle w:val="FootnoteText"/>
        <w:spacing w:after="120"/>
      </w:pPr>
      <w:r>
        <w:rPr>
          <w:rStyle w:val="FootnoteReference"/>
        </w:rPr>
        <w:footnoteRef/>
      </w:r>
      <w:r>
        <w:t xml:space="preserve"> See </w:t>
      </w:r>
      <w:r w:rsidRPr="0030207D">
        <w:rPr>
          <w:i/>
        </w:rPr>
        <w:t>DiMarco v. Comm</w:t>
      </w:r>
      <w:r>
        <w:t>., 87 T.C. 653 (1986), holding that no gift occurred merely due to acts of a decedent’s employer beyond his control pertaining to involuntarily granted survivor benefits later payable to his spouse.</w:t>
      </w:r>
    </w:p>
  </w:footnote>
  <w:footnote w:id="343">
    <w:p w14:paraId="0F50246E" w14:textId="77777777" w:rsidR="00D53D4F" w:rsidRDefault="00D53D4F" w:rsidP="002A4DBF">
      <w:pPr>
        <w:pStyle w:val="FootnoteText"/>
        <w:spacing w:after="120"/>
      </w:pPr>
      <w:r>
        <w:rPr>
          <w:rStyle w:val="FootnoteReference"/>
        </w:rPr>
        <w:footnoteRef/>
      </w:r>
      <w:r>
        <w:t xml:space="preserve"> Rev. Proc. 94-44.</w:t>
      </w:r>
    </w:p>
  </w:footnote>
  <w:footnote w:id="344">
    <w:p w14:paraId="10923EF2" w14:textId="77777777" w:rsidR="00D53D4F" w:rsidRDefault="00D53D4F" w:rsidP="002A4DBF">
      <w:pPr>
        <w:pStyle w:val="FootnoteText"/>
        <w:spacing w:after="120"/>
      </w:pPr>
      <w:r>
        <w:rPr>
          <w:rStyle w:val="FootnoteReference"/>
        </w:rPr>
        <w:footnoteRef/>
      </w:r>
      <w:r>
        <w:t xml:space="preserve"> </w:t>
      </w:r>
      <w:r w:rsidRPr="008633AC">
        <w:rPr>
          <w:i/>
        </w:rPr>
        <w:t>Estate of Victoria E. Dieringer v. Comm</w:t>
      </w:r>
      <w:r>
        <w:rPr>
          <w:i/>
        </w:rPr>
        <w:t>issioner</w:t>
      </w:r>
      <w:r w:rsidRPr="008633AC">
        <w:t>, 146 T.C. No. 8 (March 30, 2016)</w:t>
      </w:r>
      <w:r>
        <w:t xml:space="preserve">, </w:t>
      </w:r>
      <w:r w:rsidRPr="00FF3761">
        <w:rPr>
          <w:i/>
        </w:rPr>
        <w:t>Atkinson v. Comm</w:t>
      </w:r>
      <w:r>
        <w:rPr>
          <w:i/>
        </w:rPr>
        <w:t>issione</w:t>
      </w:r>
      <w:r w:rsidRPr="00FF3761">
        <w:rPr>
          <w:i/>
        </w:rPr>
        <w:t>r</w:t>
      </w:r>
      <w:r w:rsidRPr="00FF3761">
        <w:t>, 309 F.3d 129 (11th Cir. 2002) and CCA 2006-28026</w:t>
      </w:r>
      <w:r>
        <w:t>.  This may extend to QSSTs and see-through IRA trusts too.</w:t>
      </w:r>
    </w:p>
  </w:footnote>
  <w:footnote w:id="345">
    <w:p w14:paraId="5585791E" w14:textId="0F88C2F4" w:rsidR="00D53D4F" w:rsidRDefault="00D53D4F" w:rsidP="002A4DBF">
      <w:pPr>
        <w:pStyle w:val="FootnoteText"/>
        <w:spacing w:after="120"/>
      </w:pPr>
      <w:r>
        <w:rPr>
          <w:rStyle w:val="FootnoteReference"/>
        </w:rPr>
        <w:footnoteRef/>
      </w:r>
      <w:r>
        <w:t xml:space="preserve"> See prior discussion (fn 2</w:t>
      </w:r>
      <w:r w:rsidR="00883264">
        <w:t>81</w:t>
      </w:r>
      <w:r>
        <w:t xml:space="preserve">) on the </w:t>
      </w:r>
      <w:r w:rsidRPr="00457640">
        <w:rPr>
          <w:i/>
        </w:rPr>
        <w:t>Backemeyer</w:t>
      </w:r>
      <w:r w:rsidRPr="00457640">
        <w:t xml:space="preserve"> </w:t>
      </w:r>
      <w:r>
        <w:t xml:space="preserve">case and the tax benefit rule.  I have no idea if the tax benefit rule has ever been applied to estate tax, but certainly the IRS would try any equitable argument in the arsenal to go after such planning and I suspect the tax court would be receptive to any such argument.  That said, the recent </w:t>
      </w:r>
      <w:r w:rsidRPr="00457640">
        <w:rPr>
          <w:i/>
        </w:rPr>
        <w:t>Summa Holdings</w:t>
      </w:r>
      <w:r>
        <w:t xml:space="preserve"> cases should buoy some spirits – the 6</w:t>
      </w:r>
      <w:r w:rsidRPr="00457640">
        <w:rPr>
          <w:vertAlign w:val="superscript"/>
        </w:rPr>
        <w:t>th</w:t>
      </w:r>
      <w:r>
        <w:t xml:space="preserve"> Circuit (later backed up by the First and Second Circuits in appeals of same case by different parties) slammed the tax court’s broad application of “substance over form”.</w:t>
      </w:r>
    </w:p>
  </w:footnote>
  <w:footnote w:id="346">
    <w:p w14:paraId="7C845E5E" w14:textId="23B97B9D" w:rsidR="00D53D4F" w:rsidRDefault="00D53D4F" w:rsidP="002A4DBF">
      <w:pPr>
        <w:pStyle w:val="FootnoteText"/>
        <w:spacing w:after="120"/>
      </w:pPr>
      <w:r>
        <w:rPr>
          <w:rStyle w:val="FootnoteReference"/>
        </w:rPr>
        <w:footnoteRef/>
      </w:r>
      <w:r>
        <w:t xml:space="preserve"> </w:t>
      </w:r>
      <w:r w:rsidRPr="00385BDC">
        <w:t xml:space="preserve">For discussion of fraudulent transfer </w:t>
      </w:r>
      <w:r>
        <w:t>issues</w:t>
      </w:r>
      <w:r w:rsidRPr="00385BDC">
        <w:t xml:space="preserve"> using decanting see </w:t>
      </w:r>
      <w:r w:rsidRPr="00385BDC">
        <w:rPr>
          <w:i/>
        </w:rPr>
        <w:t>Ferri v. Powell-Ferri: Asset Protection Issues, Perils and Opportunities with Decanting</w:t>
      </w:r>
      <w:r w:rsidRPr="00385BDC">
        <w:t>, Ed Morrow &amp; Steve Oshins, LISI Asset Protection Newsletter #240</w:t>
      </w:r>
      <w:r>
        <w:t>.  A disgruntled spouse tried to void a trustee’s decanting that removed the husband/beneficiary’s withdrawal right just prior to divorce as fraudulent but was denied relief.</w:t>
      </w:r>
      <w:r w:rsidR="00796B44">
        <w:t xml:space="preserve">  This case had a long, interesting </w:t>
      </w:r>
      <w:r w:rsidR="00F231CD">
        <w:t>history</w:t>
      </w:r>
      <w:r w:rsidR="00796B44">
        <w:t xml:space="preserve"> with multiple issues.</w:t>
      </w:r>
    </w:p>
  </w:footnote>
  <w:footnote w:id="347">
    <w:p w14:paraId="7D25409E" w14:textId="0A298185" w:rsidR="00D53D4F" w:rsidRDefault="00D53D4F" w:rsidP="002A4DBF">
      <w:pPr>
        <w:pStyle w:val="FootnoteText"/>
        <w:spacing w:after="120"/>
      </w:pPr>
      <w:r>
        <w:rPr>
          <w:rStyle w:val="FootnoteReference"/>
        </w:rPr>
        <w:footnoteRef/>
      </w:r>
      <w:r>
        <w:t xml:space="preserve"> </w:t>
      </w:r>
      <w:r w:rsidRPr="00263569">
        <w:rPr>
          <w:i/>
        </w:rPr>
        <w:t>Hawley v. Simpson (In re Hawley)</w:t>
      </w:r>
      <w:r>
        <w:t xml:space="preserve">, 2004 Bankr. LEXIS 173 – finding that an extension of trust by beneficiaries created a self-settled trust, negating 11 USC §541(c)(2)’s ordinary protection/exclusion of </w:t>
      </w:r>
      <w:r w:rsidR="00E55863">
        <w:t>third-party</w:t>
      </w:r>
      <w:r>
        <w:t xml:space="preserve"> spendthrift trusts, making it accessible to the beneficiary’s bankruptcy estate.  For more on busting third party trusts, how such actions might trigger fraudulent transfers and dilute or destroy asset protection, see author’s separate CLE outlines.  </w:t>
      </w:r>
    </w:p>
  </w:footnote>
  <w:footnote w:id="348">
    <w:p w14:paraId="192CF300" w14:textId="77777777" w:rsidR="00D53D4F" w:rsidRDefault="00D53D4F" w:rsidP="002A4DBF">
      <w:pPr>
        <w:pStyle w:val="FootnoteText"/>
        <w:spacing w:after="120"/>
      </w:pPr>
      <w:r>
        <w:rPr>
          <w:rStyle w:val="FootnoteReference"/>
        </w:rPr>
        <w:footnoteRef/>
      </w:r>
      <w:r>
        <w:t xml:space="preserve"> See discussion in the Uniform Disclaimer of Property Interests Act, §§6-7.</w:t>
      </w:r>
    </w:p>
  </w:footnote>
  <w:footnote w:id="349">
    <w:p w14:paraId="6C72F561" w14:textId="77777777" w:rsidR="00D53D4F" w:rsidRPr="0095405E" w:rsidRDefault="00D53D4F" w:rsidP="002A4DBF">
      <w:pPr>
        <w:pStyle w:val="FootnoteText"/>
        <w:spacing w:after="120"/>
      </w:pPr>
      <w:r>
        <w:rPr>
          <w:rStyle w:val="FootnoteReference"/>
        </w:rPr>
        <w:footnoteRef/>
      </w:r>
      <w:r>
        <w:t xml:space="preserve"> </w:t>
      </w:r>
      <w:r w:rsidRPr="0095405E">
        <w:t>Tre</w:t>
      </w:r>
      <w:r>
        <w:t>as. Reg. §26.2601-1(b)(4)(i)(D).</w:t>
      </w:r>
    </w:p>
  </w:footnote>
  <w:footnote w:id="350">
    <w:p w14:paraId="113C74CA" w14:textId="77777777" w:rsidR="00D53D4F" w:rsidRDefault="00D53D4F" w:rsidP="002A4DBF">
      <w:pPr>
        <w:pStyle w:val="FootnoteText"/>
        <w:spacing w:after="120"/>
      </w:pPr>
      <w:r>
        <w:rPr>
          <w:rStyle w:val="FootnoteReference"/>
        </w:rPr>
        <w:footnoteRef/>
      </w:r>
      <w:r>
        <w:t xml:space="preserve"> </w:t>
      </w:r>
      <w:r w:rsidRPr="002C5520">
        <w:rPr>
          <w:bCs/>
          <w:i/>
          <w:iCs/>
        </w:rPr>
        <w:t>Cottage Savings Association v. Commissioner</w:t>
      </w:r>
      <w:r>
        <w:rPr>
          <w:bCs/>
          <w:i/>
          <w:iCs/>
        </w:rPr>
        <w:t>,</w:t>
      </w:r>
      <w:r w:rsidRPr="002C5520">
        <w:rPr>
          <w:bCs/>
        </w:rPr>
        <w:t xml:space="preserve"> </w:t>
      </w:r>
      <w:r>
        <w:rPr>
          <w:bCs/>
        </w:rPr>
        <w:t>499 U.S. 554 (1991).</w:t>
      </w:r>
    </w:p>
  </w:footnote>
  <w:footnote w:id="351">
    <w:p w14:paraId="5759283F" w14:textId="77777777" w:rsidR="00D53D4F" w:rsidRDefault="00D53D4F" w:rsidP="002A4DBF">
      <w:pPr>
        <w:pStyle w:val="FootnoteText"/>
        <w:spacing w:after="120"/>
      </w:pPr>
      <w:r>
        <w:rPr>
          <w:rStyle w:val="FootnoteReference"/>
        </w:rPr>
        <w:footnoteRef/>
      </w:r>
      <w:r>
        <w:t xml:space="preserve"> </w:t>
      </w:r>
      <w:r w:rsidRPr="007E74DB">
        <w:rPr>
          <w:bCs/>
          <w:i/>
        </w:rPr>
        <w:t>Evans v. Commissioner</w:t>
      </w:r>
      <w:r w:rsidRPr="00C21A6D">
        <w:rPr>
          <w:bCs/>
        </w:rPr>
        <w:t>, 30 T.C. 798 (1958)</w:t>
      </w:r>
      <w:r>
        <w:rPr>
          <w:bCs/>
        </w:rPr>
        <w:t>.</w:t>
      </w:r>
    </w:p>
  </w:footnote>
  <w:footnote w:id="352">
    <w:p w14:paraId="1269E1F0" w14:textId="77777777" w:rsidR="00D53D4F" w:rsidRDefault="00D53D4F" w:rsidP="00F56A50">
      <w:pPr>
        <w:pStyle w:val="FootnoteText"/>
      </w:pPr>
      <w:r>
        <w:rPr>
          <w:rStyle w:val="FootnoteReference"/>
        </w:rPr>
        <w:footnoteRef/>
      </w:r>
      <w:r>
        <w:t xml:space="preserve"> </w:t>
      </w:r>
      <w:r w:rsidRPr="007F6963">
        <w:t>Rev. Rul. 73-476</w:t>
      </w:r>
      <w:r>
        <w:t>,</w:t>
      </w:r>
      <w:r w:rsidRPr="00F56A50">
        <w:t xml:space="preserve"> </w:t>
      </w:r>
      <w:r>
        <w:t>Rev. Rul. 79-44.  However, if it’s only one parcel being divided pursuant to state law partition, see Rev. Rul. 56-437 and another more recent ruling holding that no exchange occurs, PLR 2004-11022.</w:t>
      </w:r>
    </w:p>
  </w:footnote>
  <w:footnote w:id="353">
    <w:p w14:paraId="030D80FE" w14:textId="77777777" w:rsidR="00D53D4F" w:rsidRDefault="00D53D4F" w:rsidP="002A4DBF">
      <w:pPr>
        <w:pStyle w:val="FootnoteText"/>
        <w:spacing w:after="120"/>
      </w:pPr>
      <w:r>
        <w:rPr>
          <w:rStyle w:val="FootnoteReference"/>
        </w:rPr>
        <w:footnoteRef/>
      </w:r>
      <w:r>
        <w:t xml:space="preserve"> </w:t>
      </w:r>
      <w:r w:rsidRPr="007E74DB">
        <w:rPr>
          <w:bCs/>
          <w:i/>
        </w:rPr>
        <w:t>Silverstein v. United States</w:t>
      </w:r>
      <w:r w:rsidRPr="007E74DB">
        <w:rPr>
          <w:bCs/>
        </w:rPr>
        <w:t>, 419 F.2d 999 (7th Cir. 1969)</w:t>
      </w:r>
      <w:r>
        <w:rPr>
          <w:bCs/>
        </w:rPr>
        <w:t>.</w:t>
      </w:r>
    </w:p>
  </w:footnote>
  <w:footnote w:id="354">
    <w:p w14:paraId="381A4AB8" w14:textId="77777777" w:rsidR="00D53D4F" w:rsidRDefault="00D53D4F" w:rsidP="002A4DBF">
      <w:pPr>
        <w:pStyle w:val="FootnoteText"/>
        <w:spacing w:after="120"/>
      </w:pPr>
      <w:r>
        <w:rPr>
          <w:rStyle w:val="FootnoteReference"/>
        </w:rPr>
        <w:footnoteRef/>
      </w:r>
      <w:r>
        <w:t xml:space="preserve"> </w:t>
      </w:r>
      <w:r w:rsidRPr="00070A29">
        <w:rPr>
          <w:bCs/>
        </w:rPr>
        <w:t>PLR 2002</w:t>
      </w:r>
      <w:r>
        <w:rPr>
          <w:bCs/>
        </w:rPr>
        <w:t>-</w:t>
      </w:r>
      <w:r w:rsidRPr="00070A29">
        <w:rPr>
          <w:bCs/>
        </w:rPr>
        <w:t>31011</w:t>
      </w:r>
      <w:r>
        <w:rPr>
          <w:bCs/>
        </w:rPr>
        <w:t>.</w:t>
      </w:r>
    </w:p>
  </w:footnote>
  <w:footnote w:id="355">
    <w:p w14:paraId="63B14265" w14:textId="77777777" w:rsidR="00D53D4F" w:rsidRDefault="00D53D4F" w:rsidP="002A4DBF">
      <w:pPr>
        <w:pStyle w:val="FootnoteText"/>
        <w:spacing w:after="120"/>
      </w:pPr>
      <w:r>
        <w:rPr>
          <w:rStyle w:val="FootnoteReference"/>
        </w:rPr>
        <w:footnoteRef/>
      </w:r>
      <w:r>
        <w:t xml:space="preserve"> IRC §1001(a), Treas. Reg. §1.1001-1(a).</w:t>
      </w:r>
    </w:p>
  </w:footnote>
  <w:footnote w:id="356">
    <w:p w14:paraId="224D0D76" w14:textId="77777777" w:rsidR="00D53D4F" w:rsidRDefault="00D53D4F" w:rsidP="002A4DBF">
      <w:pPr>
        <w:pStyle w:val="FootnoteText"/>
        <w:spacing w:after="120"/>
      </w:pPr>
      <w:r>
        <w:rPr>
          <w:rStyle w:val="FootnoteReference"/>
        </w:rPr>
        <w:footnoteRef/>
      </w:r>
      <w:r>
        <w:t xml:space="preserve">  PLR 2008-04015 (splitting into subtrusts), PLR 2007-36023, PLR 2007-28026, PLR 2007-25008, PLR 2007-17007, PLR 2006-45005, PLR 2010-42004,   PLR 2010-33025, PLR 2010-21004, PLR 2010-23004, PLR 2007-42011, PLR 2007-36023, PLR 2007-28026, PLR 2006-47022, PLR 2006-37042, PLR 2006-33012, PLR 2006-29021, PLR 2006-27008, PLR 2006-19001, PLR 2006-18003, which all concerned various minor modifications and divisions of trusts, but nothing so drastic as </w:t>
      </w:r>
      <w:r w:rsidRPr="000E71DE">
        <w:rPr>
          <w:bCs/>
        </w:rPr>
        <w:t>2002-31011</w:t>
      </w:r>
      <w:r>
        <w:rPr>
          <w:bCs/>
        </w:rPr>
        <w:t>.  There are probably more than cited above.</w:t>
      </w:r>
    </w:p>
  </w:footnote>
  <w:footnote w:id="357">
    <w:p w14:paraId="010A2982" w14:textId="77777777" w:rsidR="00D53D4F" w:rsidRDefault="00D53D4F" w:rsidP="002A4DBF">
      <w:pPr>
        <w:pStyle w:val="FootnoteText"/>
        <w:spacing w:after="120"/>
      </w:pPr>
      <w:r>
        <w:rPr>
          <w:rStyle w:val="FootnoteReference"/>
        </w:rPr>
        <w:footnoteRef/>
      </w:r>
      <w:r>
        <w:t xml:space="preserve"> </w:t>
      </w:r>
      <w:r w:rsidRPr="00C03291">
        <w:t>PLR 2010-42004</w:t>
      </w:r>
      <w:r>
        <w:t>.</w:t>
      </w:r>
    </w:p>
  </w:footnote>
  <w:footnote w:id="358">
    <w:p w14:paraId="7DE71832" w14:textId="77777777" w:rsidR="00D53D4F" w:rsidRDefault="00D53D4F" w:rsidP="002A4DBF">
      <w:pPr>
        <w:pStyle w:val="FootnoteText"/>
        <w:spacing w:after="120"/>
      </w:pPr>
      <w:r>
        <w:rPr>
          <w:rStyle w:val="FootnoteReference"/>
        </w:rPr>
        <w:footnoteRef/>
      </w:r>
      <w:r>
        <w:t xml:space="preserve"> Treas. Reg. §1.1002-1(d).</w:t>
      </w:r>
    </w:p>
  </w:footnote>
  <w:footnote w:id="359">
    <w:p w14:paraId="25982A4E" w14:textId="77777777" w:rsidR="00D53D4F" w:rsidRDefault="00D53D4F" w:rsidP="002A4DBF">
      <w:pPr>
        <w:pStyle w:val="FootnoteText"/>
        <w:spacing w:after="120"/>
      </w:pPr>
      <w:r>
        <w:rPr>
          <w:rStyle w:val="FootnoteReference"/>
        </w:rPr>
        <w:footnoteRef/>
      </w:r>
      <w:r>
        <w:t xml:space="preserve"> E.g. UTC §411-§417.</w:t>
      </w:r>
    </w:p>
  </w:footnote>
  <w:footnote w:id="360">
    <w:p w14:paraId="599BC62E" w14:textId="77777777" w:rsidR="00D53D4F" w:rsidRDefault="00D53D4F" w:rsidP="002A4DBF">
      <w:pPr>
        <w:pStyle w:val="FootnoteText"/>
        <w:spacing w:after="120"/>
      </w:pPr>
      <w:r>
        <w:rPr>
          <w:rStyle w:val="FootnoteReference"/>
        </w:rPr>
        <w:footnoteRef/>
      </w:r>
      <w:r>
        <w:t xml:space="preserve"> Treas. Reg. §1.1001-1(h).</w:t>
      </w:r>
    </w:p>
  </w:footnote>
  <w:footnote w:id="361">
    <w:p w14:paraId="480EB65E" w14:textId="77777777" w:rsidR="00D53D4F" w:rsidRDefault="00D53D4F">
      <w:pPr>
        <w:pStyle w:val="FootnoteText"/>
      </w:pPr>
      <w:r>
        <w:rPr>
          <w:rStyle w:val="FootnoteReference"/>
        </w:rPr>
        <w:footnoteRef/>
      </w:r>
      <w:r>
        <w:t xml:space="preserve"> Although there is no definition in IRC §1001, Treas. Reg. 26.2642-6(b) and (d) provide a definition in the GST context and set out seven requirements, summarized as pursuant to instrument or state law, effective under local law, funding done within 90 days of selected valuation date, fractional basis division,  </w:t>
      </w:r>
    </w:p>
  </w:footnote>
  <w:footnote w:id="362">
    <w:p w14:paraId="7776FDF3" w14:textId="77777777" w:rsidR="00D53D4F" w:rsidRDefault="00D53D4F" w:rsidP="002A4DBF">
      <w:pPr>
        <w:pStyle w:val="FootnoteText"/>
        <w:spacing w:after="120"/>
      </w:pPr>
      <w:r>
        <w:rPr>
          <w:rStyle w:val="FootnoteReference"/>
        </w:rPr>
        <w:footnoteRef/>
      </w:r>
      <w:r>
        <w:t xml:space="preserve"> If you are in a UTC state, see Uniform Trust Code §816(22), which adds that power.  Comments expressly note why:</w:t>
      </w:r>
      <w:r w:rsidRPr="00BE2E9E">
        <w:t xml:space="preserve"> </w:t>
      </w:r>
      <w:r>
        <w:t xml:space="preserve">“Paragraph (22) authorizes a trustee to make non-pro-rata distributions and allocate particular assets in proportionate or disproportionate shares. This power provides needed flexibility and </w:t>
      </w:r>
      <w:r w:rsidRPr="00BE2E9E">
        <w:rPr>
          <w:i/>
        </w:rPr>
        <w:t>lessens the risk that a non-pro-rata distribution will be treated as a taxable sale</w:t>
      </w:r>
      <w:r>
        <w:t xml:space="preserve">.”  </w:t>
      </w:r>
    </w:p>
  </w:footnote>
  <w:footnote w:id="363">
    <w:p w14:paraId="2AF95042" w14:textId="77777777" w:rsidR="00D53D4F" w:rsidRDefault="00D53D4F" w:rsidP="002A4DBF">
      <w:pPr>
        <w:pStyle w:val="FootnoteText"/>
        <w:spacing w:after="120"/>
      </w:pPr>
      <w:r>
        <w:rPr>
          <w:rStyle w:val="FootnoteReference"/>
        </w:rPr>
        <w:footnoteRef/>
      </w:r>
      <w:r>
        <w:t xml:space="preserve"> PLR 9352005.</w:t>
      </w:r>
    </w:p>
  </w:footnote>
  <w:footnote w:id="364">
    <w:p w14:paraId="3988CCEB" w14:textId="77777777" w:rsidR="00D53D4F" w:rsidRDefault="00D53D4F" w:rsidP="002A4DBF">
      <w:pPr>
        <w:pStyle w:val="FootnoteText"/>
        <w:spacing w:after="120"/>
      </w:pPr>
      <w:r>
        <w:rPr>
          <w:rStyle w:val="FootnoteReference"/>
        </w:rPr>
        <w:footnoteRef/>
      </w:r>
      <w:r>
        <w:t xml:space="preserve"> </w:t>
      </w:r>
      <w:r w:rsidRPr="0000241C">
        <w:t xml:space="preserve">PLR 2013-20004, modifications complying with GST grandfathering regs were OK for </w:t>
      </w:r>
      <w:r w:rsidRPr="0000241C">
        <w:rPr>
          <w:i/>
          <w:iCs/>
        </w:rPr>
        <w:t xml:space="preserve">allocated </w:t>
      </w:r>
      <w:r w:rsidRPr="0000241C">
        <w:t>GST</w:t>
      </w:r>
      <w:r>
        <w:t xml:space="preserve"> </w:t>
      </w:r>
      <w:r w:rsidRPr="0000241C">
        <w:t>exempt</w:t>
      </w:r>
    </w:p>
  </w:footnote>
  <w:footnote w:id="365">
    <w:p w14:paraId="502A1E26" w14:textId="77777777" w:rsidR="00D53D4F" w:rsidRDefault="00D53D4F" w:rsidP="002A4DBF">
      <w:pPr>
        <w:pStyle w:val="FootnoteText"/>
        <w:spacing w:after="120"/>
      </w:pPr>
      <w:r>
        <w:rPr>
          <w:rStyle w:val="FootnoteReference"/>
        </w:rPr>
        <w:footnoteRef/>
      </w:r>
      <w:r>
        <w:t xml:space="preserve"> PLR 2016-47001.</w:t>
      </w:r>
    </w:p>
  </w:footnote>
  <w:footnote w:id="366">
    <w:p w14:paraId="7AD37C48" w14:textId="77777777" w:rsidR="00D53D4F" w:rsidRDefault="00D53D4F" w:rsidP="002A4DBF">
      <w:pPr>
        <w:pStyle w:val="FootnoteText"/>
        <w:spacing w:after="120"/>
      </w:pPr>
      <w:r>
        <w:rPr>
          <w:rStyle w:val="FootnoteReference"/>
        </w:rPr>
        <w:footnoteRef/>
      </w:r>
      <w:r>
        <w:t xml:space="preserve"> </w:t>
      </w:r>
      <w:r w:rsidRPr="005A615E">
        <w:rPr>
          <w:i/>
        </w:rPr>
        <w:t>Getty v. Commissioner</w:t>
      </w:r>
      <w:r>
        <w:t>, 913 F.2d 1486, 1488 (9th Cir. 1990).</w:t>
      </w:r>
    </w:p>
  </w:footnote>
  <w:footnote w:id="367">
    <w:p w14:paraId="1E53C640" w14:textId="77777777" w:rsidR="00D53D4F" w:rsidRDefault="00D53D4F" w:rsidP="002A4DBF">
      <w:pPr>
        <w:pStyle w:val="FootnoteText"/>
        <w:spacing w:after="120"/>
      </w:pPr>
      <w:r>
        <w:rPr>
          <w:rStyle w:val="FootnoteReference"/>
        </w:rPr>
        <w:footnoteRef/>
      </w:r>
      <w:r>
        <w:t xml:space="preserve"> IRC §101(a)(2).</w:t>
      </w:r>
    </w:p>
  </w:footnote>
  <w:footnote w:id="368">
    <w:p w14:paraId="0EE954E7" w14:textId="77777777" w:rsidR="00D53D4F" w:rsidRDefault="00D53D4F">
      <w:pPr>
        <w:pStyle w:val="FootnoteText"/>
      </w:pPr>
      <w:r>
        <w:rPr>
          <w:rStyle w:val="FootnoteReference"/>
        </w:rPr>
        <w:footnoteRef/>
      </w:r>
      <w:r>
        <w:t xml:space="preserve"> IRC §1001(e), with exception at §1001(e)(3) when the trust is terminated (both income and remainder interest)</w:t>
      </w:r>
      <w:r w:rsidR="00DE5A25">
        <w:t>, but regulations require this be through sale to a third party, see Treas. Reg. §1.1001-1(f), so this could occur even if the entire trust is terminated.</w:t>
      </w:r>
    </w:p>
  </w:footnote>
  <w:footnote w:id="369">
    <w:p w14:paraId="286AD89E" w14:textId="77777777" w:rsidR="00D53D4F" w:rsidRDefault="00D53D4F" w:rsidP="002A4DBF">
      <w:pPr>
        <w:pStyle w:val="FootnoteText"/>
        <w:spacing w:after="120"/>
      </w:pPr>
      <w:r>
        <w:rPr>
          <w:rStyle w:val="FootnoteReference"/>
        </w:rPr>
        <w:footnoteRef/>
      </w:r>
      <w:r>
        <w:t xml:space="preserve"> </w:t>
      </w:r>
      <w:r w:rsidRPr="006926C3">
        <w:t>Ohio R.C. §5808.18</w:t>
      </w:r>
      <w:r>
        <w:t>(B).</w:t>
      </w:r>
    </w:p>
  </w:footnote>
  <w:footnote w:id="370">
    <w:p w14:paraId="2604EFCE" w14:textId="77777777" w:rsidR="00D53D4F" w:rsidRPr="00D04647" w:rsidRDefault="00D53D4F" w:rsidP="002A4DBF">
      <w:pPr>
        <w:spacing w:after="120"/>
        <w:jc w:val="both"/>
        <w:rPr>
          <w:sz w:val="20"/>
          <w:szCs w:val="20"/>
        </w:rPr>
      </w:pPr>
      <w:r w:rsidRPr="00D04647">
        <w:rPr>
          <w:rStyle w:val="FootnoteReference"/>
          <w:sz w:val="20"/>
          <w:szCs w:val="20"/>
        </w:rPr>
        <w:footnoteRef/>
      </w:r>
      <w:r w:rsidRPr="00D04647">
        <w:rPr>
          <w:sz w:val="20"/>
          <w:szCs w:val="20"/>
        </w:rPr>
        <w:t xml:space="preserve"> </w:t>
      </w:r>
      <w:r>
        <w:rPr>
          <w:sz w:val="20"/>
          <w:szCs w:val="20"/>
        </w:rPr>
        <w:t xml:space="preserve">Uniform Trust Code §§411-418.  E.g. </w:t>
      </w:r>
      <w:r w:rsidRPr="00D04647">
        <w:rPr>
          <w:sz w:val="20"/>
          <w:szCs w:val="20"/>
        </w:rPr>
        <w:t>Ohio R.C. §5804.1</w:t>
      </w:r>
      <w:r>
        <w:rPr>
          <w:sz w:val="20"/>
          <w:szCs w:val="20"/>
        </w:rPr>
        <w:t>6</w:t>
      </w:r>
      <w:r w:rsidRPr="00D04647">
        <w:rPr>
          <w:rFonts w:ascii="Calibri" w:hAnsi="Calibri" w:cs="Calibri"/>
        </w:rPr>
        <w:t xml:space="preserve"> </w:t>
      </w:r>
      <w:r w:rsidRPr="00991A1A">
        <w:rPr>
          <w:rFonts w:ascii="Calibri" w:hAnsi="Calibri" w:cs="Calibri"/>
          <w:b/>
          <w:bCs/>
          <w:sz w:val="20"/>
          <w:szCs w:val="20"/>
        </w:rPr>
        <w:t>Modification to achieve settlor's tax objectives</w:t>
      </w:r>
      <w:r w:rsidRPr="00991A1A">
        <w:rPr>
          <w:rFonts w:ascii="Calibri" w:hAnsi="Calibri" w:cs="Calibri"/>
        </w:rPr>
        <w:t xml:space="preserve"> </w:t>
      </w:r>
      <w:r>
        <w:rPr>
          <w:rFonts w:ascii="Calibri" w:hAnsi="Calibri" w:cs="Calibri"/>
        </w:rPr>
        <w:t>“</w:t>
      </w:r>
      <w:r w:rsidRPr="00D04647">
        <w:rPr>
          <w:sz w:val="20"/>
          <w:szCs w:val="20"/>
        </w:rPr>
        <w:t>To achieve the settlor's tax objectives, the court may modify the terms of a trust in a manner that is not contrary to the settlor's probable intention. The court may provide that the modification has retroactive effect.</w:t>
      </w:r>
      <w:r>
        <w:rPr>
          <w:sz w:val="20"/>
          <w:szCs w:val="20"/>
        </w:rPr>
        <w:t>”</w:t>
      </w:r>
      <w:r w:rsidRPr="00786C4E">
        <w:t xml:space="preserve"> </w:t>
      </w:r>
      <w:r w:rsidRPr="00786C4E">
        <w:rPr>
          <w:sz w:val="20"/>
          <w:szCs w:val="20"/>
        </w:rPr>
        <w:t>Similarly,</w:t>
      </w:r>
      <w:r>
        <w:rPr>
          <w:sz w:val="20"/>
          <w:szCs w:val="20"/>
        </w:rPr>
        <w:t xml:space="preserve"> for those non-UTC states, see </w:t>
      </w:r>
      <w:r w:rsidRPr="00786C4E">
        <w:rPr>
          <w:sz w:val="20"/>
          <w:szCs w:val="20"/>
        </w:rPr>
        <w:t>the Restatement (Third) of Property: Wills and Other</w:t>
      </w:r>
      <w:r>
        <w:rPr>
          <w:sz w:val="20"/>
          <w:szCs w:val="20"/>
        </w:rPr>
        <w:t xml:space="preserve"> </w:t>
      </w:r>
      <w:r w:rsidRPr="00786C4E">
        <w:rPr>
          <w:sz w:val="20"/>
          <w:szCs w:val="20"/>
        </w:rPr>
        <w:t xml:space="preserve">Donative Transfers </w:t>
      </w:r>
      <w:r>
        <w:rPr>
          <w:sz w:val="20"/>
          <w:szCs w:val="20"/>
        </w:rPr>
        <w:t>§ 12.2</w:t>
      </w:r>
      <w:r w:rsidRPr="00786C4E">
        <w:rPr>
          <w:sz w:val="20"/>
          <w:szCs w:val="20"/>
        </w:rPr>
        <w:t>:</w:t>
      </w:r>
      <w:r>
        <w:rPr>
          <w:sz w:val="20"/>
          <w:szCs w:val="20"/>
        </w:rPr>
        <w:t xml:space="preserve"> “</w:t>
      </w:r>
      <w:r w:rsidRPr="00786C4E">
        <w:rPr>
          <w:sz w:val="20"/>
          <w:szCs w:val="20"/>
        </w:rPr>
        <w:t>A donative document may be modified, in a manner that</w:t>
      </w:r>
      <w:r>
        <w:rPr>
          <w:sz w:val="20"/>
          <w:szCs w:val="20"/>
        </w:rPr>
        <w:t xml:space="preserve"> </w:t>
      </w:r>
      <w:r w:rsidRPr="00786C4E">
        <w:rPr>
          <w:sz w:val="20"/>
          <w:szCs w:val="20"/>
        </w:rPr>
        <w:t>does not violate the donor’s probable intention, to achieve the</w:t>
      </w:r>
      <w:r>
        <w:rPr>
          <w:sz w:val="20"/>
          <w:szCs w:val="20"/>
        </w:rPr>
        <w:t xml:space="preserve"> </w:t>
      </w:r>
      <w:r w:rsidRPr="00786C4E">
        <w:rPr>
          <w:sz w:val="20"/>
          <w:szCs w:val="20"/>
        </w:rPr>
        <w:t>donor’s tax objectives</w:t>
      </w:r>
      <w:r>
        <w:rPr>
          <w:sz w:val="20"/>
          <w:szCs w:val="20"/>
        </w:rPr>
        <w:t>”.</w:t>
      </w:r>
    </w:p>
  </w:footnote>
  <w:footnote w:id="371">
    <w:p w14:paraId="2670737A" w14:textId="77777777" w:rsidR="00D53D4F" w:rsidRDefault="00D53D4F" w:rsidP="002A4DBF">
      <w:pPr>
        <w:pStyle w:val="FootnoteText"/>
        <w:spacing w:after="120"/>
      </w:pPr>
      <w:r>
        <w:rPr>
          <w:rStyle w:val="FootnoteReference"/>
        </w:rPr>
        <w:footnoteRef/>
      </w:r>
      <w:r>
        <w:t xml:space="preserve"> For example, the holder of a general testamentary power of appointment might be able to virtually represent the takers in default, but in most states the holder of a broad testamentary limited power of appointment cannot.  See UTC § 302 or Ohio R.C. §5803.02 for an example.  Ohio recently amended this statute to permit the holder of a broad </w:t>
      </w:r>
      <w:r w:rsidRPr="0012509C">
        <w:rPr>
          <w:i/>
        </w:rPr>
        <w:t>limited</w:t>
      </w:r>
      <w:r>
        <w:t xml:space="preserve"> power of appointment to have the same power.  Ohio H.B. 432 signed into law January 4, 2017.</w:t>
      </w:r>
    </w:p>
  </w:footnote>
  <w:footnote w:id="372">
    <w:p w14:paraId="430AC74B" w14:textId="77777777" w:rsidR="00D53D4F" w:rsidRDefault="00D53D4F" w:rsidP="002A4DBF">
      <w:pPr>
        <w:pStyle w:val="FootnoteText"/>
        <w:spacing w:after="120"/>
      </w:pPr>
      <w:r>
        <w:rPr>
          <w:rStyle w:val="FootnoteReference"/>
        </w:rPr>
        <w:footnoteRef/>
      </w:r>
      <w:r>
        <w:t xml:space="preserve"> Rev. Proc. 2017-3 §5.01(9), (14),(15).</w:t>
      </w:r>
    </w:p>
  </w:footnote>
  <w:footnote w:id="373">
    <w:p w14:paraId="0F8C5606" w14:textId="77777777" w:rsidR="00D53D4F" w:rsidRDefault="00D53D4F" w:rsidP="002A4DBF">
      <w:pPr>
        <w:pStyle w:val="FootnoteText"/>
        <w:spacing w:after="120"/>
      </w:pPr>
      <w:r>
        <w:rPr>
          <w:rStyle w:val="FootnoteReference"/>
        </w:rPr>
        <w:footnoteRef/>
      </w:r>
      <w:r>
        <w:t xml:space="preserve"> </w:t>
      </w:r>
      <w:r w:rsidRPr="00EF3770">
        <w:rPr>
          <w:i/>
        </w:rPr>
        <w:t>Matter of Johnson</w:t>
      </w:r>
      <w:r w:rsidRPr="00EF3770">
        <w:t>, 2015 N.Y. Misc. LEXIS 51 (N.Y. Sur. Ct. Jan. 13, 2015)</w:t>
      </w:r>
      <w:r>
        <w:t xml:space="preserve">. </w:t>
      </w:r>
    </w:p>
  </w:footnote>
  <w:footnote w:id="374">
    <w:p w14:paraId="15CCEC7D" w14:textId="77777777" w:rsidR="00D53D4F" w:rsidRDefault="00D53D4F" w:rsidP="002A4DBF">
      <w:pPr>
        <w:pStyle w:val="FootnoteText"/>
        <w:spacing w:after="120"/>
      </w:pPr>
      <w:r>
        <w:rPr>
          <w:rStyle w:val="FootnoteReference"/>
        </w:rPr>
        <w:footnoteRef/>
      </w:r>
      <w:r>
        <w:t xml:space="preserve"> Ohio R.C. §5808.18(A)(3).</w:t>
      </w:r>
    </w:p>
  </w:footnote>
  <w:footnote w:id="375">
    <w:p w14:paraId="719935BF" w14:textId="77777777" w:rsidR="00D53D4F" w:rsidRDefault="00D53D4F" w:rsidP="002A4DBF">
      <w:pPr>
        <w:pStyle w:val="FootnoteText"/>
        <w:spacing w:after="120"/>
      </w:pPr>
      <w:r>
        <w:rPr>
          <w:rStyle w:val="FootnoteReference"/>
        </w:rPr>
        <w:footnoteRef/>
      </w:r>
      <w:r>
        <w:t xml:space="preserve"> IRS Notice 2011-101.</w:t>
      </w:r>
    </w:p>
  </w:footnote>
  <w:footnote w:id="376">
    <w:p w14:paraId="1DAFE563" w14:textId="77777777" w:rsidR="00D53D4F" w:rsidRDefault="00D53D4F" w:rsidP="002A4DBF">
      <w:pPr>
        <w:pStyle w:val="FootnoteText"/>
        <w:spacing w:after="120"/>
      </w:pPr>
      <w:r>
        <w:rPr>
          <w:rStyle w:val="FootnoteReference"/>
        </w:rPr>
        <w:footnoteRef/>
      </w:r>
      <w:r>
        <w:t xml:space="preserve"> </w:t>
      </w:r>
      <w:r w:rsidRPr="005D22E0">
        <w:rPr>
          <w:i/>
        </w:rPr>
        <w:t>Kroll v. N.Y. State Dep't of Health</w:t>
      </w:r>
      <w:r w:rsidRPr="005D22E0">
        <w:t>, 2016 NY Slip Op 6499 (N.Y. App. Div., 2016)</w:t>
      </w:r>
      <w:r>
        <w:t>.</w:t>
      </w:r>
    </w:p>
  </w:footnote>
  <w:footnote w:id="377">
    <w:p w14:paraId="7FFFCA52" w14:textId="77777777" w:rsidR="00D53D4F" w:rsidRDefault="00D53D4F" w:rsidP="002A4DBF">
      <w:pPr>
        <w:pStyle w:val="FootnoteText"/>
        <w:spacing w:after="120"/>
      </w:pPr>
      <w:r>
        <w:rPr>
          <w:rStyle w:val="FootnoteReference"/>
        </w:rPr>
        <w:footnoteRef/>
      </w:r>
      <w:r>
        <w:t xml:space="preserve"> E.g. N.Y. Estates Powers and Trusts Law § 7-2.4.  Act of trustee in contravention of trust.   If the trust is expressed in the instrument creating the estate of the trustee, every sale, conveyance or other act of the trustee in contravention of the trust, except as authorized by this article and by any other provision of law, is void.</w:t>
      </w:r>
    </w:p>
  </w:footnote>
  <w:footnote w:id="378">
    <w:p w14:paraId="1301B74F" w14:textId="77777777" w:rsidR="00D53D4F" w:rsidRDefault="00D53D4F" w:rsidP="002A4DBF">
      <w:pPr>
        <w:pStyle w:val="FootnoteText"/>
        <w:spacing w:after="120"/>
      </w:pPr>
      <w:r>
        <w:rPr>
          <w:rStyle w:val="FootnoteReference"/>
        </w:rPr>
        <w:footnoteRef/>
      </w:r>
      <w:r>
        <w:t xml:space="preserve"> Such was the case in Rev. Rul. 69-486, discussed later herein in footnote 343, where the trustee divided and terminated a trust non-pro rata without explicit authorization in trust nor state statute, triggering gains.  Might such self-help terminations done without explicit authorization in the trust instrument nor under state statute be treated similarly?  Could this still apply in terminations where only one party is receiving the assets, or only where assets are divided?</w:t>
      </w:r>
    </w:p>
  </w:footnote>
  <w:footnote w:id="379">
    <w:p w14:paraId="43E20D91" w14:textId="77777777" w:rsidR="00D53D4F" w:rsidRDefault="00D53D4F" w:rsidP="002A4DBF">
      <w:pPr>
        <w:pStyle w:val="FootnoteText"/>
        <w:spacing w:after="120"/>
      </w:pPr>
      <w:r>
        <w:rPr>
          <w:rStyle w:val="FootnoteReference"/>
        </w:rPr>
        <w:footnoteRef/>
      </w:r>
      <w:r>
        <w:t xml:space="preserve"> </w:t>
      </w:r>
      <w:r w:rsidRPr="00521557">
        <w:rPr>
          <w:i/>
        </w:rPr>
        <w:t>Estate of Lillian L. Halpern v. Commissioner</w:t>
      </w:r>
      <w:r w:rsidRPr="00521557">
        <w:t>, T.C. Memo. 1995-352</w:t>
      </w:r>
      <w:r>
        <w:t xml:space="preserve"> (ultra vires distributions from marital trust brought back into trust, hence back into surviving spouse’s estate).</w:t>
      </w:r>
    </w:p>
  </w:footnote>
  <w:footnote w:id="380">
    <w:p w14:paraId="522F5289" w14:textId="77777777" w:rsidR="00D53D4F" w:rsidRDefault="00D53D4F" w:rsidP="002A4DBF">
      <w:pPr>
        <w:pStyle w:val="FootnoteText"/>
        <w:spacing w:after="120"/>
      </w:pPr>
      <w:r>
        <w:rPr>
          <w:rStyle w:val="FootnoteReference"/>
        </w:rPr>
        <w:footnoteRef/>
      </w:r>
      <w:r>
        <w:t xml:space="preserve"> See, e.g., the string of cases cited in </w:t>
      </w:r>
      <w:r w:rsidRPr="00777DF2">
        <w:rPr>
          <w:i/>
        </w:rPr>
        <w:t>American Nurseryman Pub. v. Comm</w:t>
      </w:r>
      <w:r w:rsidRPr="00777DF2">
        <w:t>., 75 T.C. 271 (1980)</w:t>
      </w:r>
      <w:r>
        <w:t>.</w:t>
      </w:r>
    </w:p>
  </w:footnote>
  <w:footnote w:id="381">
    <w:p w14:paraId="7C7E29F5" w14:textId="77777777" w:rsidR="00D53D4F" w:rsidRDefault="00D53D4F" w:rsidP="002A4DBF">
      <w:pPr>
        <w:pStyle w:val="FootnoteText"/>
        <w:spacing w:after="120"/>
      </w:pPr>
      <w:r>
        <w:rPr>
          <w:rStyle w:val="FootnoteReference"/>
        </w:rPr>
        <w:footnoteRef/>
      </w:r>
      <w:r>
        <w:t xml:space="preserve"> See Uniform Trust Code §§301-305 for when parties may bind minor/incapacitated or unborn beneficiaries.</w:t>
      </w:r>
    </w:p>
  </w:footnote>
  <w:footnote w:id="382">
    <w:p w14:paraId="0F1C9431" w14:textId="77777777" w:rsidR="00D53D4F" w:rsidRPr="00541816" w:rsidRDefault="00D53D4F" w:rsidP="002A4DBF">
      <w:pPr>
        <w:autoSpaceDE w:val="0"/>
        <w:autoSpaceDN w:val="0"/>
        <w:adjustRightInd w:val="0"/>
        <w:spacing w:after="120"/>
        <w:rPr>
          <w:sz w:val="20"/>
          <w:szCs w:val="20"/>
        </w:rPr>
      </w:pPr>
      <w:r w:rsidRPr="00541816">
        <w:rPr>
          <w:rStyle w:val="FootnoteReference"/>
          <w:sz w:val="20"/>
          <w:szCs w:val="20"/>
        </w:rPr>
        <w:footnoteRef/>
      </w:r>
      <w:r w:rsidRPr="00541816">
        <w:rPr>
          <w:sz w:val="20"/>
          <w:szCs w:val="20"/>
        </w:rPr>
        <w:t xml:space="preserve"> IRC § 1411(c)(1)</w:t>
      </w:r>
      <w:r>
        <w:rPr>
          <w:sz w:val="20"/>
          <w:szCs w:val="20"/>
        </w:rPr>
        <w:t>.</w:t>
      </w:r>
    </w:p>
  </w:footnote>
  <w:footnote w:id="383">
    <w:p w14:paraId="566DDCC3" w14:textId="77777777" w:rsidR="00D53D4F" w:rsidRDefault="00D53D4F" w:rsidP="002A4DBF">
      <w:pPr>
        <w:pStyle w:val="FootnoteText"/>
        <w:spacing w:after="120"/>
      </w:pPr>
      <w:r w:rsidRPr="00541816">
        <w:rPr>
          <w:rStyle w:val="FootnoteReference"/>
        </w:rPr>
        <w:footnoteRef/>
      </w:r>
      <w:r w:rsidRPr="00541816">
        <w:t xml:space="preserve"> IRC §1411(c)(2),(4),(5),(6)</w:t>
      </w:r>
      <w:r>
        <w:t>.</w:t>
      </w:r>
    </w:p>
  </w:footnote>
  <w:footnote w:id="384">
    <w:p w14:paraId="4FBB112F" w14:textId="77777777" w:rsidR="00D53D4F" w:rsidRPr="00E032B8" w:rsidRDefault="00D53D4F" w:rsidP="002A4DBF">
      <w:pPr>
        <w:pStyle w:val="FootnoteText"/>
        <w:spacing w:after="120"/>
      </w:pPr>
      <w:r>
        <w:rPr>
          <w:rStyle w:val="FootnoteReference"/>
        </w:rPr>
        <w:footnoteRef/>
      </w:r>
      <w:r>
        <w:t xml:space="preserve"> It does not apply to fully charitable trusts or charitable remainder trusts – see page 135 of the Congressional Joint Committee on Taxation Report JCX-18-10, IRC §1411(e), Treas. Reg. §1.1411-3(b)(1)(iii).  This article will omit discussion of estates, since they usually present less of a problem, due to recent step up in basis, higher than usual administrative deductions, and the fact that terminating estates pass out capital gains as part of DNI.</w:t>
      </w:r>
    </w:p>
  </w:footnote>
  <w:footnote w:id="385">
    <w:p w14:paraId="568F2AF0" w14:textId="77777777" w:rsidR="00D53D4F" w:rsidRDefault="00D53D4F" w:rsidP="002A4DBF">
      <w:pPr>
        <w:pStyle w:val="FootnoteText"/>
        <w:spacing w:after="120"/>
      </w:pPr>
      <w:r>
        <w:rPr>
          <w:rStyle w:val="FootnoteReference"/>
        </w:rPr>
        <w:footnoteRef/>
      </w:r>
      <w:r>
        <w:t xml:space="preserve"> See IRC §1(h) for special capital gains tax rates, IRC §408(m) for definition of collectibles.  For an outstanding article on the 3.8% surtax applied to businesses owned by trusts/estates, see </w:t>
      </w:r>
      <w:r w:rsidRPr="000A5C20">
        <w:rPr>
          <w:i/>
        </w:rPr>
        <w:t>20 Questions (and Answers!) on the New 3.8% Surtax</w:t>
      </w:r>
      <w:r>
        <w:t>, by Richard L. Dees, Tax Notes, August 2013.</w:t>
      </w:r>
    </w:p>
  </w:footnote>
  <w:footnote w:id="386">
    <w:p w14:paraId="4D6F247C" w14:textId="77777777" w:rsidR="00D53D4F" w:rsidRDefault="00D53D4F" w:rsidP="002A4DBF">
      <w:pPr>
        <w:pStyle w:val="FootnoteText"/>
        <w:spacing w:after="120"/>
      </w:pPr>
      <w:r>
        <w:rPr>
          <w:rStyle w:val="FootnoteReference"/>
        </w:rPr>
        <w:footnoteRef/>
      </w:r>
      <w:r>
        <w:t xml:space="preserve"> Short term capital gains passed through from mutual funds (phantom gains) may be allocated to accounting income rather than principal – see Uniform Principal and Income Act, §401.</w:t>
      </w:r>
    </w:p>
  </w:footnote>
  <w:footnote w:id="387">
    <w:p w14:paraId="3BD78715" w14:textId="77777777" w:rsidR="00D53D4F" w:rsidRDefault="00D53D4F" w:rsidP="002A4DBF">
      <w:pPr>
        <w:pStyle w:val="FootnoteText"/>
        <w:spacing w:after="120"/>
      </w:pPr>
      <w:r>
        <w:rPr>
          <w:rStyle w:val="FootnoteReference"/>
        </w:rPr>
        <w:footnoteRef/>
      </w:r>
      <w:r>
        <w:t xml:space="preserve"> IRC §643(a)(3), Treas. Reg. §1.643(a)-3(a).  Capital gains are generally excluded from DNI, but recapture income due to prior depreciation on sale may be included, see </w:t>
      </w:r>
      <w:r w:rsidRPr="001327AC">
        <w:t>1995 FSA LEXIS 551 (I.R.S. 1995)</w:t>
      </w:r>
      <w:r>
        <w:t>.</w:t>
      </w:r>
    </w:p>
  </w:footnote>
  <w:footnote w:id="388">
    <w:p w14:paraId="566608E5" w14:textId="77777777" w:rsidR="00D53D4F" w:rsidRPr="008C791A" w:rsidRDefault="00D53D4F" w:rsidP="002A4DBF">
      <w:pPr>
        <w:pStyle w:val="FootnoteText"/>
        <w:spacing w:after="120"/>
      </w:pPr>
      <w:r>
        <w:rPr>
          <w:rStyle w:val="FootnoteReference"/>
        </w:rPr>
        <w:footnoteRef/>
      </w:r>
      <w:r>
        <w:t xml:space="preserve"> For rules on how the surtax applies subchapter J principals to trusts, see Treas. Reg. §1.1411-3.  Bracket adjusts for inflation.</w:t>
      </w:r>
    </w:p>
  </w:footnote>
  <w:footnote w:id="389">
    <w:p w14:paraId="237011FC" w14:textId="77777777" w:rsidR="00D53D4F" w:rsidRDefault="00D53D4F" w:rsidP="002A4DBF">
      <w:pPr>
        <w:pStyle w:val="FootnoteText"/>
        <w:spacing w:after="120"/>
      </w:pPr>
      <w:r>
        <w:rPr>
          <w:rStyle w:val="FootnoteReference"/>
        </w:rPr>
        <w:footnoteRef/>
      </w:r>
      <w:r>
        <w:t xml:space="preserve"> AMT of 26%/28% rates could also applicable to trusts, which have lower exemption amount – see IRC §55-56.</w:t>
      </w:r>
    </w:p>
  </w:footnote>
  <w:footnote w:id="390">
    <w:p w14:paraId="1D6EAD64" w14:textId="77777777" w:rsidR="00D53D4F" w:rsidRDefault="00D53D4F" w:rsidP="002A4DBF">
      <w:pPr>
        <w:pStyle w:val="FootnoteText"/>
        <w:spacing w:after="120"/>
      </w:pPr>
      <w:r>
        <w:rPr>
          <w:rStyle w:val="FootnoteReference"/>
        </w:rPr>
        <w:footnoteRef/>
      </w:r>
      <w:r>
        <w:t xml:space="preserve"> As to state income tax, trusts may pay tax in multiple states, or </w:t>
      </w:r>
      <w:r w:rsidRPr="00716DE9">
        <w:rPr>
          <w:i/>
        </w:rPr>
        <w:t>avoid</w:t>
      </w:r>
      <w:r>
        <w:t xml:space="preserve"> all state income tax, depending on the circumstance – see Section VIII.n. on Incomplete Gift Non-Grantor Trusts, which discusses state trust income tax.</w:t>
      </w:r>
    </w:p>
  </w:footnote>
  <w:footnote w:id="391">
    <w:p w14:paraId="39FE9BB0" w14:textId="77777777" w:rsidR="00D53D4F" w:rsidRDefault="00D53D4F" w:rsidP="002A4DBF">
      <w:pPr>
        <w:autoSpaceDE w:val="0"/>
        <w:autoSpaceDN w:val="0"/>
        <w:adjustRightInd w:val="0"/>
        <w:spacing w:after="120"/>
      </w:pPr>
      <w:r w:rsidRPr="0049627C">
        <w:rPr>
          <w:rStyle w:val="FootnoteReference"/>
          <w:sz w:val="20"/>
          <w:szCs w:val="20"/>
        </w:rPr>
        <w:footnoteRef/>
      </w:r>
      <w:r w:rsidRPr="0049627C">
        <w:t xml:space="preserve"> </w:t>
      </w:r>
      <w:r w:rsidRPr="00E96E19">
        <w:rPr>
          <w:sz w:val="20"/>
          <w:szCs w:val="20"/>
        </w:rPr>
        <w:t xml:space="preserve">Another less desirable method to pass out capital gains to beneficiaries is for the trust to invest in an entity taxed as a partnership.  Cash distributed from an entity such as a partnership/LLC and paid to the trust is generally trust accounting income, even if the cash is derived from capital gains - Uniform Principal and Income Act, §401(b).  Thus, because they are “properly allocated to income” pursuant to Treas. Reg. </w:t>
      </w:r>
      <w:r>
        <w:rPr>
          <w:sz w:val="20"/>
          <w:szCs w:val="20"/>
        </w:rPr>
        <w:t>§</w:t>
      </w:r>
      <w:r w:rsidRPr="00E96E19">
        <w:rPr>
          <w:sz w:val="20"/>
          <w:szCs w:val="20"/>
        </w:rPr>
        <w:t>1.643(a)-3(b)(1), they may be included in the DNI deduction and pass out to beneficiaries on the K-1 as any other income.  This, of course, does not help if there are “phantom gains” or cash distributions are not sufficiently made from the partnership to the trust.  To structure an entire portfolio in this manner is highly unwieldy. Assuming the other partner can be found and the fiduciary duties worked out, there would still be issues under IRC §2519 if it were a QTIP trust, and one can imagine other practical problems in managing a large portion of the trust in this manner – not to mention the additional tax reporting.</w:t>
      </w:r>
    </w:p>
  </w:footnote>
  <w:footnote w:id="392">
    <w:p w14:paraId="77A777EA" w14:textId="77777777" w:rsidR="00D53D4F" w:rsidRDefault="00D53D4F" w:rsidP="002A4DBF">
      <w:pPr>
        <w:pStyle w:val="FootnoteText"/>
        <w:spacing w:after="120"/>
      </w:pPr>
      <w:r>
        <w:rPr>
          <w:rStyle w:val="FootnoteReference"/>
        </w:rPr>
        <w:footnoteRef/>
      </w:r>
      <w:r>
        <w:t xml:space="preserve"> As of September 2017, the following sections on </w:t>
      </w:r>
      <w:r>
        <w:rPr>
          <w:rFonts w:ascii="Calibri" w:hAnsi="Calibri" w:cs="Calibri"/>
        </w:rPr>
        <w:t>§</w:t>
      </w:r>
      <w:r>
        <w:t xml:space="preserve">678 have been reorganized, updated and improved into a separate article for Leimberg Information Services Estate Planning Newsletter, with a white paper uploaded to www.ssrn.com, see Morrow, Edwin P., </w:t>
      </w:r>
      <w:r w:rsidRPr="00176EF8">
        <w:rPr>
          <w:i/>
        </w:rPr>
        <w:t xml:space="preserve">IRC </w:t>
      </w:r>
      <w:r>
        <w:rPr>
          <w:i/>
        </w:rPr>
        <w:t xml:space="preserve">Section </w:t>
      </w:r>
      <w:r w:rsidRPr="00176EF8">
        <w:rPr>
          <w:i/>
        </w:rPr>
        <w:t>678 and the Beneficiary Deemed Owner Trust (BDOT)</w:t>
      </w:r>
      <w:r>
        <w:t xml:space="preserve">, </w:t>
      </w:r>
      <w:hyperlink r:id="rId55" w:history="1">
        <w:r w:rsidRPr="00871C31">
          <w:rPr>
            <w:rStyle w:val="Hyperlink"/>
          </w:rPr>
          <w:t>https://ssrn.com/abstract=3165592</w:t>
        </w:r>
      </w:hyperlink>
      <w:r>
        <w:t xml:space="preserve">.  Please see that white paper for updated material on this topic. </w:t>
      </w:r>
    </w:p>
  </w:footnote>
  <w:footnote w:id="393">
    <w:p w14:paraId="6EB04910" w14:textId="77777777" w:rsidR="00D53D4F" w:rsidRDefault="00D53D4F" w:rsidP="002A4DBF">
      <w:pPr>
        <w:pStyle w:val="FootnoteText"/>
        <w:spacing w:after="120"/>
      </w:pPr>
      <w:r>
        <w:rPr>
          <w:rStyle w:val="FootnoteReference"/>
        </w:rPr>
        <w:footnoteRef/>
      </w:r>
      <w:r>
        <w:t xml:space="preserve"> In Subchapter J, Subparts A-D, IRC §641-669, control most traditional trust tax accounting, Subpart E is the grantor trust rules, §671-679.</w:t>
      </w:r>
    </w:p>
  </w:footnote>
  <w:footnote w:id="394">
    <w:p w14:paraId="7BEFCACB" w14:textId="77777777" w:rsidR="00D53D4F" w:rsidRDefault="00D53D4F" w:rsidP="002A4DBF">
      <w:pPr>
        <w:pStyle w:val="FootnoteText"/>
        <w:spacing w:after="120"/>
      </w:pPr>
      <w:r>
        <w:rPr>
          <w:rStyle w:val="FootnoteReference"/>
        </w:rPr>
        <w:footnoteRef/>
      </w:r>
      <w:r>
        <w:t xml:space="preserve"> </w:t>
      </w:r>
      <w:r w:rsidRPr="004E210A">
        <w:rPr>
          <w:i/>
        </w:rPr>
        <w:t>Mallinckrodt Trust</w:t>
      </w:r>
      <w:r>
        <w:rPr>
          <w:i/>
        </w:rPr>
        <w:t xml:space="preserve"> </w:t>
      </w:r>
      <w:r w:rsidRPr="009A0091">
        <w:t>is a term named</w:t>
      </w:r>
      <w:r>
        <w:t xml:space="preserve"> after the seminal case of </w:t>
      </w:r>
      <w:r w:rsidRPr="00E23A56">
        <w:rPr>
          <w:i/>
        </w:rPr>
        <w:t>Mallinckrodt v. Nunan</w:t>
      </w:r>
      <w:r>
        <w:t>, 146 F.2d 1 (8</w:t>
      </w:r>
      <w:r w:rsidRPr="004E210A">
        <w:rPr>
          <w:vertAlign w:val="superscript"/>
        </w:rPr>
        <w:t>th</w:t>
      </w:r>
      <w:r>
        <w:t xml:space="preserve"> Cir. 1945), which Congress basically codified into IRC § 678 in 1954, discussed later in this section.</w:t>
      </w:r>
      <w:r w:rsidRPr="00422B1D">
        <w:rPr>
          <w:lang w:val="en"/>
        </w:rPr>
        <w:t xml:space="preserve"> </w:t>
      </w:r>
    </w:p>
  </w:footnote>
  <w:footnote w:id="395">
    <w:p w14:paraId="3943C1D0" w14:textId="77777777" w:rsidR="00D53D4F" w:rsidRPr="00E81175" w:rsidRDefault="00D53D4F" w:rsidP="002A4DBF">
      <w:pPr>
        <w:pStyle w:val="FootnoteText"/>
        <w:spacing w:after="120"/>
      </w:pPr>
      <w:r>
        <w:rPr>
          <w:rStyle w:val="FootnoteReference"/>
        </w:rPr>
        <w:footnoteRef/>
      </w:r>
      <w:r>
        <w:t xml:space="preserve"> This is probably due to, but not the fault of, recent popular articles about “beneficiary defective inheritor’s trust” (BDIT) techniques, which attempt to use third party created trusts with </w:t>
      </w:r>
      <w:r w:rsidRPr="00D757B6">
        <w:rPr>
          <w:i/>
        </w:rPr>
        <w:t>Crummey</w:t>
      </w:r>
      <w:r>
        <w:t xml:space="preserve"> withdrawal rights and lapses to create irrevocable trusts post-lapse that are taxed for income tax purposes to the current beneficiary, </w:t>
      </w:r>
      <w:r w:rsidRPr="007E6EAC">
        <w:rPr>
          <w:i/>
        </w:rPr>
        <w:t>even if the beneficiary has no current withdrawal right</w:t>
      </w:r>
      <w:r>
        <w:t xml:space="preserve">.  Their use is limited because of the $5,000/5% lapse limitation of IRC §2041, but they are a creative use.  Those techniques hinge on using §678(a)(2), in conjunction with §678(a)(1). This article focuses on a different but related variant of this concept, </w:t>
      </w:r>
      <w:r w:rsidRPr="007E6EAC">
        <w:rPr>
          <w:i/>
        </w:rPr>
        <w:t xml:space="preserve">where the beneficiary </w:t>
      </w:r>
      <w:r>
        <w:rPr>
          <w:i/>
        </w:rPr>
        <w:t>has</w:t>
      </w:r>
      <w:r w:rsidRPr="007E6EAC">
        <w:rPr>
          <w:i/>
        </w:rPr>
        <w:t xml:space="preserve"> a current withdrawal right</w:t>
      </w:r>
      <w:r>
        <w:rPr>
          <w:i/>
        </w:rPr>
        <w:t xml:space="preserve"> over taxable income</w:t>
      </w:r>
      <w:r>
        <w:t xml:space="preserve">.  For great “BDIT” material, see </w:t>
      </w:r>
      <w:r w:rsidRPr="00E81175">
        <w:rPr>
          <w:i/>
        </w:rPr>
        <w:t>Gift From Above: Estate Planning On a Higher Plane</w:t>
      </w:r>
      <w:r>
        <w:t xml:space="preserve">, Trusts and Estates, November 2011, by </w:t>
      </w:r>
      <w:r w:rsidRPr="00E81175">
        <w:t>Richard A. Oshins, Lawrence Brody, Jerome M. Hesch &amp; Susan P. Rounds</w:t>
      </w:r>
      <w:r>
        <w:t xml:space="preserve">; </w:t>
      </w:r>
      <w:r w:rsidRPr="00E81175">
        <w:rPr>
          <w:bCs/>
          <w:i/>
        </w:rPr>
        <w:t>The BDIT: A Powerful Wealth Planning Strategy When Properly Designed and Implemented</w:t>
      </w:r>
      <w:r>
        <w:rPr>
          <w:bCs/>
          <w:i/>
        </w:rPr>
        <w:t xml:space="preserve">, </w:t>
      </w:r>
      <w:r>
        <w:rPr>
          <w:bCs/>
        </w:rPr>
        <w:t xml:space="preserve">LISI </w:t>
      </w:r>
      <w:r w:rsidRPr="00E81175">
        <w:rPr>
          <w:bCs/>
        </w:rPr>
        <w:t>Estate Planning Newsletter #1824 (June 22, 2011)</w:t>
      </w:r>
      <w:r>
        <w:rPr>
          <w:bCs/>
        </w:rPr>
        <w:t xml:space="preserve">, by </w:t>
      </w:r>
      <w:r w:rsidRPr="00E81175">
        <w:rPr>
          <w:bCs/>
        </w:rPr>
        <w:t>Dick Oshins, Larry Brody and Katarinna McBride</w:t>
      </w:r>
      <w:r>
        <w:rPr>
          <w:bCs/>
        </w:rPr>
        <w:t xml:space="preserve">; </w:t>
      </w:r>
      <w:r w:rsidRPr="00544A10">
        <w:rPr>
          <w:bCs/>
          <w:i/>
        </w:rPr>
        <w:t>A Balanced Solution</w:t>
      </w:r>
      <w:r>
        <w:rPr>
          <w:bCs/>
        </w:rPr>
        <w:t>, Trusts and Estates, May 2011, by Steven Gorin.</w:t>
      </w:r>
    </w:p>
  </w:footnote>
  <w:footnote w:id="396">
    <w:p w14:paraId="776F09F9" w14:textId="77777777" w:rsidR="00D53D4F" w:rsidRDefault="00D53D4F" w:rsidP="002A4DBF">
      <w:pPr>
        <w:pStyle w:val="FootnoteText"/>
        <w:spacing w:after="120"/>
      </w:pPr>
      <w:r>
        <w:rPr>
          <w:rStyle w:val="FootnoteReference"/>
        </w:rPr>
        <w:footnoteRef/>
      </w:r>
      <w:r>
        <w:t xml:space="preserve"> Treatises consulted include </w:t>
      </w:r>
      <w:r w:rsidRPr="00E67651">
        <w:rPr>
          <w:i/>
        </w:rPr>
        <w:t>Federal Income Taxation of Estates and Trusts</w:t>
      </w:r>
      <w:r>
        <w:t>, 3</w:t>
      </w:r>
      <w:r w:rsidRPr="00E67651">
        <w:rPr>
          <w:vertAlign w:val="superscript"/>
        </w:rPr>
        <w:t>rd</w:t>
      </w:r>
      <w:r>
        <w:t xml:space="preserve"> edition, ¶12.01-12.05, Zaritsky and Lane, BNA Portfolios 858-2</w:t>
      </w:r>
      <w:r w:rsidRPr="00D648D4">
        <w:rPr>
          <w:vertAlign w:val="superscript"/>
        </w:rPr>
        <w:t>nd</w:t>
      </w:r>
      <w:r>
        <w:rPr>
          <w:vertAlign w:val="superscript"/>
        </w:rPr>
        <w:t xml:space="preserve"> </w:t>
      </w:r>
      <w:r>
        <w:t>and 852-3</w:t>
      </w:r>
      <w:r w:rsidRPr="00D648D4">
        <w:rPr>
          <w:vertAlign w:val="superscript"/>
        </w:rPr>
        <w:t>rd</w:t>
      </w:r>
      <w:r>
        <w:t xml:space="preserve"> </w:t>
      </w:r>
      <w:r w:rsidRPr="00D648D4">
        <w:rPr>
          <w:i/>
        </w:rPr>
        <w:t>Grantor Trusts: Sections 671-679</w:t>
      </w:r>
      <w:r>
        <w:t xml:space="preserve">, by Howard Zaritsky, </w:t>
      </w:r>
      <w:r w:rsidRPr="00D648D4">
        <w:rPr>
          <w:i/>
        </w:rPr>
        <w:t>Income Taxation of Trusts and Estates</w:t>
      </w:r>
      <w:r>
        <w:t>, by Alan Acker, and</w:t>
      </w:r>
      <w:r w:rsidRPr="00E731EF">
        <w:t xml:space="preserve"> </w:t>
      </w:r>
      <w:r w:rsidRPr="00E731EF">
        <w:rPr>
          <w:i/>
        </w:rPr>
        <w:t>Federal Taxation of Trusts, Grantors and Beneficiaries</w:t>
      </w:r>
      <w:r>
        <w:rPr>
          <w:i/>
        </w:rPr>
        <w:t xml:space="preserve">, </w:t>
      </w:r>
      <w:r w:rsidRPr="00E731EF">
        <w:t>by J. Peschel &amp; E. Spurgeon</w:t>
      </w:r>
      <w:r>
        <w:t>.</w:t>
      </w:r>
    </w:p>
  </w:footnote>
  <w:footnote w:id="397">
    <w:p w14:paraId="79DE853F" w14:textId="77777777" w:rsidR="00D53D4F" w:rsidRDefault="00D53D4F" w:rsidP="002A4DBF">
      <w:pPr>
        <w:pStyle w:val="FootnoteText"/>
        <w:spacing w:after="120"/>
      </w:pPr>
      <w:r>
        <w:rPr>
          <w:rStyle w:val="FootnoteReference"/>
        </w:rPr>
        <w:footnoteRef/>
      </w:r>
      <w:r>
        <w:t xml:space="preserve"> T</w:t>
      </w:r>
      <w:r w:rsidRPr="00C74908">
        <w:t xml:space="preserve">here are colorable arguments that a sole beneficiary/trustee </w:t>
      </w:r>
      <w:r>
        <w:t>might also trigger</w:t>
      </w:r>
      <w:r w:rsidRPr="00C74908">
        <w:t xml:space="preserve"> </w:t>
      </w:r>
      <w:r>
        <w:t>§</w:t>
      </w:r>
      <w:r w:rsidRPr="00C74908">
        <w:t xml:space="preserve">678(a) even when limited by an ascertainable standard, but this is </w:t>
      </w:r>
      <w:r>
        <w:t xml:space="preserve">debatable and </w:t>
      </w:r>
      <w:r w:rsidRPr="00C74908">
        <w:t>generally unreliable for proactive planning purposes</w:t>
      </w:r>
      <w:r>
        <w:t xml:space="preserve">.  Most cases (and you can find many by shepardizing the </w:t>
      </w:r>
      <w:r w:rsidRPr="003D3CBD">
        <w:rPr>
          <w:i/>
        </w:rPr>
        <w:t>Mallinkrodt</w:t>
      </w:r>
      <w:r>
        <w:t xml:space="preserve"> case) find that even the slightest limitation will take a powerholder out of grantor trust status.  This paper will assume there are no forfeiture provisions, consent requirements, duties or purposes otherwise fettering the right.</w:t>
      </w:r>
      <w:r w:rsidRPr="00C74908">
        <w:t xml:space="preserve">  See page</w:t>
      </w:r>
      <w:r>
        <w:t>s</w:t>
      </w:r>
      <w:r w:rsidRPr="00C74908">
        <w:t xml:space="preserve"> 17-20 of Howard Mobley’s outline at </w:t>
      </w:r>
      <w:hyperlink r:id="rId56" w:history="1">
        <w:r w:rsidRPr="00DC0B03">
          <w:rPr>
            <w:rStyle w:val="Hyperlink"/>
          </w:rPr>
          <w:t>http://www.howardmobley.com/articles/FixingBrokenTrusts.pdf</w:t>
        </w:r>
      </w:hyperlink>
      <w:r w:rsidRPr="00C74908">
        <w:t xml:space="preserve"> and Jonathan Blattmachr, Mitchell Gans and Alvina Lo’s article at </w:t>
      </w:r>
      <w:r w:rsidRPr="00576DA5">
        <w:t>http://ssrn.com/abstract=1511910</w:t>
      </w:r>
      <w:r w:rsidRPr="00C74908">
        <w:t xml:space="preserve">.  Also, read the surprising conclusion of the penultimate paragraph of </w:t>
      </w:r>
      <w:r w:rsidRPr="00C74908">
        <w:rPr>
          <w:i/>
        </w:rPr>
        <w:t>Koffmann v. U.S.</w:t>
      </w:r>
      <w:r w:rsidRPr="00C74908">
        <w:t>, 300 F.2d 176 (6th Cir. 1962)</w:t>
      </w:r>
      <w:r>
        <w:t xml:space="preserve">.  </w:t>
      </w:r>
    </w:p>
  </w:footnote>
  <w:footnote w:id="398">
    <w:p w14:paraId="68AAC263" w14:textId="77777777" w:rsidR="00D53D4F" w:rsidRDefault="00D53D4F" w:rsidP="002A4DBF">
      <w:pPr>
        <w:pStyle w:val="FootnoteText"/>
        <w:spacing w:after="120"/>
      </w:pPr>
      <w:r>
        <w:rPr>
          <w:rStyle w:val="FootnoteReference"/>
        </w:rPr>
        <w:footnoteRef/>
      </w:r>
      <w:r>
        <w:t xml:space="preserve"> See Uniform Principal and Income Act, §409, §404</w:t>
      </w:r>
    </w:p>
  </w:footnote>
  <w:footnote w:id="399">
    <w:p w14:paraId="79F03D95" w14:textId="77777777" w:rsidR="00D53D4F" w:rsidRDefault="00D53D4F" w:rsidP="002A4DBF">
      <w:pPr>
        <w:pStyle w:val="FootnoteText"/>
        <w:spacing w:after="120"/>
      </w:pPr>
      <w:r>
        <w:rPr>
          <w:rStyle w:val="FootnoteReference"/>
        </w:rPr>
        <w:footnoteRef/>
      </w:r>
      <w:r>
        <w:t xml:space="preserve"> Treas. Reg. §1.671-3(b)(2)</w:t>
      </w:r>
    </w:p>
  </w:footnote>
  <w:footnote w:id="400">
    <w:p w14:paraId="1077735E" w14:textId="77777777" w:rsidR="00D53D4F" w:rsidRDefault="00D53D4F" w:rsidP="002A4DBF">
      <w:pPr>
        <w:pStyle w:val="FootnoteText"/>
        <w:spacing w:after="120"/>
      </w:pPr>
      <w:r>
        <w:rPr>
          <w:rStyle w:val="FootnoteReference"/>
        </w:rPr>
        <w:footnoteRef/>
      </w:r>
      <w:r>
        <w:t xml:space="preserve"> For example, in </w:t>
      </w:r>
      <w:r w:rsidRPr="009F7D76">
        <w:rPr>
          <w:i/>
        </w:rPr>
        <w:t xml:space="preserve">U.S. </w:t>
      </w:r>
      <w:r w:rsidRPr="009F7D76">
        <w:rPr>
          <w:bCs/>
          <w:i/>
        </w:rPr>
        <w:t>v. De Bonchamps</w:t>
      </w:r>
      <w:r w:rsidRPr="009F7D76">
        <w:rPr>
          <w:bCs/>
        </w:rPr>
        <w:t>, 278 F.2d 127</w:t>
      </w:r>
      <w:r>
        <w:rPr>
          <w:bCs/>
        </w:rPr>
        <w:t xml:space="preserve"> (9</w:t>
      </w:r>
      <w:r w:rsidRPr="009F7D76">
        <w:rPr>
          <w:bCs/>
          <w:vertAlign w:val="superscript"/>
        </w:rPr>
        <w:t>th</w:t>
      </w:r>
      <w:r>
        <w:rPr>
          <w:bCs/>
        </w:rPr>
        <w:t xml:space="preserve"> Cir. 1960)</w:t>
      </w:r>
      <w:r>
        <w:t>, the court found, in interpreting §678, that a life tenant should not be taxed on the income because they did not have the sole power to take the capital gains upon sale of the underlying asset.  “</w:t>
      </w:r>
      <w:r w:rsidRPr="009F7D76">
        <w:t xml:space="preserve">We have concluded that, upon the record before us, the powers of these life tenants are not the equivalent of a power to vest in themselves the corpus of the estate </w:t>
      </w:r>
      <w:r w:rsidRPr="009F7D76">
        <w:rPr>
          <w:b/>
          <w:i/>
        </w:rPr>
        <w:t xml:space="preserve">or </w:t>
      </w:r>
      <w:r w:rsidRPr="009F7D76">
        <w:t>the capital gains in question.</w:t>
      </w:r>
      <w:r>
        <w:t>” (emphasis added, the court clearly implying that if they could have taken the capital gains, though not necessarily the entire corpus, it would have been taxed to the power holders).</w:t>
      </w:r>
    </w:p>
  </w:footnote>
  <w:footnote w:id="401">
    <w:p w14:paraId="5191A8E6" w14:textId="77777777" w:rsidR="00D53D4F" w:rsidRDefault="00D53D4F" w:rsidP="002A4DBF">
      <w:pPr>
        <w:pStyle w:val="FootnoteText"/>
        <w:spacing w:after="120"/>
      </w:pPr>
      <w:r>
        <w:rPr>
          <w:rStyle w:val="FootnoteReference"/>
        </w:rPr>
        <w:footnoteRef/>
      </w:r>
      <w:r>
        <w:t xml:space="preserve"> Treas. Reg. §1.671-2 Applicable Principals.</w:t>
      </w:r>
    </w:p>
  </w:footnote>
  <w:footnote w:id="402">
    <w:p w14:paraId="5C0971E5" w14:textId="77777777" w:rsidR="00D53D4F" w:rsidRDefault="00D53D4F" w:rsidP="002A4DBF">
      <w:pPr>
        <w:pStyle w:val="FootnoteText"/>
        <w:spacing w:after="120"/>
      </w:pPr>
      <w:r>
        <w:rPr>
          <w:rStyle w:val="FootnoteReference"/>
        </w:rPr>
        <w:footnoteRef/>
      </w:r>
      <w:r>
        <w:t xml:space="preserve"> </w:t>
      </w:r>
      <w:r w:rsidRPr="00291691">
        <w:rPr>
          <w:lang w:val="en"/>
        </w:rPr>
        <w:t xml:space="preserve">§ 1.643(b)-1 </w:t>
      </w:r>
      <w:r>
        <w:rPr>
          <w:lang w:val="en"/>
        </w:rPr>
        <w:t>“</w:t>
      </w:r>
      <w:r w:rsidRPr="00291691">
        <w:rPr>
          <w:lang w:val="en"/>
        </w:rPr>
        <w:t xml:space="preserve">Definition of income. For purposes of </w:t>
      </w:r>
      <w:r w:rsidRPr="00291691">
        <w:rPr>
          <w:b/>
          <w:lang w:val="en"/>
        </w:rPr>
        <w:t>subparts A through D</w:t>
      </w:r>
      <w:r w:rsidRPr="00291691">
        <w:rPr>
          <w:lang w:val="en"/>
        </w:rPr>
        <w:t xml:space="preserve">, part I, subchapter J, chapter 1 of the Internal Revenue Code, </w:t>
      </w:r>
      <w:r w:rsidRPr="00291691">
        <w:rPr>
          <w:b/>
          <w:lang w:val="en"/>
        </w:rPr>
        <w:t>“income,”</w:t>
      </w:r>
      <w:r w:rsidRPr="00291691">
        <w:rPr>
          <w:lang w:val="en"/>
        </w:rPr>
        <w:t xml:space="preserve"> when not preceded by the words “taxable,” “distributable net,” “undistributed net,” or “gross,” </w:t>
      </w:r>
      <w:r w:rsidRPr="00291691">
        <w:rPr>
          <w:b/>
          <w:lang w:val="en"/>
        </w:rPr>
        <w:t>means the amount of income of an estate or trust for the taxable year determined under the terms of the governing instrument and applicable local law</w:t>
      </w:r>
      <w:r w:rsidRPr="00291691">
        <w:rPr>
          <w:lang w:val="en"/>
        </w:rPr>
        <w:t>. Trust provisions that depart fundamentally from traditional principles of income and principal will generally not be recognized. For example, if a trust instrument directs that all the trust income shall be paid to the income beneficiary but defines ordinary dividends and interest as principal, the trust will not be considered one that under its governing instrument is required to distribute all its income currently for purposes of section 642(b) (relating to the personal exemption) and section 651 (relating to simple trusts). Thus, items such as dividends, interest, and rents are generally allocated to income and proceeds from the sale or exchange of trust assets are generally allocated to principal.</w:t>
      </w:r>
      <w:r>
        <w:rPr>
          <w:lang w:val="en"/>
        </w:rPr>
        <w:t>****</w:t>
      </w:r>
      <w:r w:rsidRPr="00291691">
        <w:rPr>
          <w:lang w:val="en"/>
        </w:rPr>
        <w:t xml:space="preserve"> </w:t>
      </w:r>
    </w:p>
  </w:footnote>
  <w:footnote w:id="403">
    <w:p w14:paraId="71633F12" w14:textId="77777777" w:rsidR="00D53D4F" w:rsidRDefault="00D53D4F" w:rsidP="002A4DBF">
      <w:pPr>
        <w:pStyle w:val="FootnoteText"/>
        <w:spacing w:after="120"/>
      </w:pPr>
      <w:r>
        <w:rPr>
          <w:rStyle w:val="FootnoteReference"/>
        </w:rPr>
        <w:footnoteRef/>
      </w:r>
      <w:r>
        <w:t xml:space="preserve"> </w:t>
      </w:r>
      <w:r w:rsidRPr="001B7EE1">
        <w:rPr>
          <w:i/>
        </w:rPr>
        <w:t>Grant v. Commissioner</w:t>
      </w:r>
      <w:r>
        <w:t>, 174 F.2d 891 (5</w:t>
      </w:r>
      <w:r w:rsidRPr="001B7EE1">
        <w:rPr>
          <w:vertAlign w:val="superscript"/>
        </w:rPr>
        <w:t>th</w:t>
      </w:r>
      <w:r>
        <w:t xml:space="preserve"> Cir. 1949).  Although, §678(d) does provide that “</w:t>
      </w:r>
      <w:r w:rsidRPr="00D757B6">
        <w:t>Subsection (a) shall not apply with respect to a power which has been renounced or disclaimed within a reasonable time after the holder of the power first became aware of its existence.</w:t>
      </w:r>
      <w:r>
        <w:t>” – slightly different from qualified disclaimer rules.</w:t>
      </w:r>
    </w:p>
  </w:footnote>
  <w:footnote w:id="404">
    <w:p w14:paraId="0777906D" w14:textId="77777777" w:rsidR="00D53D4F" w:rsidRDefault="00D53D4F" w:rsidP="002A4DBF">
      <w:pPr>
        <w:pStyle w:val="FootnoteText"/>
        <w:spacing w:after="120"/>
      </w:pPr>
      <w:r>
        <w:rPr>
          <w:rStyle w:val="FootnoteReference"/>
        </w:rPr>
        <w:footnoteRef/>
      </w:r>
      <w:r>
        <w:t xml:space="preserve"> Generally GPOAs are unaffected by a powerholder’s incapacity, see various cases cited in footnote 74.  IRC §678(a) should follow – see  Rev. Rul. 81-6, holding that a minor beneficiary is deemed owner for §678 even if local law requires court appointed guardian and none has yet been appointed.</w:t>
      </w:r>
    </w:p>
  </w:footnote>
  <w:footnote w:id="405">
    <w:p w14:paraId="10EC54E1" w14:textId="77777777" w:rsidR="00D53D4F" w:rsidRDefault="00D53D4F" w:rsidP="002A4DBF">
      <w:pPr>
        <w:pStyle w:val="FootnoteText"/>
        <w:spacing w:after="120"/>
      </w:pPr>
      <w:r>
        <w:rPr>
          <w:rStyle w:val="FootnoteReference"/>
        </w:rPr>
        <w:footnoteRef/>
      </w:r>
      <w:r>
        <w:t xml:space="preserve"> Rev. Rul. 67-241: Widow had a typical 5/5 power (over the greater of $5,000 or 5% of the trust corpus).</w:t>
      </w:r>
      <w:r w:rsidRPr="00322521">
        <w:t xml:space="preserve"> </w:t>
      </w:r>
      <w:r>
        <w:t>“Since the widow has a power exercisable solely by herself to vest a portion of the trust corpus in herself, she is treated as the owner of that portion of the trust under section 678 of the Code. As the owner of a portion of the trust corpus, there are included in computing her tax liability those items of income, deduction, and credit against tax attributable to or included in that portion. Pursuant to the provisions of section 1.671-4 of the regulations, these items should not be reported by the trust on Form 1041, U.S. Fiduciary Income Tax Return (for estates, and trusts), but should be shown on a separate statement to be attached to that form. The portions of trust corpus considered owned by the widow are not subject to the provisions of sections 661(a)(2) and 662(a)(2) of the Code when distributed to her.”</w:t>
      </w:r>
    </w:p>
  </w:footnote>
  <w:footnote w:id="406">
    <w:p w14:paraId="558106D1" w14:textId="77777777" w:rsidR="00D53D4F" w:rsidRPr="00AF12AA" w:rsidRDefault="00D53D4F" w:rsidP="002A4DBF">
      <w:pPr>
        <w:spacing w:after="120"/>
        <w:rPr>
          <w:sz w:val="20"/>
          <w:szCs w:val="20"/>
        </w:rPr>
      </w:pPr>
      <w:r w:rsidRPr="00AF12AA">
        <w:rPr>
          <w:rStyle w:val="FootnoteReference"/>
          <w:sz w:val="20"/>
          <w:szCs w:val="20"/>
        </w:rPr>
        <w:footnoteRef/>
      </w:r>
      <w:r w:rsidRPr="00AF12AA">
        <w:rPr>
          <w:sz w:val="20"/>
          <w:szCs w:val="20"/>
        </w:rPr>
        <w:t xml:space="preserve"> </w:t>
      </w:r>
      <w:r>
        <w:rPr>
          <w:sz w:val="20"/>
          <w:szCs w:val="20"/>
        </w:rPr>
        <w:t xml:space="preserve">In </w:t>
      </w:r>
      <w:r w:rsidRPr="00C74908">
        <w:rPr>
          <w:i/>
          <w:sz w:val="20"/>
          <w:szCs w:val="20"/>
        </w:rPr>
        <w:t>Townsend v. Commissioner</w:t>
      </w:r>
      <w:r>
        <w:rPr>
          <w:sz w:val="20"/>
          <w:szCs w:val="20"/>
        </w:rPr>
        <w:t>, 5 T.C. 1380 (1945), the beneficiary, pursuant to a state court order after a dispute, had the unfettered right to withdraw up to $30,000 annually, and the tax court held this much must be reported directly on the powerholder/beneficiary’s tax return.  Also, see Rev. Rul. 67-241 quoted above.</w:t>
      </w:r>
    </w:p>
  </w:footnote>
  <w:footnote w:id="407">
    <w:p w14:paraId="51EF59EA" w14:textId="54AF5A8A" w:rsidR="00D53D4F" w:rsidRDefault="00D53D4F" w:rsidP="002A4DBF">
      <w:pPr>
        <w:pStyle w:val="FootnoteText"/>
        <w:spacing w:after="120"/>
      </w:pPr>
      <w:r>
        <w:rPr>
          <w:rStyle w:val="FootnoteReference"/>
        </w:rPr>
        <w:footnoteRef/>
      </w:r>
      <w:r>
        <w:t xml:space="preserve"> Generally, distributions of appreciated property in kind to fund a pecuniary amount can trigger taxation known as </w:t>
      </w:r>
      <w:r w:rsidRPr="00F0389F">
        <w:rPr>
          <w:i/>
        </w:rPr>
        <w:t>Kenan</w:t>
      </w:r>
      <w:r>
        <w:t xml:space="preserve"> gain, from </w:t>
      </w:r>
      <w:r w:rsidRPr="00755386">
        <w:rPr>
          <w:i/>
        </w:rPr>
        <w:t>Kenan v. Comm</w:t>
      </w:r>
      <w:r>
        <w:t>.,</w:t>
      </w:r>
      <w:r w:rsidRPr="00755386">
        <w:t xml:space="preserve"> 114 F. 2d 217 (2d Cir. 1940)</w:t>
      </w:r>
      <w:r>
        <w:t>.  Treas. Reg. §1.1014-4(a)(3).  Non-pro rata divisions of even a residuary do the same if there is no trustee authority, pursuant to Rev. Rul. 69-486, but most trusts nowadays should have the power to do this, either through boilerplate or state law.  See Uniform Trust Code §816(22).  Generally, if a trustee gives $50,000 of stock with a basis of $40,000 to pay a $50,000 obligation (e.g.</w:t>
      </w:r>
      <w:r w:rsidR="00C80C6B">
        <w:t>,</w:t>
      </w:r>
      <w:r>
        <w:t xml:space="preserve"> </w:t>
      </w:r>
      <w:r w:rsidR="002125CC">
        <w:t xml:space="preserve">an </w:t>
      </w:r>
      <w:r>
        <w:t xml:space="preserve">annuity), the trust incurs $10,000 gain and the beneficiary has a basis of $50,000.  </w:t>
      </w:r>
      <w:r w:rsidRPr="00755386">
        <w:t xml:space="preserve"> Rev. Rul. 68-392</w:t>
      </w:r>
      <w:r>
        <w:t xml:space="preserve">.  </w:t>
      </w:r>
      <w:r w:rsidR="00EC6042">
        <w:t xml:space="preserve">Surprisingly, this </w:t>
      </w:r>
      <w:r w:rsidR="000B58F7">
        <w:t xml:space="preserve">holds true even if the pecuniary is a </w:t>
      </w:r>
      <w:r w:rsidR="000B58F7" w:rsidRPr="00824FB8">
        <w:rPr>
          <w:i/>
          <w:iCs/>
        </w:rPr>
        <w:t>de facto</w:t>
      </w:r>
      <w:r w:rsidR="000B58F7">
        <w:t xml:space="preserve"> residuary (e.g., </w:t>
      </w:r>
      <w:r w:rsidR="005D602D">
        <w:t>“</w:t>
      </w:r>
      <w:r w:rsidR="000B58F7">
        <w:t xml:space="preserve">give the first $1 trillion </w:t>
      </w:r>
      <w:r w:rsidR="005D602D">
        <w:t>to x”</w:t>
      </w:r>
      <w:r w:rsidR="000D25C6">
        <w:t>, or more commonly, the applicable exclusion amount or GST exemption amount)</w:t>
      </w:r>
      <w:r w:rsidR="005D602D">
        <w:t xml:space="preserve">.  See Rev. Rul. </w:t>
      </w:r>
      <w:r w:rsidR="000D25C6" w:rsidRPr="000D25C6">
        <w:t>66-207, 1966-2 C.B. 243</w:t>
      </w:r>
      <w:r w:rsidR="002125CC">
        <w:t xml:space="preserve"> (debatable, but that’s the IRS position)</w:t>
      </w:r>
      <w:r w:rsidR="008406BF">
        <w:t xml:space="preserve">.  </w:t>
      </w:r>
      <w:r>
        <w:t>However, if this share comes from a grantor trust (</w:t>
      </w:r>
      <w:r w:rsidR="008406BF">
        <w:t>even one</w:t>
      </w:r>
      <w:r w:rsidR="009F63D2">
        <w:t xml:space="preserve"> deemed owned under IRC </w:t>
      </w:r>
      <w:r w:rsidR="009F63D2">
        <w:rPr>
          <w:rFonts w:ascii="Arial" w:hAnsi="Arial" w:cs="Arial"/>
        </w:rPr>
        <w:t>§</w:t>
      </w:r>
      <w:r w:rsidR="009F63D2">
        <w:t xml:space="preserve"> 678</w:t>
      </w:r>
      <w:r>
        <w:t>), no gain should be triggered at all</w:t>
      </w:r>
      <w:r w:rsidR="0086028D">
        <w:t xml:space="preserve"> (at least if it’s to the deemed owner)</w:t>
      </w:r>
      <w:r>
        <w:t>. Rev. Rul. 85-13.</w:t>
      </w:r>
    </w:p>
  </w:footnote>
  <w:footnote w:id="408">
    <w:p w14:paraId="6659459D" w14:textId="77777777" w:rsidR="00D53D4F" w:rsidRDefault="00D53D4F" w:rsidP="002A4DBF">
      <w:pPr>
        <w:pStyle w:val="FootnoteText"/>
        <w:spacing w:after="120"/>
      </w:pPr>
      <w:r>
        <w:rPr>
          <w:rStyle w:val="FootnoteReference"/>
        </w:rPr>
        <w:footnoteRef/>
      </w:r>
      <w:r>
        <w:t xml:space="preserve"> </w:t>
      </w:r>
      <w:r w:rsidRPr="005F2A44">
        <w:rPr>
          <w:i/>
        </w:rPr>
        <w:t>Mallinckrodt v. Nunan</w:t>
      </w:r>
      <w:r w:rsidRPr="005F2A44">
        <w:t>, 146 F.2d 1 (8</w:t>
      </w:r>
      <w:r w:rsidRPr="005F2A44">
        <w:rPr>
          <w:vertAlign w:val="superscript"/>
        </w:rPr>
        <w:t>th</w:t>
      </w:r>
      <w:r w:rsidRPr="005F2A44">
        <w:t xml:space="preserve"> Cir. 1945)</w:t>
      </w:r>
      <w:r>
        <w:t xml:space="preserve">, this same reasoning is followed in other cases where beneficiaries had no withdrawal right over the entire principal, but only the income.  E.g. </w:t>
      </w:r>
      <w:r w:rsidRPr="003D3CBD">
        <w:rPr>
          <w:i/>
        </w:rPr>
        <w:t>Spies v. United States</w:t>
      </w:r>
      <w:r>
        <w:t>, 180 F.2d 336 (8</w:t>
      </w:r>
      <w:r w:rsidRPr="003D3CBD">
        <w:rPr>
          <w:vertAlign w:val="superscript"/>
        </w:rPr>
        <w:t>th</w:t>
      </w:r>
      <w:r>
        <w:t xml:space="preserve"> Cir. 1950), </w:t>
      </w:r>
      <w:r w:rsidRPr="00306402">
        <w:rPr>
          <w:i/>
        </w:rPr>
        <w:t>Goldsby v. Commissioner</w:t>
      </w:r>
      <w:r>
        <w:t xml:space="preserve">, T.C. Memo 2006-274 (where taxpayer/beneficiaries attempted to get an individual charitable deduction, arguing that a conservation easement contribution from the trust came from income taxable to the beneficiary under §678 – the tax court found that 678(a) applied, and a charitable deduction would be allowed if it came from a taxpayer’s grantor trust portion, but ultimately denied the deduction since the contribution was not traced to income.  The parties and court inexplicable ignored §678(a)(2), which may have helped the taxpayer get a pro rated deduction).      </w:t>
      </w:r>
    </w:p>
  </w:footnote>
  <w:footnote w:id="409">
    <w:p w14:paraId="09D08F8D" w14:textId="77777777" w:rsidR="00D53D4F" w:rsidRDefault="00D53D4F" w:rsidP="002A4DBF">
      <w:pPr>
        <w:pStyle w:val="FootnoteText"/>
        <w:spacing w:after="120"/>
      </w:pPr>
      <w:r>
        <w:rPr>
          <w:rStyle w:val="FootnoteReference"/>
        </w:rPr>
        <w:footnoteRef/>
      </w:r>
      <w:r>
        <w:t xml:space="preserve"> </w:t>
      </w:r>
      <w:r w:rsidRPr="006B07B9">
        <w:rPr>
          <w:i/>
        </w:rPr>
        <w:t>Id</w:t>
      </w:r>
      <w:r>
        <w:t>. at 5.</w:t>
      </w:r>
    </w:p>
  </w:footnote>
  <w:footnote w:id="410">
    <w:p w14:paraId="211FBCD6" w14:textId="77777777" w:rsidR="00D53D4F" w:rsidRDefault="00D53D4F" w:rsidP="002A4DBF">
      <w:pPr>
        <w:pStyle w:val="FootnoteText"/>
        <w:spacing w:after="120"/>
      </w:pPr>
      <w:r>
        <w:rPr>
          <w:rStyle w:val="FootnoteReference"/>
        </w:rPr>
        <w:footnoteRef/>
      </w:r>
      <w:r>
        <w:t xml:space="preserve"> </w:t>
      </w:r>
      <w:r w:rsidRPr="00657574">
        <w:rPr>
          <w:i/>
        </w:rPr>
        <w:t>Campbell v. Commissioner</w:t>
      </w:r>
      <w:r>
        <w:t>, T.C. Memo 1979-495.</w:t>
      </w:r>
    </w:p>
  </w:footnote>
  <w:footnote w:id="411">
    <w:p w14:paraId="599C2273" w14:textId="77777777" w:rsidR="00D53D4F" w:rsidRDefault="00D53D4F" w:rsidP="002A4DBF">
      <w:pPr>
        <w:pStyle w:val="FootnoteText"/>
        <w:spacing w:after="120"/>
      </w:pPr>
      <w:r>
        <w:rPr>
          <w:rStyle w:val="FootnoteReference"/>
        </w:rPr>
        <w:footnoteRef/>
      </w:r>
      <w:r>
        <w:t xml:space="preserve"> </w:t>
      </w:r>
      <w:r w:rsidRPr="00851DF3">
        <w:rPr>
          <w:i/>
        </w:rPr>
        <w:t>Id</w:t>
      </w:r>
      <w:r>
        <w:t>. at 16.</w:t>
      </w:r>
    </w:p>
  </w:footnote>
  <w:footnote w:id="412">
    <w:p w14:paraId="55E28545" w14:textId="4FFFD050" w:rsidR="00D53D4F" w:rsidRDefault="00D53D4F" w:rsidP="002A4DBF">
      <w:pPr>
        <w:pStyle w:val="FootnoteText"/>
        <w:spacing w:after="120"/>
      </w:pPr>
      <w:r>
        <w:rPr>
          <w:rStyle w:val="FootnoteReference"/>
        </w:rPr>
        <w:footnoteRef/>
      </w:r>
      <w:r>
        <w:t xml:space="preserve"> PLR 2016-33021.</w:t>
      </w:r>
      <w:r w:rsidR="00D23DD8">
        <w:t xml:space="preserve">  Recall that </w:t>
      </w:r>
      <w:r w:rsidR="00AA35D8">
        <w:t xml:space="preserve">while PLRs are not </w:t>
      </w:r>
      <w:r w:rsidR="005C7A13">
        <w:t>precedential</w:t>
      </w:r>
      <w:r w:rsidR="00260C9C">
        <w:t xml:space="preserve"> and the IRS is never bound by them</w:t>
      </w:r>
      <w:r w:rsidR="00AA35D8">
        <w:t xml:space="preserve">, they might be helpful </w:t>
      </w:r>
      <w:r w:rsidR="00260C9C">
        <w:t xml:space="preserve">as authority </w:t>
      </w:r>
      <w:r w:rsidR="00AA35D8">
        <w:t>in avoiding penalties</w:t>
      </w:r>
      <w:r w:rsidR="00930FAB">
        <w:t xml:space="preserve"> for substantial understat</w:t>
      </w:r>
      <w:r w:rsidR="007E7C14">
        <w:t>ement of tax</w:t>
      </w:r>
      <w:r w:rsidR="008F49B4">
        <w:t xml:space="preserve">.  </w:t>
      </w:r>
      <w:r w:rsidR="00CE0CA6">
        <w:t>Remember, however, that “</w:t>
      </w:r>
      <w:r w:rsidR="00CE0CA6" w:rsidRPr="00CE0CA6">
        <w:t>An older private letter ruling, technical advice memorandum, general counsel memorandum or action on decision generally must be accorded less weight than a more recent one. Any document described in the preceding sentence that is more than 10 years old generally is accorded very little weight.</w:t>
      </w:r>
      <w:r w:rsidR="00CE0CA6">
        <w:t xml:space="preserve">”  </w:t>
      </w:r>
      <w:r w:rsidR="008F49B4">
        <w:t xml:space="preserve">See </w:t>
      </w:r>
      <w:hyperlink r:id="rId57" w:history="1">
        <w:r w:rsidR="00DF1742" w:rsidRPr="00CF7CBD">
          <w:rPr>
            <w:rStyle w:val="Hyperlink"/>
          </w:rPr>
          <w:t>Treas. Reg. §</w:t>
        </w:r>
        <w:r w:rsidR="0053408C" w:rsidRPr="00CF7CBD">
          <w:rPr>
            <w:rStyle w:val="Hyperlink"/>
          </w:rPr>
          <w:t>1.6662-4(d)(3)(ii)</w:t>
        </w:r>
      </w:hyperlink>
      <w:r w:rsidR="003B5824">
        <w:t xml:space="preserve">, and for a recent case that used a PLR successfully to avoid </w:t>
      </w:r>
      <w:r w:rsidR="007F309D">
        <w:t xml:space="preserve">20% </w:t>
      </w:r>
      <w:r w:rsidR="003B5824">
        <w:t xml:space="preserve">penalties, see </w:t>
      </w:r>
      <w:r w:rsidR="00BD2751" w:rsidRPr="00BD2751">
        <w:rPr>
          <w:i/>
          <w:iCs/>
        </w:rPr>
        <w:t>Plateau Holdings, LLC v. Comm.</w:t>
      </w:r>
      <w:r w:rsidR="00BD2751">
        <w:t xml:space="preserve">, </w:t>
      </w:r>
      <w:r w:rsidR="003B5824" w:rsidRPr="003B5824">
        <w:t>T.C. Memo. 2021-133</w:t>
      </w:r>
      <w:r w:rsidR="003B5824">
        <w:t>.</w:t>
      </w:r>
    </w:p>
  </w:footnote>
  <w:footnote w:id="413">
    <w:p w14:paraId="6E1F8CB1" w14:textId="77777777" w:rsidR="00D53D4F" w:rsidRDefault="00D53D4F" w:rsidP="002A4DBF">
      <w:pPr>
        <w:pStyle w:val="FootnoteText"/>
        <w:spacing w:after="120"/>
      </w:pPr>
      <w:r>
        <w:rPr>
          <w:rStyle w:val="FootnoteReference"/>
        </w:rPr>
        <w:footnoteRef/>
      </w:r>
      <w:r>
        <w:t xml:space="preserve"> More accurately, no income to report under Subparts A-D of Subchapter J, but under Subpart E grantor trust.</w:t>
      </w:r>
    </w:p>
  </w:footnote>
  <w:footnote w:id="414">
    <w:p w14:paraId="4B656054" w14:textId="77777777" w:rsidR="00D53D4F" w:rsidRDefault="00D53D4F" w:rsidP="002A4DBF">
      <w:pPr>
        <w:pStyle w:val="FootnoteText"/>
        <w:spacing w:after="120"/>
      </w:pPr>
      <w:r>
        <w:rPr>
          <w:rStyle w:val="FootnoteReference"/>
        </w:rPr>
        <w:footnoteRef/>
      </w:r>
      <w:r>
        <w:t xml:space="preserve"> See various portion rules discussed in Treas. Reg. §1.671-2 and §1.671-3, some expenses might be attributed to the asset producing the income, and some, like a trustee fee, might be prorated.</w:t>
      </w:r>
    </w:p>
  </w:footnote>
  <w:footnote w:id="415">
    <w:p w14:paraId="0B2D6470" w14:textId="77777777" w:rsidR="00D53D4F" w:rsidRDefault="00D53D4F" w:rsidP="002A4DBF">
      <w:pPr>
        <w:pStyle w:val="FootnoteText"/>
        <w:spacing w:after="120"/>
      </w:pPr>
      <w:r>
        <w:rPr>
          <w:rStyle w:val="FootnoteReference"/>
        </w:rPr>
        <w:footnoteRef/>
      </w:r>
      <w:r>
        <w:t xml:space="preserve"> </w:t>
      </w:r>
      <w:r w:rsidRPr="00C14820">
        <w:rPr>
          <w:i/>
        </w:rPr>
        <w:t>Goldsby v. Commissioner</w:t>
      </w:r>
      <w:r w:rsidRPr="00C14820">
        <w:t>, T.C. Memo 2006-274</w:t>
      </w:r>
      <w:r>
        <w:t>.</w:t>
      </w:r>
    </w:p>
  </w:footnote>
  <w:footnote w:id="416">
    <w:p w14:paraId="6772E212" w14:textId="77777777" w:rsidR="00D53D4F" w:rsidRDefault="00D53D4F" w:rsidP="002A4DBF">
      <w:pPr>
        <w:pStyle w:val="EndnoteText"/>
        <w:spacing w:after="120"/>
      </w:pPr>
      <w:r>
        <w:rPr>
          <w:rStyle w:val="FootnoteReference"/>
        </w:rPr>
        <w:footnoteRef/>
      </w:r>
      <w:r>
        <w:t xml:space="preserve"> Arguably, a §678(a) trust should avoid arguments that the trust is not an “agent for a natural person” pursuant to IRC §72(u).  See </w:t>
      </w:r>
      <w:r w:rsidRPr="00685324">
        <w:rPr>
          <w:i/>
        </w:rPr>
        <w:t>The Advisor’s Guide to Annuities</w:t>
      </w:r>
      <w:r>
        <w:t>, by Michael Kitces and John Olsen.  Non-qualified annuities, perhaps even more so than IRAs/Qualified plans, are best left to spouses outright unless the negatives of outright bequest (higher state estate tax, protection for other family, vulnerable spouse, etc.), outweigh the income tax benefits</w:t>
      </w:r>
      <w:r w:rsidRPr="00CD334D">
        <w:t xml:space="preserve"> </w:t>
      </w:r>
      <w:r>
        <w:t>potentially lost by using a trust (which will depend on the gain in the contract).</w:t>
      </w:r>
      <w:r w:rsidRPr="00AB13D7">
        <w:t xml:space="preserve"> </w:t>
      </w:r>
      <w:r>
        <w:t>For small business stock exclusion and rollovers, see IRC §1202 and §1045.</w:t>
      </w:r>
    </w:p>
  </w:footnote>
  <w:footnote w:id="417">
    <w:p w14:paraId="3D57AE05" w14:textId="77777777" w:rsidR="00D53D4F" w:rsidRDefault="00D53D4F" w:rsidP="002A4DBF">
      <w:pPr>
        <w:pStyle w:val="FootnoteText"/>
        <w:spacing w:after="120"/>
      </w:pPr>
      <w:r>
        <w:rPr>
          <w:rStyle w:val="FootnoteReference"/>
        </w:rPr>
        <w:footnoteRef/>
      </w:r>
      <w:r>
        <w:t xml:space="preserve"> IRC §179(d)(4), although if the income is going to be earmarked to a specific beneficiary, then a QSST election may solve the issue if an S corporation – QSSTs are in many ways de facto §678(a) trusts, see e.g., Treas. Reg. §1.1361-1(j)(8), but the §678(a) solution may be a good solution for an LLC/LP taxed as a partnership.  The generous $500,000 expensing provision was previously due to expire but was made permanent by §124 of the Protecting Americans from Tax Hikes (PATH) Act of 2015, and will adjust annually for inflation ($510,000 in 2017 per Rev. Proc.</w:t>
      </w:r>
      <w:r w:rsidRPr="00615E0B">
        <w:t xml:space="preserve"> 2016-55, § 3.25</w:t>
      </w:r>
      <w:r>
        <w:t>).</w:t>
      </w:r>
    </w:p>
  </w:footnote>
  <w:footnote w:id="418">
    <w:p w14:paraId="67BBDBB7" w14:textId="77777777" w:rsidR="00D53D4F" w:rsidRPr="002E685C" w:rsidRDefault="00D53D4F" w:rsidP="002A4DBF">
      <w:pPr>
        <w:pStyle w:val="FootnoteText"/>
        <w:spacing w:after="120"/>
        <w:rPr>
          <w:lang w:val="en"/>
        </w:rPr>
      </w:pPr>
      <w:r>
        <w:rPr>
          <w:rStyle w:val="FootnoteReference"/>
        </w:rPr>
        <w:footnoteRef/>
      </w:r>
      <w:r>
        <w:t xml:space="preserve"> IRC §1361(c)(2)(A)</w:t>
      </w:r>
      <w:r>
        <w:rPr>
          <w:rFonts w:ascii="Lucida Sans Unicode" w:hAnsi="Lucida Sans Unicode" w:cs="Lucida Sans Unicode"/>
          <w:b/>
          <w:bCs/>
          <w:sz w:val="21"/>
          <w:szCs w:val="21"/>
          <w:lang w:val="en"/>
        </w:rPr>
        <w:t xml:space="preserve"> “</w:t>
      </w:r>
      <w:r w:rsidRPr="00195BDE">
        <w:rPr>
          <w:lang w:val="en"/>
        </w:rPr>
        <w:t xml:space="preserve">the following trusts may be shareholders: </w:t>
      </w:r>
      <w:bookmarkStart w:id="17" w:name="c_2_A_i"/>
      <w:bookmarkEnd w:id="17"/>
      <w:r w:rsidRPr="00195BDE">
        <w:rPr>
          <w:b/>
          <w:bCs/>
          <w:lang w:val="en"/>
        </w:rPr>
        <w:t>(i)</w:t>
      </w:r>
      <w:r w:rsidRPr="00195BDE">
        <w:rPr>
          <w:lang w:val="en"/>
        </w:rPr>
        <w:t xml:space="preserve"> A trust all of which is treated (under subpart E of part I of subchapter J of this chapter) as owned by an individual who is a citizen or resident of the United States.</w:t>
      </w:r>
      <w:r>
        <w:rPr>
          <w:lang w:val="en"/>
        </w:rPr>
        <w:t xml:space="preserve">” Subpart E of part I of subchapter J is referring to IRC §§671-679, which of course includes §678(a).  PLR 2012-16034 recently followed this, ruling that a beneficiary-grantor trust created via </w:t>
      </w:r>
      <w:r w:rsidRPr="004F24B2">
        <w:rPr>
          <w:i/>
          <w:lang w:val="en"/>
        </w:rPr>
        <w:t>Crummey</w:t>
      </w:r>
      <w:r>
        <w:rPr>
          <w:lang w:val="en"/>
        </w:rPr>
        <w:t xml:space="preserve"> power qualifies as an S corporation shareholder.  Conservative practitioners may want to file a QSST election as a “belt and suspenders” approach, but this is a great back up in case that election failed to be properly filed.  For most purposes, except perhaps for sale of the stock (where the QSST would no longer be treated as a grantor trust), it is the same for income tax purposes.</w:t>
      </w:r>
    </w:p>
  </w:footnote>
  <w:footnote w:id="419">
    <w:p w14:paraId="2CE8FCE2" w14:textId="77777777" w:rsidR="00D53D4F" w:rsidRDefault="00D53D4F" w:rsidP="002A4DBF">
      <w:pPr>
        <w:pStyle w:val="FootnoteText"/>
        <w:spacing w:after="120"/>
      </w:pPr>
      <w:r>
        <w:rPr>
          <w:rStyle w:val="FootnoteReference"/>
        </w:rPr>
        <w:footnoteRef/>
      </w:r>
      <w:r>
        <w:t xml:space="preserve"> See IRC §1244, Treas. Reg. §1.671-3(a) and (a)(2).</w:t>
      </w:r>
    </w:p>
  </w:footnote>
  <w:footnote w:id="420">
    <w:p w14:paraId="013A382E" w14:textId="77777777" w:rsidR="00D53D4F" w:rsidRDefault="00D53D4F" w:rsidP="002A4DBF">
      <w:pPr>
        <w:pStyle w:val="FootnoteText"/>
        <w:spacing w:after="120"/>
      </w:pPr>
      <w:r>
        <w:rPr>
          <w:rStyle w:val="FootnoteReference"/>
        </w:rPr>
        <w:footnoteRef/>
      </w:r>
      <w:r>
        <w:t xml:space="preserve"> See </w:t>
      </w:r>
      <w:r w:rsidRPr="006D783D">
        <w:rPr>
          <w:i/>
        </w:rPr>
        <w:t>Using Separate or Stand</w:t>
      </w:r>
      <w:r>
        <w:rPr>
          <w:i/>
        </w:rPr>
        <w:t xml:space="preserve"> A</w:t>
      </w:r>
      <w:r w:rsidRPr="006D783D">
        <w:rPr>
          <w:i/>
        </w:rPr>
        <w:t>lone Trusts to Receive Retirement Benefits</w:t>
      </w:r>
      <w:r>
        <w:t>, Edwin Morrow, Journal of Retirement Planning, Sept 2007, and ask the author for 2016 update from CLE outline on various income tax advantages of segregating such accounts.</w:t>
      </w:r>
    </w:p>
  </w:footnote>
  <w:footnote w:id="421">
    <w:p w14:paraId="3189FA87" w14:textId="77777777" w:rsidR="00D53D4F" w:rsidRDefault="00D53D4F" w:rsidP="002A4DBF">
      <w:pPr>
        <w:pStyle w:val="FootnoteText"/>
        <w:spacing w:after="120"/>
      </w:pPr>
      <w:r>
        <w:rPr>
          <w:rStyle w:val="FootnoteReference"/>
        </w:rPr>
        <w:footnoteRef/>
      </w:r>
      <w:r>
        <w:t xml:space="preserve"> For instance, someone in Seattle could easily have a $1 million home, $1 million in other assets, and wants to fund the entire $2 million to exploit the $2 million because their spouse has the same amount of assets – not funding the bypass with the home might cause $200,000 or so in additional state estate tax.  State-only QTIP trusts have the same issue.  Washington state has a $2 million estate tax exclusion with 10%-20% rates.</w:t>
      </w:r>
    </w:p>
  </w:footnote>
  <w:footnote w:id="422">
    <w:p w14:paraId="155CE144" w14:textId="77777777" w:rsidR="00D53D4F" w:rsidRDefault="00D53D4F" w:rsidP="002A4DBF">
      <w:pPr>
        <w:pStyle w:val="FootnoteText"/>
        <w:spacing w:after="120"/>
      </w:pPr>
      <w:r>
        <w:rPr>
          <w:rStyle w:val="FootnoteReference"/>
        </w:rPr>
        <w:footnoteRef/>
      </w:r>
      <w:r>
        <w:t xml:space="preserve"> IRC §2514(e).  However, the 5% would pertain to the taxable income available to withdraw, not the entire principal from which the withdrawal amount is drawn from, as some authors in this area have assumed – see Rev. Rul. 66-87.  If a beneficiary has the right to withdraw $120,000 of taxable income from a $2 million trust corpus, and does not take it, the lapse protection is $6,000 (5% of $120,000), not $100,000 (5% of $2 million).  If the $2 million has two equal separate shares with each beneficiary able to withdraw half the same amount above, the amount of a standard 5/5 lapse protection would be $5,000 (the greater of $5,000 or 5% of $60,000), not $50,000, because the “assets out of which” is the $60,000 of withdrawable income, not $1 million.  To ensure greater lapse protection and enable more to stay protected in the trust without the beneficiary being deemed the grantor, we need to amend the withdrawal right a bit.  For example, if the beneficiary were able to withdraw the greater of the taxable income or 5% of the corpus, the lapse protection would increase accordingly to $100,000 (or $50,000 in our example of the $2 million corpus with two separate shares). The lapse protection may differ for state creditor protection law than federal tax law.  In most states, the amount in the above scenario which is protected from being deemed a contribution by the beneficiary as a settlor would be the greater of 5% or the annual exclusion amount (as of 2016, $14,000, or double that, $28,000, depending on whether the original donor was married at the time).  Restatement of Trusts, 3d, §56 comment b and UTC § 505(b), which was patterned after</w:t>
      </w:r>
      <w:r w:rsidRPr="001D0C15">
        <w:t xml:space="preserve"> </w:t>
      </w:r>
      <w:r>
        <w:t xml:space="preserve">Arizona R.S. § 14-7705(g) and Texas P.C. § 112.035(e).  Though many UTC states double the annual exclusion lapse protection, as in Ohio R.C. §5805.06(B)(2), a few may omit it altogether (Massachusetts).  </w:t>
      </w:r>
    </w:p>
  </w:footnote>
  <w:footnote w:id="423">
    <w:p w14:paraId="273AB2FA" w14:textId="77777777" w:rsidR="00D53D4F" w:rsidRDefault="00D53D4F" w:rsidP="002A4DBF">
      <w:pPr>
        <w:pStyle w:val="FootnoteText"/>
        <w:spacing w:after="120"/>
      </w:pPr>
      <w:r>
        <w:rPr>
          <w:rStyle w:val="FootnoteReference"/>
        </w:rPr>
        <w:footnoteRef/>
      </w:r>
      <w:r>
        <w:t xml:space="preserve"> Treas. Reg. §1.671-3(a)(2).</w:t>
      </w:r>
    </w:p>
  </w:footnote>
  <w:footnote w:id="424">
    <w:p w14:paraId="11F0E4AC" w14:textId="77777777" w:rsidR="00D53D4F" w:rsidRDefault="00D53D4F" w:rsidP="002A4DBF">
      <w:pPr>
        <w:pStyle w:val="FootnoteText"/>
        <w:spacing w:after="120"/>
      </w:pPr>
      <w:r>
        <w:rPr>
          <w:rStyle w:val="FootnoteReference"/>
        </w:rPr>
        <w:footnoteRef/>
      </w:r>
      <w:r>
        <w:t xml:space="preserve"> See Treas. Reg. §1.671-4 for various alternative methods of grantor trust reporting compliance – if the grantor is trustee a Form 1041 filing can be avoided.  If a third party is trustee, a Form 1041 is filed with a box checked for grantor trust status and the trustee attaches a statement (not a K-1) showing income, deductions, credits, etc.</w:t>
      </w:r>
    </w:p>
  </w:footnote>
  <w:footnote w:id="425">
    <w:p w14:paraId="61814D06" w14:textId="77777777" w:rsidR="00D53D4F" w:rsidRDefault="00D53D4F" w:rsidP="002A4DBF">
      <w:pPr>
        <w:pStyle w:val="FootnoteText"/>
        <w:spacing w:after="120"/>
      </w:pPr>
      <w:r>
        <w:rPr>
          <w:rStyle w:val="FootnoteReference"/>
        </w:rPr>
        <w:footnoteRef/>
      </w:r>
      <w:r>
        <w:t xml:space="preserve"> IRC §642(h).</w:t>
      </w:r>
    </w:p>
  </w:footnote>
  <w:footnote w:id="426">
    <w:p w14:paraId="3874B9A8" w14:textId="77777777" w:rsidR="00D53D4F" w:rsidRDefault="00D53D4F" w:rsidP="002A4DBF">
      <w:pPr>
        <w:pStyle w:val="FootnoteText"/>
        <w:spacing w:after="120"/>
      </w:pPr>
      <w:r>
        <w:rPr>
          <w:rStyle w:val="FootnoteReference"/>
        </w:rPr>
        <w:footnoteRef/>
      </w:r>
      <w:r>
        <w:t xml:space="preserve"> </w:t>
      </w:r>
      <w:r w:rsidRPr="00E57266">
        <w:t>Treas. Reg. §1.671-3(a)</w:t>
      </w:r>
      <w:r>
        <w:t>.</w:t>
      </w:r>
    </w:p>
  </w:footnote>
  <w:footnote w:id="427">
    <w:p w14:paraId="71033559" w14:textId="77777777" w:rsidR="00D53D4F" w:rsidRDefault="00D53D4F" w:rsidP="002A4DBF">
      <w:pPr>
        <w:pStyle w:val="FootnoteText"/>
        <w:spacing w:after="120"/>
      </w:pPr>
      <w:r>
        <w:rPr>
          <w:rStyle w:val="FootnoteReference"/>
        </w:rPr>
        <w:footnoteRef/>
      </w:r>
      <w:r>
        <w:t xml:space="preserve"> Remember, however, the trustee would typically have a parallel discretion to make distributions, so it’s not like the beneficiary/power holder would be unable to receive any distributions in a down year – it depends on how the trust is drafted.  The trust could also be drafted to have two parallel withdrawal rights – one over ordinary income/accounting income and a separate one over net capital gains, in which case the w/d right in the above scenario would be $50,000.  </w:t>
      </w:r>
    </w:p>
  </w:footnote>
  <w:footnote w:id="428">
    <w:p w14:paraId="232296F0" w14:textId="77777777" w:rsidR="00D53D4F" w:rsidRDefault="00D53D4F" w:rsidP="002A4DBF">
      <w:pPr>
        <w:pStyle w:val="FootnoteText"/>
        <w:spacing w:after="120"/>
      </w:pPr>
      <w:r>
        <w:rPr>
          <w:rStyle w:val="FootnoteReference"/>
        </w:rPr>
        <w:footnoteRef/>
      </w:r>
      <w:r>
        <w:t xml:space="preserve"> IRC §643(a)(3) for general rule for capital loss/DNI and IRC §642(h) for terminating distributions carrying out loss.</w:t>
      </w:r>
    </w:p>
  </w:footnote>
  <w:footnote w:id="429">
    <w:p w14:paraId="0105358E" w14:textId="77777777" w:rsidR="00D53D4F" w:rsidRDefault="00D53D4F" w:rsidP="002A4DBF">
      <w:pPr>
        <w:pStyle w:val="FootnoteText"/>
        <w:spacing w:after="120"/>
      </w:pPr>
      <w:r>
        <w:rPr>
          <w:rStyle w:val="FootnoteReference"/>
        </w:rPr>
        <w:footnoteRef/>
      </w:r>
      <w:r>
        <w:t xml:space="preserve"> Treas. Reg. §1.1411-3(b)(1)(v).</w:t>
      </w:r>
    </w:p>
  </w:footnote>
  <w:footnote w:id="430">
    <w:p w14:paraId="3FE43D30" w14:textId="77777777" w:rsidR="00D53D4F" w:rsidRDefault="00D53D4F" w:rsidP="002A4DBF">
      <w:pPr>
        <w:pStyle w:val="FootnoteText"/>
        <w:spacing w:after="120"/>
      </w:pPr>
      <w:r>
        <w:rPr>
          <w:rStyle w:val="FootnoteReference"/>
        </w:rPr>
        <w:footnoteRef/>
      </w:r>
      <w:r>
        <w:t xml:space="preserve"> For discussion of fraudulent transfer failures using trust protector/decanting see </w:t>
      </w:r>
      <w:r w:rsidRPr="008A2454">
        <w:rPr>
          <w:i/>
        </w:rPr>
        <w:t>Ferri v. Powell-Ferri: Asset Protection Issues, Perils and Opportunities with Decanting</w:t>
      </w:r>
      <w:r>
        <w:t>, Ed Morrow &amp; Steve Oshins, LISI Asset Protection Newsletter #240, for efficacy of automatic forfeiture (cessor) clauses, see other CLE materials from author.</w:t>
      </w:r>
    </w:p>
  </w:footnote>
  <w:footnote w:id="431">
    <w:p w14:paraId="320C218C" w14:textId="77777777" w:rsidR="00D53D4F" w:rsidRDefault="00D53D4F" w:rsidP="002A4DBF">
      <w:pPr>
        <w:pStyle w:val="FootnoteText"/>
        <w:spacing w:after="120"/>
      </w:pPr>
      <w:r>
        <w:rPr>
          <w:rStyle w:val="FootnoteReference"/>
        </w:rPr>
        <w:footnoteRef/>
      </w:r>
      <w:r>
        <w:t xml:space="preserve"> </w:t>
      </w:r>
      <w:r w:rsidRPr="004D70B7">
        <w:t xml:space="preserve">See Rev. Rul. 66-159, Rev. Rul. 85-45 and PLR 1999-12026, in which the IRS looked through the trust to the beneficial owner under </w:t>
      </w:r>
      <w:r>
        <w:t>§</w:t>
      </w:r>
      <w:r w:rsidRPr="004D70B7">
        <w:t xml:space="preserve">678(a) for qualification under IRC §121 and its predecessor.  Although in those cases the beneficiary had a right to withdrawal the entire trust principal, not just the capital gains from the sale of the home, </w:t>
      </w:r>
      <w:r>
        <w:t>the statute</w:t>
      </w:r>
      <w:r w:rsidRPr="004D70B7">
        <w:t xml:space="preserve"> should </w:t>
      </w:r>
      <w:r>
        <w:t xml:space="preserve">equally </w:t>
      </w:r>
      <w:r w:rsidRPr="004D70B7">
        <w:t xml:space="preserve">apply if all the capital gains are </w:t>
      </w:r>
      <w:r>
        <w:t>subject</w:t>
      </w:r>
      <w:r w:rsidRPr="004D70B7">
        <w:t xml:space="preserve"> to </w:t>
      </w:r>
      <w:r>
        <w:t xml:space="preserve">a </w:t>
      </w:r>
      <w:r w:rsidRPr="004D70B7">
        <w:t>withdraw</w:t>
      </w:r>
      <w:r>
        <w:t xml:space="preserve"> right, as discussed above</w:t>
      </w:r>
      <w:r w:rsidRPr="004D70B7">
        <w:t xml:space="preserve">.  This is perfectly consistent with Treas. Reg. §1.671-3(a)(2) and </w:t>
      </w:r>
      <w:r>
        <w:t xml:space="preserve">IRC </w:t>
      </w:r>
      <w:r w:rsidRPr="004D70B7">
        <w:t xml:space="preserve">§678(a).  </w:t>
      </w:r>
    </w:p>
  </w:footnote>
  <w:footnote w:id="432">
    <w:p w14:paraId="166FC543" w14:textId="77777777" w:rsidR="00D53D4F" w:rsidRDefault="00D53D4F" w:rsidP="002A4DBF">
      <w:pPr>
        <w:pStyle w:val="FootnoteText"/>
        <w:spacing w:after="120"/>
      </w:pPr>
      <w:r>
        <w:rPr>
          <w:rStyle w:val="FootnoteReference"/>
        </w:rPr>
        <w:footnoteRef/>
      </w:r>
      <w:r>
        <w:t xml:space="preserve"> Treas. </w:t>
      </w:r>
      <w:r w:rsidRPr="00573E05">
        <w:t>Reg. §1.121-1(c)(3)</w:t>
      </w:r>
      <w:r>
        <w:t>:</w:t>
      </w:r>
      <w:r w:rsidRPr="00573E05">
        <w:t xml:space="preserve"> </w:t>
      </w:r>
      <w:r>
        <w:t>“</w:t>
      </w:r>
      <w:r w:rsidRPr="00573E05">
        <w:t>(i) Trusts. If a residence is owned by a trust, for the period that a taxpayer is treated under sections 671 through 679 (relating to the treatment of grantors and others as substantial owners) as the owner of the trust or the portion of the trust that includes the residence, the taxpayer will be treated as owning the residence for purposes of satisfying the 2-year ownership requirement of section 121, and the sale or exchange by the trust will be treated as if made by the taxpayer</w:t>
      </w:r>
      <w:r>
        <w:t>. See also</w:t>
      </w:r>
      <w:r w:rsidRPr="00573E05">
        <w:t xml:space="preserve"> PLR 1999</w:t>
      </w:r>
      <w:r>
        <w:t>-12026 (revocable trust eligible – why someone bothered with a PLR for that is unclear).</w:t>
      </w:r>
    </w:p>
  </w:footnote>
  <w:footnote w:id="433">
    <w:p w14:paraId="58EF672B" w14:textId="77777777" w:rsidR="00D53D4F" w:rsidRDefault="00D53D4F" w:rsidP="002A4DBF">
      <w:pPr>
        <w:pStyle w:val="FootnoteText"/>
        <w:spacing w:after="120"/>
      </w:pPr>
      <w:r>
        <w:rPr>
          <w:rStyle w:val="FootnoteReference"/>
        </w:rPr>
        <w:footnoteRef/>
      </w:r>
      <w:r>
        <w:t xml:space="preserve"> </w:t>
      </w:r>
      <w:r w:rsidRPr="00573E05">
        <w:t>PLR 2001</w:t>
      </w:r>
      <w:r>
        <w:t>-</w:t>
      </w:r>
      <w:r w:rsidRPr="00573E05">
        <w:t>04005</w:t>
      </w:r>
      <w:r>
        <w:t xml:space="preserve"> (bypass trust w/ 5% withdrawal power eligible for at least 5% of capital gains exclusion as partial grantor trust, thought the PLR did not discuss the possibility of higher % based on prior lapses/release).  This is perfectly consistent with Rev. Rul. 67-241 quoted earlier.</w:t>
      </w:r>
    </w:p>
  </w:footnote>
  <w:footnote w:id="434">
    <w:p w14:paraId="31CBB02C" w14:textId="00F5BC15" w:rsidR="0050469E" w:rsidRDefault="0050469E">
      <w:pPr>
        <w:pStyle w:val="FootnoteText"/>
      </w:pPr>
      <w:r>
        <w:rPr>
          <w:rStyle w:val="FootnoteReference"/>
        </w:rPr>
        <w:footnoteRef/>
      </w:r>
      <w:r>
        <w:t xml:space="preserve"> Since this paper was first written,</w:t>
      </w:r>
      <w:r w:rsidR="00CF5DBE">
        <w:t xml:space="preserve"> IRC §68(f) was added to the code to temporarily phase out Pease limitations:</w:t>
      </w:r>
    </w:p>
    <w:p w14:paraId="767E3DD5" w14:textId="2D617761" w:rsidR="00CF5DBE" w:rsidRDefault="00CF5DBE" w:rsidP="00CF5DBE">
      <w:pPr>
        <w:pStyle w:val="FootnoteText"/>
      </w:pPr>
      <w:r>
        <w:t>“(f)Section not to apply</w:t>
      </w:r>
    </w:p>
    <w:p w14:paraId="6E3D2D45" w14:textId="5CD9CF27" w:rsidR="00CF5DBE" w:rsidRDefault="00CF5DBE" w:rsidP="00CF5DBE">
      <w:pPr>
        <w:pStyle w:val="FootnoteText"/>
      </w:pPr>
      <w:r>
        <w:t>This section shall not apply to any taxable year beginning after December 31, 2017, and before January 1, 2026.”</w:t>
      </w:r>
    </w:p>
  </w:footnote>
  <w:footnote w:id="435">
    <w:p w14:paraId="7355AF90" w14:textId="77777777" w:rsidR="00D53D4F" w:rsidRDefault="00D53D4F" w:rsidP="009D6292">
      <w:pPr>
        <w:pStyle w:val="FootnoteText"/>
        <w:spacing w:before="120" w:after="120"/>
      </w:pPr>
      <w:r>
        <w:rPr>
          <w:rStyle w:val="FootnoteReference"/>
        </w:rPr>
        <w:footnoteRef/>
      </w:r>
      <w:r>
        <w:t xml:space="preserve"> Statistics show that widowers are more likely to remarry much sooner after a death of a spouse than widows.</w:t>
      </w:r>
    </w:p>
  </w:footnote>
  <w:footnote w:id="436">
    <w:p w14:paraId="393D2A70" w14:textId="77777777" w:rsidR="00D53D4F" w:rsidRDefault="00D53D4F" w:rsidP="002A4DBF">
      <w:pPr>
        <w:pStyle w:val="FootnoteText"/>
        <w:spacing w:after="120"/>
      </w:pPr>
      <w:r>
        <w:rPr>
          <w:rStyle w:val="FootnoteReference"/>
        </w:rPr>
        <w:footnoteRef/>
      </w:r>
      <w:r>
        <w:t xml:space="preserve"> See IRC §121(b)(4) and IRC §121(b): </w:t>
      </w:r>
    </w:p>
    <w:p w14:paraId="7A91DFBA" w14:textId="77777777" w:rsidR="00D53D4F" w:rsidRPr="008718BB" w:rsidRDefault="00D53D4F" w:rsidP="002A4DBF">
      <w:pPr>
        <w:pStyle w:val="FootnoteText"/>
        <w:spacing w:after="120"/>
        <w:ind w:left="720"/>
        <w:rPr>
          <w:lang w:val="en"/>
        </w:rPr>
      </w:pPr>
      <w:r>
        <w:t>“</w:t>
      </w:r>
      <w:r w:rsidRPr="008718BB">
        <w:rPr>
          <w:b/>
          <w:bCs/>
          <w:lang w:val="en"/>
        </w:rPr>
        <w:t>(2) Special rules for joint returns</w:t>
      </w:r>
      <w:r>
        <w:rPr>
          <w:b/>
          <w:bCs/>
          <w:lang w:val="en"/>
        </w:rPr>
        <w:t xml:space="preserve">.  </w:t>
      </w:r>
      <w:r w:rsidRPr="008718BB">
        <w:rPr>
          <w:lang w:val="en"/>
        </w:rPr>
        <w:t xml:space="preserve">In the case of a husband and wife who make a joint return for the taxable year of the sale or exchange of the property— </w:t>
      </w:r>
    </w:p>
    <w:p w14:paraId="4940E8FE" w14:textId="77777777" w:rsidR="00D53D4F" w:rsidRPr="008718BB" w:rsidRDefault="00D53D4F" w:rsidP="002A4DBF">
      <w:pPr>
        <w:pStyle w:val="FootnoteText"/>
        <w:spacing w:after="120"/>
        <w:ind w:left="720"/>
        <w:rPr>
          <w:lang w:val="en"/>
        </w:rPr>
      </w:pPr>
      <w:r w:rsidRPr="008718BB">
        <w:rPr>
          <w:b/>
          <w:bCs/>
          <w:lang w:val="en"/>
        </w:rPr>
        <w:t>(A) $500,000 Limitation for certain joint returns</w:t>
      </w:r>
      <w:r>
        <w:rPr>
          <w:b/>
          <w:bCs/>
          <w:lang w:val="en"/>
        </w:rPr>
        <w:t xml:space="preserve"> </w:t>
      </w:r>
      <w:r w:rsidRPr="008718BB">
        <w:rPr>
          <w:lang w:val="en"/>
        </w:rPr>
        <w:t xml:space="preserve">Paragraph (1) shall be applied by substituting “$500,000” for “$250,000” if— </w:t>
      </w:r>
      <w:bookmarkStart w:id="18" w:name="b_2_A_i"/>
      <w:bookmarkEnd w:id="18"/>
      <w:r w:rsidRPr="008718BB">
        <w:rPr>
          <w:b/>
          <w:bCs/>
          <w:lang w:val="en"/>
        </w:rPr>
        <w:t>(i)</w:t>
      </w:r>
      <w:r w:rsidRPr="008718BB">
        <w:rPr>
          <w:lang w:val="en"/>
        </w:rPr>
        <w:t xml:space="preserve"> either spouse meets the ownership requirements of subsection (a) with respect to such property;</w:t>
      </w:r>
      <w:bookmarkStart w:id="19" w:name="b_2_A_ii"/>
      <w:bookmarkEnd w:id="19"/>
      <w:r w:rsidRPr="008718BB">
        <w:rPr>
          <w:b/>
          <w:bCs/>
          <w:lang w:val="en"/>
        </w:rPr>
        <w:t>(ii)</w:t>
      </w:r>
      <w:r>
        <w:rPr>
          <w:b/>
          <w:bCs/>
          <w:lang w:val="en"/>
        </w:rPr>
        <w:t xml:space="preserve"> </w:t>
      </w:r>
      <w:r w:rsidRPr="008718BB">
        <w:rPr>
          <w:lang w:val="en"/>
        </w:rPr>
        <w:t>both spouses meet the use requirements of subsection (a) with respect to such property; and</w:t>
      </w:r>
    </w:p>
    <w:p w14:paraId="5A372D04" w14:textId="77777777" w:rsidR="00D53D4F" w:rsidRPr="008718BB" w:rsidRDefault="00D53D4F" w:rsidP="002A4DBF">
      <w:pPr>
        <w:pStyle w:val="FootnoteText"/>
        <w:spacing w:after="120"/>
        <w:ind w:left="720"/>
        <w:rPr>
          <w:lang w:val="en"/>
        </w:rPr>
      </w:pPr>
      <w:bookmarkStart w:id="20" w:name="b_2_A_iii"/>
      <w:bookmarkEnd w:id="20"/>
      <w:r w:rsidRPr="008718BB">
        <w:rPr>
          <w:b/>
          <w:bCs/>
          <w:lang w:val="en"/>
        </w:rPr>
        <w:t>(iii)</w:t>
      </w:r>
      <w:r w:rsidRPr="008718BB">
        <w:rPr>
          <w:lang w:val="en"/>
        </w:rPr>
        <w:t xml:space="preserve"> neither spouse is ineligible for the benefits of subsection (a) with respect to such property by reason of paragraph (3).</w:t>
      </w:r>
      <w:r>
        <w:rPr>
          <w:b/>
          <w:bCs/>
          <w:lang w:val="en"/>
        </w:rPr>
        <w:t>***</w:t>
      </w:r>
    </w:p>
    <w:p w14:paraId="11C6DD01" w14:textId="77777777" w:rsidR="00D53D4F" w:rsidRPr="008718BB" w:rsidRDefault="00D53D4F" w:rsidP="002A4DBF">
      <w:pPr>
        <w:pStyle w:val="FootnoteText"/>
        <w:spacing w:after="120"/>
        <w:ind w:left="720"/>
        <w:rPr>
          <w:lang w:val="en"/>
        </w:rPr>
      </w:pPr>
      <w:r w:rsidRPr="008718BB">
        <w:rPr>
          <w:b/>
          <w:bCs/>
          <w:lang w:val="en"/>
        </w:rPr>
        <w:t>(3) Application to only 1 sale or exchange every 2 years</w:t>
      </w:r>
      <w:r w:rsidRPr="008718BB">
        <w:rPr>
          <w:lang w:val="en"/>
        </w:rPr>
        <w:t xml:space="preserve"> </w:t>
      </w:r>
    </w:p>
    <w:p w14:paraId="15192E15" w14:textId="77777777" w:rsidR="00D53D4F" w:rsidRPr="00EE2102" w:rsidRDefault="00D53D4F" w:rsidP="002A4DBF">
      <w:pPr>
        <w:pStyle w:val="FootnoteText"/>
        <w:spacing w:after="120"/>
        <w:ind w:left="720"/>
        <w:rPr>
          <w:lang w:val="en"/>
        </w:rPr>
      </w:pPr>
      <w:r w:rsidRPr="008718BB">
        <w:rPr>
          <w:lang w:val="en"/>
        </w:rPr>
        <w:t>Subsection (a) shall not apply to any sale or exchange by the taxpayer if, during the 2-year period ending on the date of such sale or exchange, there was any other sale or exchange by the taxpayer to which subsection (a) applied.</w:t>
      </w:r>
      <w:r>
        <w:rPr>
          <w:lang w:val="en"/>
        </w:rPr>
        <w:t>”</w:t>
      </w:r>
    </w:p>
  </w:footnote>
  <w:footnote w:id="437">
    <w:p w14:paraId="02099062" w14:textId="77777777" w:rsidR="00D53D4F" w:rsidRDefault="00D53D4F" w:rsidP="002A4DBF">
      <w:pPr>
        <w:pStyle w:val="FootnoteText"/>
        <w:spacing w:after="120"/>
      </w:pPr>
      <w:r>
        <w:rPr>
          <w:rStyle w:val="FootnoteReference"/>
        </w:rPr>
        <w:footnoteRef/>
      </w:r>
      <w:r>
        <w:t xml:space="preserve"> Uniform Prudent Investor Act (Restatement of Trusts, 3</w:t>
      </w:r>
      <w:r w:rsidRPr="00D627E2">
        <w:rPr>
          <w:vertAlign w:val="superscript"/>
        </w:rPr>
        <w:t>rd</w:t>
      </w:r>
      <w:r>
        <w:t>), §181.</w:t>
      </w:r>
    </w:p>
  </w:footnote>
  <w:footnote w:id="438">
    <w:p w14:paraId="43F4AE48" w14:textId="77777777" w:rsidR="00D53D4F" w:rsidRDefault="00D53D4F" w:rsidP="002A4DBF">
      <w:pPr>
        <w:pStyle w:val="FootnoteText"/>
        <w:spacing w:after="120"/>
      </w:pPr>
      <w:r>
        <w:rPr>
          <w:rStyle w:val="FootnoteReference"/>
        </w:rPr>
        <w:footnoteRef/>
      </w:r>
      <w:r>
        <w:t xml:space="preserve"> Treas. Reg. § 20.2056(b)-5(f)(4), Treas. Reg. §20.2056(b)-7(h) </w:t>
      </w:r>
      <w:r w:rsidRPr="00CB3E08">
        <w:rPr>
          <w:bCs/>
          <w:lang w:val="en"/>
        </w:rPr>
        <w:t>Example 1</w:t>
      </w:r>
      <w:r>
        <w:rPr>
          <w:b/>
          <w:bCs/>
          <w:lang w:val="en"/>
        </w:rPr>
        <w:t>.</w:t>
      </w:r>
    </w:p>
  </w:footnote>
  <w:footnote w:id="439">
    <w:p w14:paraId="1CCEE038" w14:textId="77777777" w:rsidR="00D53D4F" w:rsidRDefault="00D53D4F" w:rsidP="002A4DBF">
      <w:pPr>
        <w:pStyle w:val="FootnoteText"/>
        <w:spacing w:after="120"/>
      </w:pPr>
      <w:r>
        <w:rPr>
          <w:rStyle w:val="FootnoteReference"/>
        </w:rPr>
        <w:footnoteRef/>
      </w:r>
      <w:r>
        <w:t xml:space="preserve"> </w:t>
      </w:r>
      <w:r w:rsidRPr="00D322D7">
        <w:rPr>
          <w:i/>
        </w:rPr>
        <w:t>Commissioner v. Plant</w:t>
      </w:r>
      <w:r w:rsidRPr="00EE2102">
        <w:t>, 76 F.2d 8 (2nd Cir. 1935); PLR 8341005</w:t>
      </w:r>
      <w:r>
        <w:t>;</w:t>
      </w:r>
      <w:r w:rsidRPr="00EE2102">
        <w:rPr>
          <w:rFonts w:ascii="Calibri" w:hAnsi="Calibri" w:cs="Helv"/>
          <w:color w:val="000000"/>
          <w:sz w:val="24"/>
          <w:szCs w:val="24"/>
        </w:rPr>
        <w:t xml:space="preserve"> </w:t>
      </w:r>
      <w:r w:rsidRPr="00D322D7">
        <w:rPr>
          <w:i/>
        </w:rPr>
        <w:t>A.I. DuPont Testamentary Trust v. Commissioner</w:t>
      </w:r>
      <w:r w:rsidRPr="00EE2102">
        <w:t>, 574 F.2d 1332 (5th Cir. 1978) a</w:t>
      </w:r>
      <w:r>
        <w:t>nd 514 F.2d 917 (5th Cir. 1975)</w:t>
      </w:r>
      <w:r w:rsidRPr="00EE2102">
        <w:t>.</w:t>
      </w:r>
    </w:p>
  </w:footnote>
  <w:footnote w:id="440">
    <w:p w14:paraId="477C8994" w14:textId="77777777" w:rsidR="00D53D4F" w:rsidRDefault="00D53D4F" w:rsidP="002A4DBF">
      <w:pPr>
        <w:pStyle w:val="FootnoteText"/>
        <w:spacing w:after="120"/>
      </w:pPr>
      <w:r>
        <w:rPr>
          <w:rStyle w:val="FootnoteReference"/>
        </w:rPr>
        <w:footnoteRef/>
      </w:r>
      <w:r>
        <w:t xml:space="preserve"> </w:t>
      </w:r>
      <w:r w:rsidRPr="004D70B7">
        <w:t>Treas. Reg. §1.163-1(b) (equitable ownership sufficient)</w:t>
      </w:r>
      <w:r>
        <w:t>.</w:t>
      </w:r>
    </w:p>
  </w:footnote>
  <w:footnote w:id="441">
    <w:p w14:paraId="0FB6C650" w14:textId="77777777" w:rsidR="00D53D4F" w:rsidRDefault="00D53D4F" w:rsidP="002A4DBF">
      <w:pPr>
        <w:pStyle w:val="FootnoteText"/>
        <w:spacing w:after="120"/>
      </w:pPr>
      <w:r>
        <w:rPr>
          <w:rStyle w:val="FootnoteReference"/>
        </w:rPr>
        <w:footnoteRef/>
      </w:r>
      <w:r>
        <w:t xml:space="preserve"> IRC §642(b)(2)(C), tied to personal exemption, $3950 in 2014, rather than $100 for typical complex trusts.</w:t>
      </w:r>
    </w:p>
  </w:footnote>
  <w:footnote w:id="442">
    <w:p w14:paraId="71E2B2D7" w14:textId="77777777" w:rsidR="00D53D4F" w:rsidRDefault="00D53D4F" w:rsidP="002A4DBF">
      <w:pPr>
        <w:pStyle w:val="FootnoteText"/>
        <w:spacing w:after="120"/>
      </w:pPr>
      <w:r>
        <w:rPr>
          <w:rStyle w:val="FootnoteReference"/>
        </w:rPr>
        <w:footnoteRef/>
      </w:r>
      <w:r>
        <w:t xml:space="preserve"> </w:t>
      </w:r>
      <w:r w:rsidRPr="00B47939">
        <w:t xml:space="preserve">Treas. Reg. </w:t>
      </w:r>
      <w:r>
        <w:t>§</w:t>
      </w:r>
      <w:r w:rsidRPr="00B47939">
        <w:t xml:space="preserve">20.2056(b)-5(f)(8): </w:t>
      </w:r>
      <w:r>
        <w:t>“</w:t>
      </w:r>
      <w:r w:rsidRPr="00B47939">
        <w:t xml:space="preserve">In the case of an interest passing in trust, the terms "entitled for life" and "payable annually or at more frequent intervals," as used in the conditions set forth in paragraph (a) (1) and (2) of this section, require that under the terms of the trust the income referred to must be currently (at least annually; see paragraph (e) of this section) distributable to the spouse </w:t>
      </w:r>
      <w:r w:rsidRPr="00B47939">
        <w:rPr>
          <w:b/>
        </w:rPr>
        <w:t>or</w:t>
      </w:r>
      <w:r w:rsidRPr="00B47939">
        <w:t xml:space="preserve"> that she must have such command over the income that it is virtually hers. Thus, the conditions in paragraph (a) (1) and (2) of this section are satisfied in this respect if, under the terms of the trust instrument, </w:t>
      </w:r>
      <w:r w:rsidRPr="00B47939">
        <w:rPr>
          <w:i/>
        </w:rPr>
        <w:t>the spouse has the right exercisable annually (or more frequently) to require distribution to herself of the trust income, and otherwise the trust income is to be accumulated and added to corpus</w:t>
      </w:r>
      <w:r w:rsidRPr="00B47939">
        <w:t>.</w:t>
      </w:r>
      <w:r>
        <w:t>”  Treas. Reg. §20.2056(b)-7(d)(2) governing QTIPs looks to the above Reg for its definition of the required income interest:</w:t>
      </w:r>
      <w:r w:rsidRPr="00B47939">
        <w:rPr>
          <w:rFonts w:ascii="Verdana" w:hAnsi="Verdana"/>
          <w:color w:val="333333"/>
        </w:rPr>
        <w:t xml:space="preserve"> </w:t>
      </w:r>
      <w:r>
        <w:rPr>
          <w:rFonts w:ascii="Verdana" w:hAnsi="Verdana"/>
          <w:color w:val="333333"/>
        </w:rPr>
        <w:t>“</w:t>
      </w:r>
      <w:r w:rsidRPr="00B47939">
        <w:t>(2) Entitled for life to all income. The principles of § 20.2056(b)-5(f), relating to whether the spouse is entitled for life to all of the income from the entire interest, or a specific portion of the entire interest, apply in determining whether the surviving spouse is entitled for life to all of the income from the property regardless of whether the interest passing to the spouse is in trust.</w:t>
      </w:r>
      <w:r>
        <w:t>”</w:t>
      </w:r>
    </w:p>
  </w:footnote>
  <w:footnote w:id="443">
    <w:p w14:paraId="20F3E2C2" w14:textId="77777777" w:rsidR="00D53D4F" w:rsidRDefault="00D53D4F">
      <w:pPr>
        <w:pStyle w:val="FootnoteText"/>
      </w:pPr>
      <w:r>
        <w:rPr>
          <w:rStyle w:val="FootnoteReference"/>
        </w:rPr>
        <w:footnoteRef/>
      </w:r>
      <w:r>
        <w:t xml:space="preserve"> E</w:t>
      </w:r>
      <w:r w:rsidRPr="00F27D83">
        <w:t>xception</w:t>
      </w:r>
      <w:r>
        <w:t>s</w:t>
      </w:r>
      <w:r w:rsidRPr="00F27D83">
        <w:t xml:space="preserve"> </w:t>
      </w:r>
      <w:r>
        <w:t>may be necessary for</w:t>
      </w:r>
      <w:r w:rsidRPr="00F27D83">
        <w:t xml:space="preserve"> QTIP</w:t>
      </w:r>
      <w:r>
        <w:t xml:space="preserve"> beneficiaries for IRC §2519 reasons, as discussed in Part VIII.k, </w:t>
      </w:r>
      <w:r w:rsidRPr="00F27D83">
        <w:t xml:space="preserve">or </w:t>
      </w:r>
      <w:r>
        <w:t>grantor-CLT trust owners, who would have self-dealing issues.</w:t>
      </w:r>
    </w:p>
  </w:footnote>
  <w:footnote w:id="444">
    <w:p w14:paraId="474F01AB" w14:textId="77777777" w:rsidR="00D53D4F" w:rsidRDefault="00D53D4F" w:rsidP="002A4DBF">
      <w:pPr>
        <w:pStyle w:val="FootnoteText"/>
        <w:spacing w:after="120"/>
      </w:pPr>
      <w:r>
        <w:rPr>
          <w:rStyle w:val="FootnoteReference"/>
        </w:rPr>
        <w:footnoteRef/>
      </w:r>
      <w:r>
        <w:t xml:space="preserve"> See Treas. Reg. §1.643(a)-3(a) for this default.</w:t>
      </w:r>
    </w:p>
  </w:footnote>
  <w:footnote w:id="445">
    <w:p w14:paraId="3CFFEB1E" w14:textId="77777777" w:rsidR="00D53D4F" w:rsidRPr="00183E84" w:rsidRDefault="00D53D4F" w:rsidP="002A4DBF">
      <w:pPr>
        <w:pStyle w:val="FootnoteText"/>
        <w:spacing w:after="120"/>
      </w:pPr>
      <w:r>
        <w:rPr>
          <w:rStyle w:val="FootnoteReference"/>
        </w:rPr>
        <w:footnoteRef/>
      </w:r>
      <w:r>
        <w:t xml:space="preserve"> </w:t>
      </w:r>
      <w:r w:rsidRPr="00183E84">
        <w:t>IRC § 643(a)(3)</w:t>
      </w:r>
      <w:r>
        <w:t>.</w:t>
      </w:r>
    </w:p>
  </w:footnote>
  <w:footnote w:id="446">
    <w:p w14:paraId="40EBAA40" w14:textId="77777777" w:rsidR="00D53D4F" w:rsidRPr="00ED1CA7" w:rsidRDefault="00D53D4F" w:rsidP="002A4DBF">
      <w:pPr>
        <w:pStyle w:val="FootnoteText"/>
        <w:spacing w:after="120"/>
      </w:pPr>
      <w:r w:rsidRPr="00ED1CA7">
        <w:rPr>
          <w:rStyle w:val="FootnoteReference"/>
        </w:rPr>
        <w:footnoteRef/>
      </w:r>
      <w:r w:rsidRPr="00ED1CA7">
        <w:t xml:space="preserve"> Treas. Reg. </w:t>
      </w:r>
      <w:bookmarkStart w:id="21" w:name="OLE_LINK3"/>
      <w:bookmarkStart w:id="22" w:name="OLE_LINK4"/>
      <w:r>
        <w:t>§</w:t>
      </w:r>
      <w:r w:rsidRPr="00ED1CA7">
        <w:t>1.643(a)-3(b)</w:t>
      </w:r>
      <w:r>
        <w:t>.</w:t>
      </w:r>
    </w:p>
    <w:bookmarkEnd w:id="21"/>
    <w:bookmarkEnd w:id="22"/>
  </w:footnote>
  <w:footnote w:id="447">
    <w:p w14:paraId="2BEF369D" w14:textId="77777777" w:rsidR="00D53D4F" w:rsidRDefault="00D53D4F" w:rsidP="00487C4B">
      <w:pPr>
        <w:spacing w:after="120"/>
        <w:rPr>
          <w:sz w:val="20"/>
          <w:szCs w:val="20"/>
        </w:rPr>
      </w:pPr>
      <w:r w:rsidRPr="00183E84">
        <w:rPr>
          <w:rStyle w:val="FootnoteReference"/>
          <w:sz w:val="20"/>
          <w:szCs w:val="20"/>
        </w:rPr>
        <w:footnoteRef/>
      </w:r>
      <w:r w:rsidRPr="00183E84">
        <w:rPr>
          <w:sz w:val="20"/>
          <w:szCs w:val="20"/>
        </w:rPr>
        <w:t xml:space="preserve"> Example: "To the extent that discretionary distributions are made from principal, the trustee shall make them and/or account for them in the books, records and tax returns of the trust in the following order: </w:t>
      </w:r>
    </w:p>
    <w:p w14:paraId="130EE4F4" w14:textId="77777777" w:rsidR="00D53D4F" w:rsidRPr="00183E84" w:rsidRDefault="00D53D4F" w:rsidP="00487C4B">
      <w:pPr>
        <w:spacing w:after="120"/>
        <w:ind w:left="720"/>
        <w:rPr>
          <w:sz w:val="20"/>
          <w:szCs w:val="20"/>
        </w:rPr>
      </w:pPr>
      <w:r w:rsidRPr="00183E84">
        <w:rPr>
          <w:sz w:val="20"/>
          <w:szCs w:val="20"/>
        </w:rPr>
        <w:t xml:space="preserve">1) from any current year net short-term capital gains, except those net gains attributable to disposition of property held in a trade or business not described in IRC </w:t>
      </w:r>
      <w:r>
        <w:rPr>
          <w:sz w:val="20"/>
          <w:szCs w:val="20"/>
        </w:rPr>
        <w:t>§</w:t>
      </w:r>
      <w:r w:rsidRPr="00183E84">
        <w:rPr>
          <w:sz w:val="20"/>
          <w:szCs w:val="20"/>
        </w:rPr>
        <w:t xml:space="preserve">1411(c)(2), or attributable to disposition of an active trade or business as described in IRC </w:t>
      </w:r>
      <w:r>
        <w:rPr>
          <w:sz w:val="20"/>
          <w:szCs w:val="20"/>
        </w:rPr>
        <w:t>§</w:t>
      </w:r>
      <w:r w:rsidRPr="00183E84">
        <w:rPr>
          <w:sz w:val="20"/>
          <w:szCs w:val="20"/>
        </w:rPr>
        <w:t xml:space="preserve">1411(c)(4); </w:t>
      </w:r>
      <w:r w:rsidRPr="00183E84">
        <w:rPr>
          <w:sz w:val="20"/>
          <w:szCs w:val="20"/>
        </w:rPr>
        <w:br/>
        <w:t xml:space="preserve">2) from any current year taxable income attributable to assets described in IRC </w:t>
      </w:r>
      <w:r>
        <w:rPr>
          <w:sz w:val="20"/>
          <w:szCs w:val="20"/>
        </w:rPr>
        <w:t>§</w:t>
      </w:r>
      <w:r w:rsidRPr="00183E84">
        <w:rPr>
          <w:sz w:val="20"/>
          <w:szCs w:val="20"/>
        </w:rPr>
        <w:t xml:space="preserve">1411(c)(1)(A)(i), such as an annuity payment, that was allocated to principal. </w:t>
      </w:r>
      <w:r w:rsidRPr="00183E84">
        <w:rPr>
          <w:sz w:val="20"/>
          <w:szCs w:val="20"/>
        </w:rPr>
        <w:br/>
        <w:t xml:space="preserve">3) from any current year taxable income attributable to a qualified retirement plan distribution described in section </w:t>
      </w:r>
      <w:hyperlink r:id="rId58" w:history="1">
        <w:r w:rsidRPr="00183E84">
          <w:rPr>
            <w:rStyle w:val="Hyperlink"/>
            <w:sz w:val="20"/>
            <w:szCs w:val="20"/>
          </w:rPr>
          <w:t>401</w:t>
        </w:r>
      </w:hyperlink>
      <w:r w:rsidRPr="00183E84">
        <w:rPr>
          <w:sz w:val="20"/>
          <w:szCs w:val="20"/>
        </w:rPr>
        <w:t xml:space="preserve"> </w:t>
      </w:r>
      <w:hyperlink r:id="rId59" w:anchor="a" w:history="1">
        <w:r w:rsidRPr="00183E84">
          <w:rPr>
            <w:rStyle w:val="Hyperlink"/>
            <w:sz w:val="20"/>
            <w:szCs w:val="20"/>
          </w:rPr>
          <w:t>(a)</w:t>
        </w:r>
      </w:hyperlink>
      <w:r w:rsidRPr="00183E84">
        <w:rPr>
          <w:sz w:val="20"/>
          <w:szCs w:val="20"/>
        </w:rPr>
        <w:t xml:space="preserve">, </w:t>
      </w:r>
      <w:hyperlink r:id="rId60" w:history="1">
        <w:r w:rsidRPr="00183E84">
          <w:rPr>
            <w:rStyle w:val="Hyperlink"/>
            <w:sz w:val="20"/>
            <w:szCs w:val="20"/>
          </w:rPr>
          <w:t>403</w:t>
        </w:r>
      </w:hyperlink>
      <w:r w:rsidRPr="00183E84">
        <w:rPr>
          <w:sz w:val="20"/>
          <w:szCs w:val="20"/>
        </w:rPr>
        <w:t xml:space="preserve"> </w:t>
      </w:r>
      <w:hyperlink r:id="rId61" w:anchor="a" w:history="1">
        <w:r w:rsidRPr="00183E84">
          <w:rPr>
            <w:rStyle w:val="Hyperlink"/>
            <w:sz w:val="20"/>
            <w:szCs w:val="20"/>
          </w:rPr>
          <w:t>(a)</w:t>
        </w:r>
      </w:hyperlink>
      <w:r w:rsidRPr="00183E84">
        <w:rPr>
          <w:sz w:val="20"/>
          <w:szCs w:val="20"/>
        </w:rPr>
        <w:t xml:space="preserve">, </w:t>
      </w:r>
      <w:hyperlink r:id="rId62" w:history="1">
        <w:r w:rsidRPr="00183E84">
          <w:rPr>
            <w:rStyle w:val="Hyperlink"/>
            <w:sz w:val="20"/>
            <w:szCs w:val="20"/>
          </w:rPr>
          <w:t>403</w:t>
        </w:r>
      </w:hyperlink>
      <w:r w:rsidRPr="00183E84">
        <w:rPr>
          <w:sz w:val="20"/>
          <w:szCs w:val="20"/>
        </w:rPr>
        <w:t xml:space="preserve"> </w:t>
      </w:r>
      <w:hyperlink r:id="rId63" w:anchor="b" w:history="1">
        <w:r w:rsidRPr="00183E84">
          <w:rPr>
            <w:rStyle w:val="Hyperlink"/>
            <w:sz w:val="20"/>
            <w:szCs w:val="20"/>
          </w:rPr>
          <w:t>(b)</w:t>
        </w:r>
      </w:hyperlink>
      <w:r w:rsidRPr="00183E84">
        <w:rPr>
          <w:sz w:val="20"/>
          <w:szCs w:val="20"/>
        </w:rPr>
        <w:t xml:space="preserve">, </w:t>
      </w:r>
      <w:hyperlink r:id="rId64" w:history="1">
        <w:r w:rsidRPr="00183E84">
          <w:rPr>
            <w:rStyle w:val="Hyperlink"/>
            <w:sz w:val="20"/>
            <w:szCs w:val="20"/>
          </w:rPr>
          <w:t>408</w:t>
        </w:r>
      </w:hyperlink>
      <w:r w:rsidRPr="00183E84">
        <w:rPr>
          <w:sz w:val="20"/>
          <w:szCs w:val="20"/>
        </w:rPr>
        <w:t xml:space="preserve">, </w:t>
      </w:r>
      <w:hyperlink r:id="rId65" w:history="1">
        <w:r w:rsidRPr="00183E84">
          <w:rPr>
            <w:rStyle w:val="Hyperlink"/>
            <w:sz w:val="20"/>
            <w:szCs w:val="20"/>
          </w:rPr>
          <w:t>408A</w:t>
        </w:r>
      </w:hyperlink>
      <w:r w:rsidRPr="00183E84">
        <w:rPr>
          <w:sz w:val="20"/>
          <w:szCs w:val="20"/>
        </w:rPr>
        <w:t xml:space="preserve">, or </w:t>
      </w:r>
      <w:hyperlink r:id="rId66" w:history="1">
        <w:r w:rsidRPr="00183E84">
          <w:rPr>
            <w:rStyle w:val="Hyperlink"/>
            <w:sz w:val="20"/>
            <w:szCs w:val="20"/>
          </w:rPr>
          <w:t>457</w:t>
        </w:r>
      </w:hyperlink>
      <w:r w:rsidRPr="00183E84">
        <w:rPr>
          <w:sz w:val="20"/>
          <w:szCs w:val="20"/>
        </w:rPr>
        <w:t xml:space="preserve"> </w:t>
      </w:r>
      <w:hyperlink r:id="rId67" w:anchor="b" w:history="1">
        <w:r w:rsidRPr="00183E84">
          <w:rPr>
            <w:rStyle w:val="Hyperlink"/>
            <w:sz w:val="20"/>
            <w:szCs w:val="20"/>
          </w:rPr>
          <w:t>(b)</w:t>
        </w:r>
      </w:hyperlink>
      <w:r w:rsidRPr="00183E84">
        <w:rPr>
          <w:sz w:val="20"/>
          <w:szCs w:val="20"/>
        </w:rPr>
        <w:t xml:space="preserve"> allocated to principal </w:t>
      </w:r>
      <w:r w:rsidRPr="00183E84">
        <w:rPr>
          <w:sz w:val="20"/>
          <w:szCs w:val="20"/>
        </w:rPr>
        <w:br/>
        <w:t xml:space="preserve">4) from any remaining current net short term capital gains not described in paragraph 1 </w:t>
      </w:r>
      <w:r w:rsidRPr="00183E84">
        <w:rPr>
          <w:sz w:val="20"/>
          <w:szCs w:val="20"/>
        </w:rPr>
        <w:br/>
        <w:t xml:space="preserve">5) from any current long-term capital gains, except those net gains attributable to disposition of property held in a trade or business not described in IRC </w:t>
      </w:r>
      <w:r>
        <w:rPr>
          <w:sz w:val="20"/>
          <w:szCs w:val="20"/>
        </w:rPr>
        <w:t>§</w:t>
      </w:r>
      <w:r w:rsidRPr="00183E84">
        <w:rPr>
          <w:sz w:val="20"/>
          <w:szCs w:val="20"/>
        </w:rPr>
        <w:t xml:space="preserve">1411(c)(2), or attributable to disposition of an active trade or business as described in IRC </w:t>
      </w:r>
      <w:r>
        <w:rPr>
          <w:sz w:val="20"/>
          <w:szCs w:val="20"/>
        </w:rPr>
        <w:t>§</w:t>
      </w:r>
      <w:r w:rsidRPr="00183E84">
        <w:rPr>
          <w:sz w:val="20"/>
          <w:szCs w:val="20"/>
        </w:rPr>
        <w:t>1411(c)(4);</w:t>
      </w:r>
    </w:p>
  </w:footnote>
  <w:footnote w:id="448">
    <w:p w14:paraId="3D7215CB" w14:textId="77777777" w:rsidR="00D53D4F" w:rsidRPr="00744806" w:rsidRDefault="00D53D4F" w:rsidP="002A4DBF">
      <w:pPr>
        <w:autoSpaceDE w:val="0"/>
        <w:autoSpaceDN w:val="0"/>
        <w:adjustRightInd w:val="0"/>
        <w:spacing w:after="120"/>
        <w:rPr>
          <w:sz w:val="20"/>
          <w:szCs w:val="20"/>
        </w:rPr>
      </w:pPr>
      <w:r w:rsidRPr="00744806">
        <w:rPr>
          <w:rStyle w:val="FootnoteReference"/>
          <w:sz w:val="20"/>
          <w:szCs w:val="20"/>
        </w:rPr>
        <w:footnoteRef/>
      </w:r>
      <w:r w:rsidRPr="00744806">
        <w:rPr>
          <w:sz w:val="20"/>
          <w:szCs w:val="20"/>
        </w:rPr>
        <w:t xml:space="preserve"> Most recently, the IRS recognized this problem but was quite cold-hearted about it:</w:t>
      </w:r>
      <w:r w:rsidRPr="00744806">
        <w:rPr>
          <w:rFonts w:ascii="Arial" w:hAnsi="Arial" w:cs="Arial"/>
          <w:sz w:val="20"/>
          <w:szCs w:val="20"/>
        </w:rPr>
        <w:t xml:space="preserve"> </w:t>
      </w:r>
      <w:r w:rsidRPr="00744806">
        <w:rPr>
          <w:sz w:val="20"/>
          <w:szCs w:val="20"/>
        </w:rPr>
        <w:t xml:space="preserve">“If the tax imposed by section 1411 had existed in the year that an existing trust or estate had first incurred capital gains, the fiduciary may have exercised its discretion differently. The commentators request that the final regulations allow a fiduciary a “fresh start” to determine whether capital gains are to be treated as part of DNI. </w:t>
      </w:r>
      <w:r w:rsidRPr="007F3992">
        <w:rPr>
          <w:i/>
          <w:sz w:val="20"/>
          <w:szCs w:val="20"/>
        </w:rPr>
        <w:t>The final regulations do not adopt this suggestion</w:t>
      </w:r>
      <w:r w:rsidRPr="00744806">
        <w:rPr>
          <w:sz w:val="20"/>
          <w:szCs w:val="20"/>
        </w:rPr>
        <w:t>.</w:t>
      </w:r>
      <w:r>
        <w:rPr>
          <w:sz w:val="20"/>
          <w:szCs w:val="20"/>
        </w:rPr>
        <w:t>***</w:t>
      </w:r>
      <w:r w:rsidRPr="00E529EA">
        <w:rPr>
          <w:rFonts w:ascii="Arial" w:hAnsi="Arial" w:cs="Arial"/>
        </w:rPr>
        <w:t xml:space="preserve"> </w:t>
      </w:r>
      <w:r w:rsidRPr="007F3992">
        <w:rPr>
          <w:i/>
          <w:sz w:val="20"/>
          <w:szCs w:val="20"/>
        </w:rPr>
        <w:t>the potential for fluctuations in the effective tax rate on capital gains is a factor that is foreseeable by fiduciaries making these elections</w:t>
      </w:r>
      <w:r>
        <w:rPr>
          <w:sz w:val="20"/>
          <w:szCs w:val="20"/>
        </w:rPr>
        <w:t>.</w:t>
      </w:r>
      <w:r w:rsidRPr="00E529EA">
        <w:rPr>
          <w:sz w:val="20"/>
          <w:szCs w:val="20"/>
        </w:rPr>
        <w:t xml:space="preserve">” </w:t>
      </w:r>
      <w:r>
        <w:rPr>
          <w:sz w:val="20"/>
          <w:szCs w:val="20"/>
        </w:rPr>
        <w:t>You should have known something like ATRA would pass?!!!!  From page 33-34 of the f</w:t>
      </w:r>
      <w:r w:rsidRPr="00744806">
        <w:rPr>
          <w:sz w:val="20"/>
          <w:szCs w:val="20"/>
        </w:rPr>
        <w:t xml:space="preserve">inal </w:t>
      </w:r>
      <w:r>
        <w:rPr>
          <w:sz w:val="20"/>
          <w:szCs w:val="20"/>
        </w:rPr>
        <w:t>§</w:t>
      </w:r>
      <w:r w:rsidRPr="00744806">
        <w:rPr>
          <w:sz w:val="20"/>
          <w:szCs w:val="20"/>
        </w:rPr>
        <w:t>1411 regulations</w:t>
      </w:r>
      <w:r>
        <w:rPr>
          <w:sz w:val="20"/>
          <w:szCs w:val="20"/>
        </w:rPr>
        <w:t>.</w:t>
      </w:r>
    </w:p>
  </w:footnote>
  <w:footnote w:id="449">
    <w:p w14:paraId="5CBAEC94" w14:textId="77777777" w:rsidR="00D53D4F" w:rsidRDefault="00D53D4F" w:rsidP="002A4DBF">
      <w:pPr>
        <w:pStyle w:val="FootnoteText"/>
        <w:spacing w:after="120"/>
      </w:pPr>
      <w:r>
        <w:rPr>
          <w:rStyle w:val="FootnoteReference"/>
        </w:rPr>
        <w:footnoteRef/>
      </w:r>
      <w:r>
        <w:t xml:space="preserve"> </w:t>
      </w:r>
      <w:r w:rsidRPr="0010046B">
        <w:t>Rev. Rul. 68-392</w:t>
      </w:r>
      <w:r>
        <w:t xml:space="preserve"> did not allow capital gains to be included as part of distribution because the trust instrument was silent and local law deemed capital gains to be allocated to corpus – no mention of trustee override possibility. </w:t>
      </w:r>
    </w:p>
  </w:footnote>
  <w:footnote w:id="450">
    <w:p w14:paraId="0A12CFD2" w14:textId="77777777" w:rsidR="00D53D4F" w:rsidRPr="005F59F5" w:rsidRDefault="00D53D4F" w:rsidP="002A4DBF">
      <w:pPr>
        <w:pStyle w:val="FootnoteText"/>
        <w:spacing w:after="120"/>
        <w:rPr>
          <w:b/>
          <w:bCs/>
          <w:lang w:val="en"/>
        </w:rPr>
      </w:pPr>
      <w:r>
        <w:rPr>
          <w:rStyle w:val="FootnoteReference"/>
        </w:rPr>
        <w:footnoteRef/>
      </w:r>
      <w:r>
        <w:t xml:space="preserve"> See </w:t>
      </w:r>
      <w:r w:rsidRPr="005F59F5">
        <w:rPr>
          <w:bCs/>
          <w:i/>
          <w:lang w:val="en"/>
        </w:rPr>
        <w:t>Including Capital Gains in Trust or Estate Distributions After ATRA - A frequently overlooked regulation may give fiduciaries more flexibility than they realize</w:t>
      </w:r>
      <w:r w:rsidRPr="005F59F5">
        <w:rPr>
          <w:bCs/>
          <w:lang w:val="en"/>
        </w:rPr>
        <w:t xml:space="preserve">, </w:t>
      </w:r>
      <w:r>
        <w:rPr>
          <w:bCs/>
          <w:lang w:val="en"/>
        </w:rPr>
        <w:t>Trusts and Estates, March 2013, by Frederick Sembler.</w:t>
      </w:r>
    </w:p>
  </w:footnote>
  <w:footnote w:id="451">
    <w:p w14:paraId="0EBB6DE7" w14:textId="77777777" w:rsidR="00D53D4F" w:rsidRDefault="00D53D4F" w:rsidP="002A4DBF">
      <w:pPr>
        <w:pStyle w:val="FootnoteText"/>
        <w:spacing w:after="120"/>
      </w:pPr>
      <w:r>
        <w:rPr>
          <w:rStyle w:val="FootnoteReference"/>
        </w:rPr>
        <w:footnoteRef/>
      </w:r>
      <w:r>
        <w:t xml:space="preserve"> Drafting Example: “I</w:t>
      </w:r>
      <w:r w:rsidRPr="00E041A7">
        <w:t>n exercising the trustee’s discretion</w:t>
      </w:r>
      <w:r>
        <w:t xml:space="preserve"> noted above</w:t>
      </w:r>
      <w:r w:rsidRPr="00E041A7">
        <w:t xml:space="preserve"> </w:t>
      </w:r>
      <w:r>
        <w:t>in making distributions</w:t>
      </w:r>
      <w:r w:rsidRPr="00E041A7">
        <w:t xml:space="preserve">, my trustee </w:t>
      </w:r>
      <w:r>
        <w:t>may</w:t>
      </w:r>
      <w:r w:rsidRPr="00E041A7">
        <w:t xml:space="preserve"> consider any capital gains realized by the trust as a relevant</w:t>
      </w:r>
      <w:r>
        <w:t>, but not exclusive,</w:t>
      </w:r>
      <w:r w:rsidRPr="00E041A7">
        <w:t xml:space="preserve"> factor in determining </w:t>
      </w:r>
      <w:r>
        <w:t xml:space="preserve">the extent of </w:t>
      </w:r>
      <w:r w:rsidRPr="00E041A7">
        <w:t xml:space="preserve">any </w:t>
      </w:r>
      <w:r>
        <w:t>discretionary distribution</w:t>
      </w:r>
      <w:r w:rsidRPr="00E041A7">
        <w:t>.</w:t>
      </w:r>
      <w:r>
        <w:t xml:space="preserve">  It is my intention that this provision comply with Treas. Reg. §1.643(a)-3(b)(3) to permit the trustee to include capital gains in distributable net income.</w:t>
      </w:r>
      <w:r w:rsidRPr="00E041A7">
        <w:t xml:space="preserve">”  </w:t>
      </w:r>
    </w:p>
  </w:footnote>
  <w:footnote w:id="452">
    <w:p w14:paraId="4773FCC0" w14:textId="77777777" w:rsidR="00D53D4F" w:rsidRDefault="00D53D4F" w:rsidP="002A4DBF">
      <w:pPr>
        <w:pStyle w:val="FootnoteText"/>
        <w:spacing w:after="120"/>
      </w:pPr>
      <w:r>
        <w:rPr>
          <w:rStyle w:val="FootnoteReference"/>
        </w:rPr>
        <w:footnoteRef/>
      </w:r>
      <w:r>
        <w:t xml:space="preserve"> This is in spite of an admonition earlier in the same regulation that “Trust provisions that depart fundamentally from traditional principals of income and principal will generally not be recognized”.  </w:t>
      </w:r>
      <w:r w:rsidRPr="00FD6403">
        <w:t>Treas. Reg. §1.643(b)-1</w:t>
      </w:r>
      <w:r>
        <w:t>.  This ability of the fiduciary to “manipulate” tax consequences through its discretion pursuant to this regulation has generally been respected.  See BNA Portfolio 852-3</w:t>
      </w:r>
      <w:r w:rsidRPr="00DF2775">
        <w:rPr>
          <w:vertAlign w:val="superscript"/>
        </w:rPr>
        <w:t>rd</w:t>
      </w:r>
      <w:r>
        <w:t xml:space="preserve">, Acker, A67 and authorities cited therein.  Some states may add language to their trust code as well as UPIA, e.g. N.C.G.S. </w:t>
      </w:r>
      <w:r w:rsidRPr="00575E82">
        <w:t>§ 36C-8-816</w:t>
      </w:r>
      <w:r>
        <w:t xml:space="preserve"> added this to their “Specific Powers of Trustees”: </w:t>
      </w:r>
      <w:r w:rsidRPr="00575E82">
        <w:t xml:space="preserve">(16) </w:t>
      </w:r>
      <w:r>
        <w:t>“</w:t>
      </w:r>
      <w:r w:rsidRPr="00575E82">
        <w:t>Exercise elections with respect to federal, state, and local taxes including, but not limited to, considering discretionary distributions to a beneficiary as being made from capital gains realized during the year;</w:t>
      </w:r>
      <w:r>
        <w:t>”</w:t>
      </w:r>
    </w:p>
  </w:footnote>
  <w:footnote w:id="453">
    <w:p w14:paraId="47B436AE" w14:textId="77777777" w:rsidR="00D53D4F" w:rsidRDefault="00D53D4F" w:rsidP="002A4DBF">
      <w:pPr>
        <w:pStyle w:val="FootnoteText"/>
        <w:spacing w:after="120"/>
      </w:pPr>
      <w:r>
        <w:rPr>
          <w:rStyle w:val="FootnoteReference"/>
        </w:rPr>
        <w:footnoteRef/>
      </w:r>
      <w:r>
        <w:t xml:space="preserve"> </w:t>
      </w:r>
      <w:r w:rsidRPr="006B31BC">
        <w:t>Uniform Principal and Income Act</w:t>
      </w:r>
      <w:r>
        <w:t xml:space="preserve"> (UPIA), §§103, 104.</w:t>
      </w:r>
    </w:p>
  </w:footnote>
  <w:footnote w:id="454">
    <w:p w14:paraId="67A27E63" w14:textId="77777777" w:rsidR="00D53D4F" w:rsidRPr="0071490B" w:rsidRDefault="00D53D4F" w:rsidP="002A4DBF">
      <w:pPr>
        <w:pStyle w:val="FootnoteText"/>
        <w:spacing w:after="120"/>
      </w:pPr>
      <w:r>
        <w:rPr>
          <w:rStyle w:val="FootnoteReference"/>
        </w:rPr>
        <w:footnoteRef/>
      </w:r>
      <w:r>
        <w:t xml:space="preserve"> Drafting Example: “Pursuant to Section 103 of the UPIA [or state UPIA citation], I hereby override the state law default treatment of allocation of capital gains to trust principal as follows: </w:t>
      </w:r>
      <w:r w:rsidRPr="0071490B">
        <w:rPr>
          <w:color w:val="000000"/>
        </w:rPr>
        <w:t xml:space="preserve">any Trustee </w:t>
      </w:r>
      <w:r>
        <w:rPr>
          <w:color w:val="000000"/>
        </w:rPr>
        <w:t>who is neither</w:t>
      </w:r>
      <w:r w:rsidRPr="0071490B">
        <w:rPr>
          <w:color w:val="000000"/>
        </w:rPr>
        <w:t xml:space="preserve"> a beneficiary nor “related or subordinate” (as those terms are defined in </w:t>
      </w:r>
      <w:r>
        <w:rPr>
          <w:color w:val="000000"/>
        </w:rPr>
        <w:t>IRC §</w:t>
      </w:r>
      <w:r w:rsidRPr="0071490B">
        <w:rPr>
          <w:color w:val="000000"/>
        </w:rPr>
        <w:t xml:space="preserve"> 672) to any beneficiary of a trust may reallocate capital gains income from fiduciary accounting principal to fiduciary accounting income</w:t>
      </w:r>
      <w:r>
        <w:rPr>
          <w:color w:val="000000"/>
        </w:rPr>
        <w:t xml:space="preserve"> in the sole discretion of the trustee.</w:t>
      </w:r>
      <w:r w:rsidRPr="0071490B">
        <w:rPr>
          <w:color w:val="000000"/>
        </w:rPr>
        <w:t xml:space="preserve"> </w:t>
      </w:r>
      <w:r>
        <w:rPr>
          <w:color w:val="000000"/>
        </w:rPr>
        <w:t xml:space="preserve"> In doing so, the trustee may consider the net tax effect of the allocation to the trust and the beneficiary together, such as whether leaving capital gains as taxable to the trust </w:t>
      </w:r>
      <w:r w:rsidRPr="0071490B">
        <w:rPr>
          <w:color w:val="000000"/>
        </w:rPr>
        <w:t xml:space="preserve">would </w:t>
      </w:r>
      <w:r>
        <w:rPr>
          <w:color w:val="000000"/>
        </w:rPr>
        <w:t>cause more tax overall than simply grossing up the distribution and allocating capital gains to income to achieve the same after-tax result to the beneficiaries</w:t>
      </w:r>
      <w:r w:rsidRPr="0071490B">
        <w:rPr>
          <w:color w:val="000000"/>
        </w:rPr>
        <w:t>.</w:t>
      </w:r>
      <w:r>
        <w:rPr>
          <w:color w:val="000000"/>
        </w:rPr>
        <w:t>”</w:t>
      </w:r>
    </w:p>
  </w:footnote>
  <w:footnote w:id="455">
    <w:p w14:paraId="5FD77940" w14:textId="77777777" w:rsidR="00D53D4F" w:rsidRDefault="00D53D4F" w:rsidP="001C111B">
      <w:pPr>
        <w:pStyle w:val="FootnoteText"/>
        <w:ind w:right="576"/>
        <w:rPr>
          <w:sz w:val="22"/>
        </w:rPr>
      </w:pPr>
      <w:r w:rsidRPr="001C111B">
        <w:rPr>
          <w:rStyle w:val="FootnoteReference"/>
          <w:sz w:val="22"/>
        </w:rPr>
        <w:footnoteRef/>
      </w:r>
      <w:r w:rsidRPr="001C111B">
        <w:rPr>
          <w:sz w:val="22"/>
        </w:rPr>
        <w:t xml:space="preserve"> The top rate for long-term capital gains is now at quite a bit lower level than the top rate for ordinary income, which starts at over $600,000 for married filing jointly.  For 2019, compare:</w:t>
      </w:r>
      <w:bookmarkStart w:id="23" w:name="_Hlk6642093"/>
    </w:p>
    <w:p w14:paraId="68536B8F" w14:textId="77777777" w:rsidR="00D53D4F" w:rsidRPr="001C111B" w:rsidRDefault="00D53D4F" w:rsidP="001C111B">
      <w:pPr>
        <w:pStyle w:val="FootnoteText"/>
        <w:ind w:right="576"/>
        <w:rPr>
          <w:sz w:val="22"/>
        </w:rPr>
      </w:pPr>
    </w:p>
    <w:tbl>
      <w:tblPr>
        <w:tblW w:w="9255" w:type="dxa"/>
        <w:tblBorders>
          <w:top w:val="single" w:sz="12" w:space="0" w:color="808080"/>
          <w:left w:val="single" w:sz="12" w:space="0" w:color="808080"/>
          <w:bottom w:val="single" w:sz="12" w:space="0" w:color="808080"/>
          <w:right w:val="single" w:sz="12"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2235"/>
        <w:gridCol w:w="2160"/>
        <w:gridCol w:w="2610"/>
        <w:gridCol w:w="2250"/>
      </w:tblGrid>
      <w:tr w:rsidR="00D53D4F" w:rsidRPr="001C111B" w14:paraId="61EBE1F3" w14:textId="77777777" w:rsidTr="001C111B">
        <w:trPr>
          <w:tblHeader/>
        </w:trPr>
        <w:tc>
          <w:tcPr>
            <w:tcW w:w="9255" w:type="dxa"/>
            <w:gridSpan w:val="4"/>
            <w:tcBorders>
              <w:top w:val="single" w:sz="12" w:space="0" w:color="333333"/>
              <w:left w:val="single" w:sz="12" w:space="0" w:color="333333"/>
              <w:bottom w:val="single" w:sz="12" w:space="0" w:color="333333"/>
              <w:right w:val="single" w:sz="12" w:space="0" w:color="333333"/>
            </w:tcBorders>
            <w:shd w:val="clear" w:color="auto" w:fill="FFFFFF"/>
            <w:tcMar>
              <w:top w:w="75" w:type="dxa"/>
              <w:left w:w="75" w:type="dxa"/>
              <w:bottom w:w="75" w:type="dxa"/>
              <w:right w:w="75" w:type="dxa"/>
            </w:tcMar>
            <w:vAlign w:val="center"/>
            <w:hideMark/>
          </w:tcPr>
          <w:p w14:paraId="63522896" w14:textId="77777777" w:rsidR="00D53D4F" w:rsidRPr="001C111B" w:rsidRDefault="00D53D4F" w:rsidP="001C111B">
            <w:pPr>
              <w:pStyle w:val="FootnoteText"/>
              <w:ind w:right="576"/>
            </w:pPr>
            <w:r w:rsidRPr="001C111B">
              <w:rPr>
                <w:b/>
                <w:bCs/>
              </w:rPr>
              <w:t>Long Term Capital Gains Tax Brackets</w:t>
            </w:r>
            <w:r>
              <w:rPr>
                <w:b/>
                <w:bCs/>
              </w:rPr>
              <w:t xml:space="preserve"> for Tax Year 2019, Individuals</w:t>
            </w:r>
          </w:p>
        </w:tc>
      </w:tr>
      <w:tr w:rsidR="00D53D4F" w:rsidRPr="001C111B" w14:paraId="4740F5AE" w14:textId="77777777" w:rsidTr="001C111B">
        <w:trPr>
          <w:tblHeader/>
        </w:trPr>
        <w:tc>
          <w:tcPr>
            <w:tcW w:w="2235" w:type="dxa"/>
            <w:tcBorders>
              <w:top w:val="single" w:sz="12" w:space="0" w:color="333333"/>
              <w:left w:val="single" w:sz="12" w:space="0" w:color="333333"/>
              <w:bottom w:val="single" w:sz="12" w:space="0" w:color="333333"/>
              <w:right w:val="single" w:sz="12" w:space="0" w:color="333333"/>
            </w:tcBorders>
            <w:shd w:val="clear" w:color="auto" w:fill="FFFFFF"/>
            <w:tcMar>
              <w:top w:w="75" w:type="dxa"/>
              <w:left w:w="75" w:type="dxa"/>
              <w:bottom w:w="75" w:type="dxa"/>
              <w:right w:w="75" w:type="dxa"/>
            </w:tcMar>
            <w:vAlign w:val="center"/>
            <w:hideMark/>
          </w:tcPr>
          <w:p w14:paraId="314810DA" w14:textId="77777777" w:rsidR="00D53D4F" w:rsidRPr="001C111B" w:rsidRDefault="00D53D4F" w:rsidP="001C111B">
            <w:pPr>
              <w:pStyle w:val="FootnoteText"/>
              <w:ind w:right="576"/>
            </w:pPr>
            <w:r w:rsidRPr="001C111B">
              <w:rPr>
                <w:b/>
                <w:bCs/>
              </w:rPr>
              <w:t>Tax Bracket/Rate</w:t>
            </w:r>
          </w:p>
        </w:tc>
        <w:tc>
          <w:tcPr>
            <w:tcW w:w="2160" w:type="dxa"/>
            <w:tcBorders>
              <w:top w:val="single" w:sz="12" w:space="0" w:color="333333"/>
              <w:left w:val="single" w:sz="12" w:space="0" w:color="333333"/>
              <w:bottom w:val="single" w:sz="12" w:space="0" w:color="333333"/>
              <w:right w:val="single" w:sz="12" w:space="0" w:color="333333"/>
            </w:tcBorders>
            <w:shd w:val="clear" w:color="auto" w:fill="FFFFFF"/>
            <w:tcMar>
              <w:top w:w="75" w:type="dxa"/>
              <w:left w:w="75" w:type="dxa"/>
              <w:bottom w:w="75" w:type="dxa"/>
              <w:right w:w="75" w:type="dxa"/>
            </w:tcMar>
            <w:vAlign w:val="center"/>
            <w:hideMark/>
          </w:tcPr>
          <w:p w14:paraId="34BB526A" w14:textId="77777777" w:rsidR="00D53D4F" w:rsidRPr="001C111B" w:rsidRDefault="00D53D4F" w:rsidP="001C111B">
            <w:pPr>
              <w:pStyle w:val="FootnoteText"/>
              <w:ind w:right="576"/>
            </w:pPr>
            <w:r w:rsidRPr="001C111B">
              <w:rPr>
                <w:b/>
                <w:bCs/>
              </w:rPr>
              <w:t>Single</w:t>
            </w:r>
          </w:p>
        </w:tc>
        <w:tc>
          <w:tcPr>
            <w:tcW w:w="2610" w:type="dxa"/>
            <w:tcBorders>
              <w:top w:val="single" w:sz="12" w:space="0" w:color="333333"/>
              <w:left w:val="single" w:sz="12" w:space="0" w:color="333333"/>
              <w:bottom w:val="single" w:sz="12" w:space="0" w:color="333333"/>
              <w:right w:val="single" w:sz="12" w:space="0" w:color="333333"/>
            </w:tcBorders>
            <w:shd w:val="clear" w:color="auto" w:fill="FFFFFF"/>
            <w:tcMar>
              <w:top w:w="75" w:type="dxa"/>
              <w:left w:w="75" w:type="dxa"/>
              <w:bottom w:w="75" w:type="dxa"/>
              <w:right w:w="75" w:type="dxa"/>
            </w:tcMar>
            <w:vAlign w:val="center"/>
            <w:hideMark/>
          </w:tcPr>
          <w:p w14:paraId="11557079" w14:textId="77777777" w:rsidR="00D53D4F" w:rsidRPr="001C111B" w:rsidRDefault="00D53D4F" w:rsidP="001C111B">
            <w:pPr>
              <w:pStyle w:val="FootnoteText"/>
              <w:ind w:right="576"/>
            </w:pPr>
            <w:r w:rsidRPr="001C111B">
              <w:rPr>
                <w:b/>
                <w:bCs/>
              </w:rPr>
              <w:t>Married Filing Jointly</w:t>
            </w:r>
          </w:p>
        </w:tc>
        <w:tc>
          <w:tcPr>
            <w:tcW w:w="2250" w:type="dxa"/>
            <w:tcBorders>
              <w:top w:val="single" w:sz="12" w:space="0" w:color="333333"/>
              <w:left w:val="single" w:sz="12" w:space="0" w:color="333333"/>
              <w:bottom w:val="single" w:sz="12" w:space="0" w:color="333333"/>
              <w:right w:val="single" w:sz="12" w:space="0" w:color="333333"/>
            </w:tcBorders>
            <w:shd w:val="clear" w:color="auto" w:fill="FFFFFF"/>
            <w:tcMar>
              <w:top w:w="75" w:type="dxa"/>
              <w:left w:w="75" w:type="dxa"/>
              <w:bottom w:w="75" w:type="dxa"/>
              <w:right w:w="75" w:type="dxa"/>
            </w:tcMar>
            <w:vAlign w:val="center"/>
            <w:hideMark/>
          </w:tcPr>
          <w:p w14:paraId="15C87BC5" w14:textId="77777777" w:rsidR="00D53D4F" w:rsidRPr="001C111B" w:rsidRDefault="00D53D4F" w:rsidP="001C111B">
            <w:pPr>
              <w:pStyle w:val="FootnoteText"/>
              <w:ind w:right="576"/>
            </w:pPr>
            <w:r w:rsidRPr="001C111B">
              <w:rPr>
                <w:b/>
                <w:bCs/>
              </w:rPr>
              <w:t>Head of Household</w:t>
            </w:r>
          </w:p>
        </w:tc>
      </w:tr>
      <w:tr w:rsidR="00D53D4F" w:rsidRPr="001C111B" w14:paraId="7A0E2BE6" w14:textId="77777777" w:rsidTr="001C111B">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221DE822" w14:textId="77777777" w:rsidR="00D53D4F" w:rsidRPr="001C111B" w:rsidRDefault="00D53D4F" w:rsidP="001C111B">
            <w:pPr>
              <w:pStyle w:val="FootnoteText"/>
              <w:ind w:right="576"/>
            </w:pPr>
            <w:r w:rsidRPr="001C111B">
              <w:t>0%</w: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05F249C" w14:textId="77777777" w:rsidR="00D53D4F" w:rsidRPr="001C111B" w:rsidRDefault="00D53D4F" w:rsidP="001C111B">
            <w:pPr>
              <w:pStyle w:val="FootnoteText"/>
              <w:ind w:right="576"/>
            </w:pPr>
            <w:r w:rsidRPr="001C111B">
              <w:t>$0 - $39,375</w:t>
            </w: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0D0C60B9" w14:textId="77777777" w:rsidR="00D53D4F" w:rsidRPr="001C111B" w:rsidRDefault="00D53D4F" w:rsidP="001C111B">
            <w:pPr>
              <w:pStyle w:val="FootnoteText"/>
              <w:ind w:right="576"/>
            </w:pPr>
            <w:r w:rsidRPr="001C111B">
              <w:t>$0 - $78,750</w:t>
            </w:r>
          </w:p>
        </w:tc>
        <w:tc>
          <w:tcPr>
            <w:tcW w:w="22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2EE749FD" w14:textId="77777777" w:rsidR="00D53D4F" w:rsidRPr="001C111B" w:rsidRDefault="00D53D4F" w:rsidP="001C111B">
            <w:pPr>
              <w:pStyle w:val="FootnoteText"/>
              <w:ind w:right="576"/>
            </w:pPr>
            <w:r w:rsidRPr="001C111B">
              <w:t>$0 - $52,750</w:t>
            </w:r>
          </w:p>
        </w:tc>
      </w:tr>
      <w:tr w:rsidR="00D53D4F" w:rsidRPr="001C111B" w14:paraId="2E03FFFB" w14:textId="77777777" w:rsidTr="001C111B">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0CB71137" w14:textId="77777777" w:rsidR="00D53D4F" w:rsidRPr="001C111B" w:rsidRDefault="00D53D4F" w:rsidP="001C111B">
            <w:pPr>
              <w:pStyle w:val="FootnoteText"/>
              <w:ind w:right="576"/>
            </w:pPr>
            <w:r w:rsidRPr="001C111B">
              <w:t>15%</w: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661C2BCB" w14:textId="77777777" w:rsidR="00D53D4F" w:rsidRPr="001C111B" w:rsidRDefault="00D53D4F" w:rsidP="001C111B">
            <w:pPr>
              <w:pStyle w:val="FootnoteText"/>
              <w:ind w:right="576"/>
            </w:pPr>
            <w:r w:rsidRPr="001C111B">
              <w:t>$39,376 - $434,550</w:t>
            </w: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61C8E927" w14:textId="77777777" w:rsidR="00D53D4F" w:rsidRPr="001C111B" w:rsidRDefault="00D53D4F" w:rsidP="001C111B">
            <w:pPr>
              <w:pStyle w:val="FootnoteText"/>
              <w:ind w:right="576"/>
            </w:pPr>
            <w:r w:rsidRPr="001C111B">
              <w:t>$78,751 - $488,850</w:t>
            </w:r>
          </w:p>
        </w:tc>
        <w:tc>
          <w:tcPr>
            <w:tcW w:w="22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3A57846" w14:textId="77777777" w:rsidR="00D53D4F" w:rsidRPr="001C111B" w:rsidRDefault="00D53D4F" w:rsidP="001C111B">
            <w:pPr>
              <w:pStyle w:val="FootnoteText"/>
              <w:ind w:right="576"/>
            </w:pPr>
            <w:r w:rsidRPr="001C111B">
              <w:t>$52,751 - $461,700</w:t>
            </w:r>
          </w:p>
        </w:tc>
      </w:tr>
      <w:tr w:rsidR="00D53D4F" w:rsidRPr="001C111B" w14:paraId="1EF31AC3" w14:textId="77777777" w:rsidTr="001C111B">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6A7FFF0C" w14:textId="77777777" w:rsidR="00D53D4F" w:rsidRPr="001C111B" w:rsidRDefault="00D53D4F" w:rsidP="001C111B">
            <w:pPr>
              <w:pStyle w:val="FootnoteText"/>
              <w:ind w:right="576"/>
            </w:pPr>
            <w:r w:rsidRPr="001C111B">
              <w:t>20%</w: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4B685869" w14:textId="77777777" w:rsidR="00D53D4F" w:rsidRPr="001C111B" w:rsidRDefault="00D53D4F" w:rsidP="001C111B">
            <w:pPr>
              <w:pStyle w:val="FootnoteText"/>
              <w:ind w:right="576"/>
            </w:pPr>
            <w:r w:rsidRPr="001C111B">
              <w:t>$434,551+</w:t>
            </w:r>
          </w:p>
        </w:tc>
        <w:tc>
          <w:tcPr>
            <w:tcW w:w="26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D1480F1" w14:textId="77777777" w:rsidR="00D53D4F" w:rsidRPr="001C111B" w:rsidRDefault="00D53D4F" w:rsidP="001C111B">
            <w:pPr>
              <w:pStyle w:val="FootnoteText"/>
              <w:ind w:right="576"/>
            </w:pPr>
            <w:r w:rsidRPr="001C111B">
              <w:t>$488,851+</w:t>
            </w:r>
          </w:p>
        </w:tc>
        <w:tc>
          <w:tcPr>
            <w:tcW w:w="22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16A3A4B9" w14:textId="77777777" w:rsidR="00D53D4F" w:rsidRPr="001C111B" w:rsidRDefault="00D53D4F" w:rsidP="001C111B">
            <w:pPr>
              <w:pStyle w:val="FootnoteText"/>
              <w:ind w:right="576"/>
            </w:pPr>
            <w:r w:rsidRPr="001C111B">
              <w:t>$461,701+</w:t>
            </w:r>
          </w:p>
        </w:tc>
      </w:tr>
      <w:bookmarkEnd w:id="23"/>
    </w:tbl>
    <w:p w14:paraId="6F565E3D" w14:textId="77777777" w:rsidR="00D53D4F" w:rsidRPr="001C111B" w:rsidRDefault="00D53D4F" w:rsidP="001C111B">
      <w:pPr>
        <w:pStyle w:val="FootnoteText"/>
        <w:rPr>
          <w:b/>
          <w:bCs/>
        </w:rPr>
      </w:pPr>
    </w:p>
    <w:tbl>
      <w:tblPr>
        <w:tblW w:w="9255" w:type="dxa"/>
        <w:tblBorders>
          <w:top w:val="single" w:sz="12" w:space="0" w:color="808080"/>
          <w:left w:val="single" w:sz="12" w:space="0" w:color="808080"/>
          <w:bottom w:val="single" w:sz="12" w:space="0" w:color="808080"/>
          <w:right w:val="single" w:sz="12"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2235"/>
        <w:gridCol w:w="2160"/>
        <w:gridCol w:w="4860"/>
      </w:tblGrid>
      <w:tr w:rsidR="00D53D4F" w:rsidRPr="001C111B" w14:paraId="096EFDA9" w14:textId="77777777" w:rsidTr="000E0766">
        <w:trPr>
          <w:tblHeader/>
        </w:trPr>
        <w:tc>
          <w:tcPr>
            <w:tcW w:w="9255" w:type="dxa"/>
            <w:gridSpan w:val="3"/>
            <w:tcBorders>
              <w:top w:val="single" w:sz="12" w:space="0" w:color="333333"/>
              <w:left w:val="single" w:sz="12" w:space="0" w:color="333333"/>
              <w:bottom w:val="single" w:sz="12" w:space="0" w:color="333333"/>
              <w:right w:val="single" w:sz="12" w:space="0" w:color="333333"/>
            </w:tcBorders>
            <w:shd w:val="clear" w:color="auto" w:fill="FFFFFF"/>
            <w:tcMar>
              <w:top w:w="75" w:type="dxa"/>
              <w:left w:w="75" w:type="dxa"/>
              <w:bottom w:w="75" w:type="dxa"/>
              <w:right w:w="75" w:type="dxa"/>
            </w:tcMar>
            <w:vAlign w:val="center"/>
            <w:hideMark/>
          </w:tcPr>
          <w:p w14:paraId="5F6A3B3A" w14:textId="77777777" w:rsidR="00D53D4F" w:rsidRPr="001C111B" w:rsidRDefault="00D53D4F" w:rsidP="001C111B">
            <w:pPr>
              <w:pStyle w:val="FootnoteText"/>
              <w:rPr>
                <w:b/>
                <w:bCs/>
              </w:rPr>
            </w:pPr>
            <w:r w:rsidRPr="001C111B">
              <w:rPr>
                <w:b/>
                <w:bCs/>
              </w:rPr>
              <w:t>Long Term Capital Gains Tax Brackets for Tax Year 2019</w:t>
            </w:r>
            <w:r>
              <w:rPr>
                <w:b/>
                <w:bCs/>
              </w:rPr>
              <w:t>, Trusts and Estates</w:t>
            </w:r>
          </w:p>
        </w:tc>
      </w:tr>
      <w:tr w:rsidR="00D53D4F" w:rsidRPr="001C111B" w14:paraId="4488CF4B" w14:textId="77777777" w:rsidTr="001C111B">
        <w:trPr>
          <w:gridAfter w:val="1"/>
          <w:wAfter w:w="4860" w:type="dxa"/>
          <w:tblHeader/>
        </w:trPr>
        <w:tc>
          <w:tcPr>
            <w:tcW w:w="2235" w:type="dxa"/>
            <w:tcBorders>
              <w:top w:val="single" w:sz="12" w:space="0" w:color="333333"/>
              <w:left w:val="single" w:sz="12" w:space="0" w:color="333333"/>
              <w:bottom w:val="single" w:sz="12" w:space="0" w:color="333333"/>
              <w:right w:val="single" w:sz="12" w:space="0" w:color="333333"/>
            </w:tcBorders>
            <w:shd w:val="clear" w:color="auto" w:fill="FFFFFF"/>
            <w:tcMar>
              <w:top w:w="75" w:type="dxa"/>
              <w:left w:w="75" w:type="dxa"/>
              <w:bottom w:w="75" w:type="dxa"/>
              <w:right w:w="75" w:type="dxa"/>
            </w:tcMar>
            <w:vAlign w:val="center"/>
            <w:hideMark/>
          </w:tcPr>
          <w:p w14:paraId="0205EADB" w14:textId="77777777" w:rsidR="00D53D4F" w:rsidRPr="001C111B" w:rsidRDefault="00D53D4F" w:rsidP="001C111B">
            <w:pPr>
              <w:pStyle w:val="FootnoteText"/>
              <w:rPr>
                <w:b/>
                <w:bCs/>
              </w:rPr>
            </w:pPr>
            <w:r w:rsidRPr="001C111B">
              <w:rPr>
                <w:b/>
                <w:bCs/>
              </w:rPr>
              <w:t>Tax Bracket/Rate</w:t>
            </w:r>
          </w:p>
        </w:tc>
        <w:tc>
          <w:tcPr>
            <w:tcW w:w="2160" w:type="dxa"/>
            <w:tcBorders>
              <w:top w:val="single" w:sz="12" w:space="0" w:color="333333"/>
              <w:left w:val="single" w:sz="12" w:space="0" w:color="333333"/>
              <w:bottom w:val="single" w:sz="12" w:space="0" w:color="333333"/>
              <w:right w:val="single" w:sz="12" w:space="0" w:color="333333"/>
            </w:tcBorders>
            <w:shd w:val="clear" w:color="auto" w:fill="FFFFFF"/>
            <w:tcMar>
              <w:top w:w="75" w:type="dxa"/>
              <w:left w:w="75" w:type="dxa"/>
              <w:bottom w:w="75" w:type="dxa"/>
              <w:right w:w="75" w:type="dxa"/>
            </w:tcMar>
            <w:vAlign w:val="center"/>
            <w:hideMark/>
          </w:tcPr>
          <w:p w14:paraId="380F7859" w14:textId="77777777" w:rsidR="00D53D4F" w:rsidRPr="001C111B" w:rsidRDefault="00D53D4F" w:rsidP="001C111B">
            <w:pPr>
              <w:pStyle w:val="FootnoteText"/>
              <w:rPr>
                <w:b/>
                <w:bCs/>
              </w:rPr>
            </w:pPr>
            <w:r w:rsidRPr="001C111B">
              <w:rPr>
                <w:b/>
                <w:bCs/>
              </w:rPr>
              <w:t>Single</w:t>
            </w:r>
          </w:p>
        </w:tc>
      </w:tr>
      <w:tr w:rsidR="00D53D4F" w:rsidRPr="001C111B" w14:paraId="0D424429" w14:textId="77777777" w:rsidTr="001C111B">
        <w:trPr>
          <w:gridAfter w:val="1"/>
          <w:wAfter w:w="4860" w:type="dxa"/>
        </w:trPr>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4F853C5F" w14:textId="77777777" w:rsidR="00D53D4F" w:rsidRPr="001C111B" w:rsidRDefault="00D53D4F" w:rsidP="001C111B">
            <w:pPr>
              <w:pStyle w:val="FootnoteText"/>
              <w:rPr>
                <w:b/>
                <w:bCs/>
              </w:rPr>
            </w:pPr>
            <w:r w:rsidRPr="001C111B">
              <w:rPr>
                <w:b/>
                <w:bCs/>
              </w:rPr>
              <w:t>0%</w: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4569F755" w14:textId="77777777" w:rsidR="00D53D4F" w:rsidRPr="001C111B" w:rsidRDefault="00D53D4F" w:rsidP="001C111B">
            <w:pPr>
              <w:pStyle w:val="FootnoteText"/>
              <w:rPr>
                <w:b/>
                <w:bCs/>
              </w:rPr>
            </w:pPr>
            <w:r w:rsidRPr="001C111B">
              <w:rPr>
                <w:b/>
                <w:bCs/>
              </w:rPr>
              <w:t>$0 - $</w:t>
            </w:r>
            <w:r>
              <w:rPr>
                <w:b/>
                <w:bCs/>
              </w:rPr>
              <w:t>2,600</w:t>
            </w:r>
          </w:p>
        </w:tc>
      </w:tr>
      <w:tr w:rsidR="00D53D4F" w:rsidRPr="001C111B" w14:paraId="0E03DF7F" w14:textId="77777777" w:rsidTr="001C111B">
        <w:trPr>
          <w:gridAfter w:val="1"/>
          <w:wAfter w:w="4860" w:type="dxa"/>
        </w:trPr>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423D88EC" w14:textId="77777777" w:rsidR="00D53D4F" w:rsidRPr="001C111B" w:rsidRDefault="00D53D4F" w:rsidP="001C111B">
            <w:pPr>
              <w:pStyle w:val="FootnoteText"/>
              <w:rPr>
                <w:b/>
                <w:bCs/>
              </w:rPr>
            </w:pPr>
            <w:r w:rsidRPr="001C111B">
              <w:rPr>
                <w:b/>
                <w:bCs/>
              </w:rPr>
              <w:t>15%</w: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4DBAB022" w14:textId="77777777" w:rsidR="00D53D4F" w:rsidRPr="001C111B" w:rsidRDefault="00D53D4F" w:rsidP="001C111B">
            <w:pPr>
              <w:pStyle w:val="FootnoteText"/>
              <w:rPr>
                <w:b/>
                <w:bCs/>
              </w:rPr>
            </w:pPr>
            <w:r>
              <w:rPr>
                <w:b/>
                <w:bCs/>
              </w:rPr>
              <w:t>$2,601 - $12,700</w:t>
            </w:r>
          </w:p>
        </w:tc>
      </w:tr>
      <w:tr w:rsidR="00D53D4F" w:rsidRPr="001C111B" w14:paraId="689EA741" w14:textId="77777777" w:rsidTr="001C111B">
        <w:trPr>
          <w:gridAfter w:val="1"/>
          <w:wAfter w:w="4860" w:type="dxa"/>
        </w:trPr>
        <w:tc>
          <w:tcPr>
            <w:tcW w:w="223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45A1C821" w14:textId="77777777" w:rsidR="00D53D4F" w:rsidRPr="001C111B" w:rsidRDefault="00D53D4F" w:rsidP="001C111B">
            <w:pPr>
              <w:pStyle w:val="FootnoteText"/>
              <w:rPr>
                <w:b/>
                <w:bCs/>
              </w:rPr>
            </w:pPr>
            <w:r w:rsidRPr="001C111B">
              <w:rPr>
                <w:b/>
                <w:bCs/>
              </w:rPr>
              <w:t>20%</w:t>
            </w:r>
          </w:p>
        </w:tc>
        <w:tc>
          <w:tcPr>
            <w:tcW w:w="21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6A876E48" w14:textId="77777777" w:rsidR="00D53D4F" w:rsidRPr="001C111B" w:rsidRDefault="00D53D4F" w:rsidP="001C111B">
            <w:pPr>
              <w:pStyle w:val="FootnoteText"/>
              <w:rPr>
                <w:b/>
                <w:bCs/>
              </w:rPr>
            </w:pPr>
            <w:r>
              <w:rPr>
                <w:b/>
                <w:bCs/>
              </w:rPr>
              <w:t>$12,700</w:t>
            </w:r>
            <w:r w:rsidRPr="001C111B">
              <w:rPr>
                <w:b/>
                <w:bCs/>
              </w:rPr>
              <w:t>+</w:t>
            </w:r>
          </w:p>
        </w:tc>
      </w:tr>
    </w:tbl>
    <w:p w14:paraId="2983666B" w14:textId="77777777" w:rsidR="00D53D4F" w:rsidRPr="001C111B" w:rsidRDefault="00D53D4F" w:rsidP="001C111B">
      <w:pPr>
        <w:pStyle w:val="FootnoteText"/>
      </w:pPr>
    </w:p>
    <w:p w14:paraId="30FCEFBD" w14:textId="77777777" w:rsidR="00D53D4F" w:rsidRDefault="00D53D4F">
      <w:pPr>
        <w:pStyle w:val="FootnoteText"/>
      </w:pPr>
    </w:p>
  </w:footnote>
  <w:footnote w:id="456">
    <w:p w14:paraId="7285E978" w14:textId="77777777" w:rsidR="00D53D4F" w:rsidRDefault="00D53D4F" w:rsidP="002A4DBF">
      <w:pPr>
        <w:pStyle w:val="FootnoteText"/>
        <w:spacing w:after="120"/>
      </w:pPr>
      <w:r>
        <w:rPr>
          <w:rStyle w:val="FootnoteReference"/>
        </w:rPr>
        <w:footnoteRef/>
      </w:r>
      <w:r>
        <w:t xml:space="preserve"> </w:t>
      </w:r>
      <w:r w:rsidRPr="00667D72">
        <w:t>Spray powers have practical issues</w:t>
      </w:r>
      <w:r w:rsidRPr="00667D72">
        <w:rPr>
          <w:color w:val="000000"/>
        </w:rPr>
        <w:t xml:space="preserve"> that require careful drafting to protect the primary beneficiary and prevent a sense of entitlement by secondary beneficiaries.  Typically</w:t>
      </w:r>
      <w:r>
        <w:rPr>
          <w:color w:val="000000"/>
        </w:rPr>
        <w:t>,</w:t>
      </w:r>
      <w:r w:rsidRPr="00667D72">
        <w:rPr>
          <w:color w:val="000000"/>
        </w:rPr>
        <w:t xml:space="preserve"> language would be completely discretionary and instruct the trustee to consider secondary beneficiaries only </w:t>
      </w:r>
      <w:r>
        <w:rPr>
          <w:color w:val="000000"/>
        </w:rPr>
        <w:t xml:space="preserve">after consideration of </w:t>
      </w:r>
      <w:r w:rsidRPr="00667D72">
        <w:rPr>
          <w:color w:val="000000"/>
        </w:rPr>
        <w:t>the primary beneficiary</w:t>
      </w:r>
      <w:r>
        <w:rPr>
          <w:color w:val="000000"/>
        </w:rPr>
        <w:t>’s needs</w:t>
      </w:r>
      <w:r w:rsidRPr="00667D72">
        <w:rPr>
          <w:color w:val="000000"/>
        </w:rPr>
        <w:t>, or give the primary beneficiary</w:t>
      </w:r>
      <w:r>
        <w:rPr>
          <w:color w:val="000000"/>
        </w:rPr>
        <w:t xml:space="preserve"> (e.g. spouse)</w:t>
      </w:r>
      <w:r w:rsidRPr="00667D72">
        <w:rPr>
          <w:color w:val="000000"/>
        </w:rPr>
        <w:t xml:space="preserve"> a veto power over secondary beneficiary distributions.  Spray powers may also implicate additional reporting/accounting requirements.</w:t>
      </w:r>
    </w:p>
  </w:footnote>
  <w:footnote w:id="457">
    <w:p w14:paraId="165A8932" w14:textId="0148DC3C" w:rsidR="00D53D4F" w:rsidRDefault="00D53D4F" w:rsidP="002A4DBF">
      <w:pPr>
        <w:pStyle w:val="FootnoteText"/>
        <w:spacing w:after="120"/>
      </w:pPr>
      <w:r>
        <w:rPr>
          <w:rStyle w:val="FootnoteReference"/>
        </w:rPr>
        <w:footnoteRef/>
      </w:r>
      <w:r>
        <w:t xml:space="preserve"> This should not cause estate inclusion, if it is properly circumscribed with </w:t>
      </w:r>
      <w:r w:rsidRPr="0062089C">
        <w:t>support obligation savings clause</w:t>
      </w:r>
      <w:r>
        <w:rPr>
          <w:i/>
        </w:rPr>
        <w:t xml:space="preserve"> </w:t>
      </w:r>
      <w:r>
        <w:t>provision to forbid distribution to someone whom the donee powerholder owes an obligation of support.  See Treas. Reg. §20.2041-1(c)(1)(B).  It could trigger a gift if exercised so as to trigger the Delaware Tax Trap, or if the exercising powerholder has a testamentary GPOA over the same asset, as discussed elsewhere herein.  IRC §2514(d).  It could also trigger a gift of a portion, but probably not the entire amount, if the power holder has a mandatory income or even HEMS rights.  See cases and rulings discussed in footnote below.  This potential for gift tax effect is a good reason to add a collateral limited power held by a family friend or other non-adverse party, or enable a trust protector to add such a power.</w:t>
      </w:r>
    </w:p>
  </w:footnote>
  <w:footnote w:id="458">
    <w:p w14:paraId="2A4E0C85" w14:textId="379D9A41" w:rsidR="00D53D4F" w:rsidRDefault="00D53D4F" w:rsidP="002A4DBF">
      <w:pPr>
        <w:pStyle w:val="FootnoteText"/>
        <w:spacing w:after="120"/>
      </w:pPr>
      <w:r>
        <w:rPr>
          <w:rStyle w:val="FootnoteReference"/>
        </w:rPr>
        <w:footnoteRef/>
      </w:r>
      <w:r>
        <w:t xml:space="preserve"> See IRC §642(c)(1) and Treas. Reg. §1.642(c)-1.  The Supreme Court held in </w:t>
      </w:r>
      <w:r w:rsidRPr="005413B0">
        <w:rPr>
          <w:i/>
        </w:rPr>
        <w:t>Old Colony Trust Co. v. Commissioner</w:t>
      </w:r>
      <w:r>
        <w:t xml:space="preserve">, 301 U.S. 379 (1937) that “pursuant to the governing instrument” in IRC §642(c) plainly includes discretionary distributions, and need not be pursuant to a mandatory requirement.  While some express some uncertainty on this point from later narrower decisions from lower courts, </w:t>
      </w:r>
      <w:r w:rsidRPr="004A2739">
        <w:t>recent PLRs have followed the Supreme Court and permitte</w:t>
      </w:r>
      <w:r>
        <w:t>d the §642(c) deduction</w:t>
      </w:r>
      <w:r w:rsidRPr="004A2739">
        <w:t xml:space="preserve"> for a distribution pursuant to a lifetime limited power of appointment: PLR 2012-25004 and PLR 2009-06008</w:t>
      </w:r>
      <w:r>
        <w:t xml:space="preserve">.  If there is no language in the instrument permitting charitable distributions, this would fail to qualify for the §642(c) deduction, see e.g., </w:t>
      </w:r>
      <w:r w:rsidRPr="00B939B2">
        <w:rPr>
          <w:i/>
        </w:rPr>
        <w:t>Harvey C. Hubbell Trust v. Comm.</w:t>
      </w:r>
      <w:r>
        <w:t xml:space="preserve">, T.C. Summ. Op. 2016-67. See discussion of such nuances in Chapter 6.08 of </w:t>
      </w:r>
      <w:r w:rsidRPr="00C0229A">
        <w:rPr>
          <w:i/>
        </w:rPr>
        <w:t>Federal Income Taxation of Trusts, Estates and Beneficiaries</w:t>
      </w:r>
      <w:r>
        <w:t xml:space="preserve"> by Ascher, Ferguson, Freeland.  Does exercise of a lifetime LPOA carry out </w:t>
      </w:r>
      <w:r w:rsidRPr="00C0229A">
        <w:rPr>
          <w:i/>
        </w:rPr>
        <w:t>income</w:t>
      </w:r>
      <w:r>
        <w:t xml:space="preserve">, since it is a power over specific </w:t>
      </w:r>
      <w:r w:rsidRPr="00C0229A">
        <w:rPr>
          <w:i/>
        </w:rPr>
        <w:t>property</w:t>
      </w:r>
      <w:r>
        <w:t xml:space="preserve">, not “income” or “principal”?  Despite a tentative argument that appointing a specific asset might be a “specific gift or bequest” under the relation back doctrine and therefore not carry out DNI (Treas. Reg. §1.663(a)-1), other sections under that regulation indicate that even appointing a specific dollar amount or asset </w:t>
      </w:r>
      <w:r w:rsidRPr="00574C43">
        <w:rPr>
          <w:i/>
        </w:rPr>
        <w:t>does</w:t>
      </w:r>
      <w:r>
        <w:t xml:space="preserve"> carry out DNI just as any other trustee distribution to a beneficiary (after all, a powerholder has no control or </w:t>
      </w:r>
      <w:r w:rsidRPr="004A2739">
        <w:rPr>
          <w:i/>
        </w:rPr>
        <w:t>custody</w:t>
      </w:r>
      <w:r>
        <w:t xml:space="preserve"> of assets, the trustee as legal owner must still make the distribution, only it’s at the power holder’s direction).  A lifetime LPOA has enormous power and efficacy as a backstop to the trustee’s spray power, if not as a complete replacement.  If the LPOA powerholder is a mandatory income beneficiary, however, it may be deemed a gift, due to the powerholder’s lost income.  </w:t>
      </w:r>
      <w:r w:rsidRPr="003C68F9">
        <w:t>R</w:t>
      </w:r>
      <w:r>
        <w:t xml:space="preserve">ev. Rul. 79-327, </w:t>
      </w:r>
      <w:r w:rsidRPr="002C6EE9">
        <w:rPr>
          <w:i/>
        </w:rPr>
        <w:t>Estate of Regester</w:t>
      </w:r>
      <w:r>
        <w:t xml:space="preserve">, 83 T.C. 1 (1984), though contrary is </w:t>
      </w:r>
      <w:r w:rsidRPr="007843F5">
        <w:rPr>
          <w:i/>
        </w:rPr>
        <w:t>Self v. United States</w:t>
      </w:r>
      <w:r>
        <w:t xml:space="preserve">, 142 F. Supp. 939 (1956).  The IRS, in TAM 9419007, has indicated it will follow </w:t>
      </w:r>
      <w:r w:rsidRPr="00CA34AC">
        <w:rPr>
          <w:i/>
        </w:rPr>
        <w:t>Regester</w:t>
      </w:r>
      <w:r>
        <w:t xml:space="preserve"> (finding a gift) and </w:t>
      </w:r>
      <w:r w:rsidRPr="003C68F9">
        <w:rPr>
          <w:b/>
        </w:rPr>
        <w:t>not</w:t>
      </w:r>
      <w:r>
        <w:t xml:space="preserve"> </w:t>
      </w:r>
      <w:r w:rsidRPr="00CA34AC">
        <w:rPr>
          <w:i/>
        </w:rPr>
        <w:t>Self</w:t>
      </w:r>
      <w:r>
        <w:t xml:space="preserve">.  Valuing the gift may be difficult when it’s not a simply “all net income” trust.  In PLR </w:t>
      </w:r>
      <w:r w:rsidRPr="00485661">
        <w:t>8535020</w:t>
      </w:r>
      <w:r>
        <w:t xml:space="preserve">, a similar lifetime limited power of appointment was exercised in a trust wherein income payments to the powerholder/beneficiary were discretionary.  The IRS cited </w:t>
      </w:r>
      <w:r w:rsidRPr="00485661">
        <w:t xml:space="preserve">Rev. Rul. 79-327 </w:t>
      </w:r>
      <w:r>
        <w:t>and stated: “</w:t>
      </w:r>
      <w:r w:rsidRPr="00485661">
        <w:t xml:space="preserve">The fact that the trustee has discretion regarding distributions of income and principal to you is </w:t>
      </w:r>
      <w:r w:rsidRPr="00246C6C">
        <w:rPr>
          <w:b/>
        </w:rPr>
        <w:t>a factor</w:t>
      </w:r>
      <w:r w:rsidRPr="00485661">
        <w:t xml:space="preserve"> that must be taken into account in determining the fair market value of your beneficial interest, but, as indicated by Rev.</w:t>
      </w:r>
      <w:r>
        <w:t xml:space="preserve"> </w:t>
      </w:r>
      <w:r w:rsidRPr="00485661">
        <w:t>Rul. 67-370, the presence of the possibility of your receiving less than the entire income and principal does not warrant our finding that your transfer of the interest is not subject to the tax imposed by section 2501(a) of the Code.</w:t>
      </w:r>
      <w:r>
        <w:t xml:space="preserve">”  The IRS had no further guidance on how to value it, other than implying it would be less than if there were a mandatory income interest.  If the powerholder also has a testamentary GPOA it would be considered a gift as well. Treas. Reg. §25.2514-1(b)(2).  A deemed gift may not be a problem with large applicable exclusion amounts and annual exclusions, but why not allow for both if the spray power is properly circumscribed, or better, </w:t>
      </w:r>
      <w:r w:rsidRPr="004A2739">
        <w:rPr>
          <w:i/>
        </w:rPr>
        <w:t>add a limited collateral power if there is a trusted friend/advisor to the family</w:t>
      </w:r>
      <w:r>
        <w:t>.  This should avoid any imputed gift, and avoid any fiduciary duties owed to spray beneficiaries.</w:t>
      </w:r>
      <w:r w:rsidR="00E94E7C">
        <w:t xml:space="preserve">  Another way to get around a</w:t>
      </w:r>
      <w:r w:rsidR="00615A73">
        <w:t xml:space="preserve"> taxable</w:t>
      </w:r>
      <w:r w:rsidR="00E94E7C">
        <w:t xml:space="preserve"> gift is if the beneficiary is a trustee</w:t>
      </w:r>
      <w:r w:rsidR="009B144E">
        <w:t xml:space="preserve"> or co-trustee and uses fiduciary discretion to make distributions pursuant to ascertainable standards – see Treas. Reg. §25.</w:t>
      </w:r>
      <w:r w:rsidR="002C50C0">
        <w:t>2511-1(g)(2)</w:t>
      </w:r>
      <w:r w:rsidR="00615A73">
        <w:t>.</w:t>
      </w:r>
    </w:p>
  </w:footnote>
  <w:footnote w:id="459">
    <w:p w14:paraId="0F431D7D" w14:textId="135BFD7F" w:rsidR="00D53D4F" w:rsidRDefault="00D53D4F" w:rsidP="002A4DBF">
      <w:pPr>
        <w:pStyle w:val="FootnoteText"/>
        <w:spacing w:after="120"/>
      </w:pPr>
      <w:r>
        <w:rPr>
          <w:rStyle w:val="FootnoteReference"/>
        </w:rPr>
        <w:footnoteRef/>
      </w:r>
      <w:r>
        <w:t xml:space="preserve"> IRA “see through trust” rules don’t play well with most powers of appointment and neither do QSSTs.  ESBTs force higher rate taxation regardless of who the distributions are made to</w:t>
      </w:r>
      <w:r w:rsidR="00483EC1">
        <w:t xml:space="preserve"> (at least for S corp income)</w:t>
      </w:r>
      <w:r>
        <w:t>, so consider segregating those to separate trusts.</w:t>
      </w:r>
    </w:p>
  </w:footnote>
  <w:footnote w:id="460">
    <w:p w14:paraId="1CCF0FB7" w14:textId="77777777" w:rsidR="005433CF" w:rsidRPr="00711075" w:rsidRDefault="005433CF" w:rsidP="005433CF">
      <w:pPr>
        <w:pStyle w:val="FootnoteText"/>
        <w:rPr>
          <w:rFonts w:ascii="Calibri" w:hAnsi="Calibri" w:cs="Helv"/>
          <w:bCs/>
          <w:color w:val="000000"/>
          <w:sz w:val="24"/>
          <w:szCs w:val="24"/>
        </w:rPr>
      </w:pPr>
      <w:r>
        <w:rPr>
          <w:rStyle w:val="FootnoteReference"/>
        </w:rPr>
        <w:footnoteRef/>
      </w:r>
      <w:r>
        <w:t xml:space="preserve"> </w:t>
      </w:r>
      <w:r w:rsidRPr="00907DFF">
        <w:rPr>
          <w:rFonts w:ascii="Calibri" w:hAnsi="Calibri" w:cs="Helv"/>
          <w:bCs/>
          <w:color w:val="000000"/>
          <w:sz w:val="24"/>
          <w:szCs w:val="24"/>
        </w:rPr>
        <w:t>In Rev. Rul. 72-154, the spouse had the lifetime power to appoint principal “for the purpose of providing for the welfare, maintenance, support or education of decedent’s descendants”, and this was deemed not fatal to the marital deduction.</w:t>
      </w:r>
      <w:r w:rsidRPr="00711075">
        <w:rPr>
          <w:rFonts w:ascii="Calibri" w:hAnsi="Calibri" w:cs="Helv"/>
          <w:bCs/>
          <w:color w:val="000000"/>
          <w:sz w:val="24"/>
          <w:szCs w:val="24"/>
        </w:rPr>
        <w:t xml:space="preserve">  </w:t>
      </w:r>
    </w:p>
    <w:p w14:paraId="4E9AA803" w14:textId="77777777" w:rsidR="005433CF" w:rsidRPr="005433CF" w:rsidRDefault="005433CF" w:rsidP="005433CF">
      <w:pPr>
        <w:pStyle w:val="FootnoteText"/>
        <w:rPr>
          <w:sz w:val="22"/>
          <w:szCs w:val="22"/>
        </w:rPr>
      </w:pPr>
      <w:r w:rsidRPr="005433CF">
        <w:rPr>
          <w:rFonts w:ascii="Calibri" w:hAnsi="Calibri" w:cs="Helv"/>
          <w:bCs/>
          <w:color w:val="000000"/>
          <w:sz w:val="22"/>
          <w:szCs w:val="22"/>
        </w:rPr>
        <w:t xml:space="preserve">From TAM 2004-44023, page 8, “In this case, under Paragraph 3(a) of Trust 1, the trustee is to distribute trust income to the Wife, </w:t>
      </w:r>
      <w:r w:rsidRPr="005433CF">
        <w:rPr>
          <w:rFonts w:ascii="Calibri" w:hAnsi="Calibri" w:cs="Helv"/>
          <w:b/>
          <w:bCs/>
          <w:i/>
          <w:color w:val="000000"/>
          <w:sz w:val="22"/>
          <w:szCs w:val="22"/>
        </w:rPr>
        <w:t>or such persons as the Wife directs</w:t>
      </w:r>
      <w:r w:rsidRPr="005433CF">
        <w:rPr>
          <w:rFonts w:ascii="Calibri" w:hAnsi="Calibri" w:cs="Helv"/>
          <w:bCs/>
          <w:color w:val="000000"/>
          <w:sz w:val="22"/>
          <w:szCs w:val="22"/>
        </w:rPr>
        <w:t>, in such amounts as she directs. In addition under Paragraph 10(b), Wife has the right to withdraw all or part of the assets from the trust at any time. As discussed above, in accordance with section 20.2056(b)-5(f)(8), Wife is entitled for life to all trust income, in view of her power to require that all trust assets be distributed to her. Further, the Wife’s discretionary power to direct that trust income be distributed to decedent’s descendants does not change this result [qualification for the marital deduction]. See Rev. Rul. 72-154, cited above.”</w:t>
      </w:r>
    </w:p>
  </w:footnote>
  <w:footnote w:id="461">
    <w:p w14:paraId="1E2C4E56" w14:textId="77777777" w:rsidR="00355D62" w:rsidRDefault="00355D62" w:rsidP="001B6A60">
      <w:pPr>
        <w:pStyle w:val="FootnoteText"/>
        <w:spacing w:before="120"/>
      </w:pPr>
      <w:r>
        <w:rPr>
          <w:rStyle w:val="FootnoteReference"/>
        </w:rPr>
        <w:footnoteRef/>
      </w:r>
      <w:r>
        <w:t xml:space="preserve"> </w:t>
      </w:r>
      <w:r w:rsidRPr="00355D62">
        <w:t>PLR 8943005</w:t>
      </w:r>
      <w:r>
        <w:t xml:space="preserve"> permitted the spouse in a QTIP to retain a broad </w:t>
      </w:r>
      <w:r w:rsidR="001C62BA">
        <w:t>presently exercisable general power of appointment</w:t>
      </w:r>
      <w:r>
        <w:t xml:space="preserve">, but Treas. Reg § 20.2056(b)-7(h), Ex. 4, issued </w:t>
      </w:r>
      <w:r w:rsidR="001C62BA">
        <w:t xml:space="preserve">later </w:t>
      </w:r>
      <w:r>
        <w:t xml:space="preserve">in 1994, </w:t>
      </w:r>
      <w:r w:rsidR="001C62BA">
        <w:t>fail</w:t>
      </w:r>
      <w:r w:rsidR="009A76CB">
        <w:t>ed</w:t>
      </w:r>
      <w:r w:rsidR="001C62BA">
        <w:t xml:space="preserve"> to clarify</w:t>
      </w:r>
      <w:r>
        <w:t xml:space="preserve"> this</w:t>
      </w:r>
      <w:r w:rsidR="009A76CB">
        <w:t xml:space="preserve"> and appears to foreclose any power to appoint to others</w:t>
      </w:r>
      <w:r>
        <w:t xml:space="preserve">: </w:t>
      </w:r>
    </w:p>
    <w:p w14:paraId="24C60B84" w14:textId="77777777" w:rsidR="00355D62" w:rsidRDefault="00355D62" w:rsidP="001C62BA">
      <w:pPr>
        <w:pStyle w:val="FootnoteText"/>
        <w:ind w:left="360"/>
      </w:pPr>
      <w:r>
        <w:t xml:space="preserve">“Power to distribute trust corpus to other beneficiaries. D's will established a trust providing that S is entitled to receive at least annually all the trust income. The trustee is given the power to use annually during S's lifetime $ 5,000 from the trust for the maintenance and support of S's minor child, C. Any such distribution does not necessarily relieve S of S's obligation to support and maintain C. S does not have a qualifying income interest for life in any portion of the trust because the bequest fails to satisfy the condition that no person have a power, other than a power the exercise of which takes effect only at or after S's death, to appoint any part of the property to any person other than S. </w:t>
      </w:r>
      <w:r w:rsidRPr="00355D62">
        <w:rPr>
          <w:b/>
        </w:rPr>
        <w:t>The trust would also be nondeductible under section 2056(b)(7) if S, rather than the trustee, held the power to appoint a portion of the principal to C</w:t>
      </w:r>
      <w:r>
        <w:t>.”</w:t>
      </w:r>
      <w:r w:rsidR="001C62BA">
        <w:t xml:space="preserve">  It’s unclear whether the power in this example is a general power or a limited power.  Perhaps the IRS would have no objection if it were a </w:t>
      </w:r>
      <w:r w:rsidR="001C62BA" w:rsidRPr="009A76CB">
        <w:rPr>
          <w:i/>
        </w:rPr>
        <w:t>general</w:t>
      </w:r>
      <w:r w:rsidR="001C62BA">
        <w:t xml:space="preserve"> power, as in PLR 8943005, but it’s hard to have any confidence </w:t>
      </w:r>
      <w:r w:rsidR="009A76CB">
        <w:t xml:space="preserve">in this conclusion </w:t>
      </w:r>
      <w:r w:rsidR="001C62BA">
        <w:t>despite the underlying common sense logic of the PLR.</w:t>
      </w:r>
    </w:p>
  </w:footnote>
  <w:footnote w:id="462">
    <w:p w14:paraId="5CB48B5C" w14:textId="77777777" w:rsidR="00D53D4F" w:rsidRDefault="00D53D4F" w:rsidP="001B6A60">
      <w:pPr>
        <w:pStyle w:val="FootnoteText"/>
        <w:spacing w:before="120" w:after="120"/>
      </w:pPr>
      <w:r>
        <w:rPr>
          <w:rStyle w:val="FootnoteReference"/>
        </w:rPr>
        <w:footnoteRef/>
      </w:r>
      <w:r>
        <w:t xml:space="preserve"> See PLR 9034004 – “</w:t>
      </w:r>
      <w:r w:rsidRPr="005E55E2">
        <w:t xml:space="preserve">During each succeeding year in which A fails to exercise her </w:t>
      </w:r>
      <w:r>
        <w:t xml:space="preserve">[5/5] </w:t>
      </w:r>
      <w:r w:rsidRPr="005E55E2">
        <w:t>power, A will be treated as the owner of an increasing portion of corpus of T. For purposes of determining the increase in her deemed ownership her current withdrawal power for any particular year will cause an increase in the amount of corpus which she is treated as owning equal to the product of the amount which she could withdraw multiplied by a fraction the numerator of which is the portion of trust corpus which she is not already treated as owning and the denominator of which is the total of trust corpus from which the withdrawal could be made. Discretionary distributions made by the trustee from corpus will be treated as coming from bo</w:t>
      </w:r>
      <w:r>
        <w:t xml:space="preserve">th the portion of corpus which </w:t>
      </w:r>
      <w:r w:rsidRPr="005E55E2">
        <w:t>the beneficiary is treated as owning and from the portion which she is not treated as owning in the same ratio as the fraction mentioned above.</w:t>
      </w:r>
      <w:r>
        <w:t>”  Have fun with that calculation!  This kind of §678(a)</w:t>
      </w:r>
      <w:r w:rsidR="00CD16F1">
        <w:t>/BDOT</w:t>
      </w:r>
      <w:r>
        <w:t xml:space="preserve"> trust is the worst of all worlds.</w:t>
      </w:r>
    </w:p>
  </w:footnote>
  <w:footnote w:id="463">
    <w:p w14:paraId="15534268" w14:textId="77777777" w:rsidR="005A5E6F" w:rsidRDefault="005A5E6F" w:rsidP="005A5E6F">
      <w:pPr>
        <w:pStyle w:val="FootnoteText"/>
        <w:spacing w:after="120"/>
      </w:pPr>
      <w:r>
        <w:rPr>
          <w:rStyle w:val="FootnoteReference"/>
        </w:rPr>
        <w:footnoteRef/>
      </w:r>
      <w:r>
        <w:t xml:space="preserve"> </w:t>
      </w:r>
      <w:r w:rsidRPr="007F0DDB">
        <w:rPr>
          <w:color w:val="000000"/>
        </w:rPr>
        <w:t>Treas. Reg. §1.643(a)-3(b)(2)</w:t>
      </w:r>
      <w:r>
        <w:rPr>
          <w:color w:val="000000"/>
        </w:rPr>
        <w:t xml:space="preserve"> and (3).</w:t>
      </w:r>
      <w:r w:rsidRPr="005A5E6F">
        <w:t xml:space="preserve"> </w:t>
      </w:r>
      <w:r>
        <w:rPr>
          <w:color w:val="000000"/>
        </w:rPr>
        <w:t>P</w:t>
      </w:r>
      <w:r w:rsidRPr="005A5E6F">
        <w:rPr>
          <w:color w:val="000000"/>
        </w:rPr>
        <w:t xml:space="preserve">aragraphs (b)(2) and (b)(3) </w:t>
      </w:r>
      <w:r>
        <w:rPr>
          <w:color w:val="000000"/>
        </w:rPr>
        <w:t xml:space="preserve">permit capital gains to be part of DNI without having to </w:t>
      </w:r>
      <w:r w:rsidRPr="005A5E6F">
        <w:rPr>
          <w:color w:val="000000"/>
        </w:rPr>
        <w:t>allocat</w:t>
      </w:r>
      <w:r>
        <w:rPr>
          <w:color w:val="000000"/>
        </w:rPr>
        <w:t>e</w:t>
      </w:r>
      <w:r w:rsidRPr="005A5E6F">
        <w:rPr>
          <w:color w:val="000000"/>
        </w:rPr>
        <w:t xml:space="preserve"> capital gains to income</w:t>
      </w:r>
      <w:r>
        <w:rPr>
          <w:color w:val="000000"/>
        </w:rPr>
        <w:t xml:space="preserve"> as paragraph (b)(1) would.</w:t>
      </w:r>
    </w:p>
  </w:footnote>
  <w:footnote w:id="464">
    <w:p w14:paraId="36275E88" w14:textId="77777777" w:rsidR="00D53D4F" w:rsidRDefault="00D53D4F" w:rsidP="002A4DBF">
      <w:pPr>
        <w:pStyle w:val="FootnoteText"/>
        <w:spacing w:after="120"/>
      </w:pPr>
      <w:r>
        <w:rPr>
          <w:rStyle w:val="FootnoteReference"/>
        </w:rPr>
        <w:footnoteRef/>
      </w:r>
      <w:r>
        <w:t xml:space="preserve"> Treas. Reg. §1.642(c)-1(a)(2): “</w:t>
      </w:r>
      <w:r w:rsidRPr="0068589C">
        <w:t>In determining whether an amount is paid for a purpose specified in section 170(c)(2) the provisions of section 170(c)(2)(A) shall not be taken into account. Thus, an amount paid to a corporation, trust, or community chest, fund, or foundation otherwise described in section 170(c)(2) shall be considered paid for a purpose specified in section 170(c) even though the corporation, trust, or community chest, fund, or foundation is not created or organized in the United States, any State, the District of Columbia, or any possession of the United States.</w:t>
      </w:r>
      <w:r>
        <w:t xml:space="preserve">” The income tax deduction for individuals may be allowed to some foreign charities in some cases pursuant to treaty, such as Israel, Mexico or Canada – see p. 3 of IRS Pub 526, 597;  For the US-Canada treaty, see </w:t>
      </w:r>
      <w:hyperlink r:id="rId68" w:history="1">
        <w:r w:rsidRPr="00AA1C73">
          <w:rPr>
            <w:rStyle w:val="Hyperlink"/>
          </w:rPr>
          <w:t>http://www.irs.gov/pub/irs-trty/canada.pdf</w:t>
        </w:r>
      </w:hyperlink>
      <w:r>
        <w:rPr>
          <w:color w:val="000000"/>
        </w:rPr>
        <w:t>.</w:t>
      </w:r>
    </w:p>
  </w:footnote>
  <w:footnote w:id="465">
    <w:p w14:paraId="1F625D93" w14:textId="77777777" w:rsidR="00D53D4F" w:rsidRDefault="00D53D4F" w:rsidP="002A4DBF">
      <w:pPr>
        <w:pStyle w:val="FootnoteText"/>
        <w:spacing w:after="120"/>
      </w:pPr>
      <w:r>
        <w:rPr>
          <w:rStyle w:val="FootnoteReference"/>
        </w:rPr>
        <w:footnoteRef/>
      </w:r>
      <w:r>
        <w:t xml:space="preserve"> IRC §642(c)(1): </w:t>
      </w:r>
      <w:r w:rsidRPr="00A6743A">
        <w:t>“</w:t>
      </w:r>
      <w:r w:rsidRPr="00A6743A">
        <w:rPr>
          <w:lang w:val="en"/>
        </w:rPr>
        <w:t>If a charitable contribution is paid after the close of such taxable year and on or before the last day of the year following the close of such taxable year, then the trustee or administrator may elect to treat such contribution as paid during such taxable year.</w:t>
      </w:r>
      <w:r>
        <w:rPr>
          <w:lang w:val="en"/>
        </w:rPr>
        <w:t>”  See also Treas. Reg. §1.642(c)-1(b) and PLR 2013-43002, PLRs 2016-36004 to 2016-36010, which all granted 9100 relief to permit election even after the due date w/extensions had passed.</w:t>
      </w:r>
    </w:p>
  </w:footnote>
  <w:footnote w:id="466">
    <w:p w14:paraId="1BACA5E6" w14:textId="77777777" w:rsidR="00D53D4F" w:rsidRPr="00FA6694" w:rsidRDefault="00D53D4F" w:rsidP="002A4DBF">
      <w:pPr>
        <w:pStyle w:val="FootnoteText"/>
        <w:spacing w:after="120"/>
        <w:rPr>
          <w:lang w:val="es-ES"/>
        </w:rPr>
      </w:pPr>
      <w:r>
        <w:rPr>
          <w:rStyle w:val="FootnoteReference"/>
        </w:rPr>
        <w:footnoteRef/>
      </w:r>
      <w:r>
        <w:t xml:space="preserve"> Treas. Prop. Reg. §1.1411-3(e)(2) and Treas. </w:t>
      </w:r>
      <w:r w:rsidRPr="00FA6694">
        <w:rPr>
          <w:lang w:val="es-ES"/>
        </w:rPr>
        <w:t>Prop. Reg. §1.1411-3(f) Ex. 2.</w:t>
      </w:r>
    </w:p>
  </w:footnote>
  <w:footnote w:id="467">
    <w:p w14:paraId="496525B2" w14:textId="0F96A868" w:rsidR="00D53D4F" w:rsidRDefault="00D53D4F" w:rsidP="003443FC">
      <w:pPr>
        <w:pStyle w:val="FootnoteText"/>
        <w:spacing w:after="120"/>
      </w:pPr>
      <w:r>
        <w:rPr>
          <w:rStyle w:val="FootnoteReference"/>
        </w:rPr>
        <w:footnoteRef/>
      </w:r>
      <w:r w:rsidRPr="00332CD8">
        <w:rPr>
          <w:lang w:val="es-ES"/>
        </w:rPr>
        <w:t xml:space="preserve"> IRC §68(e).</w:t>
      </w:r>
      <w:r w:rsidR="005320DE" w:rsidRPr="00332CD8">
        <w:rPr>
          <w:lang w:val="es-ES"/>
        </w:rPr>
        <w:t xml:space="preserve">  </w:t>
      </w:r>
      <w:r w:rsidR="00735AF5">
        <w:t>Since this paper was first written, IRC §68(f) was added to the code to temporarily phase out Pease limitations</w:t>
      </w:r>
      <w:r w:rsidR="003443FC">
        <w:t xml:space="preserve"> for</w:t>
      </w:r>
      <w:r w:rsidR="00735AF5">
        <w:t xml:space="preserve"> </w:t>
      </w:r>
      <w:r w:rsidR="003443FC">
        <w:t>“</w:t>
      </w:r>
      <w:r w:rsidR="00735AF5">
        <w:t>any taxable year beginning after December 31, 2017, and before January 1, 2026.”</w:t>
      </w:r>
    </w:p>
  </w:footnote>
  <w:footnote w:id="468">
    <w:p w14:paraId="4863FFE5" w14:textId="77777777" w:rsidR="00D53D4F" w:rsidRDefault="00D53D4F" w:rsidP="002A4DBF">
      <w:pPr>
        <w:pStyle w:val="FootnoteText"/>
        <w:spacing w:after="120"/>
      </w:pPr>
      <w:r>
        <w:rPr>
          <w:rStyle w:val="FootnoteReference"/>
        </w:rPr>
        <w:footnoteRef/>
      </w:r>
      <w:r>
        <w:t xml:space="preserve"> IRC §643(a)(3)(B).</w:t>
      </w:r>
    </w:p>
  </w:footnote>
  <w:footnote w:id="469">
    <w:p w14:paraId="3F5CD30D" w14:textId="77777777" w:rsidR="00D53D4F" w:rsidRDefault="00D53D4F" w:rsidP="002A4DBF">
      <w:pPr>
        <w:pStyle w:val="FootnoteText"/>
        <w:spacing w:after="120"/>
      </w:pPr>
      <w:r>
        <w:rPr>
          <w:rStyle w:val="FootnoteReference"/>
        </w:rPr>
        <w:footnoteRef/>
      </w:r>
      <w:r>
        <w:t xml:space="preserve"> § 1.642(c)-3 “Adjustments and other special rules for determining unlimited charitable contributions deduction. </w:t>
      </w:r>
    </w:p>
    <w:p w14:paraId="671971E9" w14:textId="77777777" w:rsidR="00D53D4F" w:rsidRDefault="00D53D4F" w:rsidP="002A4DBF">
      <w:pPr>
        <w:pStyle w:val="FootnoteText"/>
        <w:spacing w:after="120"/>
      </w:pPr>
      <w:r>
        <w:t xml:space="preserve">(a) Income in respect of a decedent. For purposes of §§ 1.642(c)-1 and 1.642(c)-2, an amount received by an estate or trust which is includible in its gross income under section 691(a)(1) as income in respect of a decedent shall be included in the gross income of the estate or trust.”  See also PLR 2002-21011, but for an exception see CCA 2006-44020, which did not permit deduction for </w:t>
      </w:r>
      <w:r w:rsidRPr="009055AB">
        <w:rPr>
          <w:i/>
        </w:rPr>
        <w:t>pecuniary</w:t>
      </w:r>
      <w:r>
        <w:t xml:space="preserve"> bequest, because the trust did not “direct or require that the trustee pay the pecuniary legacies from Trust’s gross income.”  Remember that separate share rules under IRC §663(c) may not permit simply allocating IRA income to charity remaindermen and non-taxable income/assets to family remaindermen, if the trust is essentially split into separate shares and the document is silent on split.</w:t>
      </w:r>
    </w:p>
  </w:footnote>
  <w:footnote w:id="470">
    <w:p w14:paraId="5633EFD4" w14:textId="77777777" w:rsidR="00D53D4F" w:rsidRDefault="00D53D4F" w:rsidP="002A4DBF">
      <w:pPr>
        <w:pStyle w:val="FootnoteText"/>
        <w:spacing w:after="120"/>
      </w:pPr>
      <w:r>
        <w:rPr>
          <w:rStyle w:val="FootnoteReference"/>
        </w:rPr>
        <w:footnoteRef/>
      </w:r>
      <w:r>
        <w:t xml:space="preserve"> E.g., “If some of your itemized deductions have been phased out on your federal return due to federal adjusted gross income limitations, they must also be phased out on your Idaho return.” – Page 8 of Idaho income tax return instructions available at </w:t>
      </w:r>
      <w:hyperlink r:id="rId69" w:history="1">
        <w:r w:rsidRPr="001E63DF">
          <w:rPr>
            <w:rStyle w:val="Hyperlink"/>
          </w:rPr>
          <w:t>http://tax.idaho.gov/forms/EIN00046_10-21-2014.pdf</w:t>
        </w:r>
      </w:hyperlink>
      <w:r>
        <w:t xml:space="preserve">.  According to the Institute on Taxation and Economic Policy, twenty-six states generally follow the federal tax rules for itemized deductions (with exception of disallowing deduction for state income taxes paid) - Alabama, Arizona, Arkansas, Colorado, Delaware, Georgia, Idaho, Iowa, Kansas, Kentucky, Louisiana, Maine, Maryland, Minnesota, Mississippi, Missouri, Montana, Nebraska, New Mexico, North Carolina, North Dakota, Oklahoma, Oregon, South Carolina, Vermont and Virginia.  Six jurisdictions follow federal rules, but with substantial further limitations: </w:t>
      </w:r>
      <w:r w:rsidRPr="002E1D1C">
        <w:t>California, District of Columbia, Hawaii,</w:t>
      </w:r>
      <w:r>
        <w:t xml:space="preserve"> </w:t>
      </w:r>
      <w:r w:rsidRPr="002E1D1C">
        <w:t>New York, Utah &amp; Wisconsin</w:t>
      </w:r>
      <w:r>
        <w:t xml:space="preserve">.  E.g. see California’s additional phase out scheme at </w:t>
      </w:r>
      <w:hyperlink r:id="rId70" w:history="1">
        <w:r w:rsidRPr="001E63DF">
          <w:rPr>
            <w:rStyle w:val="Hyperlink"/>
          </w:rPr>
          <w:t>https://www.ftb.ca.gov/forms/2013/13_540.pdf</w:t>
        </w:r>
      </w:hyperlink>
      <w:r>
        <w:t xml:space="preserve">.  Ten states do not allow the federal itemized deductions at all: Connecticut, Illinois, Indiana, Massachusetts, Michigan, New Jersey, Ohio, Pennsylvania, Rhode Island and West Virginia.  </w:t>
      </w:r>
      <w:hyperlink r:id="rId71" w:history="1">
        <w:r w:rsidRPr="000510ED">
          <w:rPr>
            <w:rStyle w:val="Hyperlink"/>
          </w:rPr>
          <w:t>http://www.itepnet.org/pdf/pb52itemized.pdf</w:t>
        </w:r>
      </w:hyperlink>
      <w:r>
        <w:rPr>
          <w:rStyle w:val="Hyperlink"/>
        </w:rPr>
        <w:t>.</w:t>
      </w:r>
      <w:r>
        <w:t xml:space="preserve"> </w:t>
      </w:r>
    </w:p>
  </w:footnote>
  <w:footnote w:id="471">
    <w:p w14:paraId="21847F58" w14:textId="77777777" w:rsidR="00D53D4F" w:rsidRDefault="00D53D4F" w:rsidP="002A4DBF">
      <w:pPr>
        <w:pStyle w:val="FootnoteText"/>
        <w:spacing w:after="120"/>
      </w:pPr>
      <w:r>
        <w:rPr>
          <w:rStyle w:val="FootnoteReference"/>
        </w:rPr>
        <w:footnoteRef/>
      </w:r>
      <w:r>
        <w:t xml:space="preserve"> E.g. Ohio R.C. §5747.01(S), page 5 of instructions for Ohio Form IT-1041, Maine at </w:t>
      </w:r>
      <w:r w:rsidRPr="005B32B0">
        <w:t xml:space="preserve">36 Me. Rev. Stat. §5163, §5164; </w:t>
      </w:r>
      <w:r>
        <w:t xml:space="preserve">with </w:t>
      </w:r>
      <w:r w:rsidRPr="005B32B0">
        <w:t>instructions at:</w:t>
      </w:r>
      <w:r>
        <w:t xml:space="preserve"> </w:t>
      </w:r>
      <w:hyperlink r:id="rId72" w:history="1">
        <w:r w:rsidRPr="00CC3C67">
          <w:rPr>
            <w:rStyle w:val="Hyperlink"/>
          </w:rPr>
          <w:t>www.maine.gov/revenue/forms/fiduciary/2010/10_1041ME_Gen%20Instructions.pdf</w:t>
        </w:r>
      </w:hyperlink>
      <w:r>
        <w:t xml:space="preserve"> </w:t>
      </w:r>
    </w:p>
  </w:footnote>
  <w:footnote w:id="472">
    <w:p w14:paraId="731618F3" w14:textId="77777777" w:rsidR="00D53D4F" w:rsidRDefault="00D53D4F" w:rsidP="002A4DBF">
      <w:pPr>
        <w:pStyle w:val="FootnoteText"/>
        <w:spacing w:after="120"/>
      </w:pPr>
      <w:r>
        <w:rPr>
          <w:rStyle w:val="FootnoteReference"/>
        </w:rPr>
        <w:footnoteRef/>
      </w:r>
      <w:r>
        <w:t xml:space="preserve"> E.g., both Ohio, Illinois and New York would indirectly allow a charitable deduction to a non-grantor trust because they start with taxable income (line 22 of Form 1041), yet Ohio and Illinois do not recognize charitable deductions for individuals at all and New York limits such deductions to individuals to 50% or 25% if income exceeds $1 million or $10 million respectively.  See </w:t>
      </w:r>
      <w:hyperlink r:id="rId73" w:history="1">
        <w:r w:rsidRPr="009564F3">
          <w:rPr>
            <w:rStyle w:val="Hyperlink"/>
          </w:rPr>
          <w:t>www.tax.ohio.gov</w:t>
        </w:r>
      </w:hyperlink>
      <w:r>
        <w:t xml:space="preserve">,  </w:t>
      </w:r>
      <w:hyperlink r:id="rId74" w:history="1">
        <w:r w:rsidRPr="009564F3">
          <w:rPr>
            <w:rStyle w:val="Hyperlink"/>
          </w:rPr>
          <w:t>http://www.tax.ny.gov/pdf/2012/inc/it201i_2012.pdf</w:t>
        </w:r>
      </w:hyperlink>
      <w:r>
        <w:rPr>
          <w:rStyle w:val="Hyperlink"/>
        </w:rPr>
        <w:t>,</w:t>
      </w:r>
      <w:r>
        <w:t xml:space="preserve"> </w:t>
      </w:r>
      <w:r w:rsidRPr="000715D3">
        <w:t>NY CLS Tax § 615</w:t>
      </w:r>
      <w:r>
        <w:t xml:space="preserve">(g), </w:t>
      </w:r>
      <w:hyperlink r:id="rId75" w:history="1">
        <w:r w:rsidRPr="002C3455">
          <w:rPr>
            <w:rStyle w:val="Hyperlink"/>
          </w:rPr>
          <w:t>http://tax.illinois.gov/taxforms/incmcurrentyear/business/fiduciary/il-1041-instr.pdf</w:t>
        </w:r>
      </w:hyperlink>
    </w:p>
    <w:p w14:paraId="31C81525" w14:textId="77777777" w:rsidR="00D53D4F" w:rsidRPr="00F4285B" w:rsidRDefault="00D53D4F" w:rsidP="002A4DBF">
      <w:pPr>
        <w:pStyle w:val="FootnoteText"/>
        <w:spacing w:after="120"/>
      </w:pPr>
    </w:p>
  </w:footnote>
  <w:footnote w:id="473">
    <w:p w14:paraId="63DFF173" w14:textId="77777777" w:rsidR="00D53D4F" w:rsidRDefault="00D53D4F" w:rsidP="002A4DBF">
      <w:pPr>
        <w:pStyle w:val="FootnoteText"/>
        <w:spacing w:after="120"/>
      </w:pPr>
      <w:r>
        <w:rPr>
          <w:rStyle w:val="FootnoteReference"/>
        </w:rPr>
        <w:footnoteRef/>
      </w:r>
      <w:r>
        <w:t xml:space="preserve"> Treas. Reg. §1.642(c)-3(b)(2)</w:t>
      </w:r>
      <w:r w:rsidRPr="009C6D49">
        <w:t xml:space="preserve"> </w:t>
      </w:r>
      <w:r>
        <w:t>and Treas. Reg. §1.643(a)-5(b).</w:t>
      </w:r>
    </w:p>
  </w:footnote>
  <w:footnote w:id="474">
    <w:p w14:paraId="213EADC8" w14:textId="77777777" w:rsidR="00D53D4F" w:rsidRDefault="00D53D4F" w:rsidP="002A4DBF">
      <w:pPr>
        <w:pStyle w:val="FootnoteText"/>
        <w:spacing w:after="120"/>
      </w:pPr>
      <w:r>
        <w:rPr>
          <w:rStyle w:val="FootnoteReference"/>
        </w:rPr>
        <w:footnoteRef/>
      </w:r>
      <w:r>
        <w:t xml:space="preserve"> Treas. Reg. §1.642(c)-3(b)(2), Example 1 shows mere ordering rules to be insufficient.</w:t>
      </w:r>
    </w:p>
  </w:footnote>
  <w:footnote w:id="475">
    <w:p w14:paraId="7C9DA5CC" w14:textId="77777777" w:rsidR="00D53D4F" w:rsidRDefault="00D53D4F" w:rsidP="002A4DBF">
      <w:pPr>
        <w:pStyle w:val="FootnoteText"/>
        <w:spacing w:after="120"/>
      </w:pPr>
      <w:r>
        <w:rPr>
          <w:rStyle w:val="FootnoteReference"/>
        </w:rPr>
        <w:footnoteRef/>
      </w:r>
      <w:r>
        <w:t xml:space="preserve"> Treas. Reg. §1.642(c)-3(b)(2) and Example 2, but proposed Regs under §1.1411-3 do not address whether this would equally apply for the surtax, see above.  However, since most of the surtax follows subchapter J principals, there is a strong case that it should equally follow in this case to maximize the utility of the charitable deduction.</w:t>
      </w:r>
    </w:p>
  </w:footnote>
  <w:footnote w:id="476">
    <w:p w14:paraId="46EE82A3" w14:textId="77777777" w:rsidR="00D53D4F" w:rsidRDefault="00D53D4F" w:rsidP="002A4DBF">
      <w:pPr>
        <w:pStyle w:val="FootnoteText"/>
        <w:spacing w:after="120"/>
      </w:pPr>
      <w:r>
        <w:rPr>
          <w:rStyle w:val="FootnoteReference"/>
        </w:rPr>
        <w:footnoteRef/>
      </w:r>
      <w:r>
        <w:t xml:space="preserve"> </w:t>
      </w:r>
      <w:r w:rsidRPr="00C77D8F">
        <w:t>Rev. Rul. 79-223</w:t>
      </w:r>
      <w:r>
        <w:t>.</w:t>
      </w:r>
    </w:p>
  </w:footnote>
  <w:footnote w:id="477">
    <w:p w14:paraId="4716870C" w14:textId="77777777" w:rsidR="00D53D4F" w:rsidRDefault="00D53D4F" w:rsidP="002A4DBF">
      <w:pPr>
        <w:pStyle w:val="FootnoteText"/>
        <w:spacing w:after="120"/>
      </w:pPr>
      <w:r>
        <w:rPr>
          <w:rStyle w:val="FootnoteReference"/>
        </w:rPr>
        <w:footnoteRef/>
      </w:r>
      <w:r>
        <w:t xml:space="preserve"> Treas. Reg. §1.662(b)-2, Example 1, specifically paragraph (e).</w:t>
      </w:r>
    </w:p>
  </w:footnote>
  <w:footnote w:id="478">
    <w:p w14:paraId="4647BD69" w14:textId="77777777" w:rsidR="00D53D4F" w:rsidRDefault="00D53D4F" w:rsidP="002A4DBF">
      <w:pPr>
        <w:pStyle w:val="FootnoteText"/>
        <w:spacing w:after="120"/>
      </w:pPr>
      <w:r>
        <w:rPr>
          <w:rStyle w:val="FootnoteReference"/>
        </w:rPr>
        <w:footnoteRef/>
      </w:r>
      <w:r>
        <w:t xml:space="preserve"> See the discussion of the </w:t>
      </w:r>
      <w:r w:rsidRPr="00015581">
        <w:rPr>
          <w:i/>
        </w:rPr>
        <w:t>Old Colony</w:t>
      </w:r>
      <w:r>
        <w:t xml:space="preserve"> case discussed in footnote 353.  While Old Colony should be controlling, be aware that there is a seemingly negative precedent from a 2</w:t>
      </w:r>
      <w:r w:rsidRPr="00DC5942">
        <w:rPr>
          <w:vertAlign w:val="superscript"/>
        </w:rPr>
        <w:t>nd</w:t>
      </w:r>
      <w:r>
        <w:t xml:space="preserve"> Circuit case, </w:t>
      </w:r>
      <w:r w:rsidRPr="00DC5942">
        <w:rPr>
          <w:i/>
        </w:rPr>
        <w:t>Brownstone v. United States</w:t>
      </w:r>
      <w:r w:rsidRPr="00DC5942">
        <w:t>, 465 F.3d 525 (2d Cir. N.Y. 2006)</w:t>
      </w:r>
      <w:r>
        <w:t xml:space="preserve">, in which case H’s will established a trust which granted W a broad testamentary general power of appointment.  W died and appointed the trust to </w:t>
      </w:r>
      <w:r w:rsidRPr="00DC5942">
        <w:rPr>
          <w:i/>
        </w:rPr>
        <w:t>her estate</w:t>
      </w:r>
      <w:r>
        <w:t>, and her will then made distributions to various charities (query why the POA did not simply pay to charities directly?).  The 2</w:t>
      </w:r>
      <w:r w:rsidRPr="00C010E4">
        <w:rPr>
          <w:vertAlign w:val="superscript"/>
        </w:rPr>
        <w:t>nd</w:t>
      </w:r>
      <w:r>
        <w:t xml:space="preserve"> Circuit differentiated </w:t>
      </w:r>
      <w:r w:rsidRPr="005C3CD7">
        <w:rPr>
          <w:i/>
        </w:rPr>
        <w:t>Old Colony</w:t>
      </w:r>
      <w:r>
        <w:t xml:space="preserve"> and denied the deduction because H’s will did not mention charity as a potential beneficiary at all – it was not “pursuant to” the governing instrument.  It is a dubious conclusion and probably violates </w:t>
      </w:r>
      <w:r w:rsidRPr="00725DFB">
        <w:rPr>
          <w:i/>
        </w:rPr>
        <w:t>Old Colony</w:t>
      </w:r>
      <w:r>
        <w:t xml:space="preserve"> precedent.  That said, to be safe, </w:t>
      </w:r>
      <w:r w:rsidRPr="007E5280">
        <w:rPr>
          <w:i/>
        </w:rPr>
        <w:t>especially</w:t>
      </w:r>
      <w:r>
        <w:t xml:space="preserve"> if you are in the 2</w:t>
      </w:r>
      <w:r w:rsidRPr="005C3CD7">
        <w:rPr>
          <w:vertAlign w:val="superscript"/>
        </w:rPr>
        <w:t>nd</w:t>
      </w:r>
      <w:r>
        <w:t xml:space="preserve"> Circuit (Vermont, New York and Connecticut).  However, name charities specifically as potential appointees, rather than rely on broad power to appoint to any “persons” as was the case in </w:t>
      </w:r>
      <w:r w:rsidRPr="00725DFB">
        <w:rPr>
          <w:i/>
        </w:rPr>
        <w:t>Brownstone</w:t>
      </w:r>
      <w:r>
        <w:t xml:space="preserve"> and the </w:t>
      </w:r>
      <w:r w:rsidRPr="00725DFB">
        <w:rPr>
          <w:i/>
        </w:rPr>
        <w:t>Weir</w:t>
      </w:r>
      <w:r>
        <w:t xml:space="preserve"> case, another 2</w:t>
      </w:r>
      <w:r w:rsidRPr="005C3CD7">
        <w:rPr>
          <w:vertAlign w:val="superscript"/>
        </w:rPr>
        <w:t>nd</w:t>
      </w:r>
      <w:r>
        <w:t xml:space="preserve"> Circuit case it cited.  See the language in the PLRs noted below.  </w:t>
      </w:r>
    </w:p>
  </w:footnote>
  <w:footnote w:id="479">
    <w:p w14:paraId="493A4E1E" w14:textId="77777777" w:rsidR="00D53D4F" w:rsidRDefault="00D53D4F" w:rsidP="002A4DBF">
      <w:pPr>
        <w:pStyle w:val="FootnoteText"/>
        <w:spacing w:after="120"/>
      </w:pPr>
      <w:r>
        <w:rPr>
          <w:rStyle w:val="FootnoteReference"/>
        </w:rPr>
        <w:footnoteRef/>
      </w:r>
      <w:r>
        <w:t xml:space="preserve"> PLR 2012-25004; similarly, PLR 2009-06008 allowed the §642(c) deduction through exercise of an LPOA</w:t>
      </w:r>
    </w:p>
  </w:footnote>
  <w:footnote w:id="480">
    <w:p w14:paraId="5CD3C118" w14:textId="77777777" w:rsidR="00D53D4F" w:rsidRDefault="00D53D4F" w:rsidP="002A4DBF">
      <w:pPr>
        <w:pStyle w:val="FootnoteText"/>
        <w:spacing w:after="120"/>
      </w:pPr>
      <w:r>
        <w:rPr>
          <w:rStyle w:val="FootnoteReference"/>
        </w:rPr>
        <w:footnoteRef/>
      </w:r>
      <w:r>
        <w:t xml:space="preserve"> For more detail on the tax effect of amendments made through decanting, reformation, etc. under state law, see Part VII of this outline.</w:t>
      </w:r>
      <w:r w:rsidRPr="005C3CD7">
        <w:t xml:space="preserve"> </w:t>
      </w:r>
      <w:r>
        <w:t xml:space="preserve">For taxpayer-positive rulings permitting charitable deductions from an estate or trust instrument resulting from a settlement agreement/contest, see </w:t>
      </w:r>
      <w:r w:rsidRPr="005C3CD7">
        <w:t xml:space="preserve">Rev. Rul. 59-15, 1959-1 C.B. 164, citing </w:t>
      </w:r>
      <w:r w:rsidRPr="005C3CD7">
        <w:rPr>
          <w:i/>
        </w:rPr>
        <w:t>Emanuelson v. United States</w:t>
      </w:r>
      <w:r w:rsidRPr="005C3CD7">
        <w:t>, 1</w:t>
      </w:r>
      <w:r>
        <w:t>59 F. Supp. 34 (Conn. 1958), which held</w:t>
      </w:r>
      <w:r w:rsidRPr="005C3CD7">
        <w:t xml:space="preserve"> that a settlement agreement arising from a will contest qualifies as a governing instrument for purposes of § 642(c).</w:t>
      </w:r>
      <w:r>
        <w:t xml:space="preserve">  </w:t>
      </w:r>
      <w:r w:rsidRPr="001F09F2">
        <w:t xml:space="preserve">See also </w:t>
      </w:r>
      <w:r w:rsidRPr="001F09F2">
        <w:rPr>
          <w:i/>
        </w:rPr>
        <w:t>Estate of Wright v. United States</w:t>
      </w:r>
      <w:r w:rsidRPr="001F09F2">
        <w:t xml:space="preserve">, 677 </w:t>
      </w:r>
      <w:r>
        <w:t xml:space="preserve">F.2d 53 (9th Cir. 1982), </w:t>
      </w:r>
      <w:r w:rsidRPr="001F09F2">
        <w:t>cert. denied</w:t>
      </w:r>
      <w:r>
        <w:t xml:space="preserve">, 459 U.S. 909, 103 S. Ct. 214 </w:t>
      </w:r>
      <w:r w:rsidRPr="001F09F2">
        <w:t xml:space="preserve">(1982); </w:t>
      </w:r>
      <w:r w:rsidRPr="001F09F2">
        <w:rPr>
          <w:i/>
        </w:rPr>
        <w:t>Middleton v. United States</w:t>
      </w:r>
      <w:r w:rsidRPr="001F09F2">
        <w:t>,</w:t>
      </w:r>
      <w:r>
        <w:t xml:space="preserve"> 99 F.Supp. 801 (D.C. Pa. 1951) (similar).</w:t>
      </w:r>
    </w:p>
  </w:footnote>
  <w:footnote w:id="481">
    <w:p w14:paraId="42A39AA6" w14:textId="77777777" w:rsidR="00D53D4F" w:rsidRDefault="00D53D4F" w:rsidP="002A4DBF">
      <w:pPr>
        <w:pStyle w:val="FootnoteText"/>
        <w:spacing w:after="120"/>
      </w:pPr>
      <w:r>
        <w:rPr>
          <w:rStyle w:val="FootnoteReference"/>
        </w:rPr>
        <w:footnoteRef/>
      </w:r>
      <w:r>
        <w:t xml:space="preserve"> </w:t>
      </w:r>
      <w:r w:rsidRPr="00BB3B53">
        <w:rPr>
          <w:i/>
        </w:rPr>
        <w:t>Harvey C. Hubbell Trust v. Comm.</w:t>
      </w:r>
      <w:r w:rsidRPr="00BB3B53">
        <w:t>, T.C. Summ. Op. 2016-67</w:t>
      </w:r>
      <w:r>
        <w:t>.</w:t>
      </w:r>
    </w:p>
  </w:footnote>
  <w:footnote w:id="482">
    <w:p w14:paraId="19709F7C" w14:textId="77777777" w:rsidR="00D53D4F" w:rsidRDefault="00D53D4F" w:rsidP="002A4DBF">
      <w:pPr>
        <w:pStyle w:val="FootnoteText"/>
        <w:spacing w:after="120"/>
      </w:pPr>
      <w:r>
        <w:rPr>
          <w:rStyle w:val="FootnoteReference"/>
        </w:rPr>
        <w:footnoteRef/>
      </w:r>
      <w:r>
        <w:t xml:space="preserve"> CCA 2016-51013.</w:t>
      </w:r>
    </w:p>
  </w:footnote>
  <w:footnote w:id="483">
    <w:p w14:paraId="10A30EF9" w14:textId="77777777" w:rsidR="00D53D4F" w:rsidRDefault="00D53D4F" w:rsidP="002A4DBF">
      <w:pPr>
        <w:pStyle w:val="FootnoteText"/>
        <w:spacing w:after="120"/>
      </w:pPr>
      <w:r>
        <w:rPr>
          <w:rStyle w:val="FootnoteReference"/>
        </w:rPr>
        <w:footnoteRef/>
      </w:r>
      <w:r>
        <w:t xml:space="preserve"> </w:t>
      </w:r>
      <w:r w:rsidRPr="00353E3E">
        <w:t>PLR 2014-38014</w:t>
      </w:r>
      <w:r>
        <w:t>.</w:t>
      </w:r>
    </w:p>
  </w:footnote>
  <w:footnote w:id="484">
    <w:p w14:paraId="5A821F67" w14:textId="77777777" w:rsidR="00D53D4F" w:rsidRDefault="00D53D4F" w:rsidP="002A4DBF">
      <w:pPr>
        <w:pStyle w:val="FootnoteText"/>
        <w:spacing w:after="120"/>
      </w:pPr>
      <w:r>
        <w:rPr>
          <w:rStyle w:val="FootnoteReference"/>
        </w:rPr>
        <w:footnoteRef/>
      </w:r>
      <w:r>
        <w:t xml:space="preserve"> See also </w:t>
      </w:r>
      <w:r w:rsidRPr="001F09F2">
        <w:t>IRS CCA 2008</w:t>
      </w:r>
      <w:r>
        <w:t>-</w:t>
      </w:r>
      <w:r w:rsidRPr="001F09F2">
        <w:t>48020</w:t>
      </w:r>
      <w:r>
        <w:t>, which similarly denied any §642(c) deduction (and denied qualification as a “designated beneficiary”) when a trust was reformed, because the changes to the distribution scheme were not sufficient to make subsequent distributions “pursuant to the governing instrument”.  The IRS had a better case for denying see through trust qualification, because pursuant to those regulations a trust must be named and in existence as beneficiary at the time of death, but the denial of the post-amendment tax effect for other purposes is a bit dubious, as noted above.</w:t>
      </w:r>
    </w:p>
  </w:footnote>
  <w:footnote w:id="485">
    <w:p w14:paraId="4CFB8E0E" w14:textId="77777777" w:rsidR="00D53D4F" w:rsidRDefault="00D53D4F" w:rsidP="002A4DBF">
      <w:pPr>
        <w:pStyle w:val="FootnoteText"/>
        <w:spacing w:after="120"/>
      </w:pPr>
      <w:r>
        <w:rPr>
          <w:rStyle w:val="FootnoteReference"/>
        </w:rPr>
        <w:footnoteRef/>
      </w:r>
      <w:r>
        <w:t xml:space="preserve"> Rev. Rul. 2004-5.  The ruling only addresses partnerships, but the rationale of the ruling would appear to extend to other pass through business entities, such as S corps </w:t>
      </w:r>
      <w:r w:rsidRPr="00321B1E">
        <w:rPr>
          <w:i/>
        </w:rPr>
        <w:t>or even a single member LLC</w:t>
      </w:r>
      <w:r>
        <w:t xml:space="preserve">.  </w:t>
      </w:r>
    </w:p>
  </w:footnote>
  <w:footnote w:id="486">
    <w:p w14:paraId="69858E8B" w14:textId="77777777" w:rsidR="00D53D4F" w:rsidRDefault="00D53D4F" w:rsidP="002A4DBF">
      <w:pPr>
        <w:pStyle w:val="FootnoteText"/>
        <w:spacing w:after="120"/>
      </w:pPr>
      <w:r>
        <w:rPr>
          <w:rStyle w:val="FootnoteReference"/>
        </w:rPr>
        <w:footnoteRef/>
      </w:r>
      <w:r>
        <w:t xml:space="preserve"> </w:t>
      </w:r>
      <w:r w:rsidRPr="00AF7852">
        <w:t xml:space="preserve">Treas. Reg. §1.641(c)-1(d)(2)(ii) provides: “Special rule for charitable contributions. If a deduction described in paragraph (d)(2)(i) of this section is attributable to an amount of the S corporation's gross income that is paid by the S corporation for a charitable purpose specified in section 170(c) (without regard to section 170(c)(2)(A)), the contribution will be deemed to be paid by the S portion </w:t>
      </w:r>
      <w:r>
        <w:t xml:space="preserve">[of the ESBT] </w:t>
      </w:r>
      <w:r w:rsidRPr="00AF7852">
        <w:t>pursuant to the terms of the trust's governing instrument within the meaning of section 642(c)(1). The limitations of section 681, regarding unrelated business income, apply in determining whether the contribution is deductible in computing the taxable income of the S portion.”</w:t>
      </w:r>
    </w:p>
  </w:footnote>
  <w:footnote w:id="487">
    <w:p w14:paraId="43BA5412" w14:textId="77777777" w:rsidR="00D53D4F" w:rsidRDefault="00D53D4F" w:rsidP="002A4DBF">
      <w:pPr>
        <w:pStyle w:val="FootnoteText"/>
        <w:spacing w:after="120"/>
      </w:pPr>
      <w:r>
        <w:rPr>
          <w:rStyle w:val="FootnoteReference"/>
        </w:rPr>
        <w:footnoteRef/>
      </w:r>
      <w:r>
        <w:t xml:space="preserve"> See </w:t>
      </w:r>
      <w:r w:rsidRPr="001340D6">
        <w:t>FSA 2001</w:t>
      </w:r>
      <w:r>
        <w:t>-</w:t>
      </w:r>
      <w:r w:rsidRPr="001340D6">
        <w:t>40080</w:t>
      </w:r>
      <w:r>
        <w:t xml:space="preserve">, which basically followed </w:t>
      </w:r>
      <w:r w:rsidRPr="001340D6">
        <w:t>Rev. Rul. 2004-5</w:t>
      </w:r>
      <w:r>
        <w:t xml:space="preserve"> in holding that a trust can take the </w:t>
      </w:r>
      <w:r>
        <w:rPr>
          <w:rFonts w:ascii="Arial" w:hAnsi="Arial" w:cs="Arial"/>
        </w:rPr>
        <w:t>§</w:t>
      </w:r>
      <w:r>
        <w:t>642(c) deduction even if not authorized in the trust instrument if made by the partnership, but noting that “</w:t>
      </w:r>
      <w:r w:rsidRPr="006468ED">
        <w:t>Any attempt to pass a charitable deduction from one trust to another trust as its beneficiary is improper and impermissible.</w:t>
      </w:r>
      <w:r>
        <w:t>”</w:t>
      </w:r>
    </w:p>
  </w:footnote>
  <w:footnote w:id="488">
    <w:p w14:paraId="5E380DC1" w14:textId="77777777" w:rsidR="00D53D4F" w:rsidRDefault="00D53D4F" w:rsidP="002A4DBF">
      <w:pPr>
        <w:pStyle w:val="FootnoteText"/>
        <w:spacing w:after="120"/>
      </w:pPr>
      <w:r>
        <w:rPr>
          <w:rStyle w:val="FootnoteReference"/>
        </w:rPr>
        <w:footnoteRef/>
      </w:r>
      <w:r>
        <w:t xml:space="preserve"> There is a very good argument that the “gross income” is simply a quantitative limitation rather than requirement for tracing, see </w:t>
      </w:r>
      <w:r w:rsidRPr="00906E98">
        <w:rPr>
          <w:i/>
        </w:rPr>
        <w:t>Federal Income Taxation of Fiduciaries and Beneficiaries</w:t>
      </w:r>
      <w:r>
        <w:t xml:space="preserve">, §412.8.3. (CCH 2009), by Byrle Abbin and </w:t>
      </w:r>
      <w:r w:rsidRPr="0002134C">
        <w:rPr>
          <w:i/>
        </w:rPr>
        <w:t>Old Colony Trust Co. v. Commissioner</w:t>
      </w:r>
      <w:r>
        <w:t xml:space="preserve">, 301 U.S. 379 (1937).  However, it is safest to assume in planning stage that sourcing is required, as some courts have so concluded: </w:t>
      </w:r>
      <w:r w:rsidRPr="0002134C">
        <w:rPr>
          <w:i/>
        </w:rPr>
        <w:t>Crestar Bank v. IRS</w:t>
      </w:r>
      <w:r>
        <w:t xml:space="preserve">, 47 F.Supp. 2d 670 (E.D. Va. 1999), also </w:t>
      </w:r>
      <w:r>
        <w:rPr>
          <w:i/>
        </w:rPr>
        <w:t>Mott v</w:t>
      </w:r>
      <w:r w:rsidRPr="004A232D">
        <w:rPr>
          <w:i/>
        </w:rPr>
        <w:t>.</w:t>
      </w:r>
      <w:r>
        <w:rPr>
          <w:i/>
        </w:rPr>
        <w:t>United States</w:t>
      </w:r>
      <w:r>
        <w:t>, 462 F.2d 512 (Ct. Cl. 1972).</w:t>
      </w:r>
    </w:p>
  </w:footnote>
  <w:footnote w:id="489">
    <w:p w14:paraId="27748F70" w14:textId="77777777" w:rsidR="00D53D4F" w:rsidRDefault="00D53D4F" w:rsidP="002A4DBF">
      <w:pPr>
        <w:pStyle w:val="FootnoteText"/>
        <w:spacing w:after="120"/>
      </w:pPr>
      <w:r>
        <w:rPr>
          <w:rStyle w:val="FootnoteReference"/>
        </w:rPr>
        <w:footnoteRef/>
      </w:r>
      <w:r>
        <w:t xml:space="preserve"> IRS CCA Memo 2010-42023.  </w:t>
      </w:r>
    </w:p>
  </w:footnote>
  <w:footnote w:id="490">
    <w:p w14:paraId="3DAF8BDC" w14:textId="77777777" w:rsidR="00D53D4F" w:rsidRDefault="00D53D4F" w:rsidP="002A4DBF">
      <w:pPr>
        <w:pStyle w:val="FootnoteText"/>
        <w:spacing w:after="120"/>
      </w:pPr>
      <w:r>
        <w:rPr>
          <w:rStyle w:val="FootnoteReference"/>
        </w:rPr>
        <w:footnoteRef/>
      </w:r>
      <w:r>
        <w:t xml:space="preserve"> </w:t>
      </w:r>
      <w:r w:rsidRPr="00710FCE">
        <w:rPr>
          <w:i/>
        </w:rPr>
        <w:t>Green v. United States</w:t>
      </w:r>
      <w:r w:rsidRPr="00710FCE">
        <w:t>, 2015 U.S. Dist. LEXIS 151539 (W.D. Okla. 2015)</w:t>
      </w:r>
      <w:r>
        <w:t xml:space="preserve"> which had granted the deduction for the full fair market value, not just basis, was just overturned by the Tenth Circuit: </w:t>
      </w:r>
      <w:hyperlink r:id="rId76" w:history="1">
        <w:r w:rsidRPr="001A027E">
          <w:rPr>
            <w:rStyle w:val="Hyperlink"/>
          </w:rPr>
          <w:t>https://www.ca10.uscourts.gov/opinions/16/16-6371.pdf</w:t>
        </w:r>
      </w:hyperlink>
      <w:r>
        <w:t xml:space="preserve">. </w:t>
      </w:r>
    </w:p>
  </w:footnote>
  <w:footnote w:id="491">
    <w:p w14:paraId="12955E67" w14:textId="77777777" w:rsidR="00D53D4F" w:rsidRDefault="00D53D4F" w:rsidP="002A4DBF">
      <w:pPr>
        <w:pStyle w:val="FootnoteText"/>
        <w:spacing w:after="120"/>
      </w:pPr>
      <w:r>
        <w:rPr>
          <w:rStyle w:val="FootnoteReference"/>
        </w:rPr>
        <w:footnoteRef/>
      </w:r>
      <w:r>
        <w:t xml:space="preserve"> </w:t>
      </w:r>
      <w:r w:rsidRPr="005C7749">
        <w:rPr>
          <w:i/>
        </w:rPr>
        <w:t>O'Bryan v. Commissioner</w:t>
      </w:r>
      <w:r w:rsidRPr="005C7749">
        <w:t>, 75 T.C. 304 (T.C. 1980)</w:t>
      </w:r>
      <w:r>
        <w:t>.</w:t>
      </w:r>
    </w:p>
  </w:footnote>
  <w:footnote w:id="492">
    <w:p w14:paraId="075342FA" w14:textId="77777777" w:rsidR="00D53D4F" w:rsidRDefault="00D53D4F" w:rsidP="002A4DBF">
      <w:pPr>
        <w:pStyle w:val="FootnoteText"/>
        <w:spacing w:after="120"/>
      </w:pPr>
      <w:r>
        <w:rPr>
          <w:rStyle w:val="FootnoteReference"/>
        </w:rPr>
        <w:footnoteRef/>
      </w:r>
      <w:r>
        <w:t xml:space="preserve"> IRC §681(a), Treas. Reg. §1.642(c)-3(d) and (e).</w:t>
      </w:r>
    </w:p>
  </w:footnote>
  <w:footnote w:id="493">
    <w:p w14:paraId="203D3515" w14:textId="77777777" w:rsidR="00D53D4F" w:rsidRDefault="00D53D4F" w:rsidP="002A4DBF">
      <w:pPr>
        <w:pStyle w:val="FootnoteText"/>
        <w:spacing w:after="120"/>
      </w:pPr>
      <w:r>
        <w:rPr>
          <w:rStyle w:val="FootnoteReference"/>
        </w:rPr>
        <w:footnoteRef/>
      </w:r>
      <w:r>
        <w:t xml:space="preserve"> Treas. Reg. §1.681(a)-2(a) and (b)(3) – it’s a convoluted statute, best understood by reading examples in (c), except remember that the percentage limitations of IRC §170 referenced in those examples (30%/20%) were amended after those examples were written by the Tax Reform Act of 1969 (now 50%/30%).</w:t>
      </w:r>
    </w:p>
  </w:footnote>
  <w:footnote w:id="494">
    <w:p w14:paraId="672A2C4F" w14:textId="77777777" w:rsidR="00D53D4F" w:rsidRDefault="00D53D4F" w:rsidP="002A4DBF">
      <w:pPr>
        <w:pStyle w:val="FootnoteText"/>
        <w:spacing w:after="120"/>
      </w:pPr>
      <w:r>
        <w:rPr>
          <w:rStyle w:val="FootnoteReference"/>
        </w:rPr>
        <w:footnoteRef/>
      </w:r>
      <w:r>
        <w:t xml:space="preserve"> As of 2017, the top corporate rate, applicable to private foundations operating as non-profit corporations when they pay UBIT, is 35% with potential for 10% deduction under §512(b)(10), as opposed to 39.6% top rate for </w:t>
      </w:r>
      <w:r w:rsidRPr="00DD0E3F">
        <w:t xml:space="preserve">private foundations operating as </w:t>
      </w:r>
      <w:r>
        <w:t>trusts, but which can take a better tax deduction under §512(b)(11),  especially if the UBTI is in turn distributed to public charities, as discussed above.  See Treas. Reg. § 1.512(b)-1(g).  Tax reform lowers those top rates starting in 2018 to 21% and 37% respectively.  The IRS sums up the difference as follows in its Publication 598 on UBTI: “Deduction limits.   An exempt organization that is subject to the unrelated business income tax at corporate rates is allowed a deduction for charitable contributions up to 10% of its unrelated business taxable income computed without regard to the deduction for contributions.   An exempt trust that is subject to the unrelated business income tax at trust rates generally is allowed a deduction for charitable contributions in the same amounts as allowed for individuals. However, the limit on the deduction is determined in relation to the trust's unrelated business taxable income computed without regard to the deduction, rather than in relation to adjusted gross income.  Contributions in excess of the limits just described may be carried over to the next 5 tax years. A contribution carryover isn’t allowed, however, to the extent that it increases an NOL carryover.”</w:t>
      </w:r>
      <w:r w:rsidRPr="00464246">
        <w:t xml:space="preserve"> </w:t>
      </w:r>
      <w:r>
        <w:t xml:space="preserve">Also, see page 16 of Instructions for Form 990-T at </w:t>
      </w:r>
      <w:hyperlink r:id="rId77" w:history="1">
        <w:r w:rsidRPr="00E36574">
          <w:rPr>
            <w:rStyle w:val="Hyperlink"/>
          </w:rPr>
          <w:t>https://www.irs.gov/pub/irs-pdf/i990t.pdf</w:t>
        </w:r>
      </w:hyperlink>
      <w:r>
        <w:rPr>
          <w:rStyle w:val="Hyperlink"/>
        </w:rPr>
        <w:t>.</w:t>
      </w:r>
      <w:r>
        <w:t xml:space="preserve"> </w:t>
      </w:r>
    </w:p>
  </w:footnote>
  <w:footnote w:id="495">
    <w:p w14:paraId="57F2D00E" w14:textId="77777777" w:rsidR="00D53D4F" w:rsidRPr="003F70AB" w:rsidRDefault="00D53D4F" w:rsidP="002A4DBF">
      <w:pPr>
        <w:pStyle w:val="FootnoteText"/>
        <w:spacing w:after="120"/>
        <w:rPr>
          <w:sz w:val="22"/>
        </w:rPr>
      </w:pPr>
      <w:r w:rsidRPr="003F70AB">
        <w:rPr>
          <w:rStyle w:val="FootnoteReference"/>
          <w:sz w:val="22"/>
        </w:rPr>
        <w:footnoteRef/>
      </w:r>
      <w:r w:rsidRPr="003F70AB">
        <w:rPr>
          <w:sz w:val="22"/>
        </w:rPr>
        <w:t xml:space="preserve"> IRC §6034, Treas. Reg. § 1.6034-1(a).  IRC § 6652(c)(2) provides for separate penalties of $10 a day, up to a maximum of $5,000, against both the trust and the trustee for not filing Form 1041-A on time, unless there is reasonable cause.</w:t>
      </w:r>
    </w:p>
  </w:footnote>
  <w:footnote w:id="496">
    <w:p w14:paraId="19247E82" w14:textId="77777777" w:rsidR="00D53D4F" w:rsidRPr="003F70AB" w:rsidRDefault="00D53D4F" w:rsidP="002A4DBF">
      <w:pPr>
        <w:pStyle w:val="FootnoteText"/>
        <w:spacing w:after="120"/>
        <w:rPr>
          <w:sz w:val="22"/>
        </w:rPr>
      </w:pPr>
      <w:r w:rsidRPr="003F70AB">
        <w:rPr>
          <w:rStyle w:val="FootnoteReference"/>
          <w:sz w:val="22"/>
        </w:rPr>
        <w:footnoteRef/>
      </w:r>
      <w:r w:rsidRPr="003F70AB">
        <w:rPr>
          <w:sz w:val="22"/>
        </w:rPr>
        <w:t xml:space="preserve"> See </w:t>
      </w:r>
      <w:r w:rsidRPr="003F70AB">
        <w:rPr>
          <w:i/>
          <w:sz w:val="22"/>
        </w:rPr>
        <w:t>The Art of Avoiding Ohio Income Tax Using Trusts</w:t>
      </w:r>
      <w:r w:rsidRPr="003F70AB">
        <w:rPr>
          <w:sz w:val="22"/>
        </w:rPr>
        <w:t>, by this author, May/June 2014 Ohio Probate Law Journal, and various other articles cited therein, and CLE materials by this author and attorney Kevin Ghassomian on Incomplete Gift Non Grantor Trusts for upcoming CLE on January 7, 2015 at www.nbi-sems.com.</w:t>
      </w:r>
    </w:p>
  </w:footnote>
  <w:footnote w:id="497">
    <w:p w14:paraId="2815F767" w14:textId="77777777" w:rsidR="00D53D4F" w:rsidRPr="003F70AB" w:rsidRDefault="00D53D4F" w:rsidP="002A4DBF">
      <w:pPr>
        <w:pStyle w:val="FootnoteText"/>
        <w:spacing w:after="120"/>
        <w:rPr>
          <w:sz w:val="22"/>
        </w:rPr>
      </w:pPr>
      <w:r w:rsidRPr="003F70AB">
        <w:rPr>
          <w:rStyle w:val="FootnoteReference"/>
          <w:sz w:val="22"/>
        </w:rPr>
        <w:footnoteRef/>
      </w:r>
      <w:r w:rsidRPr="003F70AB">
        <w:rPr>
          <w:sz w:val="22"/>
        </w:rPr>
        <w:t xml:space="preserve"> I refer to “DINGs” or Delaware Incomplete Gift Non-Grantor Trusts” throughout this paper for simplicity and since the early PLRs used DE law, but you can also establish INGs in other states.  E.g. NV (NRS §166.040(2)(b), OH (Ohio R.C. §5816.05(C)), SD (S.D. Cod. Laws §15-16-2(2)(b) and DE (12 Del. Code §3570(11)(b)(2) all specifically permit a settlor to retain lifetime LPOAs, which were a factor in the recent ING PLRs.  Not all do.</w:t>
      </w:r>
    </w:p>
  </w:footnote>
  <w:footnote w:id="498">
    <w:p w14:paraId="6DC0EA67" w14:textId="51F30663" w:rsidR="00D53D4F" w:rsidRPr="003F70AB" w:rsidRDefault="00D53D4F" w:rsidP="00E23597">
      <w:pPr>
        <w:pStyle w:val="FootnoteText"/>
        <w:spacing w:after="120"/>
        <w:rPr>
          <w:sz w:val="22"/>
          <w:szCs w:val="22"/>
        </w:rPr>
      </w:pPr>
      <w:r w:rsidRPr="003F70AB">
        <w:rPr>
          <w:rStyle w:val="FootnoteReference"/>
          <w:sz w:val="22"/>
          <w:szCs w:val="22"/>
        </w:rPr>
        <w:footnoteRef/>
      </w:r>
      <w:r w:rsidRPr="003F70AB">
        <w:rPr>
          <w:sz w:val="22"/>
          <w:szCs w:val="22"/>
        </w:rPr>
        <w:t xml:space="preserve"> Pease limitations do not apply to non-grantor trusts and estates.  IRC §68(e).</w:t>
      </w:r>
      <w:r w:rsidR="00E23597">
        <w:rPr>
          <w:sz w:val="22"/>
          <w:szCs w:val="22"/>
        </w:rPr>
        <w:t xml:space="preserve"> Starting in tax years </w:t>
      </w:r>
      <w:r w:rsidR="00E23597" w:rsidRPr="00E23597">
        <w:rPr>
          <w:sz w:val="22"/>
          <w:szCs w:val="22"/>
        </w:rPr>
        <w:t>beginning after December 31, 2017</w:t>
      </w:r>
      <w:r w:rsidR="0095181E">
        <w:rPr>
          <w:sz w:val="22"/>
          <w:szCs w:val="22"/>
        </w:rPr>
        <w:t xml:space="preserve"> but</w:t>
      </w:r>
      <w:r w:rsidR="00E23597" w:rsidRPr="00E23597">
        <w:rPr>
          <w:sz w:val="22"/>
          <w:szCs w:val="22"/>
        </w:rPr>
        <w:t xml:space="preserve"> before January 1, 2026</w:t>
      </w:r>
      <w:r w:rsidR="0095181E">
        <w:rPr>
          <w:sz w:val="22"/>
          <w:szCs w:val="22"/>
        </w:rPr>
        <w:t>, they are also eliminated for individuals, at least for now.</w:t>
      </w:r>
      <w:r w:rsidR="00EE5EC6">
        <w:rPr>
          <w:sz w:val="22"/>
          <w:szCs w:val="22"/>
        </w:rPr>
        <w:t xml:space="preserve">  IRC §68(f).</w:t>
      </w:r>
    </w:p>
  </w:footnote>
  <w:footnote w:id="499">
    <w:p w14:paraId="1CED7645" w14:textId="77777777" w:rsidR="00D53D4F" w:rsidRDefault="00D53D4F" w:rsidP="002A4DBF">
      <w:pPr>
        <w:pStyle w:val="FootnoteText"/>
        <w:spacing w:after="120"/>
      </w:pPr>
      <w:r w:rsidRPr="003F70AB">
        <w:rPr>
          <w:rStyle w:val="FootnoteReference"/>
          <w:sz w:val="22"/>
          <w:szCs w:val="22"/>
        </w:rPr>
        <w:footnoteRef/>
      </w:r>
      <w:r w:rsidRPr="003F70AB">
        <w:rPr>
          <w:sz w:val="22"/>
          <w:szCs w:val="22"/>
        </w:rPr>
        <w:t xml:space="preserve"> According to one study of 2010 tax return data, of those in 15% bracket, only 37% itemize, of those in 25% bracket, only 65% itemize, of those in 33% bracket, only 70%, rising to 90% for those in the top bracket. See </w:t>
      </w:r>
      <w:hyperlink r:id="rId78" w:history="1">
        <w:r w:rsidRPr="003F70AB">
          <w:rPr>
            <w:rStyle w:val="Hyperlink"/>
            <w:sz w:val="22"/>
            <w:szCs w:val="22"/>
          </w:rPr>
          <w:t>http://www.urban.org/uploadedpdf/1001486-Who-Itemizes-Deductions.pdf</w:t>
        </w:r>
      </w:hyperlink>
      <w:r w:rsidRPr="003F70AB">
        <w:rPr>
          <w:sz w:val="22"/>
          <w:szCs w:val="22"/>
        </w:rPr>
        <w:t>.  If your client has paid off their mortgage, for example, and no longer pays local income tax (or perhaps no state), this becomes more likely.</w:t>
      </w:r>
    </w:p>
  </w:footnote>
  <w:footnote w:id="500">
    <w:p w14:paraId="5CDEEA7D" w14:textId="77777777" w:rsidR="00D53D4F" w:rsidRPr="00F82AA4" w:rsidRDefault="00D53D4F" w:rsidP="002A4DBF">
      <w:pPr>
        <w:pStyle w:val="FootnoteText"/>
        <w:spacing w:after="120"/>
        <w:rPr>
          <w:sz w:val="22"/>
        </w:rPr>
      </w:pPr>
      <w:r w:rsidRPr="00F82AA4">
        <w:rPr>
          <w:rStyle w:val="FootnoteReference"/>
          <w:sz w:val="22"/>
        </w:rPr>
        <w:footnoteRef/>
      </w:r>
      <w:r w:rsidRPr="00F82AA4">
        <w:rPr>
          <w:sz w:val="22"/>
        </w:rPr>
        <w:t xml:space="preserve"> E.g. </w:t>
      </w:r>
      <w:r w:rsidRPr="00F82AA4">
        <w:rPr>
          <w:i/>
          <w:sz w:val="22"/>
        </w:rPr>
        <w:t>CCH Multistate Guide to Trusts and Trust Administration</w:t>
      </w:r>
      <w:r w:rsidRPr="00F82AA4">
        <w:rPr>
          <w:sz w:val="22"/>
        </w:rPr>
        <w:t xml:space="preserve">, Jeffrey A. Schoenblum, or various CLEs from  Richard Nenno, such as </w:t>
      </w:r>
      <w:r w:rsidRPr="00F82AA4">
        <w:rPr>
          <w:i/>
          <w:sz w:val="22"/>
        </w:rPr>
        <w:t>Planning to Minimize or Avoid State Income Tax on Trusts</w:t>
      </w:r>
      <w:r w:rsidRPr="00F82AA4">
        <w:rPr>
          <w:sz w:val="22"/>
        </w:rPr>
        <w:t xml:space="preserve">, 34 ACTEC L.J. 131 (2008). My own charts have additional important factors not addressed in those, i.e. source income rules. see “ING Trusts – Not </w:t>
      </w:r>
      <w:r w:rsidRPr="00F82AA4">
        <w:rPr>
          <w:i/>
          <w:sz w:val="22"/>
        </w:rPr>
        <w:t>Just</w:t>
      </w:r>
      <w:r w:rsidRPr="00F82AA4">
        <w:rPr>
          <w:sz w:val="22"/>
        </w:rPr>
        <w:t xml:space="preserve"> for State Tax Avoidance”, available at </w:t>
      </w:r>
      <w:hyperlink r:id="rId79" w:history="1">
        <w:r w:rsidRPr="00F82AA4">
          <w:rPr>
            <w:rStyle w:val="Hyperlink"/>
            <w:sz w:val="22"/>
          </w:rPr>
          <w:t>http://ultimateestateplanner.com/programs/dings-nings-technical-planning-issues/</w:t>
        </w:r>
      </w:hyperlink>
      <w:r w:rsidRPr="00F82AA4">
        <w:rPr>
          <w:rStyle w:val="Hyperlink"/>
          <w:sz w:val="22"/>
        </w:rPr>
        <w:t>.</w:t>
      </w:r>
      <w:r w:rsidRPr="00F82AA4">
        <w:rPr>
          <w:sz w:val="22"/>
        </w:rPr>
        <w:t xml:space="preserve"> </w:t>
      </w:r>
    </w:p>
  </w:footnote>
  <w:footnote w:id="501">
    <w:p w14:paraId="6ED6AACE" w14:textId="77777777" w:rsidR="00D53D4F" w:rsidRPr="00F82AA4" w:rsidRDefault="00D53D4F" w:rsidP="002A4DBF">
      <w:pPr>
        <w:pStyle w:val="FootnoteText"/>
        <w:spacing w:after="120"/>
        <w:rPr>
          <w:sz w:val="22"/>
        </w:rPr>
      </w:pPr>
      <w:r w:rsidRPr="00F82AA4">
        <w:rPr>
          <w:rStyle w:val="FootnoteReference"/>
          <w:sz w:val="22"/>
        </w:rPr>
        <w:footnoteRef/>
      </w:r>
      <w:r w:rsidRPr="00F82AA4">
        <w:rPr>
          <w:sz w:val="22"/>
        </w:rPr>
        <w:t xml:space="preserve"> For timing of transfers and assignment of income doctrine, see Rev. Rul. 78-197 discussion and acquiescence to </w:t>
      </w:r>
      <w:r w:rsidRPr="00F82AA4">
        <w:rPr>
          <w:i/>
          <w:sz w:val="22"/>
        </w:rPr>
        <w:t>Palmer v. Commissioner</w:t>
      </w:r>
      <w:r w:rsidRPr="00F82AA4">
        <w:rPr>
          <w:sz w:val="22"/>
        </w:rPr>
        <w:t>, 62 T.C. 684 (1974), aff'd on another issue, 523 F.2d 1308 (8th Cir. 1975).</w:t>
      </w:r>
    </w:p>
  </w:footnote>
  <w:footnote w:id="502">
    <w:p w14:paraId="3C63822B" w14:textId="77777777" w:rsidR="00D53D4F" w:rsidRPr="00F82AA4" w:rsidRDefault="00D53D4F" w:rsidP="002A4DBF">
      <w:pPr>
        <w:pStyle w:val="FootnoteText"/>
        <w:spacing w:after="120"/>
        <w:rPr>
          <w:sz w:val="22"/>
        </w:rPr>
      </w:pPr>
      <w:r w:rsidRPr="00F82AA4">
        <w:rPr>
          <w:rStyle w:val="FootnoteReference"/>
          <w:sz w:val="22"/>
        </w:rPr>
        <w:footnoteRef/>
      </w:r>
      <w:r w:rsidRPr="00F82AA4">
        <w:rPr>
          <w:sz w:val="22"/>
        </w:rPr>
        <w:t xml:space="preserve"> For a discussion of this concept, and why states are Constitutionally barred from asserting tax jurisdiction over such sales of intangibles when sold by a non-resident or non-resident trust, see </w:t>
      </w:r>
      <w:r w:rsidRPr="00F82AA4">
        <w:rPr>
          <w:i/>
          <w:sz w:val="22"/>
        </w:rPr>
        <w:t xml:space="preserve">Ed Morrow on Corrigan v. Testa: Avoiding State Income Tax on Source Income, </w:t>
      </w:r>
      <w:r w:rsidRPr="00F82AA4">
        <w:rPr>
          <w:sz w:val="22"/>
        </w:rPr>
        <w:t>LISI Income Tax Planning Newsletter #93 (May 25, 2016).</w:t>
      </w:r>
    </w:p>
  </w:footnote>
  <w:footnote w:id="503">
    <w:p w14:paraId="508583A9" w14:textId="77777777" w:rsidR="00D53D4F" w:rsidRPr="00F82AA4" w:rsidRDefault="00D53D4F" w:rsidP="002A4DBF">
      <w:pPr>
        <w:pStyle w:val="FootnoteText"/>
        <w:spacing w:after="120"/>
        <w:rPr>
          <w:sz w:val="22"/>
        </w:rPr>
      </w:pPr>
      <w:r w:rsidRPr="00F82AA4">
        <w:rPr>
          <w:rStyle w:val="FootnoteReference"/>
          <w:sz w:val="22"/>
        </w:rPr>
        <w:footnoteRef/>
      </w:r>
      <w:r w:rsidRPr="00F82AA4">
        <w:rPr>
          <w:sz w:val="22"/>
        </w:rPr>
        <w:t xml:space="preserve"> IRC §7701(a) for definition of “person” – equally, e.g., an S corporation might establish and be a beneficiary of a charitable remainder trust. See IRC §664(d) for basic CRAT and CRUT definitions that include “persons”.</w:t>
      </w:r>
    </w:p>
  </w:footnote>
  <w:footnote w:id="504">
    <w:p w14:paraId="2D18D4A5" w14:textId="77777777" w:rsidR="00D53D4F" w:rsidRPr="00F82AA4" w:rsidRDefault="00D53D4F" w:rsidP="002A4DBF">
      <w:pPr>
        <w:pStyle w:val="FootnoteText"/>
        <w:spacing w:after="120"/>
        <w:rPr>
          <w:sz w:val="22"/>
        </w:rPr>
      </w:pPr>
      <w:r w:rsidRPr="00F82AA4">
        <w:rPr>
          <w:rStyle w:val="FootnoteReference"/>
          <w:sz w:val="22"/>
        </w:rPr>
        <w:footnoteRef/>
      </w:r>
      <w:r w:rsidRPr="00F82AA4">
        <w:rPr>
          <w:sz w:val="22"/>
        </w:rPr>
        <w:t xml:space="preserve"> Rev. Rul. 2002-20 contains an exception, however, for a discretionary trust for a "financially disabled" beneficiary, as defined under IRC §6511(h)(2)(A), as beneficiary of a CRT, and the CRT may last for that beneficiary’s lifetime.  The remainder is either payable to the bene's estate or, after reimbursing the state for any Medicaid benefits provided to the individual, subject to his or her general testamentary power.</w:t>
      </w:r>
    </w:p>
  </w:footnote>
  <w:footnote w:id="505">
    <w:p w14:paraId="2CA28726" w14:textId="77777777" w:rsidR="00D53D4F" w:rsidRPr="00F82AA4" w:rsidRDefault="00D53D4F" w:rsidP="002A4DBF">
      <w:pPr>
        <w:pStyle w:val="FootnoteText"/>
        <w:spacing w:after="120"/>
        <w:rPr>
          <w:sz w:val="22"/>
        </w:rPr>
      </w:pPr>
      <w:r w:rsidRPr="00F82AA4">
        <w:rPr>
          <w:rStyle w:val="FootnoteReference"/>
          <w:sz w:val="22"/>
        </w:rPr>
        <w:footnoteRef/>
      </w:r>
      <w:r w:rsidRPr="00F82AA4">
        <w:rPr>
          <w:sz w:val="22"/>
        </w:rPr>
        <w:t xml:space="preserve"> PLR 9821029.</w:t>
      </w:r>
    </w:p>
  </w:footnote>
  <w:footnote w:id="506">
    <w:p w14:paraId="72278209" w14:textId="77777777" w:rsidR="00D53D4F" w:rsidRDefault="00D53D4F" w:rsidP="002A4DBF">
      <w:pPr>
        <w:pStyle w:val="FootnoteText"/>
        <w:spacing w:after="120"/>
      </w:pPr>
      <w:r w:rsidRPr="00F82AA4">
        <w:rPr>
          <w:rStyle w:val="FootnoteReference"/>
          <w:sz w:val="22"/>
        </w:rPr>
        <w:footnoteRef/>
      </w:r>
      <w:r w:rsidRPr="00F82AA4">
        <w:rPr>
          <w:sz w:val="22"/>
        </w:rPr>
        <w:t xml:space="preserve"> IRS GCM 39707.</w:t>
      </w:r>
    </w:p>
  </w:footnote>
  <w:footnote w:id="507">
    <w:p w14:paraId="70B48D2D" w14:textId="77777777" w:rsidR="00D53D4F" w:rsidRDefault="00D53D4F" w:rsidP="002A4DBF">
      <w:pPr>
        <w:pStyle w:val="FootnoteText"/>
        <w:spacing w:after="120"/>
      </w:pPr>
      <w:r w:rsidRPr="00106FCE">
        <w:rPr>
          <w:rStyle w:val="FootnoteReference"/>
          <w:sz w:val="22"/>
        </w:rPr>
        <w:footnoteRef/>
      </w:r>
      <w:r w:rsidRPr="00106FCE">
        <w:rPr>
          <w:sz w:val="22"/>
        </w:rPr>
        <w:t xml:space="preserve"> Available at </w:t>
      </w:r>
      <w:hyperlink r:id="rId80" w:history="1">
        <w:r w:rsidRPr="00106FCE">
          <w:rPr>
            <w:rStyle w:val="Hyperlink"/>
            <w:sz w:val="22"/>
          </w:rPr>
          <w:t>www.ultimateestateplanner.com</w:t>
        </w:r>
      </w:hyperlink>
      <w:r w:rsidRPr="00106FCE">
        <w:rPr>
          <w:sz w:val="22"/>
        </w:rPr>
        <w:t xml:space="preserve">: INGs: Not </w:t>
      </w:r>
      <w:r w:rsidRPr="00106FCE">
        <w:rPr>
          <w:i/>
          <w:sz w:val="22"/>
        </w:rPr>
        <w:t>Just</w:t>
      </w:r>
      <w:r w:rsidRPr="00106FCE">
        <w:rPr>
          <w:sz w:val="22"/>
        </w:rPr>
        <w:t xml:space="preserve"> for State Income Tax Avoidance!</w:t>
      </w:r>
    </w:p>
  </w:footnote>
  <w:footnote w:id="508">
    <w:p w14:paraId="5998E591" w14:textId="77777777" w:rsidR="00D53D4F" w:rsidRPr="003F70AB" w:rsidRDefault="00D53D4F" w:rsidP="002A4DBF">
      <w:pPr>
        <w:pStyle w:val="FootnoteText"/>
        <w:spacing w:after="120"/>
        <w:rPr>
          <w:sz w:val="22"/>
        </w:rPr>
      </w:pPr>
      <w:r w:rsidRPr="003F70AB">
        <w:rPr>
          <w:rStyle w:val="FootnoteReference"/>
          <w:sz w:val="22"/>
        </w:rPr>
        <w:footnoteRef/>
      </w:r>
      <w:r w:rsidRPr="003F70AB">
        <w:rPr>
          <w:sz w:val="22"/>
        </w:rPr>
        <w:t xml:space="preserve"> IRC §664(c)(2).  With state income taxes, it could even exceed 100% tax!</w:t>
      </w:r>
    </w:p>
  </w:footnote>
  <w:footnote w:id="509">
    <w:p w14:paraId="59ABCD02" w14:textId="77777777" w:rsidR="00D53D4F" w:rsidRPr="003F70AB" w:rsidRDefault="00D53D4F" w:rsidP="002A4DBF">
      <w:pPr>
        <w:pStyle w:val="FootnoteText"/>
        <w:spacing w:after="120"/>
        <w:rPr>
          <w:sz w:val="22"/>
        </w:rPr>
      </w:pPr>
      <w:r w:rsidRPr="003F70AB">
        <w:rPr>
          <w:rStyle w:val="FootnoteReference"/>
          <w:sz w:val="22"/>
        </w:rPr>
        <w:footnoteRef/>
      </w:r>
      <w:r w:rsidRPr="003F70AB">
        <w:rPr>
          <w:sz w:val="22"/>
        </w:rPr>
        <w:t xml:space="preserve"> Treas. Reg. §1.652(b)-1.</w:t>
      </w:r>
    </w:p>
  </w:footnote>
  <w:footnote w:id="510">
    <w:p w14:paraId="2EE49DB2" w14:textId="77777777" w:rsidR="00D53D4F" w:rsidRDefault="00D53D4F" w:rsidP="002A4DBF">
      <w:pPr>
        <w:pStyle w:val="FootnoteText"/>
        <w:spacing w:after="120"/>
        <w:rPr>
          <w:sz w:val="22"/>
        </w:rPr>
      </w:pPr>
      <w:r w:rsidRPr="003F70AB">
        <w:rPr>
          <w:rStyle w:val="FootnoteReference"/>
          <w:sz w:val="22"/>
        </w:rPr>
        <w:footnoteRef/>
      </w:r>
      <w:r w:rsidRPr="003F70AB">
        <w:rPr>
          <w:sz w:val="22"/>
        </w:rPr>
        <w:t xml:space="preserve"> IRC §512 reads in part “(a)(1) General rule.  Except as otherwise provided in this subsection, the term “unrelated business taxable income” means the gross income derived by any organization from any unrelated trade or business (as defined in section 513) regularly carried on by it”</w:t>
      </w:r>
      <w:r>
        <w:rPr>
          <w:sz w:val="22"/>
        </w:rPr>
        <w:t>.</w:t>
      </w:r>
    </w:p>
    <w:p w14:paraId="13827295" w14:textId="77777777" w:rsidR="00D53D4F" w:rsidRDefault="00D53D4F" w:rsidP="002A4DBF">
      <w:pPr>
        <w:pStyle w:val="FootnoteText"/>
        <w:spacing w:after="120"/>
        <w:rPr>
          <w:sz w:val="22"/>
        </w:rPr>
      </w:pPr>
      <w:r w:rsidRPr="003F70AB">
        <w:rPr>
          <w:sz w:val="22"/>
        </w:rPr>
        <w:t xml:space="preserve">IRC §513(a) then defines the term “(a) General rule. The term "unrelated trade or business" means, in the case of any organization subject to the tax imposed by section 511, any trade or business the conduct of which is not substantially related (aside from the need of such organization for income or funds or the use it makes of the profits derived) to the exercise or performance by such organization of its charitable, educational, or other purpose or function constituting the basis for its exemption ****.  </w:t>
      </w:r>
    </w:p>
    <w:p w14:paraId="0E728B75" w14:textId="77777777" w:rsidR="00D53D4F" w:rsidRPr="003F70AB" w:rsidRDefault="00D53D4F" w:rsidP="002A4DBF">
      <w:pPr>
        <w:pStyle w:val="FootnoteText"/>
        <w:spacing w:after="120"/>
        <w:rPr>
          <w:sz w:val="22"/>
        </w:rPr>
      </w:pPr>
      <w:r w:rsidRPr="003F70AB">
        <w:rPr>
          <w:sz w:val="22"/>
        </w:rPr>
        <w:t>IRC §513(b) later does have a special rule for trusts, but it does not apply to our situation: “(b) Special rule for trusts. The term "unrelated trade or business" means, in the case of--</w:t>
      </w:r>
    </w:p>
    <w:p w14:paraId="5B5CCC5D" w14:textId="77777777" w:rsidR="00D53D4F" w:rsidRPr="003F70AB" w:rsidRDefault="00D53D4F" w:rsidP="002A4DBF">
      <w:pPr>
        <w:pStyle w:val="FootnoteText"/>
        <w:spacing w:after="120"/>
        <w:rPr>
          <w:sz w:val="22"/>
        </w:rPr>
      </w:pPr>
      <w:r w:rsidRPr="003F70AB">
        <w:rPr>
          <w:sz w:val="22"/>
        </w:rPr>
        <w:t xml:space="preserve">   (1) a trust computing its unrelated business taxable income under section 512 for purposes of section 681; or</w:t>
      </w:r>
    </w:p>
    <w:p w14:paraId="1218E2DB" w14:textId="77777777" w:rsidR="00D53D4F" w:rsidRPr="003F70AB" w:rsidRDefault="00D53D4F" w:rsidP="002A4DBF">
      <w:pPr>
        <w:pStyle w:val="FootnoteText"/>
        <w:spacing w:after="120"/>
        <w:rPr>
          <w:sz w:val="22"/>
        </w:rPr>
      </w:pPr>
      <w:r w:rsidRPr="003F70AB">
        <w:rPr>
          <w:sz w:val="22"/>
        </w:rPr>
        <w:t xml:space="preserve">   (2) a trust described in section 401(a), or section 501(c)(17), which is exempt from tax under section 501(a);</w:t>
      </w:r>
    </w:p>
    <w:p w14:paraId="5FC3A195" w14:textId="77777777" w:rsidR="00D53D4F" w:rsidRPr="003F70AB" w:rsidRDefault="00D53D4F" w:rsidP="002A4DBF">
      <w:pPr>
        <w:pStyle w:val="FootnoteText"/>
        <w:spacing w:after="120"/>
        <w:rPr>
          <w:sz w:val="22"/>
        </w:rPr>
      </w:pPr>
      <w:r w:rsidRPr="003F70AB">
        <w:rPr>
          <w:sz w:val="22"/>
        </w:rPr>
        <w:t>any trade or business regularly carried on by such trust or by a partnership of which it is a member.”</w:t>
      </w:r>
    </w:p>
  </w:footnote>
  <w:footnote w:id="511">
    <w:p w14:paraId="6F1AA98B" w14:textId="77777777" w:rsidR="00D53D4F" w:rsidRDefault="00D53D4F" w:rsidP="002A4DBF">
      <w:pPr>
        <w:pStyle w:val="FootnoteText"/>
        <w:spacing w:after="120"/>
      </w:pPr>
      <w:r w:rsidRPr="003F70AB">
        <w:rPr>
          <w:rStyle w:val="FootnoteReference"/>
          <w:sz w:val="22"/>
        </w:rPr>
        <w:footnoteRef/>
      </w:r>
      <w:r w:rsidRPr="003F70AB">
        <w:rPr>
          <w:sz w:val="22"/>
        </w:rPr>
        <w:t xml:space="preserve"> E.g. IRC §702(b) (partnerships), IRC §1366(b)(S corporations).</w:t>
      </w:r>
    </w:p>
  </w:footnote>
  <w:footnote w:id="512">
    <w:p w14:paraId="6CE72038" w14:textId="77777777" w:rsidR="00D53D4F" w:rsidRPr="003F70AB" w:rsidRDefault="00D53D4F" w:rsidP="002A4DBF">
      <w:pPr>
        <w:pStyle w:val="FootnoteText"/>
        <w:spacing w:after="120"/>
        <w:rPr>
          <w:sz w:val="22"/>
        </w:rPr>
      </w:pPr>
      <w:r w:rsidRPr="003F70AB">
        <w:rPr>
          <w:rStyle w:val="FootnoteReference"/>
          <w:sz w:val="22"/>
        </w:rPr>
        <w:footnoteRef/>
      </w:r>
      <w:r w:rsidRPr="003F70AB">
        <w:rPr>
          <w:sz w:val="22"/>
        </w:rPr>
        <w:t xml:space="preserve"> Compare discussion of UBTI reporting by partnerships on page 15 of Partner’s Instructions for Schedule K-1 (Form 1065), </w:t>
      </w:r>
      <w:hyperlink r:id="rId81" w:history="1">
        <w:r w:rsidRPr="003F70AB">
          <w:rPr>
            <w:rStyle w:val="Hyperlink"/>
            <w:sz w:val="22"/>
          </w:rPr>
          <w:t>https://www.irs.gov/pub/irs-pdf/i1065sk1.pdf</w:t>
        </w:r>
      </w:hyperlink>
      <w:r w:rsidRPr="003F70AB">
        <w:rPr>
          <w:sz w:val="22"/>
        </w:rPr>
        <w:t xml:space="preserve"> and page 42 of Instructions for Form 1065 at </w:t>
      </w:r>
      <w:hyperlink r:id="rId82" w:history="1">
        <w:r w:rsidRPr="003F70AB">
          <w:rPr>
            <w:rStyle w:val="Hyperlink"/>
            <w:sz w:val="22"/>
          </w:rPr>
          <w:t>https://www.irs.gov/pub/irs-pdf/i1041.pdf</w:t>
        </w:r>
      </w:hyperlink>
      <w:r w:rsidRPr="003F70AB">
        <w:rPr>
          <w:sz w:val="22"/>
        </w:rPr>
        <w:t xml:space="preserve"> with the Instructions for Schedule K-1 for Estates and Trusts, which only mention UBTI in regards to CRTs and have no requirement for reporting UBTI to tax exempt beneficiaries. </w:t>
      </w:r>
    </w:p>
  </w:footnote>
  <w:footnote w:id="513">
    <w:p w14:paraId="79CC05BE" w14:textId="77777777" w:rsidR="00D53D4F" w:rsidRDefault="00D53D4F" w:rsidP="002A4DBF">
      <w:pPr>
        <w:pStyle w:val="FootnoteText"/>
        <w:spacing w:after="120"/>
      </w:pPr>
      <w:r w:rsidRPr="003F70AB">
        <w:rPr>
          <w:rStyle w:val="FootnoteReference"/>
          <w:sz w:val="22"/>
        </w:rPr>
        <w:footnoteRef/>
      </w:r>
      <w:r w:rsidRPr="003F70AB">
        <w:rPr>
          <w:sz w:val="22"/>
        </w:rPr>
        <w:t xml:space="preserve"> Treas. Reg. § 1.642(c)-2(d); § 1.664-1(a)(5)(iii). IRS General Counsel Memoranda 39707 (PLR 8810006).</w:t>
      </w:r>
    </w:p>
  </w:footnote>
  <w:footnote w:id="514">
    <w:p w14:paraId="23053E8A" w14:textId="77777777" w:rsidR="00D53D4F" w:rsidRPr="001E646E" w:rsidRDefault="00D53D4F" w:rsidP="002A4DBF">
      <w:pPr>
        <w:pStyle w:val="FootnoteText"/>
        <w:spacing w:after="120"/>
      </w:pPr>
      <w:r>
        <w:rPr>
          <w:rStyle w:val="FootnoteReference"/>
        </w:rPr>
        <w:footnoteRef/>
      </w:r>
      <w:r>
        <w:t xml:space="preserve"> </w:t>
      </w:r>
      <w:r w:rsidRPr="001E646E">
        <w:t xml:space="preserve">Thresholds </w:t>
      </w:r>
      <w:r>
        <w:t xml:space="preserve">for single/married filing jointly couples </w:t>
      </w:r>
      <w:r w:rsidRPr="001E646E">
        <w:t>to incur the top 39.6% and 20% long-term capital gains and qualified dividends rates</w:t>
      </w:r>
      <w:r>
        <w:t xml:space="preserve">.  See IRC §1 – those adjust for inflation and as of 2017 will rise to $415,051 (single) and $466,951 (married filing jointly).  If someone has $100,000 of itemized deductions, that threshold may approximate $515,051/$566,951 AGI, since taxable income is calculated </w:t>
      </w:r>
      <w:r w:rsidRPr="00656BE6">
        <w:rPr>
          <w:i/>
        </w:rPr>
        <w:t>after</w:t>
      </w:r>
      <w:r>
        <w:t xml:space="preserve"> the standard or itemized deductions and exemptions (phase outs complicate the calculation, but the point is you have to have a darn high AGI to reach the top tax bracket, far less than 1% of taxpayers reach the highest bracket).</w:t>
      </w:r>
    </w:p>
  </w:footnote>
  <w:footnote w:id="515">
    <w:p w14:paraId="1B3CF8FF" w14:textId="77777777" w:rsidR="00D53D4F" w:rsidRDefault="00D53D4F" w:rsidP="002A4DBF">
      <w:pPr>
        <w:pStyle w:val="FootnoteText"/>
        <w:spacing w:after="120"/>
      </w:pPr>
      <w:r>
        <w:rPr>
          <w:rStyle w:val="FootnoteReference"/>
        </w:rPr>
        <w:footnoteRef/>
      </w:r>
      <w:r>
        <w:t xml:space="preserve"> QTIPs require spousal net income access/payout from trust AND from IRA/QP owned by trust.  Rev. Rul. 2006-26.  This makes them “leakier” and wastes GST exemption if QTIP is GST exempt.  This creates more problems administratively, since non-professional trustees do not understand this, especially if inflation reignites such that internal IRA accounting income becomes likelier to exceed RMDs – could an </w:t>
      </w:r>
      <w:r w:rsidRPr="00046EE8">
        <w:rPr>
          <w:i/>
        </w:rPr>
        <w:t>Atkinson</w:t>
      </w:r>
      <w:r>
        <w:t xml:space="preserve"> style attack by the IRS based on improper administration retroactively destroy a QTIP just like a CRT?</w:t>
      </w:r>
      <w:r w:rsidRPr="00B95134">
        <w:t xml:space="preserve"> </w:t>
      </w:r>
      <w:r>
        <w:t xml:space="preserve">See </w:t>
      </w:r>
      <w:r w:rsidRPr="00B95134">
        <w:rPr>
          <w:i/>
        </w:rPr>
        <w:t>Atkinson v. Commissioner</w:t>
      </w:r>
      <w:r>
        <w:t>, 309 F.3d 129 (11</w:t>
      </w:r>
      <w:r w:rsidRPr="00B95134">
        <w:rPr>
          <w:vertAlign w:val="superscript"/>
        </w:rPr>
        <w:t>th</w:t>
      </w:r>
      <w:r>
        <w:t xml:space="preserve"> Cir. 2002) and CCA 2006-28026, both holding that impeccably drafted but improperly administered CRTs can be disqualified – even if the charity is only helped, not harmed in any way.</w:t>
      </w:r>
    </w:p>
  </w:footnote>
  <w:footnote w:id="516">
    <w:p w14:paraId="0D28FF58" w14:textId="77777777" w:rsidR="00D53D4F" w:rsidRDefault="00D53D4F" w:rsidP="002A4DBF">
      <w:pPr>
        <w:pStyle w:val="FootnoteText"/>
        <w:spacing w:after="120"/>
      </w:pPr>
      <w:r>
        <w:rPr>
          <w:rStyle w:val="FootnoteReference"/>
        </w:rPr>
        <w:footnoteRef/>
      </w:r>
      <w:r>
        <w:t xml:space="preserve"> For illustrations of this savings if investment returns net 11% and the surviving spouse lives 15 or 30 more years, see </w:t>
      </w:r>
      <w:r w:rsidRPr="00903717">
        <w:rPr>
          <w:bCs/>
          <w:color w:val="000000"/>
        </w:rPr>
        <w:t xml:space="preserve">Gassman, Crotty, Buschart &amp; Moody </w:t>
      </w:r>
      <w:r w:rsidRPr="00903717">
        <w:rPr>
          <w:bCs/>
          <w:i/>
          <w:color w:val="000000"/>
        </w:rPr>
        <w:t>On the $28,000,000 Mistake: Underestimating the Value of a Bypass Trust and Overestimating the Value of Spousal Estate Tax Exclusion Portability</w:t>
      </w:r>
      <w:r>
        <w:rPr>
          <w:bCs/>
          <w:i/>
          <w:color w:val="000000"/>
        </w:rPr>
        <w:t>,</w:t>
      </w:r>
      <w:r w:rsidRPr="00903717">
        <w:rPr>
          <w:bCs/>
          <w:color w:val="000000"/>
        </w:rPr>
        <w:t xml:space="preserve"> Steve Leimberg's Estate Planning Newsletter</w:t>
      </w:r>
      <w:r>
        <w:rPr>
          <w:bCs/>
          <w:color w:val="000000"/>
        </w:rPr>
        <w:t xml:space="preserve"> #2061, concluding savings to be…$28 million</w:t>
      </w:r>
      <w:r>
        <w:t>.  While I may have used different assumptions, the general thrust of the article/spreadsheets is in the right direction and makes a powerful point.</w:t>
      </w:r>
    </w:p>
  </w:footnote>
  <w:footnote w:id="517">
    <w:p w14:paraId="78D888FD" w14:textId="77777777" w:rsidR="00D53D4F" w:rsidRDefault="00D53D4F" w:rsidP="002A4DBF">
      <w:pPr>
        <w:pStyle w:val="FootnoteText"/>
        <w:spacing w:after="120"/>
      </w:pPr>
      <w:r>
        <w:rPr>
          <w:rStyle w:val="FootnoteReference"/>
        </w:rPr>
        <w:footnoteRef/>
      </w:r>
      <w:r>
        <w:t xml:space="preserve"> Discussed in Part I, see IRC §2207A and your state equivalent, such as Ohio R.C. §2113.86(I).</w:t>
      </w:r>
    </w:p>
  </w:footnote>
  <w:footnote w:id="518">
    <w:p w14:paraId="260C50B1" w14:textId="77777777" w:rsidR="00D53D4F" w:rsidRDefault="00D53D4F" w:rsidP="002A4DBF">
      <w:pPr>
        <w:pStyle w:val="FootnoteText"/>
        <w:spacing w:after="120"/>
      </w:pPr>
      <w:r>
        <w:rPr>
          <w:rStyle w:val="FootnoteReference"/>
        </w:rPr>
        <w:footnoteRef/>
      </w:r>
      <w:r>
        <w:t xml:space="preserve"> For the wealthy, a QTIP bequest with full DSUEA elected and reverse QTIP election would nearly always beat a standard bypass trust </w:t>
      </w:r>
      <w:r w:rsidRPr="0068100E">
        <w:rPr>
          <w:b/>
        </w:rPr>
        <w:t>if</w:t>
      </w:r>
      <w:r>
        <w:t xml:space="preserve"> the surviving spouse then immediately fully funded via gift an irrevocable grantor trust (or released a portion of the QTIP to trigger IRC §2519).  This could then exploit installment sales, swaps, etc.  Using grantor trusts funded via gift after the first death enable the use of pre-estate tax dollars to pay the income tax burden of the grantor trust.  Most wealthy couples will have already funded irrevocable grantor trusts during their lifetimes, but those who haven’t should strongly consider that technique.</w:t>
      </w:r>
    </w:p>
  </w:footnote>
  <w:footnote w:id="519">
    <w:p w14:paraId="418056AA" w14:textId="77777777" w:rsidR="00D53D4F" w:rsidRDefault="00D53D4F" w:rsidP="002A4DBF">
      <w:pPr>
        <w:pStyle w:val="FootnoteText"/>
        <w:spacing w:after="120"/>
      </w:pPr>
      <w:r>
        <w:rPr>
          <w:rStyle w:val="FootnoteReference"/>
        </w:rPr>
        <w:footnoteRef/>
      </w:r>
      <w:r>
        <w:t xml:space="preserve"> See Part VII for authority and discussions of potential for tax effect of amendments to irrevocable trusts</w:t>
      </w:r>
    </w:p>
  </w:footnote>
  <w:footnote w:id="520">
    <w:p w14:paraId="738992B8" w14:textId="77777777" w:rsidR="00D53D4F" w:rsidRDefault="00D53D4F" w:rsidP="002A4DBF">
      <w:pPr>
        <w:pStyle w:val="FootnoteText"/>
        <w:spacing w:after="120"/>
      </w:pPr>
      <w:r>
        <w:rPr>
          <w:rStyle w:val="FootnoteReference"/>
        </w:rPr>
        <w:footnoteRef/>
      </w:r>
      <w:r>
        <w:t xml:space="preserve"> This is why most decanting statutes specifically exclude marital trusts and trust protector/amendment provisions had better do the same – see </w:t>
      </w:r>
      <w:r w:rsidRPr="008E70F3">
        <w:t>TAM 9525002 for a cautionary tale of good intentions gone awry where the trust allowed “either the trustee or any beneficiary to apply to a court of competent jurisdiction to amend this Agreement if the purposes of this Agreement may be defeated or hindered because of change in circumstance or change in law. The court may amend the terms of this Agreement and restrict or remove any of the powers, duties, rights and privileges of the Trustee, the beneficiaries, or any other person.” The government held that the power to amend disqualified the trust for marital deduction treatment notwithstanding a general provision that “the grantor intends that the Marital Trust . . . shall be available for the federal estate tax marital deduction”.  The IRS rejected reasonable arguments that the power to amend “adds nothing to the power already held by any court having jurisdiction over the trust” and that the power to amend was limited by the statement of intent to qualify for the marital deduction.</w:t>
      </w:r>
    </w:p>
  </w:footnote>
  <w:footnote w:id="521">
    <w:p w14:paraId="7FCE8A4F" w14:textId="77777777" w:rsidR="00D53D4F" w:rsidRDefault="00D53D4F" w:rsidP="002A4DBF">
      <w:pPr>
        <w:pStyle w:val="FootnoteText"/>
        <w:spacing w:after="120"/>
      </w:pPr>
      <w:r>
        <w:rPr>
          <w:rStyle w:val="FootnoteReference"/>
        </w:rPr>
        <w:footnoteRef/>
      </w:r>
      <w:r>
        <w:t xml:space="preserve"> Many paraphrased from </w:t>
      </w:r>
      <w:r w:rsidRPr="00CD43BD">
        <w:rPr>
          <w:i/>
        </w:rPr>
        <w:t>Restatement of Property, Donative Transfers</w:t>
      </w:r>
      <w:r>
        <w:t>, 2</w:t>
      </w:r>
      <w:r w:rsidRPr="009D64DD">
        <w:rPr>
          <w:vertAlign w:val="superscript"/>
        </w:rPr>
        <w:t>nd</w:t>
      </w:r>
      <w:r>
        <w:t xml:space="preserve"> and 3d – see §17.1 et seq.</w:t>
      </w:r>
    </w:p>
  </w:footnote>
  <w:footnote w:id="522">
    <w:p w14:paraId="319D0770" w14:textId="77777777" w:rsidR="00D53D4F" w:rsidRDefault="00D53D4F" w:rsidP="002A4DBF">
      <w:pPr>
        <w:pStyle w:val="FootnoteText"/>
        <w:spacing w:after="120"/>
      </w:pPr>
      <w:r>
        <w:rPr>
          <w:rStyle w:val="FootnoteReference"/>
        </w:rPr>
        <w:footnoteRef/>
      </w:r>
      <w:r>
        <w:t xml:space="preserve"> See Uniform Power of Appointment Act, §305,</w:t>
      </w:r>
      <w:r w:rsidRPr="005D063A">
        <w:rPr>
          <w:color w:val="000000"/>
          <w:sz w:val="23"/>
          <w:szCs w:val="23"/>
        </w:rPr>
        <w:t xml:space="preserve"> </w:t>
      </w:r>
      <w:r w:rsidRPr="005D063A">
        <w:t>Restatement Third of Property: Wills and Other Donative Transfers §§ 19.13 and 19.14</w:t>
      </w:r>
    </w:p>
  </w:footnote>
  <w:footnote w:id="523">
    <w:p w14:paraId="70332E93" w14:textId="6CBA46FF" w:rsidR="00D53D4F" w:rsidRPr="007A17EE" w:rsidRDefault="00D53D4F" w:rsidP="002A4DBF">
      <w:pPr>
        <w:pStyle w:val="FootnoteText"/>
        <w:spacing w:after="120"/>
      </w:pPr>
      <w:r>
        <w:rPr>
          <w:rStyle w:val="FootnoteReference"/>
        </w:rPr>
        <w:footnoteRef/>
      </w:r>
      <w:r>
        <w:t xml:space="preserve"> Remember, the default rule, unless the power of appointment clearly implies otherwise, is that powers are </w:t>
      </w:r>
      <w:r w:rsidRPr="007A17EE">
        <w:rPr>
          <w:i/>
        </w:rPr>
        <w:t>exclusionary</w:t>
      </w:r>
      <w:r>
        <w:rPr>
          <w:i/>
        </w:rPr>
        <w:t xml:space="preserve"> </w:t>
      </w:r>
      <w:r w:rsidRPr="008F6476">
        <w:rPr>
          <w:iCs/>
        </w:rPr>
        <w:t>rather than</w:t>
      </w:r>
      <w:r>
        <w:rPr>
          <w:i/>
        </w:rPr>
        <w:t xml:space="preserve"> nonexclusionary, </w:t>
      </w:r>
      <w:r w:rsidRPr="00DD406C">
        <w:t>e.g.</w:t>
      </w:r>
      <w:r w:rsidR="008F6476">
        <w:t>,</w:t>
      </w:r>
      <w:r>
        <w:t xml:space="preserve"> if I can appoint to my descendants, I can appoint to one favored grandchild and </w:t>
      </w:r>
      <w:r w:rsidRPr="007A17EE">
        <w:rPr>
          <w:i/>
        </w:rPr>
        <w:t>exclude</w:t>
      </w:r>
      <w:r>
        <w:rPr>
          <w:i/>
        </w:rPr>
        <w:t xml:space="preserve"> everyone else</w:t>
      </w:r>
      <w:r w:rsidR="00BA4F18">
        <w:rPr>
          <w:i/>
        </w:rPr>
        <w:t xml:space="preserve"> who is my descendant</w:t>
      </w:r>
      <w:r>
        <w:rPr>
          <w:i/>
        </w:rPr>
        <w:t>.</w:t>
      </w:r>
      <w:r>
        <w:t xml:space="preserve">  A very large number of settlors would dislike this result, yet that is how most powers of appointment are drafted.  Yet many want to grant some flexibility to the power holder.  The sentence above seeks a compromise position that may be palatable to many clients.  See Uniform Power of Appointment Act §203, Restatement of Property, Third, Donative Transfers, §17.5.  For a recent case discussing this issue, see </w:t>
      </w:r>
      <w:r w:rsidRPr="000E4F5F">
        <w:rPr>
          <w:i/>
        </w:rPr>
        <w:t>Sefton v. Sefton</w:t>
      </w:r>
      <w:r>
        <w:t xml:space="preserve">, </w:t>
      </w:r>
      <w:r w:rsidRPr="000E4F5F">
        <w:t>2015 WL 1870302 (Cal.App. 4 Dist. April 24, 2015)</w:t>
      </w:r>
      <w:r>
        <w:t>, holding that under prior California law, which at that time followed the old English minority rule that powers were non-exclusionary, the power holder could not exclude one of their three children from exercise of a power of appointment.</w:t>
      </w:r>
    </w:p>
  </w:footnote>
  <w:footnote w:id="524">
    <w:p w14:paraId="768EA3E7" w14:textId="77777777" w:rsidR="00D53D4F" w:rsidRDefault="00D53D4F" w:rsidP="002A4DBF">
      <w:pPr>
        <w:pStyle w:val="FootnoteText"/>
        <w:spacing w:after="120"/>
      </w:pPr>
      <w:r w:rsidRPr="00EE031E">
        <w:rPr>
          <w:rStyle w:val="FootnoteReference"/>
          <w:sz w:val="22"/>
        </w:rPr>
        <w:footnoteRef/>
      </w:r>
      <w:r w:rsidRPr="00EE031E">
        <w:rPr>
          <w:sz w:val="22"/>
        </w:rPr>
        <w:t xml:space="preserve"> Lest a practitioner be worried that the IRS could make some crazy argument that a power cannot be changed from limited to general or vice versa under state law, the Restatement is clear that a power’s status as limited or general depends on the actual situation at any given time. </w:t>
      </w:r>
      <w:r w:rsidRPr="00EE031E">
        <w:rPr>
          <w:iCs/>
          <w:sz w:val="22"/>
        </w:rPr>
        <w:t>See</w:t>
      </w:r>
      <w:r w:rsidRPr="00EE031E">
        <w:rPr>
          <w:i/>
          <w:iCs/>
          <w:sz w:val="22"/>
        </w:rPr>
        <w:t xml:space="preserve"> </w:t>
      </w:r>
      <w:r w:rsidRPr="00EE031E">
        <w:rPr>
          <w:i/>
          <w:sz w:val="22"/>
        </w:rPr>
        <w:t>Restatement of Property, Third, Donative Transfers</w:t>
      </w:r>
      <w:r w:rsidRPr="00EE031E">
        <w:rPr>
          <w:sz w:val="22"/>
        </w:rPr>
        <w:t>, § 17.3, comment d.</w:t>
      </w:r>
    </w:p>
  </w:footnote>
  <w:footnote w:id="525">
    <w:p w14:paraId="26716633" w14:textId="47583F09" w:rsidR="000B54B5" w:rsidRDefault="000B54B5">
      <w:pPr>
        <w:pStyle w:val="FootnoteText"/>
      </w:pPr>
      <w:r>
        <w:rPr>
          <w:rStyle w:val="FootnoteReference"/>
        </w:rPr>
        <w:footnoteRef/>
      </w:r>
      <w:r>
        <w:t xml:space="preserve"> </w:t>
      </w:r>
      <w:r w:rsidR="00612CAC">
        <w:t xml:space="preserve">Many states will require that a Will refer specifically to a </w:t>
      </w:r>
      <w:r w:rsidR="000044C8">
        <w:t xml:space="preserve">trust’s </w:t>
      </w:r>
      <w:r w:rsidR="00612CAC">
        <w:t>power of appointment rather than permit to be effective</w:t>
      </w:r>
      <w:r w:rsidR="000044C8">
        <w:t>, but this begs the question of whether a different written exercise, such as through a living trust, need be as specific</w:t>
      </w:r>
      <w:r w:rsidR="00612CAC">
        <w:t xml:space="preserve">.  See, e.g., </w:t>
      </w:r>
      <w:hyperlink r:id="rId83" w:history="1">
        <w:r w:rsidR="00612CAC" w:rsidRPr="001F3826">
          <w:rPr>
            <w:rStyle w:val="Hyperlink"/>
            <w:u w:val="none"/>
          </w:rPr>
          <w:t xml:space="preserve">Ohio R.C. </w:t>
        </w:r>
        <w:r w:rsidR="007E6860" w:rsidRPr="001F3826">
          <w:rPr>
            <w:rStyle w:val="Hyperlink"/>
            <w:u w:val="none"/>
          </w:rPr>
          <w:t>2107.521</w:t>
        </w:r>
      </w:hyperlink>
      <w:r w:rsidR="007E6860">
        <w:t>:</w:t>
      </w:r>
      <w:r w:rsidR="007E6860" w:rsidRPr="007E6860">
        <w:t xml:space="preserve"> </w:t>
      </w:r>
      <w:r w:rsidR="007E6860">
        <w:t>“</w:t>
      </w:r>
      <w:r w:rsidR="007E6860" w:rsidRPr="007E6860">
        <w:t>No provision of a will exercises a power of appointment held by the testator unless specific reference is made to the power.</w:t>
      </w:r>
      <w:r w:rsidR="007E6860">
        <w:t>”</w:t>
      </w:r>
    </w:p>
  </w:footnote>
  <w:footnote w:id="526">
    <w:p w14:paraId="5932C157" w14:textId="77777777" w:rsidR="00D53D4F" w:rsidRPr="00EE031E" w:rsidRDefault="00D53D4F" w:rsidP="002A4DBF">
      <w:pPr>
        <w:autoSpaceDE w:val="0"/>
        <w:autoSpaceDN w:val="0"/>
        <w:adjustRightInd w:val="0"/>
        <w:spacing w:before="120" w:after="120"/>
        <w:rPr>
          <w:rFonts w:ascii="Calibri" w:hAnsi="Calibri"/>
          <w:sz w:val="22"/>
          <w:szCs w:val="20"/>
        </w:rPr>
      </w:pPr>
      <w:r w:rsidRPr="00EE031E">
        <w:rPr>
          <w:rStyle w:val="FootnoteReference"/>
          <w:sz w:val="22"/>
          <w:szCs w:val="20"/>
        </w:rPr>
        <w:footnoteRef/>
      </w:r>
      <w:r w:rsidRPr="00EE031E">
        <w:rPr>
          <w:sz w:val="22"/>
          <w:szCs w:val="20"/>
        </w:rPr>
        <w:t xml:space="preserve"> S</w:t>
      </w:r>
      <w:r w:rsidRPr="00EE031E">
        <w:rPr>
          <w:rFonts w:ascii="Calibri" w:hAnsi="Calibri"/>
          <w:sz w:val="22"/>
          <w:szCs w:val="20"/>
        </w:rPr>
        <w:t>tates may also have indemnification statutes to enable trustees to move on if there is no will filed/knowledge of exercise – see, e.g. Washington statute RCW 11.95.060(2), some language from which you may consider parroting in your document: “</w:t>
      </w:r>
      <w:r w:rsidRPr="00EE031E">
        <w:rPr>
          <w:rFonts w:ascii="Calibri" w:hAnsi="Calibri" w:cs="Arial"/>
          <w:sz w:val="22"/>
          <w:szCs w:val="20"/>
        </w:rPr>
        <w:t>Unless the person holding the property subject to the power has within six months after the holder's death received written notice that the powerholder's last will has been admitted to probate or an adjudication of testacy has been entered with respect to the powerholder's last will in some jurisdiction, the person may, until the time the notice is received, transfer the property subject to appointment on the basis that the power has not been effectively exercised. The person holding the property shall not incur liability to anyone for transfers so made if the person had no knowledge that the power had been exercised and had made a reasonable effort to determine if the power had been exercised. A testamentary residuary clause which does not manifest an intent to exercise a power is not deemed the exercise of a testamentary power.”  You might add an example of intent – it is not uncommon for a will clause to read “I hereby appoint any and all assets over which I have a power of appointment to….” – this inevitably leads to litigation as to whether this is specific enough to trigger a POA – states/courts may differ.  Ohio has a statute requiring a POA appointment by will to be specific, but has no parallel statute regarding trusts/deeds.</w:t>
      </w:r>
    </w:p>
    <w:p w14:paraId="0B2FFA27" w14:textId="77777777" w:rsidR="00D53D4F" w:rsidRDefault="00D53D4F" w:rsidP="002A4DBF">
      <w:pPr>
        <w:pStyle w:val="FootnoteText"/>
        <w:spacing w:after="120"/>
      </w:pPr>
    </w:p>
  </w:footnote>
  <w:footnote w:id="527">
    <w:p w14:paraId="4A9C71F3" w14:textId="4B673637" w:rsidR="00D53D4F" w:rsidRPr="003126E2" w:rsidRDefault="00D53D4F" w:rsidP="002A4DBF">
      <w:pPr>
        <w:pStyle w:val="FootnoteText"/>
        <w:spacing w:after="120"/>
      </w:pPr>
      <w:r w:rsidRPr="003126E2">
        <w:rPr>
          <w:rStyle w:val="FootnoteReference"/>
        </w:rPr>
        <w:footnoteRef/>
      </w:r>
      <w:r w:rsidRPr="003126E2">
        <w:t xml:space="preserve"> </w:t>
      </w:r>
      <w:r w:rsidRPr="003126E2">
        <w:rPr>
          <w:i/>
        </w:rPr>
        <w:t>Scott and Ascher on Trusts</w:t>
      </w:r>
      <w:r w:rsidRPr="003126E2">
        <w:t>, 5</w:t>
      </w:r>
      <w:r w:rsidRPr="003126E2">
        <w:rPr>
          <w:vertAlign w:val="superscript"/>
        </w:rPr>
        <w:t>th</w:t>
      </w:r>
      <w:r w:rsidRPr="003126E2">
        <w:t xml:space="preserve"> Edition, ¶ 3.1.2 Exercise of Power of Appointment, citing </w:t>
      </w:r>
      <w:hyperlink r:id="rId84" w:history="1">
        <w:r w:rsidRPr="007C6659">
          <w:rPr>
            <w:rStyle w:val="Hyperlink"/>
            <w:bCs/>
            <w:i/>
            <w:u w:val="none"/>
          </w:rPr>
          <w:t>In re Dohrman (Matter of Fiske</w:t>
        </w:r>
        <w:r w:rsidRPr="007C6659">
          <w:rPr>
            <w:rStyle w:val="Hyperlink"/>
            <w:bCs/>
            <w:u w:val="none"/>
          </w:rPr>
          <w:t xml:space="preserve">), 195 Misc. 1017, </w:t>
        </w:r>
        <w:r w:rsidR="00FB149B" w:rsidRPr="007C6659">
          <w:rPr>
            <w:rStyle w:val="Hyperlink"/>
            <w:bCs/>
            <w:u w:val="none"/>
          </w:rPr>
          <w:t>88 N.Y.S.2d 446</w:t>
        </w:r>
        <w:r w:rsidR="007C6659" w:rsidRPr="007C6659">
          <w:rPr>
            <w:rStyle w:val="Hyperlink"/>
            <w:bCs/>
            <w:u w:val="none"/>
          </w:rPr>
          <w:t xml:space="preserve"> (1949)</w:t>
        </w:r>
      </w:hyperlink>
      <w:r w:rsidR="007C6659">
        <w:rPr>
          <w:bCs/>
        </w:rPr>
        <w:t xml:space="preserve">, </w:t>
      </w:r>
      <w:r w:rsidRPr="003126E2">
        <w:rPr>
          <w:bCs/>
        </w:rPr>
        <w:t>a case where a widow</w:t>
      </w:r>
      <w:r>
        <w:rPr>
          <w:bCs/>
        </w:rPr>
        <w:t>’s husband had</w:t>
      </w:r>
      <w:r w:rsidRPr="003126E2">
        <w:rPr>
          <w:bCs/>
        </w:rPr>
        <w:t xml:space="preserve"> granted</w:t>
      </w:r>
      <w:r>
        <w:rPr>
          <w:bCs/>
        </w:rPr>
        <w:t xml:space="preserve"> her</w:t>
      </w:r>
      <w:r w:rsidRPr="003126E2">
        <w:rPr>
          <w:bCs/>
        </w:rPr>
        <w:t xml:space="preserve"> the power to appoint in trust for children</w:t>
      </w:r>
      <w:r>
        <w:rPr>
          <w:bCs/>
        </w:rPr>
        <w:t xml:space="preserve"> upon her own “terms and conditions”</w:t>
      </w:r>
      <w:r w:rsidRPr="003126E2">
        <w:rPr>
          <w:bCs/>
        </w:rPr>
        <w:t xml:space="preserve">, but she appointed in trust for children </w:t>
      </w:r>
      <w:r w:rsidRPr="00EB020A">
        <w:rPr>
          <w:bCs/>
          <w:i/>
        </w:rPr>
        <w:t>with their issue as vested remainder</w:t>
      </w:r>
      <w:r>
        <w:rPr>
          <w:bCs/>
          <w:i/>
        </w:rPr>
        <w:t xml:space="preserve"> (i.e. children had no POA)</w:t>
      </w:r>
      <w:r>
        <w:rPr>
          <w:bCs/>
        </w:rPr>
        <w:t>.  The children objected, claiming that the power to leave to them in trust was valid, but that the vesting of the remainder in their descendants was invalid because their issue were not permissible appointees</w:t>
      </w:r>
      <w:r w:rsidRPr="003126E2">
        <w:rPr>
          <w:bCs/>
        </w:rPr>
        <w:t xml:space="preserve"> – </w:t>
      </w:r>
      <w:r>
        <w:rPr>
          <w:bCs/>
        </w:rPr>
        <w:t xml:space="preserve">the court agreed with the children, and the children took the assets subject to the life terms, but had free reign over the remainder interest to leave to spouse, charity, whomever at their deaths– presumably the remainder would thus be in their estates, but </w:t>
      </w:r>
      <w:r w:rsidRPr="00984A8D">
        <w:rPr>
          <w:bCs/>
          <w:i/>
        </w:rPr>
        <w:t>it essentially gave them a GPOA</w:t>
      </w:r>
      <w:r>
        <w:rPr>
          <w:bCs/>
        </w:rPr>
        <w:t>.  Surprise! I doubt most practitioners would catch the import of a clause similar to this case.  Examine any trust that was funded with a specific clause like this, perhaps you have an argument for</w:t>
      </w:r>
      <w:r w:rsidR="00BB1B69">
        <w:rPr>
          <w:bCs/>
        </w:rPr>
        <w:t xml:space="preserve"> estate</w:t>
      </w:r>
      <w:r>
        <w:rPr>
          <w:bCs/>
        </w:rPr>
        <w:t xml:space="preserve"> inclusion (which may NOT be desired for larger estates, with loss assets, etc.).  Note that this case may be decided slightly differently if under Ca Probate Code §674 or a state embracing the Restatement 3d Property, Donative Transfers §19.12(c)</w:t>
      </w:r>
      <w:r w:rsidR="00BD65BB">
        <w:rPr>
          <w:bCs/>
        </w:rPr>
        <w:t xml:space="preserve"> </w:t>
      </w:r>
      <w:r>
        <w:rPr>
          <w:bCs/>
        </w:rPr>
        <w:t xml:space="preserve">(a change from </w:t>
      </w:r>
      <w:r w:rsidR="00BD65BB">
        <w:rPr>
          <w:bCs/>
        </w:rPr>
        <w:t xml:space="preserve">the </w:t>
      </w:r>
      <w:r>
        <w:rPr>
          <w:bCs/>
        </w:rPr>
        <w:t>2</w:t>
      </w:r>
      <w:r w:rsidRPr="00984A8D">
        <w:rPr>
          <w:bCs/>
          <w:vertAlign w:val="superscript"/>
        </w:rPr>
        <w:t>nd</w:t>
      </w:r>
      <w:r>
        <w:rPr>
          <w:bCs/>
        </w:rPr>
        <w:t xml:space="preserve"> </w:t>
      </w:r>
      <w:r w:rsidR="00BD65BB">
        <w:rPr>
          <w:bCs/>
        </w:rPr>
        <w:t>R</w:t>
      </w:r>
      <w:r>
        <w:rPr>
          <w:bCs/>
        </w:rPr>
        <w:t>estatement), which permits appointing to a permissible appointee’s issue in the event the appointee predeceases, under a quasi</w:t>
      </w:r>
      <w:r w:rsidR="006B3E6E">
        <w:rPr>
          <w:bCs/>
        </w:rPr>
        <w:t>-</w:t>
      </w:r>
      <w:r>
        <w:rPr>
          <w:bCs/>
        </w:rPr>
        <w:t>anti-lapse theory, even for non-relatives.</w:t>
      </w:r>
      <w:r w:rsidRPr="00DA2495">
        <w:t xml:space="preserve"> </w:t>
      </w:r>
      <w:r>
        <w:rPr>
          <w:bCs/>
        </w:rPr>
        <w:t xml:space="preserve"> </w:t>
      </w:r>
      <w:r w:rsidRPr="00DA2495">
        <w:rPr>
          <w:bCs/>
        </w:rPr>
        <w:t>Restatem</w:t>
      </w:r>
      <w:r>
        <w:rPr>
          <w:bCs/>
        </w:rPr>
        <w:t>ent (</w:t>
      </w:r>
      <w:r w:rsidRPr="00DA2DFB">
        <w:rPr>
          <w:bCs/>
          <w:i/>
        </w:rPr>
        <w:t>First</w:t>
      </w:r>
      <w:r>
        <w:rPr>
          <w:bCs/>
        </w:rPr>
        <w:t>) of Property §359(2):</w:t>
      </w:r>
      <w:r w:rsidRPr="00DA2495">
        <w:rPr>
          <w:bCs/>
        </w:rPr>
        <w:t xml:space="preserve">“The donee of a special power can effectively exercise it by creating in an object an interest for life and a special power to appoint among persons </w:t>
      </w:r>
      <w:r w:rsidRPr="00DA2495">
        <w:rPr>
          <w:b/>
          <w:bCs/>
          <w:i/>
        </w:rPr>
        <w:t>all of whom are objects of the original power</w:t>
      </w:r>
      <w:r w:rsidRPr="00DA2495">
        <w:rPr>
          <w:bCs/>
        </w:rPr>
        <w:t>, unless the donor manifests a contrary intent.”.</w:t>
      </w:r>
    </w:p>
  </w:footnote>
  <w:footnote w:id="528">
    <w:p w14:paraId="6ECC5190" w14:textId="0C4BB674" w:rsidR="00D53D4F" w:rsidRPr="00EA42FA" w:rsidRDefault="00D53D4F" w:rsidP="002A4DBF">
      <w:pPr>
        <w:pStyle w:val="FootnoteText"/>
        <w:spacing w:after="120"/>
        <w:rPr>
          <w:sz w:val="22"/>
        </w:rPr>
      </w:pPr>
      <w:r w:rsidRPr="00EA42FA">
        <w:rPr>
          <w:rStyle w:val="FootnoteReference"/>
          <w:sz w:val="22"/>
        </w:rPr>
        <w:footnoteRef/>
      </w:r>
      <w:r w:rsidRPr="00EA42FA">
        <w:rPr>
          <w:sz w:val="22"/>
        </w:rPr>
        <w:t xml:space="preserve"> Restatement of Property, Third, Donative Transfers, §19.9 – even if the document requires “by will”, the default rule is to permit a revocable living trust, as long as it is still revocable at a power holder’s death, to exercise a testamentary POA, so a failure to probate a will should not be a factor.  However, a conservative trustee might insist on the will contest period running to ensure the will (or trust) is not invalid for lack of capacity/undue influence – indemnifying the trustee who has no contrary actual knowledge of dispute for making distributions pursuant to a facially valid exercise of a power of appointment may be a good idea for this reason. </w:t>
      </w:r>
      <w:r>
        <w:rPr>
          <w:sz w:val="22"/>
        </w:rPr>
        <w:t xml:space="preserve">See </w:t>
      </w:r>
      <w:r w:rsidRPr="00EA42FA">
        <w:rPr>
          <w:i/>
          <w:sz w:val="22"/>
        </w:rPr>
        <w:t>In Re Meyer</w:t>
      </w:r>
      <w:r w:rsidRPr="00EA42FA">
        <w:rPr>
          <w:sz w:val="22"/>
        </w:rPr>
        <w:t>, 987 P.2d 822 (Ariz. Ct. App. 1999)</w:t>
      </w:r>
      <w:r>
        <w:rPr>
          <w:sz w:val="22"/>
        </w:rPr>
        <w:t>, in which the Court of Appeals of Arizona found that it was not necessary to probate a will for the testamentary power of appointment to be effective, declaring that “</w:t>
      </w:r>
      <w:r w:rsidRPr="00EA42FA">
        <w:rPr>
          <w:sz w:val="22"/>
        </w:rPr>
        <w:t>The parties have not cited, and we have not found, any case from any jurisdiction that holds, one way or the other, that a testamentary power of appointment is not operative unless the donee's will that exercises the power is probated.</w:t>
      </w:r>
      <w:r>
        <w:rPr>
          <w:sz w:val="22"/>
        </w:rPr>
        <w:t>”</w:t>
      </w:r>
      <w:r w:rsidR="007F5EE9">
        <w:rPr>
          <w:sz w:val="22"/>
        </w:rPr>
        <w:t xml:space="preserve">  Contrary to </w:t>
      </w:r>
      <w:r w:rsidR="007F5EE9" w:rsidRPr="00B3023E">
        <w:rPr>
          <w:i/>
          <w:iCs/>
          <w:sz w:val="22"/>
        </w:rPr>
        <w:t>Meyer</w:t>
      </w:r>
      <w:r w:rsidR="00B3023E">
        <w:rPr>
          <w:sz w:val="22"/>
        </w:rPr>
        <w:t>,</w:t>
      </w:r>
      <w:r w:rsidR="007F5EE9">
        <w:rPr>
          <w:sz w:val="22"/>
        </w:rPr>
        <w:t xml:space="preserve"> </w:t>
      </w:r>
      <w:r w:rsidR="00B3023E">
        <w:rPr>
          <w:sz w:val="22"/>
        </w:rPr>
        <w:t xml:space="preserve">holding that probate of the will is required, </w:t>
      </w:r>
      <w:r w:rsidR="007F5EE9">
        <w:rPr>
          <w:sz w:val="22"/>
        </w:rPr>
        <w:t xml:space="preserve">is </w:t>
      </w:r>
      <w:r w:rsidR="007F5EE9" w:rsidRPr="007F5EE9">
        <w:rPr>
          <w:i/>
          <w:iCs/>
          <w:sz w:val="22"/>
        </w:rPr>
        <w:t>Estate of Scott</w:t>
      </w:r>
      <w:r w:rsidR="007F5EE9" w:rsidRPr="007F5EE9">
        <w:rPr>
          <w:sz w:val="22"/>
        </w:rPr>
        <w:t>, 77 P.3d 906 (Colo. App. 2003), aff’d 136 P.3d 892 (Colo. 2006)</w:t>
      </w:r>
      <w:r w:rsidR="007F5EE9">
        <w:rPr>
          <w:sz w:val="22"/>
        </w:rPr>
        <w:t>.</w:t>
      </w:r>
    </w:p>
  </w:footnote>
  <w:footnote w:id="529">
    <w:p w14:paraId="2F61FCCC" w14:textId="77777777" w:rsidR="00D53D4F" w:rsidRPr="00BD1F49" w:rsidRDefault="00D53D4F" w:rsidP="002A4DBF">
      <w:pPr>
        <w:spacing w:after="120"/>
      </w:pPr>
      <w:r w:rsidRPr="00BD1F49">
        <w:rPr>
          <w:rStyle w:val="FootnoteReference"/>
          <w:sz w:val="20"/>
          <w:szCs w:val="20"/>
        </w:rPr>
        <w:footnoteRef/>
      </w:r>
      <w:r w:rsidRPr="00BD1F49">
        <w:t xml:space="preserve"> </w:t>
      </w:r>
      <w:r w:rsidRPr="00BD1F49">
        <w:rPr>
          <w:sz w:val="20"/>
          <w:szCs w:val="20"/>
        </w:rPr>
        <w:t xml:space="preserve">This might occur in a GST non-exempt trust, for example.  Certain categories of assets do not receive a new basis, such as annuities and retirement plans (income in respect of a decedent).  Occasionally, the decedent’s executor or trustee may elect an alternate valuation date which would use a date of subsequent sale within 6 months after death or 6 months after date of death.  Because assets declining in value would receive a step </w:t>
      </w:r>
      <w:r w:rsidRPr="008D2343">
        <w:rPr>
          <w:i/>
          <w:sz w:val="20"/>
          <w:szCs w:val="20"/>
        </w:rPr>
        <w:t>down</w:t>
      </w:r>
      <w:r w:rsidRPr="00BD1F49">
        <w:rPr>
          <w:sz w:val="20"/>
          <w:szCs w:val="20"/>
        </w:rPr>
        <w:t xml:space="preserve"> in basis, consider distributing or selling assets with substantial valuation declines prior to death if possible</w:t>
      </w:r>
      <w:r>
        <w:rPr>
          <w:sz w:val="20"/>
          <w:szCs w:val="20"/>
        </w:rPr>
        <w:t xml:space="preserve"> if a GPOA cannot be avoided</w:t>
      </w:r>
      <w:r w:rsidRPr="00BD1F49">
        <w:rPr>
          <w:sz w:val="20"/>
          <w:szCs w:val="20"/>
        </w:rPr>
        <w:t>.</w:t>
      </w:r>
    </w:p>
  </w:footnote>
  <w:footnote w:id="530">
    <w:p w14:paraId="5D2BDEC5" w14:textId="77777777" w:rsidR="00D53D4F" w:rsidRDefault="00D53D4F" w:rsidP="00A30DC3">
      <w:pPr>
        <w:pStyle w:val="FootnoteText"/>
      </w:pPr>
      <w:r w:rsidRPr="00BD1F49">
        <w:rPr>
          <w:rStyle w:val="FootnoteReference"/>
        </w:rPr>
        <w:footnoteRef/>
      </w:r>
      <w:r w:rsidRPr="00BD1F49">
        <w:t xml:space="preserve"> See list of decanting statutes with analysis of this power at </w:t>
      </w:r>
      <w:hyperlink r:id="rId85" w:history="1">
        <w:r w:rsidRPr="00BD1F49">
          <w:rPr>
            <w:rStyle w:val="Hyperlink"/>
          </w:rPr>
          <w:t>http://www.sidley.com/state-decanting-statutes/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B83E30"/>
    <w:lvl w:ilvl="0">
      <w:numFmt w:val="bullet"/>
      <w:lvlText w:val="*"/>
      <w:lvlJc w:val="left"/>
    </w:lvl>
  </w:abstractNum>
  <w:abstractNum w:abstractNumId="1" w15:restartNumberingAfterBreak="0">
    <w:nsid w:val="01D915F9"/>
    <w:multiLevelType w:val="hybridMultilevel"/>
    <w:tmpl w:val="43568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F322B"/>
    <w:multiLevelType w:val="hybridMultilevel"/>
    <w:tmpl w:val="5C046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1659"/>
    <w:multiLevelType w:val="hybridMultilevel"/>
    <w:tmpl w:val="138E734E"/>
    <w:lvl w:ilvl="0" w:tplc="7BBC5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103E69"/>
    <w:multiLevelType w:val="hybridMultilevel"/>
    <w:tmpl w:val="A6A20C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42291A"/>
    <w:multiLevelType w:val="hybridMultilevel"/>
    <w:tmpl w:val="2056DA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2066FA"/>
    <w:multiLevelType w:val="hybridMultilevel"/>
    <w:tmpl w:val="820C675A"/>
    <w:lvl w:ilvl="0" w:tplc="8E223932">
      <w:start w:val="1"/>
      <w:numFmt w:val="low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3540AA5"/>
    <w:multiLevelType w:val="hybridMultilevel"/>
    <w:tmpl w:val="D1228A7C"/>
    <w:lvl w:ilvl="0" w:tplc="402E8706">
      <w:start w:val="1"/>
      <w:numFmt w:val="lowerLetter"/>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453A7"/>
    <w:multiLevelType w:val="hybridMultilevel"/>
    <w:tmpl w:val="77C8B83A"/>
    <w:lvl w:ilvl="0" w:tplc="5DC0F0A2">
      <w:start w:val="1"/>
      <w:numFmt w:val="lowerLetter"/>
      <w:lvlText w:val="%1."/>
      <w:lvlJc w:val="left"/>
      <w:pPr>
        <w:tabs>
          <w:tab w:val="num" w:pos="1800"/>
        </w:tabs>
        <w:ind w:left="1800" w:hanging="720"/>
      </w:pPr>
      <w:rPr>
        <w:rFonts w:hint="default"/>
      </w:rPr>
    </w:lvl>
    <w:lvl w:ilvl="1" w:tplc="3FD2AA14">
      <w:start w:val="1"/>
      <w:numFmt w:val="decimal"/>
      <w:lvlText w:val="%2)"/>
      <w:lvlJc w:val="left"/>
      <w:pPr>
        <w:tabs>
          <w:tab w:val="num" w:pos="1440"/>
        </w:tabs>
        <w:ind w:left="144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181483"/>
    <w:multiLevelType w:val="hybridMultilevel"/>
    <w:tmpl w:val="29F60C3E"/>
    <w:lvl w:ilvl="0" w:tplc="5DC0F0A2">
      <w:start w:val="1"/>
      <w:numFmt w:val="lowerLetter"/>
      <w:lvlText w:val="%1."/>
      <w:lvlJc w:val="left"/>
      <w:pPr>
        <w:tabs>
          <w:tab w:val="num" w:pos="1800"/>
        </w:tabs>
        <w:ind w:left="1800" w:hanging="720"/>
      </w:pPr>
      <w:rPr>
        <w:rFonts w:hint="default"/>
      </w:rPr>
    </w:lvl>
    <w:lvl w:ilvl="1" w:tplc="04E299EE">
      <w:start w:val="4"/>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381F1C"/>
    <w:multiLevelType w:val="hybridMultilevel"/>
    <w:tmpl w:val="381CEB74"/>
    <w:lvl w:ilvl="0" w:tplc="8F149B6E">
      <w:start w:val="2"/>
      <w:numFmt w:val="decimal"/>
      <w:lvlText w:val="%1)"/>
      <w:lvlJc w:val="left"/>
      <w:pPr>
        <w:tabs>
          <w:tab w:val="num" w:pos="1755"/>
        </w:tabs>
        <w:ind w:left="1755"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12EAB"/>
    <w:multiLevelType w:val="hybridMultilevel"/>
    <w:tmpl w:val="4342A0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C32E4"/>
    <w:multiLevelType w:val="hybridMultilevel"/>
    <w:tmpl w:val="F56CEAD6"/>
    <w:lvl w:ilvl="0" w:tplc="55E6B5B2">
      <w:start w:val="4"/>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071AD8"/>
    <w:multiLevelType w:val="hybridMultilevel"/>
    <w:tmpl w:val="E1341EF4"/>
    <w:lvl w:ilvl="0" w:tplc="68D05CF6">
      <w:start w:val="1"/>
      <w:numFmt w:val="upperRoman"/>
      <w:lvlText w:val="%1."/>
      <w:lvlJc w:val="left"/>
      <w:pPr>
        <w:tabs>
          <w:tab w:val="num" w:pos="1080"/>
        </w:tabs>
        <w:ind w:left="1080" w:hanging="720"/>
      </w:pPr>
      <w:rPr>
        <w:rFonts w:hint="default"/>
      </w:rPr>
    </w:lvl>
    <w:lvl w:ilvl="1" w:tplc="5DC0F0A2">
      <w:start w:val="1"/>
      <w:numFmt w:val="lowerLetter"/>
      <w:lvlText w:val="%2."/>
      <w:lvlJc w:val="left"/>
      <w:pPr>
        <w:tabs>
          <w:tab w:val="num" w:pos="1800"/>
        </w:tabs>
        <w:ind w:left="1800" w:hanging="720"/>
      </w:pPr>
      <w:rPr>
        <w:rFonts w:hint="default"/>
      </w:rPr>
    </w:lvl>
    <w:lvl w:ilvl="2" w:tplc="447A61F2">
      <w:start w:val="4"/>
      <w:numFmt w:val="upp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C36EF478">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23084E"/>
    <w:multiLevelType w:val="hybridMultilevel"/>
    <w:tmpl w:val="6CBCE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AB5054"/>
    <w:multiLevelType w:val="multilevel"/>
    <w:tmpl w:val="EF06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07EA7"/>
    <w:multiLevelType w:val="hybridMultilevel"/>
    <w:tmpl w:val="243C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3570E"/>
    <w:multiLevelType w:val="hybridMultilevel"/>
    <w:tmpl w:val="9F6674BA"/>
    <w:lvl w:ilvl="0" w:tplc="D41A75E0">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8" w15:restartNumberingAfterBreak="0">
    <w:nsid w:val="3C467E50"/>
    <w:multiLevelType w:val="hybridMultilevel"/>
    <w:tmpl w:val="7806FE28"/>
    <w:lvl w:ilvl="0" w:tplc="9F38A70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15:restartNumberingAfterBreak="0">
    <w:nsid w:val="3C8443A7"/>
    <w:multiLevelType w:val="hybridMultilevel"/>
    <w:tmpl w:val="CD166D14"/>
    <w:lvl w:ilvl="0" w:tplc="84FC5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A57E4E"/>
    <w:multiLevelType w:val="hybridMultilevel"/>
    <w:tmpl w:val="F574E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C2DE4"/>
    <w:multiLevelType w:val="hybridMultilevel"/>
    <w:tmpl w:val="982C7960"/>
    <w:lvl w:ilvl="0" w:tplc="2F96E7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F53D28"/>
    <w:multiLevelType w:val="hybridMultilevel"/>
    <w:tmpl w:val="45BC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66822"/>
    <w:multiLevelType w:val="hybridMultilevel"/>
    <w:tmpl w:val="37F04B88"/>
    <w:lvl w:ilvl="0" w:tplc="AB80C7F4">
      <w:start w:val="1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F6932"/>
    <w:multiLevelType w:val="hybridMultilevel"/>
    <w:tmpl w:val="4B1CCB38"/>
    <w:lvl w:ilvl="0" w:tplc="04090011">
      <w:start w:val="1"/>
      <w:numFmt w:val="decimal"/>
      <w:lvlText w:val="%1)"/>
      <w:lvlJc w:val="left"/>
      <w:pPr>
        <w:tabs>
          <w:tab w:val="num" w:pos="1420"/>
        </w:tabs>
        <w:ind w:left="1420" w:hanging="360"/>
      </w:pPr>
      <w:rPr>
        <w:rFonts w:hint="default"/>
      </w:rPr>
    </w:lvl>
    <w:lvl w:ilvl="1" w:tplc="9084C44A">
      <w:start w:val="1"/>
      <w:numFmt w:val="lowerRoman"/>
      <w:lvlText w:val="(%2)"/>
      <w:lvlJc w:val="left"/>
      <w:pPr>
        <w:tabs>
          <w:tab w:val="num" w:pos="2500"/>
        </w:tabs>
        <w:ind w:left="2500" w:hanging="72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5" w15:restartNumberingAfterBreak="0">
    <w:nsid w:val="4A561347"/>
    <w:multiLevelType w:val="hybridMultilevel"/>
    <w:tmpl w:val="6E788400"/>
    <w:lvl w:ilvl="0" w:tplc="EC588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960B5A"/>
    <w:multiLevelType w:val="hybridMultilevel"/>
    <w:tmpl w:val="D5B635BA"/>
    <w:lvl w:ilvl="0" w:tplc="DB12BFAC">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965EC9"/>
    <w:multiLevelType w:val="hybridMultilevel"/>
    <w:tmpl w:val="23BAE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01D02"/>
    <w:multiLevelType w:val="hybridMultilevel"/>
    <w:tmpl w:val="4F00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B83356"/>
    <w:multiLevelType w:val="hybridMultilevel"/>
    <w:tmpl w:val="6984812E"/>
    <w:lvl w:ilvl="0" w:tplc="785E2310">
      <w:start w:val="3"/>
      <w:numFmt w:val="decimal"/>
      <w:lvlText w:val="%1)"/>
      <w:lvlJc w:val="left"/>
      <w:pPr>
        <w:ind w:left="1780" w:hanging="36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30" w15:restartNumberingAfterBreak="0">
    <w:nsid w:val="58D93B31"/>
    <w:multiLevelType w:val="hybridMultilevel"/>
    <w:tmpl w:val="B314BC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15448B"/>
    <w:multiLevelType w:val="hybridMultilevel"/>
    <w:tmpl w:val="567EAAF8"/>
    <w:lvl w:ilvl="0" w:tplc="04090019">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C621C"/>
    <w:multiLevelType w:val="hybridMultilevel"/>
    <w:tmpl w:val="56EE5A36"/>
    <w:lvl w:ilvl="0" w:tplc="FFBECD52">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3" w15:restartNumberingAfterBreak="0">
    <w:nsid w:val="66470D8A"/>
    <w:multiLevelType w:val="hybridMultilevel"/>
    <w:tmpl w:val="AA96C4B4"/>
    <w:lvl w:ilvl="0" w:tplc="91B2F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5B5F39"/>
    <w:multiLevelType w:val="hybridMultilevel"/>
    <w:tmpl w:val="B52CE7E8"/>
    <w:lvl w:ilvl="0" w:tplc="5DC0F0A2">
      <w:start w:val="1"/>
      <w:numFmt w:val="lowerLetter"/>
      <w:lvlText w:val="%1."/>
      <w:lvlJc w:val="left"/>
      <w:pPr>
        <w:tabs>
          <w:tab w:val="num" w:pos="1800"/>
        </w:tabs>
        <w:ind w:left="1800" w:hanging="720"/>
      </w:pPr>
      <w:rPr>
        <w:rFonts w:hint="default"/>
      </w:rPr>
    </w:lvl>
    <w:lvl w:ilvl="1" w:tplc="9C3E7C88">
      <w:start w:val="1"/>
      <w:numFmt w:val="decimal"/>
      <w:lvlText w:val="%2)"/>
      <w:lvlJc w:val="left"/>
      <w:pPr>
        <w:tabs>
          <w:tab w:val="num" w:pos="1440"/>
        </w:tabs>
        <w:ind w:left="1440" w:hanging="360"/>
      </w:pPr>
      <w:rPr>
        <w:rFonts w:hint="default"/>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AB5732"/>
    <w:multiLevelType w:val="hybridMultilevel"/>
    <w:tmpl w:val="8AE2A8B2"/>
    <w:lvl w:ilvl="0" w:tplc="0038D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B839C4"/>
    <w:multiLevelType w:val="hybridMultilevel"/>
    <w:tmpl w:val="08BA061E"/>
    <w:lvl w:ilvl="0" w:tplc="14FEA204">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8A435A"/>
    <w:multiLevelType w:val="hybridMultilevel"/>
    <w:tmpl w:val="B0EE385E"/>
    <w:lvl w:ilvl="0" w:tplc="E8C2DB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CA6196"/>
    <w:multiLevelType w:val="hybridMultilevel"/>
    <w:tmpl w:val="223CB506"/>
    <w:lvl w:ilvl="0" w:tplc="E23EF6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60E61"/>
    <w:multiLevelType w:val="hybridMultilevel"/>
    <w:tmpl w:val="0C9C2F28"/>
    <w:lvl w:ilvl="0" w:tplc="8DEE57FA">
      <w:start w:val="1"/>
      <w:numFmt w:val="decimal"/>
      <w:lvlText w:val="%1)"/>
      <w:lvlJc w:val="left"/>
      <w:pPr>
        <w:tabs>
          <w:tab w:val="num" w:pos="1440"/>
        </w:tabs>
        <w:ind w:left="144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BE41C49"/>
    <w:multiLevelType w:val="hybridMultilevel"/>
    <w:tmpl w:val="A9CA17B8"/>
    <w:lvl w:ilvl="0" w:tplc="CFBE65CC">
      <w:start w:val="1"/>
      <w:numFmt w:val="lowerLetter"/>
      <w:lvlText w:val="%1."/>
      <w:lvlJc w:val="left"/>
      <w:pPr>
        <w:tabs>
          <w:tab w:val="num" w:pos="1260"/>
        </w:tabs>
        <w:ind w:left="1260" w:hanging="585"/>
      </w:pPr>
      <w:rPr>
        <w:rFonts w:hint="default"/>
      </w:rPr>
    </w:lvl>
    <w:lvl w:ilvl="1" w:tplc="04090019">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41" w15:restartNumberingAfterBreak="0">
    <w:nsid w:val="7E41563B"/>
    <w:multiLevelType w:val="hybridMultilevel"/>
    <w:tmpl w:val="5DD29B10"/>
    <w:lvl w:ilvl="0" w:tplc="FFFFFFFF">
      <w:start w:val="1"/>
      <w:numFmt w:val="bullet"/>
      <w:pStyle w:val="LeftBullet"/>
      <w:lvlText w:val=""/>
      <w:lvlJc w:val="left"/>
      <w:pPr>
        <w:tabs>
          <w:tab w:val="num" w:pos="720"/>
        </w:tabs>
        <w:ind w:left="720" w:hanging="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57461862">
    <w:abstractNumId w:val="39"/>
  </w:num>
  <w:num w:numId="2" w16cid:durableId="193242291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16cid:durableId="861165317">
    <w:abstractNumId w:val="13"/>
  </w:num>
  <w:num w:numId="4" w16cid:durableId="1259944062">
    <w:abstractNumId w:val="24"/>
  </w:num>
  <w:num w:numId="5" w16cid:durableId="740295968">
    <w:abstractNumId w:val="41"/>
  </w:num>
  <w:num w:numId="6" w16cid:durableId="1957564319">
    <w:abstractNumId w:val="9"/>
  </w:num>
  <w:num w:numId="7" w16cid:durableId="319893939">
    <w:abstractNumId w:val="8"/>
  </w:num>
  <w:num w:numId="8" w16cid:durableId="549609154">
    <w:abstractNumId w:val="32"/>
  </w:num>
  <w:num w:numId="9" w16cid:durableId="2121340587">
    <w:abstractNumId w:val="1"/>
  </w:num>
  <w:num w:numId="10" w16cid:durableId="693120255">
    <w:abstractNumId w:val="5"/>
  </w:num>
  <w:num w:numId="11" w16cid:durableId="1545411453">
    <w:abstractNumId w:val="40"/>
  </w:num>
  <w:num w:numId="12" w16cid:durableId="1171607296">
    <w:abstractNumId w:val="4"/>
  </w:num>
  <w:num w:numId="13" w16cid:durableId="941958358">
    <w:abstractNumId w:val="30"/>
  </w:num>
  <w:num w:numId="14" w16cid:durableId="110898755">
    <w:abstractNumId w:val="17"/>
  </w:num>
  <w:num w:numId="15" w16cid:durableId="2050911376">
    <w:abstractNumId w:val="12"/>
  </w:num>
  <w:num w:numId="16" w16cid:durableId="1503204825">
    <w:abstractNumId w:val="26"/>
  </w:num>
  <w:num w:numId="17" w16cid:durableId="1210459379">
    <w:abstractNumId w:val="20"/>
  </w:num>
  <w:num w:numId="18" w16cid:durableId="1572814179">
    <w:abstractNumId w:val="31"/>
  </w:num>
  <w:num w:numId="19" w16cid:durableId="1685091187">
    <w:abstractNumId w:val="3"/>
  </w:num>
  <w:num w:numId="20" w16cid:durableId="1320575796">
    <w:abstractNumId w:val="35"/>
  </w:num>
  <w:num w:numId="21" w16cid:durableId="36467636">
    <w:abstractNumId w:val="11"/>
  </w:num>
  <w:num w:numId="22" w16cid:durableId="935555578">
    <w:abstractNumId w:val="6"/>
  </w:num>
  <w:num w:numId="23" w16cid:durableId="342975098">
    <w:abstractNumId w:val="7"/>
  </w:num>
  <w:num w:numId="24" w16cid:durableId="1139104163">
    <w:abstractNumId w:val="19"/>
  </w:num>
  <w:num w:numId="25" w16cid:durableId="1917323630">
    <w:abstractNumId w:val="25"/>
  </w:num>
  <w:num w:numId="26" w16cid:durableId="1616205859">
    <w:abstractNumId w:val="2"/>
  </w:num>
  <w:num w:numId="27" w16cid:durableId="272447178">
    <w:abstractNumId w:val="38"/>
  </w:num>
  <w:num w:numId="28" w16cid:durableId="756945964">
    <w:abstractNumId w:val="34"/>
  </w:num>
  <w:num w:numId="29" w16cid:durableId="1268385577">
    <w:abstractNumId w:val="18"/>
  </w:num>
  <w:num w:numId="30" w16cid:durableId="481624941">
    <w:abstractNumId w:val="10"/>
  </w:num>
  <w:num w:numId="31" w16cid:durableId="46229282">
    <w:abstractNumId w:val="15"/>
  </w:num>
  <w:num w:numId="32" w16cid:durableId="712079251">
    <w:abstractNumId w:val="29"/>
  </w:num>
  <w:num w:numId="33" w16cid:durableId="1205562821">
    <w:abstractNumId w:val="36"/>
  </w:num>
  <w:num w:numId="34" w16cid:durableId="1584024976">
    <w:abstractNumId w:val="23"/>
  </w:num>
  <w:num w:numId="35" w16cid:durableId="2038122690">
    <w:abstractNumId w:val="14"/>
  </w:num>
  <w:num w:numId="36" w16cid:durableId="969627675">
    <w:abstractNumId w:val="33"/>
  </w:num>
  <w:num w:numId="37" w16cid:durableId="957103882">
    <w:abstractNumId w:val="21"/>
  </w:num>
  <w:num w:numId="38" w16cid:durableId="1130514506">
    <w:abstractNumId w:val="16"/>
  </w:num>
  <w:num w:numId="39" w16cid:durableId="2368869">
    <w:abstractNumId w:val="27"/>
  </w:num>
  <w:num w:numId="40" w16cid:durableId="1600865539">
    <w:abstractNumId w:val="22"/>
  </w:num>
  <w:num w:numId="41" w16cid:durableId="1684356842">
    <w:abstractNumId w:val="28"/>
  </w:num>
  <w:num w:numId="42" w16cid:durableId="2110619507">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3F66"/>
    <w:rsid w:val="0000033C"/>
    <w:rsid w:val="00001812"/>
    <w:rsid w:val="00001E4F"/>
    <w:rsid w:val="00001E71"/>
    <w:rsid w:val="0000241C"/>
    <w:rsid w:val="0000266C"/>
    <w:rsid w:val="0000285C"/>
    <w:rsid w:val="00002E34"/>
    <w:rsid w:val="0000341C"/>
    <w:rsid w:val="00004166"/>
    <w:rsid w:val="000044C8"/>
    <w:rsid w:val="000061D4"/>
    <w:rsid w:val="00006370"/>
    <w:rsid w:val="00006D9E"/>
    <w:rsid w:val="00006ED2"/>
    <w:rsid w:val="00006FC1"/>
    <w:rsid w:val="00010143"/>
    <w:rsid w:val="00010F68"/>
    <w:rsid w:val="000113B7"/>
    <w:rsid w:val="0001141A"/>
    <w:rsid w:val="00012C7E"/>
    <w:rsid w:val="00013178"/>
    <w:rsid w:val="00013B1C"/>
    <w:rsid w:val="00013F32"/>
    <w:rsid w:val="0001515F"/>
    <w:rsid w:val="00015189"/>
    <w:rsid w:val="00015581"/>
    <w:rsid w:val="000159A3"/>
    <w:rsid w:val="00015D60"/>
    <w:rsid w:val="00016A30"/>
    <w:rsid w:val="00016B64"/>
    <w:rsid w:val="000205DC"/>
    <w:rsid w:val="000207B4"/>
    <w:rsid w:val="0002134C"/>
    <w:rsid w:val="00021648"/>
    <w:rsid w:val="00021D47"/>
    <w:rsid w:val="00021EF1"/>
    <w:rsid w:val="00022B28"/>
    <w:rsid w:val="00023F0D"/>
    <w:rsid w:val="00024131"/>
    <w:rsid w:val="000249EB"/>
    <w:rsid w:val="00024BC0"/>
    <w:rsid w:val="0002572B"/>
    <w:rsid w:val="00025A63"/>
    <w:rsid w:val="00026082"/>
    <w:rsid w:val="000261F7"/>
    <w:rsid w:val="0002725D"/>
    <w:rsid w:val="000273BB"/>
    <w:rsid w:val="00027AEE"/>
    <w:rsid w:val="00027E19"/>
    <w:rsid w:val="00030351"/>
    <w:rsid w:val="00030F66"/>
    <w:rsid w:val="00031959"/>
    <w:rsid w:val="00031E1C"/>
    <w:rsid w:val="00031E49"/>
    <w:rsid w:val="0003239D"/>
    <w:rsid w:val="0003275A"/>
    <w:rsid w:val="00032B0E"/>
    <w:rsid w:val="00032F7A"/>
    <w:rsid w:val="00033055"/>
    <w:rsid w:val="00034396"/>
    <w:rsid w:val="00034AC0"/>
    <w:rsid w:val="000359EA"/>
    <w:rsid w:val="000366A1"/>
    <w:rsid w:val="00037968"/>
    <w:rsid w:val="00037D70"/>
    <w:rsid w:val="00037E12"/>
    <w:rsid w:val="00040227"/>
    <w:rsid w:val="00041B7C"/>
    <w:rsid w:val="000422A2"/>
    <w:rsid w:val="00042647"/>
    <w:rsid w:val="00042A30"/>
    <w:rsid w:val="00044165"/>
    <w:rsid w:val="00044225"/>
    <w:rsid w:val="000444B0"/>
    <w:rsid w:val="00044858"/>
    <w:rsid w:val="00044BF1"/>
    <w:rsid w:val="00045203"/>
    <w:rsid w:val="00045C28"/>
    <w:rsid w:val="00046602"/>
    <w:rsid w:val="00046C6A"/>
    <w:rsid w:val="00046EBB"/>
    <w:rsid w:val="00046EE8"/>
    <w:rsid w:val="00047AD3"/>
    <w:rsid w:val="00050B8D"/>
    <w:rsid w:val="00050C15"/>
    <w:rsid w:val="00050EF7"/>
    <w:rsid w:val="00051AB3"/>
    <w:rsid w:val="00052379"/>
    <w:rsid w:val="0005250B"/>
    <w:rsid w:val="00052CAE"/>
    <w:rsid w:val="000530B5"/>
    <w:rsid w:val="000538A4"/>
    <w:rsid w:val="00053BBB"/>
    <w:rsid w:val="00053D52"/>
    <w:rsid w:val="00053DD2"/>
    <w:rsid w:val="00054843"/>
    <w:rsid w:val="00054D89"/>
    <w:rsid w:val="000566EE"/>
    <w:rsid w:val="00056765"/>
    <w:rsid w:val="000568C6"/>
    <w:rsid w:val="00056BAD"/>
    <w:rsid w:val="00060421"/>
    <w:rsid w:val="0006062C"/>
    <w:rsid w:val="000608BD"/>
    <w:rsid w:val="00060915"/>
    <w:rsid w:val="00060D34"/>
    <w:rsid w:val="000611CE"/>
    <w:rsid w:val="0006156D"/>
    <w:rsid w:val="00061937"/>
    <w:rsid w:val="0006302D"/>
    <w:rsid w:val="000638C6"/>
    <w:rsid w:val="00064235"/>
    <w:rsid w:val="00064CBE"/>
    <w:rsid w:val="000652AA"/>
    <w:rsid w:val="00066120"/>
    <w:rsid w:val="000662A0"/>
    <w:rsid w:val="000664E2"/>
    <w:rsid w:val="0006695B"/>
    <w:rsid w:val="000707E0"/>
    <w:rsid w:val="00070A29"/>
    <w:rsid w:val="00070F7D"/>
    <w:rsid w:val="000715D3"/>
    <w:rsid w:val="000715E8"/>
    <w:rsid w:val="00071BBB"/>
    <w:rsid w:val="00072A2C"/>
    <w:rsid w:val="00073197"/>
    <w:rsid w:val="00073207"/>
    <w:rsid w:val="00073B84"/>
    <w:rsid w:val="00074054"/>
    <w:rsid w:val="00074114"/>
    <w:rsid w:val="00074676"/>
    <w:rsid w:val="000748B8"/>
    <w:rsid w:val="0007582A"/>
    <w:rsid w:val="000772E3"/>
    <w:rsid w:val="000778B7"/>
    <w:rsid w:val="00077FAF"/>
    <w:rsid w:val="0008014E"/>
    <w:rsid w:val="00082990"/>
    <w:rsid w:val="00082EAC"/>
    <w:rsid w:val="000831BD"/>
    <w:rsid w:val="00083859"/>
    <w:rsid w:val="00083C95"/>
    <w:rsid w:val="00084E6C"/>
    <w:rsid w:val="000854B0"/>
    <w:rsid w:val="00085713"/>
    <w:rsid w:val="00086356"/>
    <w:rsid w:val="00086450"/>
    <w:rsid w:val="00086BA8"/>
    <w:rsid w:val="000909EB"/>
    <w:rsid w:val="000914A2"/>
    <w:rsid w:val="00091E61"/>
    <w:rsid w:val="000920A0"/>
    <w:rsid w:val="00092FF2"/>
    <w:rsid w:val="00093251"/>
    <w:rsid w:val="000940B3"/>
    <w:rsid w:val="000941A4"/>
    <w:rsid w:val="000949AF"/>
    <w:rsid w:val="00094B03"/>
    <w:rsid w:val="000956ED"/>
    <w:rsid w:val="0009616A"/>
    <w:rsid w:val="0009685E"/>
    <w:rsid w:val="00096862"/>
    <w:rsid w:val="00096943"/>
    <w:rsid w:val="00097EFA"/>
    <w:rsid w:val="000A176D"/>
    <w:rsid w:val="000A2797"/>
    <w:rsid w:val="000A2A7E"/>
    <w:rsid w:val="000A3CA7"/>
    <w:rsid w:val="000A43DD"/>
    <w:rsid w:val="000A53B6"/>
    <w:rsid w:val="000A55C1"/>
    <w:rsid w:val="000A5C20"/>
    <w:rsid w:val="000A654C"/>
    <w:rsid w:val="000A6BDB"/>
    <w:rsid w:val="000A7BE3"/>
    <w:rsid w:val="000B0CE1"/>
    <w:rsid w:val="000B28C4"/>
    <w:rsid w:val="000B2DC3"/>
    <w:rsid w:val="000B37D9"/>
    <w:rsid w:val="000B40CD"/>
    <w:rsid w:val="000B483B"/>
    <w:rsid w:val="000B5125"/>
    <w:rsid w:val="000B534A"/>
    <w:rsid w:val="000B54B5"/>
    <w:rsid w:val="000B58F7"/>
    <w:rsid w:val="000B6873"/>
    <w:rsid w:val="000B6877"/>
    <w:rsid w:val="000B6F69"/>
    <w:rsid w:val="000B77C3"/>
    <w:rsid w:val="000B7C48"/>
    <w:rsid w:val="000C0A18"/>
    <w:rsid w:val="000C1116"/>
    <w:rsid w:val="000C2734"/>
    <w:rsid w:val="000C2E84"/>
    <w:rsid w:val="000C3194"/>
    <w:rsid w:val="000C334B"/>
    <w:rsid w:val="000C3C99"/>
    <w:rsid w:val="000C4661"/>
    <w:rsid w:val="000C4F26"/>
    <w:rsid w:val="000C67C6"/>
    <w:rsid w:val="000C6A5E"/>
    <w:rsid w:val="000C7443"/>
    <w:rsid w:val="000C794A"/>
    <w:rsid w:val="000D040D"/>
    <w:rsid w:val="000D05C6"/>
    <w:rsid w:val="000D06EF"/>
    <w:rsid w:val="000D0F39"/>
    <w:rsid w:val="000D12E7"/>
    <w:rsid w:val="000D177D"/>
    <w:rsid w:val="000D2421"/>
    <w:rsid w:val="000D25C6"/>
    <w:rsid w:val="000D2874"/>
    <w:rsid w:val="000D2C87"/>
    <w:rsid w:val="000D31E1"/>
    <w:rsid w:val="000D3A15"/>
    <w:rsid w:val="000D4154"/>
    <w:rsid w:val="000D45EA"/>
    <w:rsid w:val="000D468B"/>
    <w:rsid w:val="000D4AF9"/>
    <w:rsid w:val="000D5460"/>
    <w:rsid w:val="000D5891"/>
    <w:rsid w:val="000D6366"/>
    <w:rsid w:val="000D66B5"/>
    <w:rsid w:val="000D6B6C"/>
    <w:rsid w:val="000D7C6D"/>
    <w:rsid w:val="000E02B2"/>
    <w:rsid w:val="000E0766"/>
    <w:rsid w:val="000E082E"/>
    <w:rsid w:val="000E0858"/>
    <w:rsid w:val="000E08DC"/>
    <w:rsid w:val="000E0FEA"/>
    <w:rsid w:val="000E2288"/>
    <w:rsid w:val="000E251E"/>
    <w:rsid w:val="000E39B5"/>
    <w:rsid w:val="000E4F5F"/>
    <w:rsid w:val="000E581A"/>
    <w:rsid w:val="000E64B1"/>
    <w:rsid w:val="000E6EB8"/>
    <w:rsid w:val="000E71DE"/>
    <w:rsid w:val="000E7AE5"/>
    <w:rsid w:val="000E7AF7"/>
    <w:rsid w:val="000E7CB7"/>
    <w:rsid w:val="000E7ECF"/>
    <w:rsid w:val="000E7F5F"/>
    <w:rsid w:val="000F0416"/>
    <w:rsid w:val="000F0BC8"/>
    <w:rsid w:val="000F13DB"/>
    <w:rsid w:val="000F2536"/>
    <w:rsid w:val="000F2964"/>
    <w:rsid w:val="000F2F3C"/>
    <w:rsid w:val="000F4215"/>
    <w:rsid w:val="000F4395"/>
    <w:rsid w:val="000F4803"/>
    <w:rsid w:val="000F4DB3"/>
    <w:rsid w:val="000F55AD"/>
    <w:rsid w:val="000F560A"/>
    <w:rsid w:val="000F5E74"/>
    <w:rsid w:val="000F733C"/>
    <w:rsid w:val="000F7B8F"/>
    <w:rsid w:val="000F7EFA"/>
    <w:rsid w:val="000F7F5A"/>
    <w:rsid w:val="0010046B"/>
    <w:rsid w:val="00100A84"/>
    <w:rsid w:val="00100F33"/>
    <w:rsid w:val="00101BFA"/>
    <w:rsid w:val="00101C64"/>
    <w:rsid w:val="00101EDD"/>
    <w:rsid w:val="0010264A"/>
    <w:rsid w:val="00102D32"/>
    <w:rsid w:val="00103098"/>
    <w:rsid w:val="00103997"/>
    <w:rsid w:val="00103F46"/>
    <w:rsid w:val="001045D5"/>
    <w:rsid w:val="0010493F"/>
    <w:rsid w:val="001065DB"/>
    <w:rsid w:val="00106FCE"/>
    <w:rsid w:val="0010795D"/>
    <w:rsid w:val="00107E9B"/>
    <w:rsid w:val="00110574"/>
    <w:rsid w:val="0011155C"/>
    <w:rsid w:val="0011209D"/>
    <w:rsid w:val="00112321"/>
    <w:rsid w:val="001128AA"/>
    <w:rsid w:val="00112BA4"/>
    <w:rsid w:val="00112EED"/>
    <w:rsid w:val="0011372D"/>
    <w:rsid w:val="00114CD7"/>
    <w:rsid w:val="00115287"/>
    <w:rsid w:val="00115DAE"/>
    <w:rsid w:val="001160C3"/>
    <w:rsid w:val="0011629D"/>
    <w:rsid w:val="0012013B"/>
    <w:rsid w:val="00120522"/>
    <w:rsid w:val="001205AE"/>
    <w:rsid w:val="001208F5"/>
    <w:rsid w:val="001213E6"/>
    <w:rsid w:val="0012188D"/>
    <w:rsid w:val="001218A1"/>
    <w:rsid w:val="0012196F"/>
    <w:rsid w:val="00121C11"/>
    <w:rsid w:val="00122706"/>
    <w:rsid w:val="00122BFC"/>
    <w:rsid w:val="00122D8B"/>
    <w:rsid w:val="001237DF"/>
    <w:rsid w:val="0012509C"/>
    <w:rsid w:val="001251E3"/>
    <w:rsid w:val="00125290"/>
    <w:rsid w:val="00125A02"/>
    <w:rsid w:val="00126927"/>
    <w:rsid w:val="001273B1"/>
    <w:rsid w:val="00127DBC"/>
    <w:rsid w:val="00127F85"/>
    <w:rsid w:val="00130C29"/>
    <w:rsid w:val="00130E6A"/>
    <w:rsid w:val="00130EAC"/>
    <w:rsid w:val="00131C0D"/>
    <w:rsid w:val="001327AC"/>
    <w:rsid w:val="00133638"/>
    <w:rsid w:val="00133F18"/>
    <w:rsid w:val="00133F66"/>
    <w:rsid w:val="001340D6"/>
    <w:rsid w:val="00134B07"/>
    <w:rsid w:val="00135B94"/>
    <w:rsid w:val="00135F16"/>
    <w:rsid w:val="00136771"/>
    <w:rsid w:val="001370FB"/>
    <w:rsid w:val="00137BE1"/>
    <w:rsid w:val="00137E0E"/>
    <w:rsid w:val="00140552"/>
    <w:rsid w:val="001407FF"/>
    <w:rsid w:val="001408EC"/>
    <w:rsid w:val="001409CF"/>
    <w:rsid w:val="00140A0F"/>
    <w:rsid w:val="001410D7"/>
    <w:rsid w:val="0014165C"/>
    <w:rsid w:val="00142199"/>
    <w:rsid w:val="0014227B"/>
    <w:rsid w:val="001422FD"/>
    <w:rsid w:val="00142E42"/>
    <w:rsid w:val="00143309"/>
    <w:rsid w:val="001434D5"/>
    <w:rsid w:val="00143518"/>
    <w:rsid w:val="0014388B"/>
    <w:rsid w:val="00143A7F"/>
    <w:rsid w:val="00143C24"/>
    <w:rsid w:val="0014415F"/>
    <w:rsid w:val="001447F7"/>
    <w:rsid w:val="001449E5"/>
    <w:rsid w:val="00145803"/>
    <w:rsid w:val="00145D09"/>
    <w:rsid w:val="0014649C"/>
    <w:rsid w:val="001464E5"/>
    <w:rsid w:val="0014672D"/>
    <w:rsid w:val="001469B1"/>
    <w:rsid w:val="00146F7B"/>
    <w:rsid w:val="00146F94"/>
    <w:rsid w:val="00147332"/>
    <w:rsid w:val="001479F4"/>
    <w:rsid w:val="001500CA"/>
    <w:rsid w:val="00150594"/>
    <w:rsid w:val="00150946"/>
    <w:rsid w:val="00150B53"/>
    <w:rsid w:val="00151599"/>
    <w:rsid w:val="00151E59"/>
    <w:rsid w:val="00151F71"/>
    <w:rsid w:val="001528B6"/>
    <w:rsid w:val="00152FC8"/>
    <w:rsid w:val="00153136"/>
    <w:rsid w:val="001548CB"/>
    <w:rsid w:val="00155469"/>
    <w:rsid w:val="001556D5"/>
    <w:rsid w:val="00156185"/>
    <w:rsid w:val="00156E55"/>
    <w:rsid w:val="00157574"/>
    <w:rsid w:val="00157665"/>
    <w:rsid w:val="0016039D"/>
    <w:rsid w:val="0016049C"/>
    <w:rsid w:val="0016049E"/>
    <w:rsid w:val="001606F8"/>
    <w:rsid w:val="00160917"/>
    <w:rsid w:val="00160D9A"/>
    <w:rsid w:val="00161359"/>
    <w:rsid w:val="00162404"/>
    <w:rsid w:val="00163595"/>
    <w:rsid w:val="001642A6"/>
    <w:rsid w:val="001647CF"/>
    <w:rsid w:val="00165476"/>
    <w:rsid w:val="00166006"/>
    <w:rsid w:val="00166010"/>
    <w:rsid w:val="00167719"/>
    <w:rsid w:val="001714DC"/>
    <w:rsid w:val="0017277A"/>
    <w:rsid w:val="0017298E"/>
    <w:rsid w:val="00172E5D"/>
    <w:rsid w:val="00172FA2"/>
    <w:rsid w:val="00173181"/>
    <w:rsid w:val="00173312"/>
    <w:rsid w:val="00173D00"/>
    <w:rsid w:val="001740A9"/>
    <w:rsid w:val="001746A3"/>
    <w:rsid w:val="00174CC7"/>
    <w:rsid w:val="00174DB5"/>
    <w:rsid w:val="00175181"/>
    <w:rsid w:val="00175580"/>
    <w:rsid w:val="00175C09"/>
    <w:rsid w:val="00175D86"/>
    <w:rsid w:val="001762EA"/>
    <w:rsid w:val="001764F7"/>
    <w:rsid w:val="00176567"/>
    <w:rsid w:val="00176EF8"/>
    <w:rsid w:val="00176F5F"/>
    <w:rsid w:val="00177E46"/>
    <w:rsid w:val="00177EF8"/>
    <w:rsid w:val="001802EB"/>
    <w:rsid w:val="00180D41"/>
    <w:rsid w:val="00180FD1"/>
    <w:rsid w:val="00181722"/>
    <w:rsid w:val="001819DD"/>
    <w:rsid w:val="001823DD"/>
    <w:rsid w:val="001829AC"/>
    <w:rsid w:val="001829FD"/>
    <w:rsid w:val="00182C5B"/>
    <w:rsid w:val="0018320B"/>
    <w:rsid w:val="00183ABF"/>
    <w:rsid w:val="00184AEB"/>
    <w:rsid w:val="00186420"/>
    <w:rsid w:val="001864F5"/>
    <w:rsid w:val="001867BB"/>
    <w:rsid w:val="00187568"/>
    <w:rsid w:val="00187595"/>
    <w:rsid w:val="00187867"/>
    <w:rsid w:val="001879CD"/>
    <w:rsid w:val="00187CA9"/>
    <w:rsid w:val="001903AE"/>
    <w:rsid w:val="001909F6"/>
    <w:rsid w:val="00190FC6"/>
    <w:rsid w:val="00191556"/>
    <w:rsid w:val="00192730"/>
    <w:rsid w:val="00194651"/>
    <w:rsid w:val="001946AD"/>
    <w:rsid w:val="00195BDE"/>
    <w:rsid w:val="00195C90"/>
    <w:rsid w:val="001966FD"/>
    <w:rsid w:val="00196DF3"/>
    <w:rsid w:val="00197989"/>
    <w:rsid w:val="00197FD1"/>
    <w:rsid w:val="001A010B"/>
    <w:rsid w:val="001A03AB"/>
    <w:rsid w:val="001A10A3"/>
    <w:rsid w:val="001A12F6"/>
    <w:rsid w:val="001A1D9F"/>
    <w:rsid w:val="001A26C7"/>
    <w:rsid w:val="001A315C"/>
    <w:rsid w:val="001A3642"/>
    <w:rsid w:val="001A4097"/>
    <w:rsid w:val="001A487B"/>
    <w:rsid w:val="001A6546"/>
    <w:rsid w:val="001A6DD7"/>
    <w:rsid w:val="001A6DE4"/>
    <w:rsid w:val="001A6FD4"/>
    <w:rsid w:val="001B00AB"/>
    <w:rsid w:val="001B02EE"/>
    <w:rsid w:val="001B0403"/>
    <w:rsid w:val="001B04D1"/>
    <w:rsid w:val="001B065A"/>
    <w:rsid w:val="001B128F"/>
    <w:rsid w:val="001B164B"/>
    <w:rsid w:val="001B2161"/>
    <w:rsid w:val="001B2162"/>
    <w:rsid w:val="001B2260"/>
    <w:rsid w:val="001B2AF8"/>
    <w:rsid w:val="001B3F71"/>
    <w:rsid w:val="001B4551"/>
    <w:rsid w:val="001B4E5B"/>
    <w:rsid w:val="001B5245"/>
    <w:rsid w:val="001B56C8"/>
    <w:rsid w:val="001B5939"/>
    <w:rsid w:val="001B5DC1"/>
    <w:rsid w:val="001B6630"/>
    <w:rsid w:val="001B6A60"/>
    <w:rsid w:val="001B6E35"/>
    <w:rsid w:val="001B78DC"/>
    <w:rsid w:val="001B79A8"/>
    <w:rsid w:val="001B7B56"/>
    <w:rsid w:val="001B7D82"/>
    <w:rsid w:val="001B7EE1"/>
    <w:rsid w:val="001C0756"/>
    <w:rsid w:val="001C0AB1"/>
    <w:rsid w:val="001C111B"/>
    <w:rsid w:val="001C135C"/>
    <w:rsid w:val="001C271F"/>
    <w:rsid w:val="001C29DC"/>
    <w:rsid w:val="001C31C6"/>
    <w:rsid w:val="001C3B1D"/>
    <w:rsid w:val="001C4559"/>
    <w:rsid w:val="001C48ED"/>
    <w:rsid w:val="001C4AD3"/>
    <w:rsid w:val="001C5944"/>
    <w:rsid w:val="001C62BA"/>
    <w:rsid w:val="001C6657"/>
    <w:rsid w:val="001C69E9"/>
    <w:rsid w:val="001C6CD0"/>
    <w:rsid w:val="001C6FAE"/>
    <w:rsid w:val="001C76DA"/>
    <w:rsid w:val="001C7D68"/>
    <w:rsid w:val="001C7DA2"/>
    <w:rsid w:val="001C7F5A"/>
    <w:rsid w:val="001D0C15"/>
    <w:rsid w:val="001D10AF"/>
    <w:rsid w:val="001D2695"/>
    <w:rsid w:val="001D27E7"/>
    <w:rsid w:val="001D2BCE"/>
    <w:rsid w:val="001D3DA6"/>
    <w:rsid w:val="001D3F19"/>
    <w:rsid w:val="001D4411"/>
    <w:rsid w:val="001D4DA4"/>
    <w:rsid w:val="001D50CD"/>
    <w:rsid w:val="001D6891"/>
    <w:rsid w:val="001D6940"/>
    <w:rsid w:val="001D78C7"/>
    <w:rsid w:val="001D7B70"/>
    <w:rsid w:val="001D7DB5"/>
    <w:rsid w:val="001E05AF"/>
    <w:rsid w:val="001E09D4"/>
    <w:rsid w:val="001E0D1F"/>
    <w:rsid w:val="001E0DA8"/>
    <w:rsid w:val="001E1AEF"/>
    <w:rsid w:val="001E1C54"/>
    <w:rsid w:val="001E2547"/>
    <w:rsid w:val="001E2784"/>
    <w:rsid w:val="001E2E1E"/>
    <w:rsid w:val="001E300F"/>
    <w:rsid w:val="001E343E"/>
    <w:rsid w:val="001E3A3E"/>
    <w:rsid w:val="001E40F5"/>
    <w:rsid w:val="001E4666"/>
    <w:rsid w:val="001E4E81"/>
    <w:rsid w:val="001E5801"/>
    <w:rsid w:val="001E58E7"/>
    <w:rsid w:val="001E5D8B"/>
    <w:rsid w:val="001E646E"/>
    <w:rsid w:val="001E664F"/>
    <w:rsid w:val="001E6BA2"/>
    <w:rsid w:val="001E6DD3"/>
    <w:rsid w:val="001F0873"/>
    <w:rsid w:val="001F09F2"/>
    <w:rsid w:val="001F0BD5"/>
    <w:rsid w:val="001F14D9"/>
    <w:rsid w:val="001F1A23"/>
    <w:rsid w:val="001F1C02"/>
    <w:rsid w:val="001F1D7C"/>
    <w:rsid w:val="001F253D"/>
    <w:rsid w:val="001F35D4"/>
    <w:rsid w:val="001F3826"/>
    <w:rsid w:val="001F3FD6"/>
    <w:rsid w:val="001F42CF"/>
    <w:rsid w:val="001F43BB"/>
    <w:rsid w:val="001F48D4"/>
    <w:rsid w:val="001F5428"/>
    <w:rsid w:val="001F57F8"/>
    <w:rsid w:val="001F591D"/>
    <w:rsid w:val="001F5B3B"/>
    <w:rsid w:val="001F5C90"/>
    <w:rsid w:val="001F6687"/>
    <w:rsid w:val="001F6FE9"/>
    <w:rsid w:val="001F77E0"/>
    <w:rsid w:val="001F7C9D"/>
    <w:rsid w:val="001F7ED9"/>
    <w:rsid w:val="00200510"/>
    <w:rsid w:val="00200569"/>
    <w:rsid w:val="002008FC"/>
    <w:rsid w:val="0020094B"/>
    <w:rsid w:val="002011C6"/>
    <w:rsid w:val="00201345"/>
    <w:rsid w:val="00201A82"/>
    <w:rsid w:val="0020272C"/>
    <w:rsid w:val="0020326C"/>
    <w:rsid w:val="0020372E"/>
    <w:rsid w:val="00203922"/>
    <w:rsid w:val="00203A70"/>
    <w:rsid w:val="00203B0E"/>
    <w:rsid w:val="00203CBC"/>
    <w:rsid w:val="0020426A"/>
    <w:rsid w:val="00204A06"/>
    <w:rsid w:val="00204ECE"/>
    <w:rsid w:val="00204F6F"/>
    <w:rsid w:val="00205EA2"/>
    <w:rsid w:val="002063C8"/>
    <w:rsid w:val="00206545"/>
    <w:rsid w:val="00206BB9"/>
    <w:rsid w:val="0021038D"/>
    <w:rsid w:val="002103C6"/>
    <w:rsid w:val="0021071E"/>
    <w:rsid w:val="00210D42"/>
    <w:rsid w:val="00210EE1"/>
    <w:rsid w:val="00211078"/>
    <w:rsid w:val="002125CC"/>
    <w:rsid w:val="002127D9"/>
    <w:rsid w:val="002129AE"/>
    <w:rsid w:val="00213C35"/>
    <w:rsid w:val="00213D58"/>
    <w:rsid w:val="002153D4"/>
    <w:rsid w:val="00215C9D"/>
    <w:rsid w:val="00216363"/>
    <w:rsid w:val="00216683"/>
    <w:rsid w:val="0021719C"/>
    <w:rsid w:val="00217D17"/>
    <w:rsid w:val="00217DE1"/>
    <w:rsid w:val="00217F37"/>
    <w:rsid w:val="00217F63"/>
    <w:rsid w:val="002207F8"/>
    <w:rsid w:val="00220BCB"/>
    <w:rsid w:val="002215C8"/>
    <w:rsid w:val="00221FD5"/>
    <w:rsid w:val="0022290A"/>
    <w:rsid w:val="00223176"/>
    <w:rsid w:val="00223662"/>
    <w:rsid w:val="00223D09"/>
    <w:rsid w:val="00223DA1"/>
    <w:rsid w:val="00224417"/>
    <w:rsid w:val="00225615"/>
    <w:rsid w:val="002266A6"/>
    <w:rsid w:val="0022697B"/>
    <w:rsid w:val="00227B59"/>
    <w:rsid w:val="00230559"/>
    <w:rsid w:val="00230858"/>
    <w:rsid w:val="002311EC"/>
    <w:rsid w:val="00232F6E"/>
    <w:rsid w:val="0023353C"/>
    <w:rsid w:val="00233C5F"/>
    <w:rsid w:val="00233FE0"/>
    <w:rsid w:val="00234285"/>
    <w:rsid w:val="00234384"/>
    <w:rsid w:val="00235049"/>
    <w:rsid w:val="00235206"/>
    <w:rsid w:val="00235216"/>
    <w:rsid w:val="00235557"/>
    <w:rsid w:val="00235BDF"/>
    <w:rsid w:val="00235C64"/>
    <w:rsid w:val="00235ED9"/>
    <w:rsid w:val="002360D5"/>
    <w:rsid w:val="0023611B"/>
    <w:rsid w:val="002369C1"/>
    <w:rsid w:val="00236DBE"/>
    <w:rsid w:val="002373C8"/>
    <w:rsid w:val="00237603"/>
    <w:rsid w:val="00237706"/>
    <w:rsid w:val="00237C9A"/>
    <w:rsid w:val="00237D53"/>
    <w:rsid w:val="00237F14"/>
    <w:rsid w:val="00240051"/>
    <w:rsid w:val="00240301"/>
    <w:rsid w:val="00240935"/>
    <w:rsid w:val="00240A9A"/>
    <w:rsid w:val="00240D5C"/>
    <w:rsid w:val="002416EB"/>
    <w:rsid w:val="00242E14"/>
    <w:rsid w:val="0024305B"/>
    <w:rsid w:val="00243DB5"/>
    <w:rsid w:val="00243E16"/>
    <w:rsid w:val="002448EC"/>
    <w:rsid w:val="00244E30"/>
    <w:rsid w:val="002452BB"/>
    <w:rsid w:val="002458DA"/>
    <w:rsid w:val="00245EA8"/>
    <w:rsid w:val="00246361"/>
    <w:rsid w:val="00246AB3"/>
    <w:rsid w:val="00246C6C"/>
    <w:rsid w:val="00246EE8"/>
    <w:rsid w:val="0024797E"/>
    <w:rsid w:val="00251406"/>
    <w:rsid w:val="002539FE"/>
    <w:rsid w:val="00253C82"/>
    <w:rsid w:val="00253FC2"/>
    <w:rsid w:val="002541FA"/>
    <w:rsid w:val="002544DA"/>
    <w:rsid w:val="0025498D"/>
    <w:rsid w:val="00254995"/>
    <w:rsid w:val="00255520"/>
    <w:rsid w:val="0025671D"/>
    <w:rsid w:val="002567AC"/>
    <w:rsid w:val="00260C9C"/>
    <w:rsid w:val="00260DE3"/>
    <w:rsid w:val="00261061"/>
    <w:rsid w:val="00261C27"/>
    <w:rsid w:val="0026212D"/>
    <w:rsid w:val="0026286B"/>
    <w:rsid w:val="00262A2F"/>
    <w:rsid w:val="00262F01"/>
    <w:rsid w:val="00263569"/>
    <w:rsid w:val="002638ED"/>
    <w:rsid w:val="00263EB1"/>
    <w:rsid w:val="002641E6"/>
    <w:rsid w:val="002658A1"/>
    <w:rsid w:val="00265BC0"/>
    <w:rsid w:val="0026652F"/>
    <w:rsid w:val="00266A15"/>
    <w:rsid w:val="00267859"/>
    <w:rsid w:val="002678DD"/>
    <w:rsid w:val="00270471"/>
    <w:rsid w:val="0027119C"/>
    <w:rsid w:val="0027178D"/>
    <w:rsid w:val="00271AB3"/>
    <w:rsid w:val="0027255E"/>
    <w:rsid w:val="00272D4B"/>
    <w:rsid w:val="00272E11"/>
    <w:rsid w:val="00272ECA"/>
    <w:rsid w:val="00273466"/>
    <w:rsid w:val="002743F1"/>
    <w:rsid w:val="00274532"/>
    <w:rsid w:val="002754E4"/>
    <w:rsid w:val="00275E70"/>
    <w:rsid w:val="00276441"/>
    <w:rsid w:val="002770BE"/>
    <w:rsid w:val="00277F9D"/>
    <w:rsid w:val="00280260"/>
    <w:rsid w:val="00280276"/>
    <w:rsid w:val="002802F3"/>
    <w:rsid w:val="0028055D"/>
    <w:rsid w:val="00282175"/>
    <w:rsid w:val="002821F4"/>
    <w:rsid w:val="002825F4"/>
    <w:rsid w:val="00282C13"/>
    <w:rsid w:val="002832C3"/>
    <w:rsid w:val="002836F6"/>
    <w:rsid w:val="002837F6"/>
    <w:rsid w:val="002838CF"/>
    <w:rsid w:val="00284711"/>
    <w:rsid w:val="0028471A"/>
    <w:rsid w:val="00285CE4"/>
    <w:rsid w:val="00285EE2"/>
    <w:rsid w:val="002860C1"/>
    <w:rsid w:val="0028611A"/>
    <w:rsid w:val="00286B0B"/>
    <w:rsid w:val="00286BCA"/>
    <w:rsid w:val="002877FE"/>
    <w:rsid w:val="00287C31"/>
    <w:rsid w:val="00290E17"/>
    <w:rsid w:val="002915CE"/>
    <w:rsid w:val="00291691"/>
    <w:rsid w:val="00291745"/>
    <w:rsid w:val="00291BC4"/>
    <w:rsid w:val="0029253A"/>
    <w:rsid w:val="002937D7"/>
    <w:rsid w:val="00294A5C"/>
    <w:rsid w:val="00294CA3"/>
    <w:rsid w:val="002958A1"/>
    <w:rsid w:val="002961D8"/>
    <w:rsid w:val="00296738"/>
    <w:rsid w:val="002974CC"/>
    <w:rsid w:val="002975D2"/>
    <w:rsid w:val="0029764E"/>
    <w:rsid w:val="00297CA5"/>
    <w:rsid w:val="002A1ECB"/>
    <w:rsid w:val="002A2F12"/>
    <w:rsid w:val="002A34D7"/>
    <w:rsid w:val="002A4148"/>
    <w:rsid w:val="002A4DBF"/>
    <w:rsid w:val="002A5972"/>
    <w:rsid w:val="002A5F3F"/>
    <w:rsid w:val="002A5F82"/>
    <w:rsid w:val="002A6618"/>
    <w:rsid w:val="002A6B0C"/>
    <w:rsid w:val="002A6C4C"/>
    <w:rsid w:val="002A6CC3"/>
    <w:rsid w:val="002A7B98"/>
    <w:rsid w:val="002B074C"/>
    <w:rsid w:val="002B0D97"/>
    <w:rsid w:val="002B117A"/>
    <w:rsid w:val="002B14D4"/>
    <w:rsid w:val="002B1A6C"/>
    <w:rsid w:val="002B1A6E"/>
    <w:rsid w:val="002B2C1E"/>
    <w:rsid w:val="002B2E47"/>
    <w:rsid w:val="002B3E85"/>
    <w:rsid w:val="002B3F76"/>
    <w:rsid w:val="002B449E"/>
    <w:rsid w:val="002B44EA"/>
    <w:rsid w:val="002B4EE1"/>
    <w:rsid w:val="002B59F2"/>
    <w:rsid w:val="002B6A0D"/>
    <w:rsid w:val="002B7316"/>
    <w:rsid w:val="002B7D43"/>
    <w:rsid w:val="002B7E3F"/>
    <w:rsid w:val="002B7F94"/>
    <w:rsid w:val="002C08F1"/>
    <w:rsid w:val="002C1088"/>
    <w:rsid w:val="002C10A1"/>
    <w:rsid w:val="002C10A9"/>
    <w:rsid w:val="002C1D6A"/>
    <w:rsid w:val="002C1FE6"/>
    <w:rsid w:val="002C3317"/>
    <w:rsid w:val="002C3401"/>
    <w:rsid w:val="002C3BA2"/>
    <w:rsid w:val="002C3D5E"/>
    <w:rsid w:val="002C3DB0"/>
    <w:rsid w:val="002C431B"/>
    <w:rsid w:val="002C49EA"/>
    <w:rsid w:val="002C4B21"/>
    <w:rsid w:val="002C50C0"/>
    <w:rsid w:val="002C5520"/>
    <w:rsid w:val="002C5653"/>
    <w:rsid w:val="002C5A64"/>
    <w:rsid w:val="002C5C59"/>
    <w:rsid w:val="002C5F3C"/>
    <w:rsid w:val="002C6B65"/>
    <w:rsid w:val="002C6EE9"/>
    <w:rsid w:val="002C7DE2"/>
    <w:rsid w:val="002C7F74"/>
    <w:rsid w:val="002D0FEC"/>
    <w:rsid w:val="002D142B"/>
    <w:rsid w:val="002D17D4"/>
    <w:rsid w:val="002D1BFD"/>
    <w:rsid w:val="002D1EEE"/>
    <w:rsid w:val="002D24F1"/>
    <w:rsid w:val="002D3F04"/>
    <w:rsid w:val="002D43A4"/>
    <w:rsid w:val="002D4486"/>
    <w:rsid w:val="002D512C"/>
    <w:rsid w:val="002D53DA"/>
    <w:rsid w:val="002D5437"/>
    <w:rsid w:val="002D5DA3"/>
    <w:rsid w:val="002D707F"/>
    <w:rsid w:val="002D71FD"/>
    <w:rsid w:val="002E061C"/>
    <w:rsid w:val="002E082C"/>
    <w:rsid w:val="002E116F"/>
    <w:rsid w:val="002E16D2"/>
    <w:rsid w:val="002E175A"/>
    <w:rsid w:val="002E1D1C"/>
    <w:rsid w:val="002E2E2A"/>
    <w:rsid w:val="002E3985"/>
    <w:rsid w:val="002E3A0F"/>
    <w:rsid w:val="002E476F"/>
    <w:rsid w:val="002E586E"/>
    <w:rsid w:val="002E5A30"/>
    <w:rsid w:val="002E5DBD"/>
    <w:rsid w:val="002E685C"/>
    <w:rsid w:val="002E6C18"/>
    <w:rsid w:val="002E7098"/>
    <w:rsid w:val="002E70A7"/>
    <w:rsid w:val="002E75DD"/>
    <w:rsid w:val="002E7CF2"/>
    <w:rsid w:val="002F04FD"/>
    <w:rsid w:val="002F0650"/>
    <w:rsid w:val="002F08A9"/>
    <w:rsid w:val="002F0AF1"/>
    <w:rsid w:val="002F107E"/>
    <w:rsid w:val="002F23FF"/>
    <w:rsid w:val="002F32A7"/>
    <w:rsid w:val="002F37DD"/>
    <w:rsid w:val="002F3BBA"/>
    <w:rsid w:val="002F4581"/>
    <w:rsid w:val="002F49A2"/>
    <w:rsid w:val="002F54DE"/>
    <w:rsid w:val="002F592A"/>
    <w:rsid w:val="002F598D"/>
    <w:rsid w:val="002F5D38"/>
    <w:rsid w:val="002F70E6"/>
    <w:rsid w:val="002F7BEE"/>
    <w:rsid w:val="002F7C8A"/>
    <w:rsid w:val="002F7D07"/>
    <w:rsid w:val="00300796"/>
    <w:rsid w:val="00300972"/>
    <w:rsid w:val="00300B4B"/>
    <w:rsid w:val="00300D4E"/>
    <w:rsid w:val="00300D6D"/>
    <w:rsid w:val="00300DF7"/>
    <w:rsid w:val="00301163"/>
    <w:rsid w:val="00301249"/>
    <w:rsid w:val="0030207D"/>
    <w:rsid w:val="00302465"/>
    <w:rsid w:val="00302D4A"/>
    <w:rsid w:val="00302F2B"/>
    <w:rsid w:val="00303331"/>
    <w:rsid w:val="003038B0"/>
    <w:rsid w:val="00303935"/>
    <w:rsid w:val="00303B05"/>
    <w:rsid w:val="00303D0A"/>
    <w:rsid w:val="00304455"/>
    <w:rsid w:val="00304805"/>
    <w:rsid w:val="00304DCB"/>
    <w:rsid w:val="003058F5"/>
    <w:rsid w:val="0030612C"/>
    <w:rsid w:val="00306402"/>
    <w:rsid w:val="00306546"/>
    <w:rsid w:val="003068F0"/>
    <w:rsid w:val="00310218"/>
    <w:rsid w:val="00310256"/>
    <w:rsid w:val="00310410"/>
    <w:rsid w:val="00310E58"/>
    <w:rsid w:val="00310E8E"/>
    <w:rsid w:val="00311275"/>
    <w:rsid w:val="003126E2"/>
    <w:rsid w:val="00312987"/>
    <w:rsid w:val="00312BFA"/>
    <w:rsid w:val="003139C4"/>
    <w:rsid w:val="00313D63"/>
    <w:rsid w:val="00314029"/>
    <w:rsid w:val="00314491"/>
    <w:rsid w:val="00314F83"/>
    <w:rsid w:val="003151DD"/>
    <w:rsid w:val="0031652B"/>
    <w:rsid w:val="00316F53"/>
    <w:rsid w:val="003176C1"/>
    <w:rsid w:val="00317FF6"/>
    <w:rsid w:val="003203A1"/>
    <w:rsid w:val="0032087F"/>
    <w:rsid w:val="0032149E"/>
    <w:rsid w:val="003218DC"/>
    <w:rsid w:val="00321B1E"/>
    <w:rsid w:val="00322521"/>
    <w:rsid w:val="00322832"/>
    <w:rsid w:val="0032285A"/>
    <w:rsid w:val="003235D9"/>
    <w:rsid w:val="0032372F"/>
    <w:rsid w:val="0032439D"/>
    <w:rsid w:val="0032454E"/>
    <w:rsid w:val="003245F7"/>
    <w:rsid w:val="00324FD1"/>
    <w:rsid w:val="003265D8"/>
    <w:rsid w:val="0032663C"/>
    <w:rsid w:val="00326641"/>
    <w:rsid w:val="00326A8A"/>
    <w:rsid w:val="00326D8B"/>
    <w:rsid w:val="003277DA"/>
    <w:rsid w:val="003279C2"/>
    <w:rsid w:val="00331260"/>
    <w:rsid w:val="003313FC"/>
    <w:rsid w:val="00331D5A"/>
    <w:rsid w:val="00331E3E"/>
    <w:rsid w:val="00331FA0"/>
    <w:rsid w:val="003328A5"/>
    <w:rsid w:val="00332CD8"/>
    <w:rsid w:val="00333467"/>
    <w:rsid w:val="00334E85"/>
    <w:rsid w:val="00335909"/>
    <w:rsid w:val="00336C45"/>
    <w:rsid w:val="00340287"/>
    <w:rsid w:val="003409B6"/>
    <w:rsid w:val="0034155B"/>
    <w:rsid w:val="00342175"/>
    <w:rsid w:val="003421B6"/>
    <w:rsid w:val="00342490"/>
    <w:rsid w:val="0034277D"/>
    <w:rsid w:val="00342A0E"/>
    <w:rsid w:val="00342C07"/>
    <w:rsid w:val="00342CC5"/>
    <w:rsid w:val="00342E46"/>
    <w:rsid w:val="003434C8"/>
    <w:rsid w:val="00343601"/>
    <w:rsid w:val="003438F9"/>
    <w:rsid w:val="003443FC"/>
    <w:rsid w:val="00344DB8"/>
    <w:rsid w:val="00345429"/>
    <w:rsid w:val="00345638"/>
    <w:rsid w:val="00346B9F"/>
    <w:rsid w:val="00346D5B"/>
    <w:rsid w:val="0034782A"/>
    <w:rsid w:val="00350A42"/>
    <w:rsid w:val="00350D38"/>
    <w:rsid w:val="00351BA0"/>
    <w:rsid w:val="00351CA0"/>
    <w:rsid w:val="003522F5"/>
    <w:rsid w:val="003527CB"/>
    <w:rsid w:val="00352860"/>
    <w:rsid w:val="00352D20"/>
    <w:rsid w:val="00353024"/>
    <w:rsid w:val="00353044"/>
    <w:rsid w:val="00353E3E"/>
    <w:rsid w:val="00353E41"/>
    <w:rsid w:val="00354D37"/>
    <w:rsid w:val="003556E3"/>
    <w:rsid w:val="00355D62"/>
    <w:rsid w:val="0035635F"/>
    <w:rsid w:val="0035658B"/>
    <w:rsid w:val="00360727"/>
    <w:rsid w:val="00360A46"/>
    <w:rsid w:val="00361200"/>
    <w:rsid w:val="0036153D"/>
    <w:rsid w:val="003616FB"/>
    <w:rsid w:val="003624F9"/>
    <w:rsid w:val="003626EB"/>
    <w:rsid w:val="00362C94"/>
    <w:rsid w:val="00363CB7"/>
    <w:rsid w:val="00364775"/>
    <w:rsid w:val="00364876"/>
    <w:rsid w:val="00364C46"/>
    <w:rsid w:val="0036570F"/>
    <w:rsid w:val="00365ED2"/>
    <w:rsid w:val="00366603"/>
    <w:rsid w:val="00367405"/>
    <w:rsid w:val="003677B8"/>
    <w:rsid w:val="00367B65"/>
    <w:rsid w:val="0037073E"/>
    <w:rsid w:val="003714B5"/>
    <w:rsid w:val="003714E2"/>
    <w:rsid w:val="003724FD"/>
    <w:rsid w:val="003725BC"/>
    <w:rsid w:val="00372C23"/>
    <w:rsid w:val="003735C7"/>
    <w:rsid w:val="003735CC"/>
    <w:rsid w:val="00373813"/>
    <w:rsid w:val="00373D25"/>
    <w:rsid w:val="00375B72"/>
    <w:rsid w:val="00375DC3"/>
    <w:rsid w:val="003761BD"/>
    <w:rsid w:val="003774C9"/>
    <w:rsid w:val="00377B99"/>
    <w:rsid w:val="00377BB6"/>
    <w:rsid w:val="00377D69"/>
    <w:rsid w:val="00380568"/>
    <w:rsid w:val="00381188"/>
    <w:rsid w:val="003813F4"/>
    <w:rsid w:val="0038165A"/>
    <w:rsid w:val="00381EFB"/>
    <w:rsid w:val="00382472"/>
    <w:rsid w:val="003828C2"/>
    <w:rsid w:val="00382B9A"/>
    <w:rsid w:val="0038327E"/>
    <w:rsid w:val="003837D2"/>
    <w:rsid w:val="00383D15"/>
    <w:rsid w:val="0038442D"/>
    <w:rsid w:val="003846C9"/>
    <w:rsid w:val="00384B31"/>
    <w:rsid w:val="00385BDC"/>
    <w:rsid w:val="00385F07"/>
    <w:rsid w:val="003861A7"/>
    <w:rsid w:val="00386378"/>
    <w:rsid w:val="003863B6"/>
    <w:rsid w:val="00386539"/>
    <w:rsid w:val="003875FC"/>
    <w:rsid w:val="003878D0"/>
    <w:rsid w:val="00387CAD"/>
    <w:rsid w:val="003903D9"/>
    <w:rsid w:val="00390B32"/>
    <w:rsid w:val="00391DE6"/>
    <w:rsid w:val="00391E55"/>
    <w:rsid w:val="0039279C"/>
    <w:rsid w:val="00393869"/>
    <w:rsid w:val="00393982"/>
    <w:rsid w:val="00393A03"/>
    <w:rsid w:val="00393B7D"/>
    <w:rsid w:val="00393C4D"/>
    <w:rsid w:val="00394385"/>
    <w:rsid w:val="003951D2"/>
    <w:rsid w:val="00395A6A"/>
    <w:rsid w:val="00395F5B"/>
    <w:rsid w:val="00396A44"/>
    <w:rsid w:val="00396A62"/>
    <w:rsid w:val="00397868"/>
    <w:rsid w:val="00397C8B"/>
    <w:rsid w:val="003A007C"/>
    <w:rsid w:val="003A0FA4"/>
    <w:rsid w:val="003A17CA"/>
    <w:rsid w:val="003A1BA7"/>
    <w:rsid w:val="003A1E7D"/>
    <w:rsid w:val="003A24D6"/>
    <w:rsid w:val="003A31BB"/>
    <w:rsid w:val="003A3AD9"/>
    <w:rsid w:val="003A3D4E"/>
    <w:rsid w:val="003A4FC5"/>
    <w:rsid w:val="003A5A6D"/>
    <w:rsid w:val="003A60B3"/>
    <w:rsid w:val="003A66FE"/>
    <w:rsid w:val="003A691F"/>
    <w:rsid w:val="003A757B"/>
    <w:rsid w:val="003A773A"/>
    <w:rsid w:val="003B0C5F"/>
    <w:rsid w:val="003B114F"/>
    <w:rsid w:val="003B12E0"/>
    <w:rsid w:val="003B1BCB"/>
    <w:rsid w:val="003B1E9B"/>
    <w:rsid w:val="003B2A00"/>
    <w:rsid w:val="003B3032"/>
    <w:rsid w:val="003B34D0"/>
    <w:rsid w:val="003B4EC0"/>
    <w:rsid w:val="003B580B"/>
    <w:rsid w:val="003B5824"/>
    <w:rsid w:val="003B5FCB"/>
    <w:rsid w:val="003B655A"/>
    <w:rsid w:val="003B6DE1"/>
    <w:rsid w:val="003B7A2A"/>
    <w:rsid w:val="003C0FD9"/>
    <w:rsid w:val="003C1701"/>
    <w:rsid w:val="003C269D"/>
    <w:rsid w:val="003C2CEA"/>
    <w:rsid w:val="003C3070"/>
    <w:rsid w:val="003C3934"/>
    <w:rsid w:val="003C3A2E"/>
    <w:rsid w:val="003C4314"/>
    <w:rsid w:val="003C46A5"/>
    <w:rsid w:val="003C5629"/>
    <w:rsid w:val="003C56CE"/>
    <w:rsid w:val="003C5B1E"/>
    <w:rsid w:val="003C5B67"/>
    <w:rsid w:val="003C6701"/>
    <w:rsid w:val="003C68F9"/>
    <w:rsid w:val="003C6D21"/>
    <w:rsid w:val="003C7231"/>
    <w:rsid w:val="003C72F8"/>
    <w:rsid w:val="003C764A"/>
    <w:rsid w:val="003C7937"/>
    <w:rsid w:val="003C7ACA"/>
    <w:rsid w:val="003C7B41"/>
    <w:rsid w:val="003C7BD1"/>
    <w:rsid w:val="003D1C73"/>
    <w:rsid w:val="003D1F06"/>
    <w:rsid w:val="003D1FD9"/>
    <w:rsid w:val="003D2A33"/>
    <w:rsid w:val="003D2BD5"/>
    <w:rsid w:val="003D3C2D"/>
    <w:rsid w:val="003D3CBD"/>
    <w:rsid w:val="003D3F01"/>
    <w:rsid w:val="003D449E"/>
    <w:rsid w:val="003D4CEF"/>
    <w:rsid w:val="003D5AC3"/>
    <w:rsid w:val="003D5DE9"/>
    <w:rsid w:val="003D63A2"/>
    <w:rsid w:val="003D6CE7"/>
    <w:rsid w:val="003D7AA9"/>
    <w:rsid w:val="003D7E38"/>
    <w:rsid w:val="003E00A8"/>
    <w:rsid w:val="003E1A7B"/>
    <w:rsid w:val="003E23B2"/>
    <w:rsid w:val="003E29C6"/>
    <w:rsid w:val="003E2E9C"/>
    <w:rsid w:val="003E3B60"/>
    <w:rsid w:val="003E3BF3"/>
    <w:rsid w:val="003E47A8"/>
    <w:rsid w:val="003E5B6F"/>
    <w:rsid w:val="003E5BA2"/>
    <w:rsid w:val="003E5D73"/>
    <w:rsid w:val="003E6AB8"/>
    <w:rsid w:val="003F0420"/>
    <w:rsid w:val="003F0503"/>
    <w:rsid w:val="003F06E5"/>
    <w:rsid w:val="003F12B8"/>
    <w:rsid w:val="003F1359"/>
    <w:rsid w:val="003F1380"/>
    <w:rsid w:val="003F15C9"/>
    <w:rsid w:val="003F18DB"/>
    <w:rsid w:val="003F23A8"/>
    <w:rsid w:val="003F3016"/>
    <w:rsid w:val="003F30E2"/>
    <w:rsid w:val="003F3846"/>
    <w:rsid w:val="003F3E97"/>
    <w:rsid w:val="003F409E"/>
    <w:rsid w:val="003F5374"/>
    <w:rsid w:val="003F55E8"/>
    <w:rsid w:val="003F586B"/>
    <w:rsid w:val="003F5F0D"/>
    <w:rsid w:val="003F6474"/>
    <w:rsid w:val="003F6A35"/>
    <w:rsid w:val="003F70AB"/>
    <w:rsid w:val="003F70AE"/>
    <w:rsid w:val="003F7119"/>
    <w:rsid w:val="003F7C39"/>
    <w:rsid w:val="003F7EA4"/>
    <w:rsid w:val="00400019"/>
    <w:rsid w:val="004001B6"/>
    <w:rsid w:val="00401024"/>
    <w:rsid w:val="004010AD"/>
    <w:rsid w:val="00401248"/>
    <w:rsid w:val="00403797"/>
    <w:rsid w:val="0040409F"/>
    <w:rsid w:val="00404272"/>
    <w:rsid w:val="00405FF0"/>
    <w:rsid w:val="00406396"/>
    <w:rsid w:val="00406F02"/>
    <w:rsid w:val="00407EB1"/>
    <w:rsid w:val="004102B5"/>
    <w:rsid w:val="00411031"/>
    <w:rsid w:val="00411626"/>
    <w:rsid w:val="004119AA"/>
    <w:rsid w:val="00411F90"/>
    <w:rsid w:val="0041223C"/>
    <w:rsid w:val="00412369"/>
    <w:rsid w:val="00412818"/>
    <w:rsid w:val="0041288B"/>
    <w:rsid w:val="00412A80"/>
    <w:rsid w:val="00412F47"/>
    <w:rsid w:val="00413294"/>
    <w:rsid w:val="0041372F"/>
    <w:rsid w:val="00413790"/>
    <w:rsid w:val="00413D5C"/>
    <w:rsid w:val="004163C8"/>
    <w:rsid w:val="00417474"/>
    <w:rsid w:val="004175E2"/>
    <w:rsid w:val="0042038E"/>
    <w:rsid w:val="00420709"/>
    <w:rsid w:val="00421175"/>
    <w:rsid w:val="0042131E"/>
    <w:rsid w:val="00422683"/>
    <w:rsid w:val="00422ADE"/>
    <w:rsid w:val="00422B1D"/>
    <w:rsid w:val="0042315F"/>
    <w:rsid w:val="00423275"/>
    <w:rsid w:val="0042388F"/>
    <w:rsid w:val="00424011"/>
    <w:rsid w:val="00425350"/>
    <w:rsid w:val="00426F10"/>
    <w:rsid w:val="00427079"/>
    <w:rsid w:val="0042715A"/>
    <w:rsid w:val="0042769E"/>
    <w:rsid w:val="00427A20"/>
    <w:rsid w:val="00427A6B"/>
    <w:rsid w:val="004304BA"/>
    <w:rsid w:val="00430588"/>
    <w:rsid w:val="00430658"/>
    <w:rsid w:val="00431CD8"/>
    <w:rsid w:val="00433D69"/>
    <w:rsid w:val="00434DE9"/>
    <w:rsid w:val="00435090"/>
    <w:rsid w:val="004358A1"/>
    <w:rsid w:val="004366E0"/>
    <w:rsid w:val="0043690B"/>
    <w:rsid w:val="00436F87"/>
    <w:rsid w:val="004372B8"/>
    <w:rsid w:val="0043767B"/>
    <w:rsid w:val="00440535"/>
    <w:rsid w:val="00441DF3"/>
    <w:rsid w:val="00442746"/>
    <w:rsid w:val="00445003"/>
    <w:rsid w:val="004458A4"/>
    <w:rsid w:val="0044595B"/>
    <w:rsid w:val="00445D28"/>
    <w:rsid w:val="00446647"/>
    <w:rsid w:val="00446AD6"/>
    <w:rsid w:val="00447E79"/>
    <w:rsid w:val="0045050B"/>
    <w:rsid w:val="00450819"/>
    <w:rsid w:val="00451A9F"/>
    <w:rsid w:val="00451CD5"/>
    <w:rsid w:val="00452792"/>
    <w:rsid w:val="00452C67"/>
    <w:rsid w:val="00452D72"/>
    <w:rsid w:val="00453403"/>
    <w:rsid w:val="004534E9"/>
    <w:rsid w:val="004539A6"/>
    <w:rsid w:val="00454966"/>
    <w:rsid w:val="00454BBC"/>
    <w:rsid w:val="00454E0E"/>
    <w:rsid w:val="00455113"/>
    <w:rsid w:val="00455159"/>
    <w:rsid w:val="00455989"/>
    <w:rsid w:val="00455F4D"/>
    <w:rsid w:val="004567CE"/>
    <w:rsid w:val="00457640"/>
    <w:rsid w:val="00457CCD"/>
    <w:rsid w:val="00460AC2"/>
    <w:rsid w:val="00460C6E"/>
    <w:rsid w:val="00461D84"/>
    <w:rsid w:val="00462069"/>
    <w:rsid w:val="00462466"/>
    <w:rsid w:val="00462966"/>
    <w:rsid w:val="00462D69"/>
    <w:rsid w:val="004633C6"/>
    <w:rsid w:val="00463F9B"/>
    <w:rsid w:val="00464081"/>
    <w:rsid w:val="00464246"/>
    <w:rsid w:val="00464C98"/>
    <w:rsid w:val="004657E4"/>
    <w:rsid w:val="00465E16"/>
    <w:rsid w:val="00465F22"/>
    <w:rsid w:val="0046625F"/>
    <w:rsid w:val="00466630"/>
    <w:rsid w:val="00466F74"/>
    <w:rsid w:val="00467E92"/>
    <w:rsid w:val="00470091"/>
    <w:rsid w:val="00470744"/>
    <w:rsid w:val="004714A6"/>
    <w:rsid w:val="00471930"/>
    <w:rsid w:val="00472FD7"/>
    <w:rsid w:val="004734F9"/>
    <w:rsid w:val="00473B0A"/>
    <w:rsid w:val="00473B10"/>
    <w:rsid w:val="004752D7"/>
    <w:rsid w:val="00475742"/>
    <w:rsid w:val="00475B50"/>
    <w:rsid w:val="00476CED"/>
    <w:rsid w:val="0047784A"/>
    <w:rsid w:val="00480986"/>
    <w:rsid w:val="00480B29"/>
    <w:rsid w:val="00480F83"/>
    <w:rsid w:val="004827D4"/>
    <w:rsid w:val="00482A85"/>
    <w:rsid w:val="00482B64"/>
    <w:rsid w:val="00482C2A"/>
    <w:rsid w:val="00482E58"/>
    <w:rsid w:val="00482EB0"/>
    <w:rsid w:val="0048352E"/>
    <w:rsid w:val="00483EC1"/>
    <w:rsid w:val="00484760"/>
    <w:rsid w:val="00484F3E"/>
    <w:rsid w:val="00485034"/>
    <w:rsid w:val="0048505B"/>
    <w:rsid w:val="00485661"/>
    <w:rsid w:val="004862E6"/>
    <w:rsid w:val="00486C15"/>
    <w:rsid w:val="004875D9"/>
    <w:rsid w:val="00487855"/>
    <w:rsid w:val="00487B59"/>
    <w:rsid w:val="00487C4B"/>
    <w:rsid w:val="00487C59"/>
    <w:rsid w:val="00491FAC"/>
    <w:rsid w:val="00491FB5"/>
    <w:rsid w:val="0049261B"/>
    <w:rsid w:val="00492AD4"/>
    <w:rsid w:val="00493C4E"/>
    <w:rsid w:val="004941EE"/>
    <w:rsid w:val="00494892"/>
    <w:rsid w:val="0049545F"/>
    <w:rsid w:val="0049613C"/>
    <w:rsid w:val="0049627C"/>
    <w:rsid w:val="004966BF"/>
    <w:rsid w:val="00496E05"/>
    <w:rsid w:val="004A0BF0"/>
    <w:rsid w:val="004A21A5"/>
    <w:rsid w:val="004A232D"/>
    <w:rsid w:val="004A23FA"/>
    <w:rsid w:val="004A2739"/>
    <w:rsid w:val="004A29D9"/>
    <w:rsid w:val="004A3F58"/>
    <w:rsid w:val="004A424A"/>
    <w:rsid w:val="004A492C"/>
    <w:rsid w:val="004A4B57"/>
    <w:rsid w:val="004A4E47"/>
    <w:rsid w:val="004A55B2"/>
    <w:rsid w:val="004A5827"/>
    <w:rsid w:val="004A6091"/>
    <w:rsid w:val="004A6F33"/>
    <w:rsid w:val="004A6F88"/>
    <w:rsid w:val="004B10A6"/>
    <w:rsid w:val="004B1F54"/>
    <w:rsid w:val="004B376E"/>
    <w:rsid w:val="004B3870"/>
    <w:rsid w:val="004B3FAD"/>
    <w:rsid w:val="004B48AA"/>
    <w:rsid w:val="004B517D"/>
    <w:rsid w:val="004B5CFC"/>
    <w:rsid w:val="004B5E6C"/>
    <w:rsid w:val="004B5F9D"/>
    <w:rsid w:val="004B6148"/>
    <w:rsid w:val="004B6158"/>
    <w:rsid w:val="004B6436"/>
    <w:rsid w:val="004B71DA"/>
    <w:rsid w:val="004C05AA"/>
    <w:rsid w:val="004C0803"/>
    <w:rsid w:val="004C0884"/>
    <w:rsid w:val="004C0D30"/>
    <w:rsid w:val="004C1272"/>
    <w:rsid w:val="004C12C0"/>
    <w:rsid w:val="004C1898"/>
    <w:rsid w:val="004C2235"/>
    <w:rsid w:val="004C26D1"/>
    <w:rsid w:val="004C2A66"/>
    <w:rsid w:val="004C3B28"/>
    <w:rsid w:val="004C3CF1"/>
    <w:rsid w:val="004C4465"/>
    <w:rsid w:val="004C44F7"/>
    <w:rsid w:val="004C5232"/>
    <w:rsid w:val="004C54C5"/>
    <w:rsid w:val="004C57A6"/>
    <w:rsid w:val="004C7009"/>
    <w:rsid w:val="004D087F"/>
    <w:rsid w:val="004D0C10"/>
    <w:rsid w:val="004D1F2E"/>
    <w:rsid w:val="004D2CC0"/>
    <w:rsid w:val="004D2DF7"/>
    <w:rsid w:val="004D31C2"/>
    <w:rsid w:val="004D3F97"/>
    <w:rsid w:val="004D41CD"/>
    <w:rsid w:val="004D43E1"/>
    <w:rsid w:val="004D43EE"/>
    <w:rsid w:val="004D44FC"/>
    <w:rsid w:val="004D4724"/>
    <w:rsid w:val="004D4E1E"/>
    <w:rsid w:val="004D57EB"/>
    <w:rsid w:val="004D58C0"/>
    <w:rsid w:val="004D58EE"/>
    <w:rsid w:val="004D5974"/>
    <w:rsid w:val="004D5D2D"/>
    <w:rsid w:val="004D64DA"/>
    <w:rsid w:val="004D6925"/>
    <w:rsid w:val="004D6927"/>
    <w:rsid w:val="004D69C5"/>
    <w:rsid w:val="004D705C"/>
    <w:rsid w:val="004D70B7"/>
    <w:rsid w:val="004D798D"/>
    <w:rsid w:val="004E0908"/>
    <w:rsid w:val="004E0FDC"/>
    <w:rsid w:val="004E146C"/>
    <w:rsid w:val="004E2E04"/>
    <w:rsid w:val="004E30F7"/>
    <w:rsid w:val="004E420B"/>
    <w:rsid w:val="004E5696"/>
    <w:rsid w:val="004E6666"/>
    <w:rsid w:val="004E68FE"/>
    <w:rsid w:val="004E6B1C"/>
    <w:rsid w:val="004E6D66"/>
    <w:rsid w:val="004E7607"/>
    <w:rsid w:val="004F031C"/>
    <w:rsid w:val="004F1BA2"/>
    <w:rsid w:val="004F24B2"/>
    <w:rsid w:val="004F2730"/>
    <w:rsid w:val="004F2C90"/>
    <w:rsid w:val="004F2F98"/>
    <w:rsid w:val="004F3000"/>
    <w:rsid w:val="004F3B61"/>
    <w:rsid w:val="004F4258"/>
    <w:rsid w:val="004F42BD"/>
    <w:rsid w:val="004F439D"/>
    <w:rsid w:val="004F43EF"/>
    <w:rsid w:val="004F4794"/>
    <w:rsid w:val="004F4862"/>
    <w:rsid w:val="004F4BFD"/>
    <w:rsid w:val="004F4EC3"/>
    <w:rsid w:val="004F56B4"/>
    <w:rsid w:val="004F56F6"/>
    <w:rsid w:val="004F5931"/>
    <w:rsid w:val="004F5A88"/>
    <w:rsid w:val="004F5F3A"/>
    <w:rsid w:val="004F687A"/>
    <w:rsid w:val="004F789E"/>
    <w:rsid w:val="00500959"/>
    <w:rsid w:val="00500ACC"/>
    <w:rsid w:val="00500B50"/>
    <w:rsid w:val="00500DDC"/>
    <w:rsid w:val="00500DE5"/>
    <w:rsid w:val="00501793"/>
    <w:rsid w:val="00501F06"/>
    <w:rsid w:val="00502567"/>
    <w:rsid w:val="00502847"/>
    <w:rsid w:val="0050469E"/>
    <w:rsid w:val="00505269"/>
    <w:rsid w:val="005056D5"/>
    <w:rsid w:val="00505966"/>
    <w:rsid w:val="0050606F"/>
    <w:rsid w:val="005060D6"/>
    <w:rsid w:val="00506316"/>
    <w:rsid w:val="0050691C"/>
    <w:rsid w:val="00506D50"/>
    <w:rsid w:val="00506D67"/>
    <w:rsid w:val="00507225"/>
    <w:rsid w:val="005077A1"/>
    <w:rsid w:val="00507FA8"/>
    <w:rsid w:val="00510AAF"/>
    <w:rsid w:val="00510E2A"/>
    <w:rsid w:val="00511E08"/>
    <w:rsid w:val="0051200A"/>
    <w:rsid w:val="00512AB4"/>
    <w:rsid w:val="00512F0E"/>
    <w:rsid w:val="00513B96"/>
    <w:rsid w:val="0051416A"/>
    <w:rsid w:val="005141BE"/>
    <w:rsid w:val="00514839"/>
    <w:rsid w:val="00514958"/>
    <w:rsid w:val="005166ED"/>
    <w:rsid w:val="005177EC"/>
    <w:rsid w:val="005179B5"/>
    <w:rsid w:val="00520042"/>
    <w:rsid w:val="00521557"/>
    <w:rsid w:val="0052168F"/>
    <w:rsid w:val="00521945"/>
    <w:rsid w:val="00521956"/>
    <w:rsid w:val="00521CA5"/>
    <w:rsid w:val="00522331"/>
    <w:rsid w:val="00523798"/>
    <w:rsid w:val="00523B6B"/>
    <w:rsid w:val="005256EB"/>
    <w:rsid w:val="00525F10"/>
    <w:rsid w:val="00525FC7"/>
    <w:rsid w:val="00527275"/>
    <w:rsid w:val="00527689"/>
    <w:rsid w:val="00527D79"/>
    <w:rsid w:val="00530E5B"/>
    <w:rsid w:val="00531012"/>
    <w:rsid w:val="0053132D"/>
    <w:rsid w:val="00531714"/>
    <w:rsid w:val="005320DE"/>
    <w:rsid w:val="00532176"/>
    <w:rsid w:val="005321DF"/>
    <w:rsid w:val="005324EA"/>
    <w:rsid w:val="00533882"/>
    <w:rsid w:val="005338E2"/>
    <w:rsid w:val="0053408C"/>
    <w:rsid w:val="005354F6"/>
    <w:rsid w:val="0053577A"/>
    <w:rsid w:val="00535798"/>
    <w:rsid w:val="00535CF3"/>
    <w:rsid w:val="00535E42"/>
    <w:rsid w:val="00536872"/>
    <w:rsid w:val="0053785C"/>
    <w:rsid w:val="00537955"/>
    <w:rsid w:val="00537D68"/>
    <w:rsid w:val="00540939"/>
    <w:rsid w:val="005413B0"/>
    <w:rsid w:val="00541816"/>
    <w:rsid w:val="00541CAD"/>
    <w:rsid w:val="00541CD6"/>
    <w:rsid w:val="00542192"/>
    <w:rsid w:val="005433CF"/>
    <w:rsid w:val="005438B2"/>
    <w:rsid w:val="00543D94"/>
    <w:rsid w:val="005447B6"/>
    <w:rsid w:val="00544A10"/>
    <w:rsid w:val="0054521E"/>
    <w:rsid w:val="0054524B"/>
    <w:rsid w:val="0054552E"/>
    <w:rsid w:val="00545A64"/>
    <w:rsid w:val="005460A3"/>
    <w:rsid w:val="005466E5"/>
    <w:rsid w:val="00546C37"/>
    <w:rsid w:val="00546E6E"/>
    <w:rsid w:val="005476CE"/>
    <w:rsid w:val="0055005F"/>
    <w:rsid w:val="00551D76"/>
    <w:rsid w:val="005521BE"/>
    <w:rsid w:val="00552423"/>
    <w:rsid w:val="005524A5"/>
    <w:rsid w:val="005537BA"/>
    <w:rsid w:val="00553C88"/>
    <w:rsid w:val="0055564C"/>
    <w:rsid w:val="00555C86"/>
    <w:rsid w:val="00556047"/>
    <w:rsid w:val="00556892"/>
    <w:rsid w:val="00557AA9"/>
    <w:rsid w:val="005600D7"/>
    <w:rsid w:val="005606BA"/>
    <w:rsid w:val="00560835"/>
    <w:rsid w:val="0056196A"/>
    <w:rsid w:val="005620E6"/>
    <w:rsid w:val="005623AE"/>
    <w:rsid w:val="005625DA"/>
    <w:rsid w:val="00562A18"/>
    <w:rsid w:val="00562AA3"/>
    <w:rsid w:val="00564887"/>
    <w:rsid w:val="00564FC8"/>
    <w:rsid w:val="00565715"/>
    <w:rsid w:val="00565CB6"/>
    <w:rsid w:val="00566357"/>
    <w:rsid w:val="00567FD3"/>
    <w:rsid w:val="00571659"/>
    <w:rsid w:val="0057176E"/>
    <w:rsid w:val="005719F3"/>
    <w:rsid w:val="00573098"/>
    <w:rsid w:val="00573180"/>
    <w:rsid w:val="005736C2"/>
    <w:rsid w:val="00573E05"/>
    <w:rsid w:val="00574C43"/>
    <w:rsid w:val="00575CE1"/>
    <w:rsid w:val="00575E82"/>
    <w:rsid w:val="00576DA5"/>
    <w:rsid w:val="005776B1"/>
    <w:rsid w:val="005778C5"/>
    <w:rsid w:val="005808F8"/>
    <w:rsid w:val="00580E7C"/>
    <w:rsid w:val="00581555"/>
    <w:rsid w:val="00581B16"/>
    <w:rsid w:val="00582532"/>
    <w:rsid w:val="00582EE9"/>
    <w:rsid w:val="00583261"/>
    <w:rsid w:val="00583B34"/>
    <w:rsid w:val="00583BB3"/>
    <w:rsid w:val="00583BF3"/>
    <w:rsid w:val="005848A6"/>
    <w:rsid w:val="00584EF2"/>
    <w:rsid w:val="00584F34"/>
    <w:rsid w:val="0058500E"/>
    <w:rsid w:val="005852BE"/>
    <w:rsid w:val="005859B8"/>
    <w:rsid w:val="00585B91"/>
    <w:rsid w:val="00585E6B"/>
    <w:rsid w:val="005916CE"/>
    <w:rsid w:val="00591A7F"/>
    <w:rsid w:val="005924D4"/>
    <w:rsid w:val="00592600"/>
    <w:rsid w:val="005927DB"/>
    <w:rsid w:val="0059290B"/>
    <w:rsid w:val="00592CD0"/>
    <w:rsid w:val="005933D9"/>
    <w:rsid w:val="0059403B"/>
    <w:rsid w:val="00594ACF"/>
    <w:rsid w:val="0059506B"/>
    <w:rsid w:val="005957F3"/>
    <w:rsid w:val="00595B80"/>
    <w:rsid w:val="0059666C"/>
    <w:rsid w:val="00597593"/>
    <w:rsid w:val="00597A1A"/>
    <w:rsid w:val="005A00AA"/>
    <w:rsid w:val="005A058F"/>
    <w:rsid w:val="005A0B73"/>
    <w:rsid w:val="005A0BD0"/>
    <w:rsid w:val="005A1EB8"/>
    <w:rsid w:val="005A286E"/>
    <w:rsid w:val="005A2DC5"/>
    <w:rsid w:val="005A460A"/>
    <w:rsid w:val="005A4AA4"/>
    <w:rsid w:val="005A52C9"/>
    <w:rsid w:val="005A53B7"/>
    <w:rsid w:val="005A5CA9"/>
    <w:rsid w:val="005A5E6F"/>
    <w:rsid w:val="005A615E"/>
    <w:rsid w:val="005A7C14"/>
    <w:rsid w:val="005A7DDB"/>
    <w:rsid w:val="005B06F0"/>
    <w:rsid w:val="005B153E"/>
    <w:rsid w:val="005B2B0C"/>
    <w:rsid w:val="005B32B0"/>
    <w:rsid w:val="005B3981"/>
    <w:rsid w:val="005B4168"/>
    <w:rsid w:val="005B44DA"/>
    <w:rsid w:val="005B460D"/>
    <w:rsid w:val="005B596C"/>
    <w:rsid w:val="005B60A3"/>
    <w:rsid w:val="005B6933"/>
    <w:rsid w:val="005B6949"/>
    <w:rsid w:val="005B6BEA"/>
    <w:rsid w:val="005B6D1B"/>
    <w:rsid w:val="005B750A"/>
    <w:rsid w:val="005B76E4"/>
    <w:rsid w:val="005B7D82"/>
    <w:rsid w:val="005C00E6"/>
    <w:rsid w:val="005C06C6"/>
    <w:rsid w:val="005C0C38"/>
    <w:rsid w:val="005C0F2A"/>
    <w:rsid w:val="005C194E"/>
    <w:rsid w:val="005C1A03"/>
    <w:rsid w:val="005C20FF"/>
    <w:rsid w:val="005C2967"/>
    <w:rsid w:val="005C32D7"/>
    <w:rsid w:val="005C32DE"/>
    <w:rsid w:val="005C39C0"/>
    <w:rsid w:val="005C3CD7"/>
    <w:rsid w:val="005C455C"/>
    <w:rsid w:val="005C61F2"/>
    <w:rsid w:val="005C7749"/>
    <w:rsid w:val="005C7A13"/>
    <w:rsid w:val="005C7A27"/>
    <w:rsid w:val="005C7B34"/>
    <w:rsid w:val="005D063A"/>
    <w:rsid w:val="005D1766"/>
    <w:rsid w:val="005D1C72"/>
    <w:rsid w:val="005D218A"/>
    <w:rsid w:val="005D22E0"/>
    <w:rsid w:val="005D2757"/>
    <w:rsid w:val="005D2EA5"/>
    <w:rsid w:val="005D31E4"/>
    <w:rsid w:val="005D3282"/>
    <w:rsid w:val="005D3345"/>
    <w:rsid w:val="005D3387"/>
    <w:rsid w:val="005D483A"/>
    <w:rsid w:val="005D4F0D"/>
    <w:rsid w:val="005D53A3"/>
    <w:rsid w:val="005D5457"/>
    <w:rsid w:val="005D55BD"/>
    <w:rsid w:val="005D5965"/>
    <w:rsid w:val="005D5AEE"/>
    <w:rsid w:val="005D5C2D"/>
    <w:rsid w:val="005D5DCC"/>
    <w:rsid w:val="005D602D"/>
    <w:rsid w:val="005D6399"/>
    <w:rsid w:val="005D6A97"/>
    <w:rsid w:val="005D77AC"/>
    <w:rsid w:val="005D7860"/>
    <w:rsid w:val="005E0191"/>
    <w:rsid w:val="005E0EB1"/>
    <w:rsid w:val="005E1105"/>
    <w:rsid w:val="005E14DE"/>
    <w:rsid w:val="005E19C6"/>
    <w:rsid w:val="005E21AF"/>
    <w:rsid w:val="005E2FE8"/>
    <w:rsid w:val="005E30B7"/>
    <w:rsid w:val="005E36EE"/>
    <w:rsid w:val="005E371B"/>
    <w:rsid w:val="005E3758"/>
    <w:rsid w:val="005E4496"/>
    <w:rsid w:val="005E4506"/>
    <w:rsid w:val="005E48EF"/>
    <w:rsid w:val="005E55E2"/>
    <w:rsid w:val="005E6103"/>
    <w:rsid w:val="005E65F7"/>
    <w:rsid w:val="005E731A"/>
    <w:rsid w:val="005E7D85"/>
    <w:rsid w:val="005F085F"/>
    <w:rsid w:val="005F111E"/>
    <w:rsid w:val="005F1314"/>
    <w:rsid w:val="005F1F7A"/>
    <w:rsid w:val="005F23D5"/>
    <w:rsid w:val="005F2A44"/>
    <w:rsid w:val="005F2A8B"/>
    <w:rsid w:val="005F2BA2"/>
    <w:rsid w:val="005F2F5B"/>
    <w:rsid w:val="005F2FEF"/>
    <w:rsid w:val="005F3413"/>
    <w:rsid w:val="005F402F"/>
    <w:rsid w:val="005F53D9"/>
    <w:rsid w:val="005F59F5"/>
    <w:rsid w:val="005F5A52"/>
    <w:rsid w:val="005F5BA0"/>
    <w:rsid w:val="005F5DEA"/>
    <w:rsid w:val="005F6AFD"/>
    <w:rsid w:val="005F6C67"/>
    <w:rsid w:val="005F6F1A"/>
    <w:rsid w:val="005F709F"/>
    <w:rsid w:val="005F7FB9"/>
    <w:rsid w:val="005F7FE0"/>
    <w:rsid w:val="006004BD"/>
    <w:rsid w:val="006012A0"/>
    <w:rsid w:val="006012D3"/>
    <w:rsid w:val="00601421"/>
    <w:rsid w:val="00601967"/>
    <w:rsid w:val="00601A80"/>
    <w:rsid w:val="00601AE5"/>
    <w:rsid w:val="00601DEC"/>
    <w:rsid w:val="00601FFD"/>
    <w:rsid w:val="00602372"/>
    <w:rsid w:val="006023CE"/>
    <w:rsid w:val="00602452"/>
    <w:rsid w:val="0060246A"/>
    <w:rsid w:val="006027CB"/>
    <w:rsid w:val="006031D5"/>
    <w:rsid w:val="0060334B"/>
    <w:rsid w:val="006036FE"/>
    <w:rsid w:val="00603F32"/>
    <w:rsid w:val="0060416F"/>
    <w:rsid w:val="00604B8E"/>
    <w:rsid w:val="00604BB7"/>
    <w:rsid w:val="0060663A"/>
    <w:rsid w:val="00606B43"/>
    <w:rsid w:val="00606FE7"/>
    <w:rsid w:val="006076E4"/>
    <w:rsid w:val="00612B36"/>
    <w:rsid w:val="00612B8D"/>
    <w:rsid w:val="00612CAC"/>
    <w:rsid w:val="00612D57"/>
    <w:rsid w:val="00612E7B"/>
    <w:rsid w:val="006137DF"/>
    <w:rsid w:val="00615A73"/>
    <w:rsid w:val="00615E0B"/>
    <w:rsid w:val="00616702"/>
    <w:rsid w:val="0061702D"/>
    <w:rsid w:val="0061760B"/>
    <w:rsid w:val="00617A71"/>
    <w:rsid w:val="0062089C"/>
    <w:rsid w:val="00621068"/>
    <w:rsid w:val="0062164E"/>
    <w:rsid w:val="00621B10"/>
    <w:rsid w:val="006221BB"/>
    <w:rsid w:val="00622202"/>
    <w:rsid w:val="00622352"/>
    <w:rsid w:val="00622F37"/>
    <w:rsid w:val="0062309D"/>
    <w:rsid w:val="006236EB"/>
    <w:rsid w:val="00624394"/>
    <w:rsid w:val="00625D39"/>
    <w:rsid w:val="00625E7A"/>
    <w:rsid w:val="00625F44"/>
    <w:rsid w:val="006263F7"/>
    <w:rsid w:val="00626D01"/>
    <w:rsid w:val="0062747A"/>
    <w:rsid w:val="00627B97"/>
    <w:rsid w:val="006300B2"/>
    <w:rsid w:val="00630A3F"/>
    <w:rsid w:val="00631129"/>
    <w:rsid w:val="0063135B"/>
    <w:rsid w:val="00631495"/>
    <w:rsid w:val="00631A6F"/>
    <w:rsid w:val="00633937"/>
    <w:rsid w:val="00633FF8"/>
    <w:rsid w:val="00634434"/>
    <w:rsid w:val="0063479F"/>
    <w:rsid w:val="00634F3C"/>
    <w:rsid w:val="00635730"/>
    <w:rsid w:val="006357E7"/>
    <w:rsid w:val="00635934"/>
    <w:rsid w:val="00635A7F"/>
    <w:rsid w:val="00636336"/>
    <w:rsid w:val="00636627"/>
    <w:rsid w:val="006366A4"/>
    <w:rsid w:val="00636E62"/>
    <w:rsid w:val="0063703D"/>
    <w:rsid w:val="00640F06"/>
    <w:rsid w:val="00641302"/>
    <w:rsid w:val="006415AC"/>
    <w:rsid w:val="006421B8"/>
    <w:rsid w:val="0064232C"/>
    <w:rsid w:val="00642B51"/>
    <w:rsid w:val="00643057"/>
    <w:rsid w:val="0064320F"/>
    <w:rsid w:val="006437B6"/>
    <w:rsid w:val="00643FA1"/>
    <w:rsid w:val="00643FF8"/>
    <w:rsid w:val="006442A7"/>
    <w:rsid w:val="006468ED"/>
    <w:rsid w:val="0064692A"/>
    <w:rsid w:val="00647996"/>
    <w:rsid w:val="0065116F"/>
    <w:rsid w:val="006511DE"/>
    <w:rsid w:val="00651402"/>
    <w:rsid w:val="006522FE"/>
    <w:rsid w:val="00652A9B"/>
    <w:rsid w:val="00652D12"/>
    <w:rsid w:val="00652EC3"/>
    <w:rsid w:val="00652F9F"/>
    <w:rsid w:val="00652FCB"/>
    <w:rsid w:val="006536CB"/>
    <w:rsid w:val="00654B9F"/>
    <w:rsid w:val="00654BF4"/>
    <w:rsid w:val="00655902"/>
    <w:rsid w:val="00656293"/>
    <w:rsid w:val="0065633D"/>
    <w:rsid w:val="00656783"/>
    <w:rsid w:val="006567FB"/>
    <w:rsid w:val="00656968"/>
    <w:rsid w:val="006569CD"/>
    <w:rsid w:val="00656A79"/>
    <w:rsid w:val="00656BE6"/>
    <w:rsid w:val="00657185"/>
    <w:rsid w:val="006572E7"/>
    <w:rsid w:val="00657574"/>
    <w:rsid w:val="006576EF"/>
    <w:rsid w:val="0065781E"/>
    <w:rsid w:val="00660737"/>
    <w:rsid w:val="00660AF6"/>
    <w:rsid w:val="00662041"/>
    <w:rsid w:val="00663632"/>
    <w:rsid w:val="006639D1"/>
    <w:rsid w:val="00663B76"/>
    <w:rsid w:val="0066438A"/>
    <w:rsid w:val="00664EE7"/>
    <w:rsid w:val="0066531F"/>
    <w:rsid w:val="00665F91"/>
    <w:rsid w:val="00666380"/>
    <w:rsid w:val="006663EF"/>
    <w:rsid w:val="00666567"/>
    <w:rsid w:val="00666A01"/>
    <w:rsid w:val="00667029"/>
    <w:rsid w:val="00667959"/>
    <w:rsid w:val="00667C13"/>
    <w:rsid w:val="00667D72"/>
    <w:rsid w:val="00667FCC"/>
    <w:rsid w:val="00670080"/>
    <w:rsid w:val="00670432"/>
    <w:rsid w:val="0067052E"/>
    <w:rsid w:val="0067111A"/>
    <w:rsid w:val="006717D4"/>
    <w:rsid w:val="00671916"/>
    <w:rsid w:val="00672E76"/>
    <w:rsid w:val="0067345C"/>
    <w:rsid w:val="00673DDE"/>
    <w:rsid w:val="00673F36"/>
    <w:rsid w:val="006744EB"/>
    <w:rsid w:val="00674C24"/>
    <w:rsid w:val="006759DB"/>
    <w:rsid w:val="00676052"/>
    <w:rsid w:val="0067610E"/>
    <w:rsid w:val="006767D2"/>
    <w:rsid w:val="00676F70"/>
    <w:rsid w:val="00677190"/>
    <w:rsid w:val="00677551"/>
    <w:rsid w:val="006775E3"/>
    <w:rsid w:val="006804AD"/>
    <w:rsid w:val="00680BEA"/>
    <w:rsid w:val="0068100E"/>
    <w:rsid w:val="00682089"/>
    <w:rsid w:val="0068219D"/>
    <w:rsid w:val="00682EAA"/>
    <w:rsid w:val="00682FF1"/>
    <w:rsid w:val="006832C5"/>
    <w:rsid w:val="006836BB"/>
    <w:rsid w:val="00683946"/>
    <w:rsid w:val="00683C09"/>
    <w:rsid w:val="00683D41"/>
    <w:rsid w:val="00684372"/>
    <w:rsid w:val="006848BA"/>
    <w:rsid w:val="00684B6A"/>
    <w:rsid w:val="00684EEA"/>
    <w:rsid w:val="00685324"/>
    <w:rsid w:val="006855D7"/>
    <w:rsid w:val="006856DA"/>
    <w:rsid w:val="0068589C"/>
    <w:rsid w:val="006859CC"/>
    <w:rsid w:val="00686333"/>
    <w:rsid w:val="00686449"/>
    <w:rsid w:val="00686919"/>
    <w:rsid w:val="00687605"/>
    <w:rsid w:val="006908C2"/>
    <w:rsid w:val="00690991"/>
    <w:rsid w:val="00691B31"/>
    <w:rsid w:val="00691CBB"/>
    <w:rsid w:val="006926C3"/>
    <w:rsid w:val="00692A61"/>
    <w:rsid w:val="00692C63"/>
    <w:rsid w:val="00694579"/>
    <w:rsid w:val="00694D0B"/>
    <w:rsid w:val="00695CB1"/>
    <w:rsid w:val="00695E1D"/>
    <w:rsid w:val="006960B7"/>
    <w:rsid w:val="006960B8"/>
    <w:rsid w:val="0069783C"/>
    <w:rsid w:val="00697A6B"/>
    <w:rsid w:val="006A03E8"/>
    <w:rsid w:val="006A11C1"/>
    <w:rsid w:val="006A190D"/>
    <w:rsid w:val="006A1EC9"/>
    <w:rsid w:val="006A3021"/>
    <w:rsid w:val="006A333A"/>
    <w:rsid w:val="006A5574"/>
    <w:rsid w:val="006A75F7"/>
    <w:rsid w:val="006A772E"/>
    <w:rsid w:val="006B07B9"/>
    <w:rsid w:val="006B093B"/>
    <w:rsid w:val="006B0D50"/>
    <w:rsid w:val="006B0E2C"/>
    <w:rsid w:val="006B10BE"/>
    <w:rsid w:val="006B1405"/>
    <w:rsid w:val="006B1562"/>
    <w:rsid w:val="006B1B60"/>
    <w:rsid w:val="006B1E05"/>
    <w:rsid w:val="006B1F2B"/>
    <w:rsid w:val="006B1FA2"/>
    <w:rsid w:val="006B2D6C"/>
    <w:rsid w:val="006B31BC"/>
    <w:rsid w:val="006B3959"/>
    <w:rsid w:val="006B3CE0"/>
    <w:rsid w:val="006B3E6E"/>
    <w:rsid w:val="006B3E82"/>
    <w:rsid w:val="006B3F98"/>
    <w:rsid w:val="006B40BF"/>
    <w:rsid w:val="006B4487"/>
    <w:rsid w:val="006B44F1"/>
    <w:rsid w:val="006B4B5C"/>
    <w:rsid w:val="006B5051"/>
    <w:rsid w:val="006B51AB"/>
    <w:rsid w:val="006B5C6D"/>
    <w:rsid w:val="006B623F"/>
    <w:rsid w:val="006B6C10"/>
    <w:rsid w:val="006B6F63"/>
    <w:rsid w:val="006B74D3"/>
    <w:rsid w:val="006B7690"/>
    <w:rsid w:val="006B776D"/>
    <w:rsid w:val="006C0AE7"/>
    <w:rsid w:val="006C1138"/>
    <w:rsid w:val="006C1400"/>
    <w:rsid w:val="006C221E"/>
    <w:rsid w:val="006C230A"/>
    <w:rsid w:val="006C28E7"/>
    <w:rsid w:val="006C303F"/>
    <w:rsid w:val="006C3114"/>
    <w:rsid w:val="006C4BAD"/>
    <w:rsid w:val="006C4D31"/>
    <w:rsid w:val="006C4E14"/>
    <w:rsid w:val="006C4F38"/>
    <w:rsid w:val="006C53A4"/>
    <w:rsid w:val="006C5788"/>
    <w:rsid w:val="006C61F5"/>
    <w:rsid w:val="006C6E4E"/>
    <w:rsid w:val="006C6EFF"/>
    <w:rsid w:val="006C723C"/>
    <w:rsid w:val="006C7BC4"/>
    <w:rsid w:val="006C7BF2"/>
    <w:rsid w:val="006D0783"/>
    <w:rsid w:val="006D078D"/>
    <w:rsid w:val="006D165B"/>
    <w:rsid w:val="006D1B4B"/>
    <w:rsid w:val="006D32F3"/>
    <w:rsid w:val="006D37D0"/>
    <w:rsid w:val="006D3A84"/>
    <w:rsid w:val="006D46A7"/>
    <w:rsid w:val="006D4743"/>
    <w:rsid w:val="006D4A9D"/>
    <w:rsid w:val="006D4E72"/>
    <w:rsid w:val="006D59F1"/>
    <w:rsid w:val="006D6DE0"/>
    <w:rsid w:val="006D7830"/>
    <w:rsid w:val="006D783D"/>
    <w:rsid w:val="006E0826"/>
    <w:rsid w:val="006E0A7D"/>
    <w:rsid w:val="006E13C7"/>
    <w:rsid w:val="006E1652"/>
    <w:rsid w:val="006E1B69"/>
    <w:rsid w:val="006E2204"/>
    <w:rsid w:val="006E2569"/>
    <w:rsid w:val="006E2814"/>
    <w:rsid w:val="006E2E8F"/>
    <w:rsid w:val="006E3150"/>
    <w:rsid w:val="006E3AAE"/>
    <w:rsid w:val="006E3BA3"/>
    <w:rsid w:val="006E408F"/>
    <w:rsid w:val="006E55AA"/>
    <w:rsid w:val="006E5CC3"/>
    <w:rsid w:val="006E5CE2"/>
    <w:rsid w:val="006E5EED"/>
    <w:rsid w:val="006E5F50"/>
    <w:rsid w:val="006E614B"/>
    <w:rsid w:val="006E64DF"/>
    <w:rsid w:val="006E69DA"/>
    <w:rsid w:val="006E7BB8"/>
    <w:rsid w:val="006F00D8"/>
    <w:rsid w:val="006F0555"/>
    <w:rsid w:val="006F08A3"/>
    <w:rsid w:val="006F0D2C"/>
    <w:rsid w:val="006F0D79"/>
    <w:rsid w:val="006F20E6"/>
    <w:rsid w:val="006F27CB"/>
    <w:rsid w:val="006F2B61"/>
    <w:rsid w:val="006F4CC2"/>
    <w:rsid w:val="006F506F"/>
    <w:rsid w:val="006F588E"/>
    <w:rsid w:val="006F608A"/>
    <w:rsid w:val="006F60FF"/>
    <w:rsid w:val="006F6994"/>
    <w:rsid w:val="006F6AE7"/>
    <w:rsid w:val="006F78CA"/>
    <w:rsid w:val="006F7AAF"/>
    <w:rsid w:val="006F7E84"/>
    <w:rsid w:val="0070189C"/>
    <w:rsid w:val="007019F4"/>
    <w:rsid w:val="00701BD4"/>
    <w:rsid w:val="00701CA9"/>
    <w:rsid w:val="00701CC8"/>
    <w:rsid w:val="00701E70"/>
    <w:rsid w:val="00701F94"/>
    <w:rsid w:val="00704176"/>
    <w:rsid w:val="00704402"/>
    <w:rsid w:val="0070445D"/>
    <w:rsid w:val="007045A0"/>
    <w:rsid w:val="00704970"/>
    <w:rsid w:val="00704CF7"/>
    <w:rsid w:val="00704EEC"/>
    <w:rsid w:val="00705D73"/>
    <w:rsid w:val="007066EF"/>
    <w:rsid w:val="00706C0E"/>
    <w:rsid w:val="00707524"/>
    <w:rsid w:val="00710FCE"/>
    <w:rsid w:val="007118AE"/>
    <w:rsid w:val="00711CFD"/>
    <w:rsid w:val="007125E0"/>
    <w:rsid w:val="00712BD5"/>
    <w:rsid w:val="00712C05"/>
    <w:rsid w:val="00714D35"/>
    <w:rsid w:val="00714E91"/>
    <w:rsid w:val="00715360"/>
    <w:rsid w:val="00715A01"/>
    <w:rsid w:val="00715E6A"/>
    <w:rsid w:val="007163E0"/>
    <w:rsid w:val="00716DE9"/>
    <w:rsid w:val="00716FB7"/>
    <w:rsid w:val="00717365"/>
    <w:rsid w:val="007174A1"/>
    <w:rsid w:val="00720C7D"/>
    <w:rsid w:val="0072134F"/>
    <w:rsid w:val="00721CA0"/>
    <w:rsid w:val="0072207F"/>
    <w:rsid w:val="007223CB"/>
    <w:rsid w:val="007226AF"/>
    <w:rsid w:val="00722C38"/>
    <w:rsid w:val="0072368F"/>
    <w:rsid w:val="00723842"/>
    <w:rsid w:val="00724CE6"/>
    <w:rsid w:val="00724EBB"/>
    <w:rsid w:val="007255BA"/>
    <w:rsid w:val="00725DFB"/>
    <w:rsid w:val="007260DF"/>
    <w:rsid w:val="00726267"/>
    <w:rsid w:val="007269C8"/>
    <w:rsid w:val="00726BE6"/>
    <w:rsid w:val="0072716F"/>
    <w:rsid w:val="00727502"/>
    <w:rsid w:val="007278B8"/>
    <w:rsid w:val="00727A0E"/>
    <w:rsid w:val="00727B8C"/>
    <w:rsid w:val="007305F9"/>
    <w:rsid w:val="00730870"/>
    <w:rsid w:val="00730A53"/>
    <w:rsid w:val="00731432"/>
    <w:rsid w:val="00731570"/>
    <w:rsid w:val="00731A5F"/>
    <w:rsid w:val="00732352"/>
    <w:rsid w:val="0073273E"/>
    <w:rsid w:val="00732804"/>
    <w:rsid w:val="007333A6"/>
    <w:rsid w:val="0073340D"/>
    <w:rsid w:val="007335B7"/>
    <w:rsid w:val="00735AF5"/>
    <w:rsid w:val="00735B04"/>
    <w:rsid w:val="00735C81"/>
    <w:rsid w:val="00735D65"/>
    <w:rsid w:val="0073623E"/>
    <w:rsid w:val="0073663E"/>
    <w:rsid w:val="0073674F"/>
    <w:rsid w:val="0073691F"/>
    <w:rsid w:val="007370D8"/>
    <w:rsid w:val="0073798C"/>
    <w:rsid w:val="00737A92"/>
    <w:rsid w:val="00737D24"/>
    <w:rsid w:val="00737DCE"/>
    <w:rsid w:val="007407AB"/>
    <w:rsid w:val="00740B64"/>
    <w:rsid w:val="007425B0"/>
    <w:rsid w:val="00743A0E"/>
    <w:rsid w:val="0074449B"/>
    <w:rsid w:val="00744603"/>
    <w:rsid w:val="00744806"/>
    <w:rsid w:val="00744C13"/>
    <w:rsid w:val="00745DAA"/>
    <w:rsid w:val="00746CD5"/>
    <w:rsid w:val="0074720F"/>
    <w:rsid w:val="00747B54"/>
    <w:rsid w:val="00747E28"/>
    <w:rsid w:val="007500B2"/>
    <w:rsid w:val="007503F9"/>
    <w:rsid w:val="00750AA3"/>
    <w:rsid w:val="00750CA0"/>
    <w:rsid w:val="00750E19"/>
    <w:rsid w:val="00751194"/>
    <w:rsid w:val="00751C87"/>
    <w:rsid w:val="00751D1C"/>
    <w:rsid w:val="00751FF1"/>
    <w:rsid w:val="0075209E"/>
    <w:rsid w:val="00753BE4"/>
    <w:rsid w:val="00753D72"/>
    <w:rsid w:val="00754293"/>
    <w:rsid w:val="007542AB"/>
    <w:rsid w:val="0075443D"/>
    <w:rsid w:val="00755386"/>
    <w:rsid w:val="00756B28"/>
    <w:rsid w:val="007570A9"/>
    <w:rsid w:val="007575BD"/>
    <w:rsid w:val="00757C48"/>
    <w:rsid w:val="00757D3A"/>
    <w:rsid w:val="00757E72"/>
    <w:rsid w:val="007601C6"/>
    <w:rsid w:val="007607CE"/>
    <w:rsid w:val="00760D72"/>
    <w:rsid w:val="00761316"/>
    <w:rsid w:val="00761952"/>
    <w:rsid w:val="00761DB4"/>
    <w:rsid w:val="00762455"/>
    <w:rsid w:val="007628C9"/>
    <w:rsid w:val="00762A70"/>
    <w:rsid w:val="00763308"/>
    <w:rsid w:val="00764C14"/>
    <w:rsid w:val="00765059"/>
    <w:rsid w:val="0076532C"/>
    <w:rsid w:val="007655BC"/>
    <w:rsid w:val="007658EA"/>
    <w:rsid w:val="00765E1A"/>
    <w:rsid w:val="007672C4"/>
    <w:rsid w:val="00767A89"/>
    <w:rsid w:val="00770055"/>
    <w:rsid w:val="00770A3B"/>
    <w:rsid w:val="00771A15"/>
    <w:rsid w:val="0077263D"/>
    <w:rsid w:val="00772BDB"/>
    <w:rsid w:val="00772C0D"/>
    <w:rsid w:val="007730A7"/>
    <w:rsid w:val="007733E6"/>
    <w:rsid w:val="00774740"/>
    <w:rsid w:val="00774868"/>
    <w:rsid w:val="00774F66"/>
    <w:rsid w:val="00776A12"/>
    <w:rsid w:val="00777310"/>
    <w:rsid w:val="00777926"/>
    <w:rsid w:val="00777DF2"/>
    <w:rsid w:val="00777E42"/>
    <w:rsid w:val="00780E43"/>
    <w:rsid w:val="00781619"/>
    <w:rsid w:val="00781AD1"/>
    <w:rsid w:val="007820AF"/>
    <w:rsid w:val="007821EA"/>
    <w:rsid w:val="00782242"/>
    <w:rsid w:val="007824F1"/>
    <w:rsid w:val="00782CC2"/>
    <w:rsid w:val="007830EB"/>
    <w:rsid w:val="0078374E"/>
    <w:rsid w:val="007839DB"/>
    <w:rsid w:val="0078410E"/>
    <w:rsid w:val="007843F5"/>
    <w:rsid w:val="00784428"/>
    <w:rsid w:val="007844E7"/>
    <w:rsid w:val="007844EC"/>
    <w:rsid w:val="00785079"/>
    <w:rsid w:val="007854CA"/>
    <w:rsid w:val="00786059"/>
    <w:rsid w:val="00786557"/>
    <w:rsid w:val="00786C4E"/>
    <w:rsid w:val="0079034D"/>
    <w:rsid w:val="007903FF"/>
    <w:rsid w:val="00790468"/>
    <w:rsid w:val="007920B9"/>
    <w:rsid w:val="00792E25"/>
    <w:rsid w:val="00793BA2"/>
    <w:rsid w:val="00793C4F"/>
    <w:rsid w:val="00793FC6"/>
    <w:rsid w:val="007942C4"/>
    <w:rsid w:val="00794466"/>
    <w:rsid w:val="0079452B"/>
    <w:rsid w:val="00794825"/>
    <w:rsid w:val="007950B9"/>
    <w:rsid w:val="00796522"/>
    <w:rsid w:val="007965ED"/>
    <w:rsid w:val="007968C7"/>
    <w:rsid w:val="00796B44"/>
    <w:rsid w:val="0079745F"/>
    <w:rsid w:val="00797512"/>
    <w:rsid w:val="00797C37"/>
    <w:rsid w:val="00797C67"/>
    <w:rsid w:val="007A03D2"/>
    <w:rsid w:val="007A0FB0"/>
    <w:rsid w:val="007A17EE"/>
    <w:rsid w:val="007A2739"/>
    <w:rsid w:val="007A33F4"/>
    <w:rsid w:val="007A3B81"/>
    <w:rsid w:val="007A4B22"/>
    <w:rsid w:val="007A5592"/>
    <w:rsid w:val="007A6919"/>
    <w:rsid w:val="007A6E6B"/>
    <w:rsid w:val="007A6F81"/>
    <w:rsid w:val="007A7133"/>
    <w:rsid w:val="007A7D82"/>
    <w:rsid w:val="007A7E14"/>
    <w:rsid w:val="007B0B3A"/>
    <w:rsid w:val="007B0C66"/>
    <w:rsid w:val="007B12AC"/>
    <w:rsid w:val="007B1B6B"/>
    <w:rsid w:val="007B2F3E"/>
    <w:rsid w:val="007B343D"/>
    <w:rsid w:val="007B3F9E"/>
    <w:rsid w:val="007B422D"/>
    <w:rsid w:val="007B4F89"/>
    <w:rsid w:val="007B5068"/>
    <w:rsid w:val="007B5171"/>
    <w:rsid w:val="007B596F"/>
    <w:rsid w:val="007B64EE"/>
    <w:rsid w:val="007B6522"/>
    <w:rsid w:val="007B6E6B"/>
    <w:rsid w:val="007B7668"/>
    <w:rsid w:val="007B76CB"/>
    <w:rsid w:val="007B79D8"/>
    <w:rsid w:val="007B7F37"/>
    <w:rsid w:val="007C0E36"/>
    <w:rsid w:val="007C0F58"/>
    <w:rsid w:val="007C1052"/>
    <w:rsid w:val="007C1C14"/>
    <w:rsid w:val="007C2B3F"/>
    <w:rsid w:val="007C3146"/>
    <w:rsid w:val="007C370F"/>
    <w:rsid w:val="007C3995"/>
    <w:rsid w:val="007C3E71"/>
    <w:rsid w:val="007C5010"/>
    <w:rsid w:val="007C5339"/>
    <w:rsid w:val="007C6659"/>
    <w:rsid w:val="007C6DED"/>
    <w:rsid w:val="007C709E"/>
    <w:rsid w:val="007C711B"/>
    <w:rsid w:val="007C7B9A"/>
    <w:rsid w:val="007C7E16"/>
    <w:rsid w:val="007D01CB"/>
    <w:rsid w:val="007D13EC"/>
    <w:rsid w:val="007D1B9A"/>
    <w:rsid w:val="007D1D89"/>
    <w:rsid w:val="007D2258"/>
    <w:rsid w:val="007D2C35"/>
    <w:rsid w:val="007D301C"/>
    <w:rsid w:val="007D4C0C"/>
    <w:rsid w:val="007D551E"/>
    <w:rsid w:val="007D59C9"/>
    <w:rsid w:val="007D5EC5"/>
    <w:rsid w:val="007D61FD"/>
    <w:rsid w:val="007D6C68"/>
    <w:rsid w:val="007D6D1B"/>
    <w:rsid w:val="007D7864"/>
    <w:rsid w:val="007D7B82"/>
    <w:rsid w:val="007D7BB0"/>
    <w:rsid w:val="007E0ABC"/>
    <w:rsid w:val="007E0E79"/>
    <w:rsid w:val="007E1312"/>
    <w:rsid w:val="007E13BA"/>
    <w:rsid w:val="007E17CD"/>
    <w:rsid w:val="007E2892"/>
    <w:rsid w:val="007E31BD"/>
    <w:rsid w:val="007E3826"/>
    <w:rsid w:val="007E49EB"/>
    <w:rsid w:val="007E4DD5"/>
    <w:rsid w:val="007E4FCE"/>
    <w:rsid w:val="007E5056"/>
    <w:rsid w:val="007E5280"/>
    <w:rsid w:val="007E5C54"/>
    <w:rsid w:val="007E5C61"/>
    <w:rsid w:val="007E5C84"/>
    <w:rsid w:val="007E61F8"/>
    <w:rsid w:val="007E6860"/>
    <w:rsid w:val="007E6BC2"/>
    <w:rsid w:val="007E6EAC"/>
    <w:rsid w:val="007E74DB"/>
    <w:rsid w:val="007E74F0"/>
    <w:rsid w:val="007E7C14"/>
    <w:rsid w:val="007F0DDB"/>
    <w:rsid w:val="007F1123"/>
    <w:rsid w:val="007F1CCC"/>
    <w:rsid w:val="007F28A4"/>
    <w:rsid w:val="007F2BC6"/>
    <w:rsid w:val="007F309D"/>
    <w:rsid w:val="007F344A"/>
    <w:rsid w:val="007F3992"/>
    <w:rsid w:val="007F3C01"/>
    <w:rsid w:val="007F47B2"/>
    <w:rsid w:val="007F48BD"/>
    <w:rsid w:val="007F4E9D"/>
    <w:rsid w:val="007F5789"/>
    <w:rsid w:val="007F5C45"/>
    <w:rsid w:val="007F5EE9"/>
    <w:rsid w:val="007F6168"/>
    <w:rsid w:val="007F642D"/>
    <w:rsid w:val="007F6802"/>
    <w:rsid w:val="007F6963"/>
    <w:rsid w:val="007F6B84"/>
    <w:rsid w:val="007F7B8A"/>
    <w:rsid w:val="007F7D91"/>
    <w:rsid w:val="008005D9"/>
    <w:rsid w:val="0080085D"/>
    <w:rsid w:val="00800FDD"/>
    <w:rsid w:val="008017F1"/>
    <w:rsid w:val="00802CDD"/>
    <w:rsid w:val="008035B4"/>
    <w:rsid w:val="008037B8"/>
    <w:rsid w:val="00803DB6"/>
    <w:rsid w:val="00804162"/>
    <w:rsid w:val="00804868"/>
    <w:rsid w:val="00805B98"/>
    <w:rsid w:val="008060C3"/>
    <w:rsid w:val="0080692E"/>
    <w:rsid w:val="0080740D"/>
    <w:rsid w:val="00807D21"/>
    <w:rsid w:val="008106DB"/>
    <w:rsid w:val="0081098E"/>
    <w:rsid w:val="00810C0F"/>
    <w:rsid w:val="008111E5"/>
    <w:rsid w:val="00812499"/>
    <w:rsid w:val="008132F8"/>
    <w:rsid w:val="00813E0A"/>
    <w:rsid w:val="0081418E"/>
    <w:rsid w:val="008154F6"/>
    <w:rsid w:val="00815546"/>
    <w:rsid w:val="00815E28"/>
    <w:rsid w:val="008166B3"/>
    <w:rsid w:val="00816947"/>
    <w:rsid w:val="008169C8"/>
    <w:rsid w:val="00816CA8"/>
    <w:rsid w:val="00817849"/>
    <w:rsid w:val="00820CAC"/>
    <w:rsid w:val="008216AB"/>
    <w:rsid w:val="00821984"/>
    <w:rsid w:val="00821DE3"/>
    <w:rsid w:val="00822449"/>
    <w:rsid w:val="00822C2E"/>
    <w:rsid w:val="00822D4B"/>
    <w:rsid w:val="00823367"/>
    <w:rsid w:val="00824404"/>
    <w:rsid w:val="00824FB8"/>
    <w:rsid w:val="00825224"/>
    <w:rsid w:val="00825D26"/>
    <w:rsid w:val="00827611"/>
    <w:rsid w:val="00830718"/>
    <w:rsid w:val="008333F9"/>
    <w:rsid w:val="0083478F"/>
    <w:rsid w:val="00834AD5"/>
    <w:rsid w:val="00834B80"/>
    <w:rsid w:val="00836770"/>
    <w:rsid w:val="00837F07"/>
    <w:rsid w:val="008406BF"/>
    <w:rsid w:val="00840C3C"/>
    <w:rsid w:val="00841876"/>
    <w:rsid w:val="00842956"/>
    <w:rsid w:val="00842C2A"/>
    <w:rsid w:val="00843A8C"/>
    <w:rsid w:val="00843B3C"/>
    <w:rsid w:val="008442A5"/>
    <w:rsid w:val="00844475"/>
    <w:rsid w:val="00844502"/>
    <w:rsid w:val="00845D72"/>
    <w:rsid w:val="00846137"/>
    <w:rsid w:val="008463E1"/>
    <w:rsid w:val="00846431"/>
    <w:rsid w:val="00847FC1"/>
    <w:rsid w:val="00850113"/>
    <w:rsid w:val="00850162"/>
    <w:rsid w:val="0085062A"/>
    <w:rsid w:val="008516E3"/>
    <w:rsid w:val="00851793"/>
    <w:rsid w:val="00851DF3"/>
    <w:rsid w:val="00851EA4"/>
    <w:rsid w:val="008533E6"/>
    <w:rsid w:val="008546B5"/>
    <w:rsid w:val="00855DF0"/>
    <w:rsid w:val="00856137"/>
    <w:rsid w:val="008568C1"/>
    <w:rsid w:val="00856BD0"/>
    <w:rsid w:val="008579FC"/>
    <w:rsid w:val="00857CE2"/>
    <w:rsid w:val="00860281"/>
    <w:rsid w:val="0086028D"/>
    <w:rsid w:val="008607BD"/>
    <w:rsid w:val="008608C7"/>
    <w:rsid w:val="00860DA2"/>
    <w:rsid w:val="0086152E"/>
    <w:rsid w:val="00861A67"/>
    <w:rsid w:val="00862916"/>
    <w:rsid w:val="00862C99"/>
    <w:rsid w:val="00862E18"/>
    <w:rsid w:val="00862FA5"/>
    <w:rsid w:val="008633AC"/>
    <w:rsid w:val="00863653"/>
    <w:rsid w:val="00864554"/>
    <w:rsid w:val="008648A2"/>
    <w:rsid w:val="008651B1"/>
    <w:rsid w:val="00865264"/>
    <w:rsid w:val="008657BC"/>
    <w:rsid w:val="0086593E"/>
    <w:rsid w:val="00866398"/>
    <w:rsid w:val="008667A3"/>
    <w:rsid w:val="00866F46"/>
    <w:rsid w:val="0086714A"/>
    <w:rsid w:val="00867598"/>
    <w:rsid w:val="00870757"/>
    <w:rsid w:val="008711CA"/>
    <w:rsid w:val="008718BB"/>
    <w:rsid w:val="008719CF"/>
    <w:rsid w:val="00871D38"/>
    <w:rsid w:val="00872291"/>
    <w:rsid w:val="008727D9"/>
    <w:rsid w:val="00872A6C"/>
    <w:rsid w:val="00873C63"/>
    <w:rsid w:val="00874E09"/>
    <w:rsid w:val="00876C1C"/>
    <w:rsid w:val="00880305"/>
    <w:rsid w:val="0088054F"/>
    <w:rsid w:val="0088103E"/>
    <w:rsid w:val="00881937"/>
    <w:rsid w:val="00882FD4"/>
    <w:rsid w:val="00883142"/>
    <w:rsid w:val="00883264"/>
    <w:rsid w:val="0088372D"/>
    <w:rsid w:val="0088473F"/>
    <w:rsid w:val="008847DA"/>
    <w:rsid w:val="008859F9"/>
    <w:rsid w:val="008873FA"/>
    <w:rsid w:val="008907BC"/>
    <w:rsid w:val="00890909"/>
    <w:rsid w:val="00891A00"/>
    <w:rsid w:val="008921DE"/>
    <w:rsid w:val="00892792"/>
    <w:rsid w:val="00892842"/>
    <w:rsid w:val="00892D55"/>
    <w:rsid w:val="00893B9A"/>
    <w:rsid w:val="00894236"/>
    <w:rsid w:val="008942F4"/>
    <w:rsid w:val="00894FB3"/>
    <w:rsid w:val="00895AF7"/>
    <w:rsid w:val="0089612F"/>
    <w:rsid w:val="008972F3"/>
    <w:rsid w:val="00897800"/>
    <w:rsid w:val="008A01D0"/>
    <w:rsid w:val="008A0308"/>
    <w:rsid w:val="008A03D3"/>
    <w:rsid w:val="008A0E29"/>
    <w:rsid w:val="008A1588"/>
    <w:rsid w:val="008A1FC3"/>
    <w:rsid w:val="008A206E"/>
    <w:rsid w:val="008A2454"/>
    <w:rsid w:val="008A28C9"/>
    <w:rsid w:val="008A2CBE"/>
    <w:rsid w:val="008A2E9F"/>
    <w:rsid w:val="008A2FAA"/>
    <w:rsid w:val="008A3CB0"/>
    <w:rsid w:val="008A41F6"/>
    <w:rsid w:val="008A4471"/>
    <w:rsid w:val="008A4A41"/>
    <w:rsid w:val="008A5133"/>
    <w:rsid w:val="008A55F3"/>
    <w:rsid w:val="008A5B7C"/>
    <w:rsid w:val="008A5C64"/>
    <w:rsid w:val="008A5EDD"/>
    <w:rsid w:val="008A6FED"/>
    <w:rsid w:val="008A7998"/>
    <w:rsid w:val="008B0B59"/>
    <w:rsid w:val="008B1550"/>
    <w:rsid w:val="008B29AC"/>
    <w:rsid w:val="008B2B08"/>
    <w:rsid w:val="008B328F"/>
    <w:rsid w:val="008B3B53"/>
    <w:rsid w:val="008B3DD6"/>
    <w:rsid w:val="008B4218"/>
    <w:rsid w:val="008B4F99"/>
    <w:rsid w:val="008B59AD"/>
    <w:rsid w:val="008B63FC"/>
    <w:rsid w:val="008B69A2"/>
    <w:rsid w:val="008B72D9"/>
    <w:rsid w:val="008B782E"/>
    <w:rsid w:val="008B7944"/>
    <w:rsid w:val="008C05F8"/>
    <w:rsid w:val="008C0D9F"/>
    <w:rsid w:val="008C1397"/>
    <w:rsid w:val="008C13E8"/>
    <w:rsid w:val="008C18DF"/>
    <w:rsid w:val="008C2A57"/>
    <w:rsid w:val="008C2D1F"/>
    <w:rsid w:val="008C336C"/>
    <w:rsid w:val="008C3926"/>
    <w:rsid w:val="008C4847"/>
    <w:rsid w:val="008C4BF2"/>
    <w:rsid w:val="008C573E"/>
    <w:rsid w:val="008C5836"/>
    <w:rsid w:val="008C5BF2"/>
    <w:rsid w:val="008C6504"/>
    <w:rsid w:val="008C7184"/>
    <w:rsid w:val="008C765D"/>
    <w:rsid w:val="008C77F2"/>
    <w:rsid w:val="008C791A"/>
    <w:rsid w:val="008C7B79"/>
    <w:rsid w:val="008C7D4F"/>
    <w:rsid w:val="008D0622"/>
    <w:rsid w:val="008D0683"/>
    <w:rsid w:val="008D0C35"/>
    <w:rsid w:val="008D1311"/>
    <w:rsid w:val="008D163F"/>
    <w:rsid w:val="008D2343"/>
    <w:rsid w:val="008D2C21"/>
    <w:rsid w:val="008D31E7"/>
    <w:rsid w:val="008D33DD"/>
    <w:rsid w:val="008D37EF"/>
    <w:rsid w:val="008D4365"/>
    <w:rsid w:val="008D4B07"/>
    <w:rsid w:val="008D60D0"/>
    <w:rsid w:val="008D6291"/>
    <w:rsid w:val="008D688D"/>
    <w:rsid w:val="008D6FA2"/>
    <w:rsid w:val="008D6FAC"/>
    <w:rsid w:val="008D75C0"/>
    <w:rsid w:val="008D7DDD"/>
    <w:rsid w:val="008E16CF"/>
    <w:rsid w:val="008E20F1"/>
    <w:rsid w:val="008E20FC"/>
    <w:rsid w:val="008E26DB"/>
    <w:rsid w:val="008E2F05"/>
    <w:rsid w:val="008E3DF7"/>
    <w:rsid w:val="008E3FD0"/>
    <w:rsid w:val="008E440D"/>
    <w:rsid w:val="008E47AE"/>
    <w:rsid w:val="008E4974"/>
    <w:rsid w:val="008E4BB8"/>
    <w:rsid w:val="008E5338"/>
    <w:rsid w:val="008E553D"/>
    <w:rsid w:val="008E5C54"/>
    <w:rsid w:val="008E6F0A"/>
    <w:rsid w:val="008E70F3"/>
    <w:rsid w:val="008E71DC"/>
    <w:rsid w:val="008F004B"/>
    <w:rsid w:val="008F091B"/>
    <w:rsid w:val="008F15B5"/>
    <w:rsid w:val="008F2319"/>
    <w:rsid w:val="008F2384"/>
    <w:rsid w:val="008F2F02"/>
    <w:rsid w:val="008F3C05"/>
    <w:rsid w:val="008F3FE8"/>
    <w:rsid w:val="008F49B4"/>
    <w:rsid w:val="008F5181"/>
    <w:rsid w:val="008F52E3"/>
    <w:rsid w:val="008F5373"/>
    <w:rsid w:val="008F5AF4"/>
    <w:rsid w:val="008F601E"/>
    <w:rsid w:val="008F61AB"/>
    <w:rsid w:val="008F6476"/>
    <w:rsid w:val="008F6738"/>
    <w:rsid w:val="008F6888"/>
    <w:rsid w:val="008F6987"/>
    <w:rsid w:val="00900346"/>
    <w:rsid w:val="0090161F"/>
    <w:rsid w:val="00902576"/>
    <w:rsid w:val="00902F5A"/>
    <w:rsid w:val="00903614"/>
    <w:rsid w:val="00903717"/>
    <w:rsid w:val="00904B1F"/>
    <w:rsid w:val="009054DF"/>
    <w:rsid w:val="009055AB"/>
    <w:rsid w:val="0090671E"/>
    <w:rsid w:val="00906E98"/>
    <w:rsid w:val="009075D5"/>
    <w:rsid w:val="00907963"/>
    <w:rsid w:val="00907AED"/>
    <w:rsid w:val="00907AFA"/>
    <w:rsid w:val="00907BE1"/>
    <w:rsid w:val="00907F71"/>
    <w:rsid w:val="0091190C"/>
    <w:rsid w:val="00911EF1"/>
    <w:rsid w:val="00913F6D"/>
    <w:rsid w:val="0091536B"/>
    <w:rsid w:val="00915AD9"/>
    <w:rsid w:val="00915FED"/>
    <w:rsid w:val="009168F2"/>
    <w:rsid w:val="009171E9"/>
    <w:rsid w:val="00917252"/>
    <w:rsid w:val="00917261"/>
    <w:rsid w:val="00917D91"/>
    <w:rsid w:val="0092026B"/>
    <w:rsid w:val="00920773"/>
    <w:rsid w:val="00920909"/>
    <w:rsid w:val="009217E2"/>
    <w:rsid w:val="0092523C"/>
    <w:rsid w:val="00925870"/>
    <w:rsid w:val="00925CFB"/>
    <w:rsid w:val="00927F87"/>
    <w:rsid w:val="00930051"/>
    <w:rsid w:val="00930634"/>
    <w:rsid w:val="00930FAB"/>
    <w:rsid w:val="00931338"/>
    <w:rsid w:val="00931902"/>
    <w:rsid w:val="00931D6A"/>
    <w:rsid w:val="00931F10"/>
    <w:rsid w:val="00932FB0"/>
    <w:rsid w:val="009331A3"/>
    <w:rsid w:val="009339B6"/>
    <w:rsid w:val="009347B9"/>
    <w:rsid w:val="009349D1"/>
    <w:rsid w:val="00934C24"/>
    <w:rsid w:val="009354DE"/>
    <w:rsid w:val="00935B12"/>
    <w:rsid w:val="00935EA8"/>
    <w:rsid w:val="00935EAB"/>
    <w:rsid w:val="009378E4"/>
    <w:rsid w:val="00937930"/>
    <w:rsid w:val="00937AAB"/>
    <w:rsid w:val="00940E97"/>
    <w:rsid w:val="00940F96"/>
    <w:rsid w:val="00942FAC"/>
    <w:rsid w:val="00943076"/>
    <w:rsid w:val="00943B23"/>
    <w:rsid w:val="00943ED4"/>
    <w:rsid w:val="0094461B"/>
    <w:rsid w:val="0094462C"/>
    <w:rsid w:val="00944E4F"/>
    <w:rsid w:val="00946560"/>
    <w:rsid w:val="00946721"/>
    <w:rsid w:val="00947511"/>
    <w:rsid w:val="00947A12"/>
    <w:rsid w:val="00947AA0"/>
    <w:rsid w:val="00947D8F"/>
    <w:rsid w:val="00950BB4"/>
    <w:rsid w:val="00950C93"/>
    <w:rsid w:val="00951261"/>
    <w:rsid w:val="00951435"/>
    <w:rsid w:val="0095181E"/>
    <w:rsid w:val="00952141"/>
    <w:rsid w:val="00952A55"/>
    <w:rsid w:val="00952AE8"/>
    <w:rsid w:val="00952F40"/>
    <w:rsid w:val="00953216"/>
    <w:rsid w:val="009537BD"/>
    <w:rsid w:val="00953A99"/>
    <w:rsid w:val="00953ECC"/>
    <w:rsid w:val="0095405E"/>
    <w:rsid w:val="009541D2"/>
    <w:rsid w:val="00954374"/>
    <w:rsid w:val="0095546A"/>
    <w:rsid w:val="00955F06"/>
    <w:rsid w:val="00956228"/>
    <w:rsid w:val="009568AA"/>
    <w:rsid w:val="00956D25"/>
    <w:rsid w:val="00956F5E"/>
    <w:rsid w:val="00957038"/>
    <w:rsid w:val="00960A4F"/>
    <w:rsid w:val="00960CBC"/>
    <w:rsid w:val="00961689"/>
    <w:rsid w:val="009617CD"/>
    <w:rsid w:val="00961AC3"/>
    <w:rsid w:val="00961C11"/>
    <w:rsid w:val="009624A9"/>
    <w:rsid w:val="00963160"/>
    <w:rsid w:val="0096338F"/>
    <w:rsid w:val="00965525"/>
    <w:rsid w:val="00965E5D"/>
    <w:rsid w:val="00966082"/>
    <w:rsid w:val="00966306"/>
    <w:rsid w:val="00967172"/>
    <w:rsid w:val="009706E0"/>
    <w:rsid w:val="0097130C"/>
    <w:rsid w:val="0097288E"/>
    <w:rsid w:val="009729FD"/>
    <w:rsid w:val="00973DE1"/>
    <w:rsid w:val="00974DCD"/>
    <w:rsid w:val="00975029"/>
    <w:rsid w:val="00975A4E"/>
    <w:rsid w:val="00975B34"/>
    <w:rsid w:val="009770FA"/>
    <w:rsid w:val="009802D2"/>
    <w:rsid w:val="00980B57"/>
    <w:rsid w:val="00980D95"/>
    <w:rsid w:val="009833AE"/>
    <w:rsid w:val="00983534"/>
    <w:rsid w:val="00983952"/>
    <w:rsid w:val="00983E24"/>
    <w:rsid w:val="00983FE5"/>
    <w:rsid w:val="00984073"/>
    <w:rsid w:val="00984398"/>
    <w:rsid w:val="00984A8D"/>
    <w:rsid w:val="00984D63"/>
    <w:rsid w:val="00984DB5"/>
    <w:rsid w:val="0098513E"/>
    <w:rsid w:val="00985471"/>
    <w:rsid w:val="00985711"/>
    <w:rsid w:val="009860F9"/>
    <w:rsid w:val="009865E1"/>
    <w:rsid w:val="009870BF"/>
    <w:rsid w:val="009871AC"/>
    <w:rsid w:val="009873BB"/>
    <w:rsid w:val="0098793A"/>
    <w:rsid w:val="00987AAC"/>
    <w:rsid w:val="00987CA7"/>
    <w:rsid w:val="0099029B"/>
    <w:rsid w:val="00990482"/>
    <w:rsid w:val="0099068C"/>
    <w:rsid w:val="0099090A"/>
    <w:rsid w:val="00990975"/>
    <w:rsid w:val="00990E0F"/>
    <w:rsid w:val="00990F02"/>
    <w:rsid w:val="00991227"/>
    <w:rsid w:val="00991A1A"/>
    <w:rsid w:val="00991E4C"/>
    <w:rsid w:val="0099201C"/>
    <w:rsid w:val="009920A5"/>
    <w:rsid w:val="009922E6"/>
    <w:rsid w:val="00992846"/>
    <w:rsid w:val="009929DA"/>
    <w:rsid w:val="00992E82"/>
    <w:rsid w:val="00992F4C"/>
    <w:rsid w:val="009930AE"/>
    <w:rsid w:val="00993205"/>
    <w:rsid w:val="00993255"/>
    <w:rsid w:val="00993559"/>
    <w:rsid w:val="009938A1"/>
    <w:rsid w:val="009941DB"/>
    <w:rsid w:val="0099464C"/>
    <w:rsid w:val="009946BC"/>
    <w:rsid w:val="009948FE"/>
    <w:rsid w:val="009949EB"/>
    <w:rsid w:val="00995074"/>
    <w:rsid w:val="009950C3"/>
    <w:rsid w:val="00995C7E"/>
    <w:rsid w:val="009962C8"/>
    <w:rsid w:val="009A0091"/>
    <w:rsid w:val="009A07E9"/>
    <w:rsid w:val="009A0F69"/>
    <w:rsid w:val="009A1AD7"/>
    <w:rsid w:val="009A2FCD"/>
    <w:rsid w:val="009A35AE"/>
    <w:rsid w:val="009A5199"/>
    <w:rsid w:val="009A6550"/>
    <w:rsid w:val="009A65FD"/>
    <w:rsid w:val="009A7640"/>
    <w:rsid w:val="009A76CB"/>
    <w:rsid w:val="009A76FE"/>
    <w:rsid w:val="009A77E8"/>
    <w:rsid w:val="009A7F72"/>
    <w:rsid w:val="009B1133"/>
    <w:rsid w:val="009B12E2"/>
    <w:rsid w:val="009B144E"/>
    <w:rsid w:val="009B14AF"/>
    <w:rsid w:val="009B1691"/>
    <w:rsid w:val="009B1A68"/>
    <w:rsid w:val="009B217A"/>
    <w:rsid w:val="009B2293"/>
    <w:rsid w:val="009B2FA4"/>
    <w:rsid w:val="009B3274"/>
    <w:rsid w:val="009B3B4A"/>
    <w:rsid w:val="009B4A23"/>
    <w:rsid w:val="009B51CE"/>
    <w:rsid w:val="009B6146"/>
    <w:rsid w:val="009B62DB"/>
    <w:rsid w:val="009B6685"/>
    <w:rsid w:val="009B6794"/>
    <w:rsid w:val="009B6DD9"/>
    <w:rsid w:val="009B7284"/>
    <w:rsid w:val="009B72D8"/>
    <w:rsid w:val="009B7E7C"/>
    <w:rsid w:val="009B7F30"/>
    <w:rsid w:val="009C07B1"/>
    <w:rsid w:val="009C09B9"/>
    <w:rsid w:val="009C0D3C"/>
    <w:rsid w:val="009C1833"/>
    <w:rsid w:val="009C2213"/>
    <w:rsid w:val="009C249A"/>
    <w:rsid w:val="009C24C0"/>
    <w:rsid w:val="009C32AC"/>
    <w:rsid w:val="009C387C"/>
    <w:rsid w:val="009C407B"/>
    <w:rsid w:val="009C415B"/>
    <w:rsid w:val="009C4A29"/>
    <w:rsid w:val="009C4AD5"/>
    <w:rsid w:val="009C622E"/>
    <w:rsid w:val="009C689B"/>
    <w:rsid w:val="009C6CDF"/>
    <w:rsid w:val="009C6D49"/>
    <w:rsid w:val="009C72FD"/>
    <w:rsid w:val="009C7445"/>
    <w:rsid w:val="009C7F12"/>
    <w:rsid w:val="009D19BE"/>
    <w:rsid w:val="009D1FE1"/>
    <w:rsid w:val="009D24BC"/>
    <w:rsid w:val="009D2D9D"/>
    <w:rsid w:val="009D2DFC"/>
    <w:rsid w:val="009D34C1"/>
    <w:rsid w:val="009D56C5"/>
    <w:rsid w:val="009D576D"/>
    <w:rsid w:val="009D576E"/>
    <w:rsid w:val="009D580C"/>
    <w:rsid w:val="009D6292"/>
    <w:rsid w:val="009D69A1"/>
    <w:rsid w:val="009D6B4B"/>
    <w:rsid w:val="009D6BBD"/>
    <w:rsid w:val="009D6EF7"/>
    <w:rsid w:val="009D7296"/>
    <w:rsid w:val="009D756E"/>
    <w:rsid w:val="009D7D9F"/>
    <w:rsid w:val="009D7F5A"/>
    <w:rsid w:val="009E0E82"/>
    <w:rsid w:val="009E124B"/>
    <w:rsid w:val="009E2864"/>
    <w:rsid w:val="009E3795"/>
    <w:rsid w:val="009E3A23"/>
    <w:rsid w:val="009E3EDC"/>
    <w:rsid w:val="009E46F8"/>
    <w:rsid w:val="009E5189"/>
    <w:rsid w:val="009E6332"/>
    <w:rsid w:val="009E6677"/>
    <w:rsid w:val="009E6B3D"/>
    <w:rsid w:val="009E6C03"/>
    <w:rsid w:val="009E7215"/>
    <w:rsid w:val="009E7399"/>
    <w:rsid w:val="009F150F"/>
    <w:rsid w:val="009F1CA7"/>
    <w:rsid w:val="009F1CC3"/>
    <w:rsid w:val="009F2361"/>
    <w:rsid w:val="009F277D"/>
    <w:rsid w:val="009F3219"/>
    <w:rsid w:val="009F35FC"/>
    <w:rsid w:val="009F37E4"/>
    <w:rsid w:val="009F419C"/>
    <w:rsid w:val="009F5666"/>
    <w:rsid w:val="009F6243"/>
    <w:rsid w:val="009F63D2"/>
    <w:rsid w:val="009F6631"/>
    <w:rsid w:val="009F6759"/>
    <w:rsid w:val="009F6C28"/>
    <w:rsid w:val="009F6C4F"/>
    <w:rsid w:val="009F7CE7"/>
    <w:rsid w:val="009F7D76"/>
    <w:rsid w:val="00A00950"/>
    <w:rsid w:val="00A01224"/>
    <w:rsid w:val="00A02222"/>
    <w:rsid w:val="00A02352"/>
    <w:rsid w:val="00A02430"/>
    <w:rsid w:val="00A0328E"/>
    <w:rsid w:val="00A034F8"/>
    <w:rsid w:val="00A036B3"/>
    <w:rsid w:val="00A03990"/>
    <w:rsid w:val="00A047BC"/>
    <w:rsid w:val="00A05D50"/>
    <w:rsid w:val="00A06006"/>
    <w:rsid w:val="00A06439"/>
    <w:rsid w:val="00A07E50"/>
    <w:rsid w:val="00A10441"/>
    <w:rsid w:val="00A10ABF"/>
    <w:rsid w:val="00A10BFB"/>
    <w:rsid w:val="00A12495"/>
    <w:rsid w:val="00A131CD"/>
    <w:rsid w:val="00A1492F"/>
    <w:rsid w:val="00A1576A"/>
    <w:rsid w:val="00A16DB9"/>
    <w:rsid w:val="00A205FC"/>
    <w:rsid w:val="00A20E83"/>
    <w:rsid w:val="00A20FC1"/>
    <w:rsid w:val="00A21A7D"/>
    <w:rsid w:val="00A21BB8"/>
    <w:rsid w:val="00A2362B"/>
    <w:rsid w:val="00A23E90"/>
    <w:rsid w:val="00A258A6"/>
    <w:rsid w:val="00A258CB"/>
    <w:rsid w:val="00A25CD1"/>
    <w:rsid w:val="00A26ACF"/>
    <w:rsid w:val="00A27471"/>
    <w:rsid w:val="00A27A52"/>
    <w:rsid w:val="00A27C6D"/>
    <w:rsid w:val="00A30459"/>
    <w:rsid w:val="00A304F2"/>
    <w:rsid w:val="00A3055D"/>
    <w:rsid w:val="00A30625"/>
    <w:rsid w:val="00A30DC3"/>
    <w:rsid w:val="00A3115E"/>
    <w:rsid w:val="00A3121A"/>
    <w:rsid w:val="00A3202F"/>
    <w:rsid w:val="00A3331C"/>
    <w:rsid w:val="00A336CF"/>
    <w:rsid w:val="00A338AE"/>
    <w:rsid w:val="00A33FF4"/>
    <w:rsid w:val="00A342A4"/>
    <w:rsid w:val="00A354D5"/>
    <w:rsid w:val="00A363BE"/>
    <w:rsid w:val="00A37D30"/>
    <w:rsid w:val="00A404E2"/>
    <w:rsid w:val="00A40D14"/>
    <w:rsid w:val="00A42317"/>
    <w:rsid w:val="00A42789"/>
    <w:rsid w:val="00A434FA"/>
    <w:rsid w:val="00A43670"/>
    <w:rsid w:val="00A438E5"/>
    <w:rsid w:val="00A440A9"/>
    <w:rsid w:val="00A442AD"/>
    <w:rsid w:val="00A4534E"/>
    <w:rsid w:val="00A45532"/>
    <w:rsid w:val="00A45878"/>
    <w:rsid w:val="00A471F5"/>
    <w:rsid w:val="00A50BD8"/>
    <w:rsid w:val="00A510DF"/>
    <w:rsid w:val="00A51C97"/>
    <w:rsid w:val="00A53494"/>
    <w:rsid w:val="00A53CCF"/>
    <w:rsid w:val="00A54415"/>
    <w:rsid w:val="00A54CF7"/>
    <w:rsid w:val="00A55079"/>
    <w:rsid w:val="00A56461"/>
    <w:rsid w:val="00A5665D"/>
    <w:rsid w:val="00A56A78"/>
    <w:rsid w:val="00A570CF"/>
    <w:rsid w:val="00A578BB"/>
    <w:rsid w:val="00A57AE9"/>
    <w:rsid w:val="00A602C4"/>
    <w:rsid w:val="00A60A87"/>
    <w:rsid w:val="00A60C1B"/>
    <w:rsid w:val="00A61AA7"/>
    <w:rsid w:val="00A61FEC"/>
    <w:rsid w:val="00A625AB"/>
    <w:rsid w:val="00A63C74"/>
    <w:rsid w:val="00A63F18"/>
    <w:rsid w:val="00A64133"/>
    <w:rsid w:val="00A6430A"/>
    <w:rsid w:val="00A64618"/>
    <w:rsid w:val="00A648F1"/>
    <w:rsid w:val="00A64BA7"/>
    <w:rsid w:val="00A657DD"/>
    <w:rsid w:val="00A665F0"/>
    <w:rsid w:val="00A6743A"/>
    <w:rsid w:val="00A67834"/>
    <w:rsid w:val="00A678D3"/>
    <w:rsid w:val="00A7015B"/>
    <w:rsid w:val="00A70B56"/>
    <w:rsid w:val="00A711E8"/>
    <w:rsid w:val="00A72046"/>
    <w:rsid w:val="00A73286"/>
    <w:rsid w:val="00A73B40"/>
    <w:rsid w:val="00A73B78"/>
    <w:rsid w:val="00A73E19"/>
    <w:rsid w:val="00A7520B"/>
    <w:rsid w:val="00A758B9"/>
    <w:rsid w:val="00A75E93"/>
    <w:rsid w:val="00A76EC7"/>
    <w:rsid w:val="00A7707A"/>
    <w:rsid w:val="00A774BD"/>
    <w:rsid w:val="00A77564"/>
    <w:rsid w:val="00A776FD"/>
    <w:rsid w:val="00A77D44"/>
    <w:rsid w:val="00A77E0C"/>
    <w:rsid w:val="00A81739"/>
    <w:rsid w:val="00A84C58"/>
    <w:rsid w:val="00A85610"/>
    <w:rsid w:val="00A867A7"/>
    <w:rsid w:val="00A8722A"/>
    <w:rsid w:val="00A9014A"/>
    <w:rsid w:val="00A9035E"/>
    <w:rsid w:val="00A90AE4"/>
    <w:rsid w:val="00A90ED0"/>
    <w:rsid w:val="00A913E5"/>
    <w:rsid w:val="00A91A61"/>
    <w:rsid w:val="00A91A7B"/>
    <w:rsid w:val="00A91FFA"/>
    <w:rsid w:val="00A92BDB"/>
    <w:rsid w:val="00A92E22"/>
    <w:rsid w:val="00A93447"/>
    <w:rsid w:val="00A93709"/>
    <w:rsid w:val="00A94370"/>
    <w:rsid w:val="00A9477F"/>
    <w:rsid w:val="00A955DA"/>
    <w:rsid w:val="00A9562F"/>
    <w:rsid w:val="00A96A95"/>
    <w:rsid w:val="00A97933"/>
    <w:rsid w:val="00AA0B31"/>
    <w:rsid w:val="00AA19AE"/>
    <w:rsid w:val="00AA1D6A"/>
    <w:rsid w:val="00AA1DFA"/>
    <w:rsid w:val="00AA2256"/>
    <w:rsid w:val="00AA305E"/>
    <w:rsid w:val="00AA35D8"/>
    <w:rsid w:val="00AA3902"/>
    <w:rsid w:val="00AA5D73"/>
    <w:rsid w:val="00AA5E52"/>
    <w:rsid w:val="00AA6783"/>
    <w:rsid w:val="00AB13D7"/>
    <w:rsid w:val="00AB19EE"/>
    <w:rsid w:val="00AB2EE4"/>
    <w:rsid w:val="00AB3093"/>
    <w:rsid w:val="00AB3B88"/>
    <w:rsid w:val="00AB3F40"/>
    <w:rsid w:val="00AB48C0"/>
    <w:rsid w:val="00AB4CAB"/>
    <w:rsid w:val="00AB4CB5"/>
    <w:rsid w:val="00AB537E"/>
    <w:rsid w:val="00AB5398"/>
    <w:rsid w:val="00AB55A0"/>
    <w:rsid w:val="00AB5686"/>
    <w:rsid w:val="00AB5CFE"/>
    <w:rsid w:val="00AB6761"/>
    <w:rsid w:val="00AB6DD6"/>
    <w:rsid w:val="00AB6EEC"/>
    <w:rsid w:val="00AB7069"/>
    <w:rsid w:val="00AB744D"/>
    <w:rsid w:val="00AB7E07"/>
    <w:rsid w:val="00AC0CBE"/>
    <w:rsid w:val="00AC16DE"/>
    <w:rsid w:val="00AC1A3A"/>
    <w:rsid w:val="00AC1B9F"/>
    <w:rsid w:val="00AC203B"/>
    <w:rsid w:val="00AC2817"/>
    <w:rsid w:val="00AC2E0E"/>
    <w:rsid w:val="00AC34AC"/>
    <w:rsid w:val="00AC58D7"/>
    <w:rsid w:val="00AC5928"/>
    <w:rsid w:val="00AC627C"/>
    <w:rsid w:val="00AC6547"/>
    <w:rsid w:val="00AC6549"/>
    <w:rsid w:val="00AC6963"/>
    <w:rsid w:val="00AC7417"/>
    <w:rsid w:val="00AC7B5E"/>
    <w:rsid w:val="00AD06BE"/>
    <w:rsid w:val="00AD0839"/>
    <w:rsid w:val="00AD21E9"/>
    <w:rsid w:val="00AD2B8B"/>
    <w:rsid w:val="00AD2EC2"/>
    <w:rsid w:val="00AD3742"/>
    <w:rsid w:val="00AD41D0"/>
    <w:rsid w:val="00AD4AC1"/>
    <w:rsid w:val="00AD4AE2"/>
    <w:rsid w:val="00AD4FD2"/>
    <w:rsid w:val="00AD530A"/>
    <w:rsid w:val="00AD53BE"/>
    <w:rsid w:val="00AD5980"/>
    <w:rsid w:val="00AD68CC"/>
    <w:rsid w:val="00AD780D"/>
    <w:rsid w:val="00AD7D16"/>
    <w:rsid w:val="00AE03E6"/>
    <w:rsid w:val="00AE10FC"/>
    <w:rsid w:val="00AE18E3"/>
    <w:rsid w:val="00AE28CE"/>
    <w:rsid w:val="00AE2A1C"/>
    <w:rsid w:val="00AE3042"/>
    <w:rsid w:val="00AE383A"/>
    <w:rsid w:val="00AE4FC1"/>
    <w:rsid w:val="00AE52C7"/>
    <w:rsid w:val="00AE5638"/>
    <w:rsid w:val="00AE5A34"/>
    <w:rsid w:val="00AE5C79"/>
    <w:rsid w:val="00AE6800"/>
    <w:rsid w:val="00AE6EC6"/>
    <w:rsid w:val="00AE7995"/>
    <w:rsid w:val="00AF0526"/>
    <w:rsid w:val="00AF053E"/>
    <w:rsid w:val="00AF0627"/>
    <w:rsid w:val="00AF064F"/>
    <w:rsid w:val="00AF0732"/>
    <w:rsid w:val="00AF12AA"/>
    <w:rsid w:val="00AF194B"/>
    <w:rsid w:val="00AF242D"/>
    <w:rsid w:val="00AF2467"/>
    <w:rsid w:val="00AF2F3D"/>
    <w:rsid w:val="00AF30E1"/>
    <w:rsid w:val="00AF3168"/>
    <w:rsid w:val="00AF382D"/>
    <w:rsid w:val="00AF4573"/>
    <w:rsid w:val="00AF46EA"/>
    <w:rsid w:val="00AF4DFF"/>
    <w:rsid w:val="00AF50DA"/>
    <w:rsid w:val="00AF59C4"/>
    <w:rsid w:val="00AF5A98"/>
    <w:rsid w:val="00AF5C7D"/>
    <w:rsid w:val="00AF6771"/>
    <w:rsid w:val="00AF7B01"/>
    <w:rsid w:val="00B00711"/>
    <w:rsid w:val="00B00D58"/>
    <w:rsid w:val="00B01727"/>
    <w:rsid w:val="00B019F4"/>
    <w:rsid w:val="00B0230A"/>
    <w:rsid w:val="00B027C3"/>
    <w:rsid w:val="00B0332E"/>
    <w:rsid w:val="00B0343B"/>
    <w:rsid w:val="00B03C96"/>
    <w:rsid w:val="00B044CB"/>
    <w:rsid w:val="00B05B58"/>
    <w:rsid w:val="00B05F7A"/>
    <w:rsid w:val="00B06146"/>
    <w:rsid w:val="00B0622B"/>
    <w:rsid w:val="00B066D9"/>
    <w:rsid w:val="00B0736F"/>
    <w:rsid w:val="00B0750B"/>
    <w:rsid w:val="00B07B7B"/>
    <w:rsid w:val="00B07D37"/>
    <w:rsid w:val="00B07EE5"/>
    <w:rsid w:val="00B07FEB"/>
    <w:rsid w:val="00B07FF7"/>
    <w:rsid w:val="00B100D0"/>
    <w:rsid w:val="00B1093F"/>
    <w:rsid w:val="00B109D4"/>
    <w:rsid w:val="00B11593"/>
    <w:rsid w:val="00B117B6"/>
    <w:rsid w:val="00B11DDC"/>
    <w:rsid w:val="00B12EB6"/>
    <w:rsid w:val="00B132E0"/>
    <w:rsid w:val="00B134BE"/>
    <w:rsid w:val="00B137F7"/>
    <w:rsid w:val="00B13C66"/>
    <w:rsid w:val="00B13DF4"/>
    <w:rsid w:val="00B14256"/>
    <w:rsid w:val="00B14C4A"/>
    <w:rsid w:val="00B14FBB"/>
    <w:rsid w:val="00B1503B"/>
    <w:rsid w:val="00B15C39"/>
    <w:rsid w:val="00B161BA"/>
    <w:rsid w:val="00B16811"/>
    <w:rsid w:val="00B169DF"/>
    <w:rsid w:val="00B16BD5"/>
    <w:rsid w:val="00B16DA1"/>
    <w:rsid w:val="00B17487"/>
    <w:rsid w:val="00B20EA8"/>
    <w:rsid w:val="00B20F92"/>
    <w:rsid w:val="00B21047"/>
    <w:rsid w:val="00B21DDE"/>
    <w:rsid w:val="00B22110"/>
    <w:rsid w:val="00B2231D"/>
    <w:rsid w:val="00B22338"/>
    <w:rsid w:val="00B22355"/>
    <w:rsid w:val="00B22436"/>
    <w:rsid w:val="00B22959"/>
    <w:rsid w:val="00B2312E"/>
    <w:rsid w:val="00B23179"/>
    <w:rsid w:val="00B23B3D"/>
    <w:rsid w:val="00B252B2"/>
    <w:rsid w:val="00B2571A"/>
    <w:rsid w:val="00B25ABD"/>
    <w:rsid w:val="00B25E2F"/>
    <w:rsid w:val="00B25EEA"/>
    <w:rsid w:val="00B26781"/>
    <w:rsid w:val="00B269FA"/>
    <w:rsid w:val="00B27C69"/>
    <w:rsid w:val="00B300D9"/>
    <w:rsid w:val="00B3023E"/>
    <w:rsid w:val="00B30D29"/>
    <w:rsid w:val="00B31051"/>
    <w:rsid w:val="00B31D5D"/>
    <w:rsid w:val="00B31DE0"/>
    <w:rsid w:val="00B31EF2"/>
    <w:rsid w:val="00B3247C"/>
    <w:rsid w:val="00B34284"/>
    <w:rsid w:val="00B35E05"/>
    <w:rsid w:val="00B364EE"/>
    <w:rsid w:val="00B365EC"/>
    <w:rsid w:val="00B368C7"/>
    <w:rsid w:val="00B40852"/>
    <w:rsid w:val="00B418BF"/>
    <w:rsid w:val="00B41C5F"/>
    <w:rsid w:val="00B42287"/>
    <w:rsid w:val="00B4245F"/>
    <w:rsid w:val="00B4296B"/>
    <w:rsid w:val="00B4354F"/>
    <w:rsid w:val="00B43800"/>
    <w:rsid w:val="00B43992"/>
    <w:rsid w:val="00B439AD"/>
    <w:rsid w:val="00B43C28"/>
    <w:rsid w:val="00B43ED3"/>
    <w:rsid w:val="00B442DB"/>
    <w:rsid w:val="00B4441A"/>
    <w:rsid w:val="00B44667"/>
    <w:rsid w:val="00B450B1"/>
    <w:rsid w:val="00B45922"/>
    <w:rsid w:val="00B45969"/>
    <w:rsid w:val="00B4723E"/>
    <w:rsid w:val="00B4728F"/>
    <w:rsid w:val="00B47939"/>
    <w:rsid w:val="00B47F29"/>
    <w:rsid w:val="00B51590"/>
    <w:rsid w:val="00B522D0"/>
    <w:rsid w:val="00B52B7C"/>
    <w:rsid w:val="00B53217"/>
    <w:rsid w:val="00B533C0"/>
    <w:rsid w:val="00B53510"/>
    <w:rsid w:val="00B5364E"/>
    <w:rsid w:val="00B539F9"/>
    <w:rsid w:val="00B53DB6"/>
    <w:rsid w:val="00B53F6B"/>
    <w:rsid w:val="00B54A21"/>
    <w:rsid w:val="00B551B6"/>
    <w:rsid w:val="00B55D50"/>
    <w:rsid w:val="00B56534"/>
    <w:rsid w:val="00B56F51"/>
    <w:rsid w:val="00B56F75"/>
    <w:rsid w:val="00B575E4"/>
    <w:rsid w:val="00B57E70"/>
    <w:rsid w:val="00B57ED0"/>
    <w:rsid w:val="00B60D74"/>
    <w:rsid w:val="00B61AF4"/>
    <w:rsid w:val="00B644DA"/>
    <w:rsid w:val="00B645B0"/>
    <w:rsid w:val="00B6503A"/>
    <w:rsid w:val="00B651CA"/>
    <w:rsid w:val="00B65BE1"/>
    <w:rsid w:val="00B65CE4"/>
    <w:rsid w:val="00B65D13"/>
    <w:rsid w:val="00B6638D"/>
    <w:rsid w:val="00B664FE"/>
    <w:rsid w:val="00B66581"/>
    <w:rsid w:val="00B66820"/>
    <w:rsid w:val="00B67388"/>
    <w:rsid w:val="00B67F2B"/>
    <w:rsid w:val="00B70089"/>
    <w:rsid w:val="00B704E3"/>
    <w:rsid w:val="00B70738"/>
    <w:rsid w:val="00B70B9D"/>
    <w:rsid w:val="00B71482"/>
    <w:rsid w:val="00B7149C"/>
    <w:rsid w:val="00B72612"/>
    <w:rsid w:val="00B73BF6"/>
    <w:rsid w:val="00B73CD5"/>
    <w:rsid w:val="00B7423F"/>
    <w:rsid w:val="00B74FF8"/>
    <w:rsid w:val="00B7514A"/>
    <w:rsid w:val="00B75A1E"/>
    <w:rsid w:val="00B761A5"/>
    <w:rsid w:val="00B7670B"/>
    <w:rsid w:val="00B77A3E"/>
    <w:rsid w:val="00B8026A"/>
    <w:rsid w:val="00B80872"/>
    <w:rsid w:val="00B80E45"/>
    <w:rsid w:val="00B8150A"/>
    <w:rsid w:val="00B8289A"/>
    <w:rsid w:val="00B8323C"/>
    <w:rsid w:val="00B834F1"/>
    <w:rsid w:val="00B849E9"/>
    <w:rsid w:val="00B84AE8"/>
    <w:rsid w:val="00B862A0"/>
    <w:rsid w:val="00B864D4"/>
    <w:rsid w:val="00B86737"/>
    <w:rsid w:val="00B8776E"/>
    <w:rsid w:val="00B87A74"/>
    <w:rsid w:val="00B90470"/>
    <w:rsid w:val="00B904D2"/>
    <w:rsid w:val="00B90AF2"/>
    <w:rsid w:val="00B90CF2"/>
    <w:rsid w:val="00B91212"/>
    <w:rsid w:val="00B91477"/>
    <w:rsid w:val="00B91666"/>
    <w:rsid w:val="00B9289B"/>
    <w:rsid w:val="00B92ABD"/>
    <w:rsid w:val="00B92B0D"/>
    <w:rsid w:val="00B92DAE"/>
    <w:rsid w:val="00B939B2"/>
    <w:rsid w:val="00B9486A"/>
    <w:rsid w:val="00B95134"/>
    <w:rsid w:val="00B95180"/>
    <w:rsid w:val="00B95371"/>
    <w:rsid w:val="00B96442"/>
    <w:rsid w:val="00BA09DF"/>
    <w:rsid w:val="00BA0A91"/>
    <w:rsid w:val="00BA2737"/>
    <w:rsid w:val="00BA389C"/>
    <w:rsid w:val="00BA4781"/>
    <w:rsid w:val="00BA47CD"/>
    <w:rsid w:val="00BA4F18"/>
    <w:rsid w:val="00BA4FF2"/>
    <w:rsid w:val="00BA5148"/>
    <w:rsid w:val="00BA572E"/>
    <w:rsid w:val="00BA6821"/>
    <w:rsid w:val="00BA6F33"/>
    <w:rsid w:val="00BA7735"/>
    <w:rsid w:val="00BA77F3"/>
    <w:rsid w:val="00BA7AE9"/>
    <w:rsid w:val="00BA7BC2"/>
    <w:rsid w:val="00BA7D77"/>
    <w:rsid w:val="00BB0086"/>
    <w:rsid w:val="00BB00CA"/>
    <w:rsid w:val="00BB0121"/>
    <w:rsid w:val="00BB05EE"/>
    <w:rsid w:val="00BB1A9C"/>
    <w:rsid w:val="00BB1B69"/>
    <w:rsid w:val="00BB22FE"/>
    <w:rsid w:val="00BB2363"/>
    <w:rsid w:val="00BB271D"/>
    <w:rsid w:val="00BB2D4E"/>
    <w:rsid w:val="00BB3B53"/>
    <w:rsid w:val="00BB3DD7"/>
    <w:rsid w:val="00BB4089"/>
    <w:rsid w:val="00BB46CE"/>
    <w:rsid w:val="00BB54CE"/>
    <w:rsid w:val="00BB552B"/>
    <w:rsid w:val="00BB5C1E"/>
    <w:rsid w:val="00BB643E"/>
    <w:rsid w:val="00BB7C8D"/>
    <w:rsid w:val="00BC0D61"/>
    <w:rsid w:val="00BC0EF5"/>
    <w:rsid w:val="00BC1799"/>
    <w:rsid w:val="00BC182A"/>
    <w:rsid w:val="00BC1AB4"/>
    <w:rsid w:val="00BC1BB0"/>
    <w:rsid w:val="00BC1E96"/>
    <w:rsid w:val="00BC275C"/>
    <w:rsid w:val="00BC29E7"/>
    <w:rsid w:val="00BC2D76"/>
    <w:rsid w:val="00BC4A11"/>
    <w:rsid w:val="00BC510D"/>
    <w:rsid w:val="00BC5164"/>
    <w:rsid w:val="00BC55E4"/>
    <w:rsid w:val="00BC5C01"/>
    <w:rsid w:val="00BC5D3D"/>
    <w:rsid w:val="00BC5F3D"/>
    <w:rsid w:val="00BC604C"/>
    <w:rsid w:val="00BC6A75"/>
    <w:rsid w:val="00BC6B86"/>
    <w:rsid w:val="00BC6D40"/>
    <w:rsid w:val="00BC6D5C"/>
    <w:rsid w:val="00BC73D1"/>
    <w:rsid w:val="00BC78C2"/>
    <w:rsid w:val="00BC7D6C"/>
    <w:rsid w:val="00BD055B"/>
    <w:rsid w:val="00BD0810"/>
    <w:rsid w:val="00BD184D"/>
    <w:rsid w:val="00BD1850"/>
    <w:rsid w:val="00BD1F72"/>
    <w:rsid w:val="00BD2292"/>
    <w:rsid w:val="00BD25E5"/>
    <w:rsid w:val="00BD2751"/>
    <w:rsid w:val="00BD2B77"/>
    <w:rsid w:val="00BD2C77"/>
    <w:rsid w:val="00BD2D10"/>
    <w:rsid w:val="00BD2EE4"/>
    <w:rsid w:val="00BD311A"/>
    <w:rsid w:val="00BD3239"/>
    <w:rsid w:val="00BD3589"/>
    <w:rsid w:val="00BD3E2C"/>
    <w:rsid w:val="00BD40FD"/>
    <w:rsid w:val="00BD459A"/>
    <w:rsid w:val="00BD4B14"/>
    <w:rsid w:val="00BD4D02"/>
    <w:rsid w:val="00BD4DE2"/>
    <w:rsid w:val="00BD65BB"/>
    <w:rsid w:val="00BD6ED2"/>
    <w:rsid w:val="00BD6EEB"/>
    <w:rsid w:val="00BD7CD7"/>
    <w:rsid w:val="00BE10DA"/>
    <w:rsid w:val="00BE1100"/>
    <w:rsid w:val="00BE11EB"/>
    <w:rsid w:val="00BE1D54"/>
    <w:rsid w:val="00BE206B"/>
    <w:rsid w:val="00BE2576"/>
    <w:rsid w:val="00BE291C"/>
    <w:rsid w:val="00BE2E9E"/>
    <w:rsid w:val="00BE36CA"/>
    <w:rsid w:val="00BE57B3"/>
    <w:rsid w:val="00BE5DC2"/>
    <w:rsid w:val="00BE762F"/>
    <w:rsid w:val="00BF1A85"/>
    <w:rsid w:val="00BF4002"/>
    <w:rsid w:val="00BF407B"/>
    <w:rsid w:val="00BF4D70"/>
    <w:rsid w:val="00BF5A5E"/>
    <w:rsid w:val="00BF63B0"/>
    <w:rsid w:val="00BF6769"/>
    <w:rsid w:val="00BF6E5E"/>
    <w:rsid w:val="00BF7A92"/>
    <w:rsid w:val="00C00642"/>
    <w:rsid w:val="00C00AE3"/>
    <w:rsid w:val="00C010E4"/>
    <w:rsid w:val="00C011E7"/>
    <w:rsid w:val="00C01870"/>
    <w:rsid w:val="00C0223E"/>
    <w:rsid w:val="00C0229A"/>
    <w:rsid w:val="00C02503"/>
    <w:rsid w:val="00C03291"/>
    <w:rsid w:val="00C03F93"/>
    <w:rsid w:val="00C04506"/>
    <w:rsid w:val="00C04573"/>
    <w:rsid w:val="00C04C38"/>
    <w:rsid w:val="00C06745"/>
    <w:rsid w:val="00C06A6A"/>
    <w:rsid w:val="00C06D2F"/>
    <w:rsid w:val="00C074F8"/>
    <w:rsid w:val="00C07B63"/>
    <w:rsid w:val="00C110A7"/>
    <w:rsid w:val="00C11809"/>
    <w:rsid w:val="00C12377"/>
    <w:rsid w:val="00C12857"/>
    <w:rsid w:val="00C12AE5"/>
    <w:rsid w:val="00C12DBD"/>
    <w:rsid w:val="00C133F2"/>
    <w:rsid w:val="00C13758"/>
    <w:rsid w:val="00C14820"/>
    <w:rsid w:val="00C14B0F"/>
    <w:rsid w:val="00C14BCF"/>
    <w:rsid w:val="00C14C9B"/>
    <w:rsid w:val="00C14D3E"/>
    <w:rsid w:val="00C15A75"/>
    <w:rsid w:val="00C163C8"/>
    <w:rsid w:val="00C167A0"/>
    <w:rsid w:val="00C16B43"/>
    <w:rsid w:val="00C16B52"/>
    <w:rsid w:val="00C16DBF"/>
    <w:rsid w:val="00C16ED4"/>
    <w:rsid w:val="00C17580"/>
    <w:rsid w:val="00C200DE"/>
    <w:rsid w:val="00C201C5"/>
    <w:rsid w:val="00C20318"/>
    <w:rsid w:val="00C2036F"/>
    <w:rsid w:val="00C20ADA"/>
    <w:rsid w:val="00C21698"/>
    <w:rsid w:val="00C21A6D"/>
    <w:rsid w:val="00C2308B"/>
    <w:rsid w:val="00C23A76"/>
    <w:rsid w:val="00C23FED"/>
    <w:rsid w:val="00C24A3E"/>
    <w:rsid w:val="00C25F8B"/>
    <w:rsid w:val="00C26F91"/>
    <w:rsid w:val="00C27E11"/>
    <w:rsid w:val="00C27EB2"/>
    <w:rsid w:val="00C30226"/>
    <w:rsid w:val="00C3072E"/>
    <w:rsid w:val="00C30893"/>
    <w:rsid w:val="00C30B14"/>
    <w:rsid w:val="00C30EC6"/>
    <w:rsid w:val="00C312BF"/>
    <w:rsid w:val="00C31480"/>
    <w:rsid w:val="00C31488"/>
    <w:rsid w:val="00C31A68"/>
    <w:rsid w:val="00C31CD7"/>
    <w:rsid w:val="00C31E3F"/>
    <w:rsid w:val="00C330DE"/>
    <w:rsid w:val="00C33768"/>
    <w:rsid w:val="00C350B7"/>
    <w:rsid w:val="00C35202"/>
    <w:rsid w:val="00C3580A"/>
    <w:rsid w:val="00C35C5A"/>
    <w:rsid w:val="00C35DA3"/>
    <w:rsid w:val="00C37705"/>
    <w:rsid w:val="00C37E2C"/>
    <w:rsid w:val="00C40EF4"/>
    <w:rsid w:val="00C412CD"/>
    <w:rsid w:val="00C424B6"/>
    <w:rsid w:val="00C42586"/>
    <w:rsid w:val="00C431A5"/>
    <w:rsid w:val="00C438F6"/>
    <w:rsid w:val="00C43A4F"/>
    <w:rsid w:val="00C43C47"/>
    <w:rsid w:val="00C43FF4"/>
    <w:rsid w:val="00C44BA6"/>
    <w:rsid w:val="00C4685A"/>
    <w:rsid w:val="00C46AD6"/>
    <w:rsid w:val="00C46C54"/>
    <w:rsid w:val="00C479D6"/>
    <w:rsid w:val="00C47C85"/>
    <w:rsid w:val="00C51FA5"/>
    <w:rsid w:val="00C52A97"/>
    <w:rsid w:val="00C52F8C"/>
    <w:rsid w:val="00C52FF6"/>
    <w:rsid w:val="00C5330C"/>
    <w:rsid w:val="00C5339B"/>
    <w:rsid w:val="00C53A13"/>
    <w:rsid w:val="00C54D1C"/>
    <w:rsid w:val="00C54F8C"/>
    <w:rsid w:val="00C558CC"/>
    <w:rsid w:val="00C5645F"/>
    <w:rsid w:val="00C56678"/>
    <w:rsid w:val="00C5753C"/>
    <w:rsid w:val="00C618D9"/>
    <w:rsid w:val="00C61BAB"/>
    <w:rsid w:val="00C623E1"/>
    <w:rsid w:val="00C62C1C"/>
    <w:rsid w:val="00C62D10"/>
    <w:rsid w:val="00C62F1E"/>
    <w:rsid w:val="00C63896"/>
    <w:rsid w:val="00C63C76"/>
    <w:rsid w:val="00C63DF8"/>
    <w:rsid w:val="00C63E29"/>
    <w:rsid w:val="00C64123"/>
    <w:rsid w:val="00C6439E"/>
    <w:rsid w:val="00C643C1"/>
    <w:rsid w:val="00C65A19"/>
    <w:rsid w:val="00C66176"/>
    <w:rsid w:val="00C667BE"/>
    <w:rsid w:val="00C66B07"/>
    <w:rsid w:val="00C66EEE"/>
    <w:rsid w:val="00C67833"/>
    <w:rsid w:val="00C67ECF"/>
    <w:rsid w:val="00C67F90"/>
    <w:rsid w:val="00C70364"/>
    <w:rsid w:val="00C704F0"/>
    <w:rsid w:val="00C70E13"/>
    <w:rsid w:val="00C71B81"/>
    <w:rsid w:val="00C71E10"/>
    <w:rsid w:val="00C723E8"/>
    <w:rsid w:val="00C72FCF"/>
    <w:rsid w:val="00C736C0"/>
    <w:rsid w:val="00C73CE4"/>
    <w:rsid w:val="00C74908"/>
    <w:rsid w:val="00C74B23"/>
    <w:rsid w:val="00C7530B"/>
    <w:rsid w:val="00C757E0"/>
    <w:rsid w:val="00C75C6E"/>
    <w:rsid w:val="00C764BA"/>
    <w:rsid w:val="00C76632"/>
    <w:rsid w:val="00C76DA0"/>
    <w:rsid w:val="00C77D8F"/>
    <w:rsid w:val="00C80C6B"/>
    <w:rsid w:val="00C828B3"/>
    <w:rsid w:val="00C828DF"/>
    <w:rsid w:val="00C82C35"/>
    <w:rsid w:val="00C82E96"/>
    <w:rsid w:val="00C8307E"/>
    <w:rsid w:val="00C83B6F"/>
    <w:rsid w:val="00C83D84"/>
    <w:rsid w:val="00C84E67"/>
    <w:rsid w:val="00C854C3"/>
    <w:rsid w:val="00C85ABA"/>
    <w:rsid w:val="00C85CBB"/>
    <w:rsid w:val="00C865FE"/>
    <w:rsid w:val="00C87168"/>
    <w:rsid w:val="00C8740E"/>
    <w:rsid w:val="00C87B78"/>
    <w:rsid w:val="00C87C8C"/>
    <w:rsid w:val="00C9044F"/>
    <w:rsid w:val="00C90734"/>
    <w:rsid w:val="00C91633"/>
    <w:rsid w:val="00C91C8B"/>
    <w:rsid w:val="00C91D1E"/>
    <w:rsid w:val="00C92BD5"/>
    <w:rsid w:val="00C93FEA"/>
    <w:rsid w:val="00C94691"/>
    <w:rsid w:val="00C95228"/>
    <w:rsid w:val="00C9548B"/>
    <w:rsid w:val="00C962E9"/>
    <w:rsid w:val="00C9751E"/>
    <w:rsid w:val="00C97711"/>
    <w:rsid w:val="00C97EDD"/>
    <w:rsid w:val="00C97F61"/>
    <w:rsid w:val="00CA0B59"/>
    <w:rsid w:val="00CA1A11"/>
    <w:rsid w:val="00CA1C57"/>
    <w:rsid w:val="00CA1E61"/>
    <w:rsid w:val="00CA2D4D"/>
    <w:rsid w:val="00CA34AC"/>
    <w:rsid w:val="00CA356B"/>
    <w:rsid w:val="00CA3648"/>
    <w:rsid w:val="00CA39D7"/>
    <w:rsid w:val="00CA40E9"/>
    <w:rsid w:val="00CA4472"/>
    <w:rsid w:val="00CA462F"/>
    <w:rsid w:val="00CA4889"/>
    <w:rsid w:val="00CA4AA7"/>
    <w:rsid w:val="00CA5287"/>
    <w:rsid w:val="00CA52FB"/>
    <w:rsid w:val="00CA54DC"/>
    <w:rsid w:val="00CA69E3"/>
    <w:rsid w:val="00CA74EA"/>
    <w:rsid w:val="00CA79A9"/>
    <w:rsid w:val="00CB09E9"/>
    <w:rsid w:val="00CB123A"/>
    <w:rsid w:val="00CB1A61"/>
    <w:rsid w:val="00CB1EC4"/>
    <w:rsid w:val="00CB2952"/>
    <w:rsid w:val="00CB3E08"/>
    <w:rsid w:val="00CB53B7"/>
    <w:rsid w:val="00CB6227"/>
    <w:rsid w:val="00CB6301"/>
    <w:rsid w:val="00CB6674"/>
    <w:rsid w:val="00CB6826"/>
    <w:rsid w:val="00CB7B53"/>
    <w:rsid w:val="00CC00D5"/>
    <w:rsid w:val="00CC0132"/>
    <w:rsid w:val="00CC01BB"/>
    <w:rsid w:val="00CC23E5"/>
    <w:rsid w:val="00CC248F"/>
    <w:rsid w:val="00CC2773"/>
    <w:rsid w:val="00CC3051"/>
    <w:rsid w:val="00CC34A4"/>
    <w:rsid w:val="00CC3AE9"/>
    <w:rsid w:val="00CC3DE2"/>
    <w:rsid w:val="00CC49F2"/>
    <w:rsid w:val="00CC5174"/>
    <w:rsid w:val="00CC647E"/>
    <w:rsid w:val="00CC6954"/>
    <w:rsid w:val="00CC6AC5"/>
    <w:rsid w:val="00CC7E96"/>
    <w:rsid w:val="00CD0A99"/>
    <w:rsid w:val="00CD0C69"/>
    <w:rsid w:val="00CD0EB2"/>
    <w:rsid w:val="00CD16F1"/>
    <w:rsid w:val="00CD1D9C"/>
    <w:rsid w:val="00CD1FDF"/>
    <w:rsid w:val="00CD2F03"/>
    <w:rsid w:val="00CD3143"/>
    <w:rsid w:val="00CD3331"/>
    <w:rsid w:val="00CD334D"/>
    <w:rsid w:val="00CD3934"/>
    <w:rsid w:val="00CD3E5A"/>
    <w:rsid w:val="00CD4E06"/>
    <w:rsid w:val="00CD5AEF"/>
    <w:rsid w:val="00CD6AC7"/>
    <w:rsid w:val="00CD6C75"/>
    <w:rsid w:val="00CD7747"/>
    <w:rsid w:val="00CD792D"/>
    <w:rsid w:val="00CD7CF6"/>
    <w:rsid w:val="00CE0CA6"/>
    <w:rsid w:val="00CE0CDA"/>
    <w:rsid w:val="00CE3376"/>
    <w:rsid w:val="00CE3B95"/>
    <w:rsid w:val="00CE410D"/>
    <w:rsid w:val="00CE45F6"/>
    <w:rsid w:val="00CE495F"/>
    <w:rsid w:val="00CE4AF9"/>
    <w:rsid w:val="00CE5952"/>
    <w:rsid w:val="00CE5BB2"/>
    <w:rsid w:val="00CE5DE4"/>
    <w:rsid w:val="00CE675C"/>
    <w:rsid w:val="00CE6D8E"/>
    <w:rsid w:val="00CE7332"/>
    <w:rsid w:val="00CE757B"/>
    <w:rsid w:val="00CE77DC"/>
    <w:rsid w:val="00CE7BA9"/>
    <w:rsid w:val="00CE7EA1"/>
    <w:rsid w:val="00CF0524"/>
    <w:rsid w:val="00CF05CA"/>
    <w:rsid w:val="00CF05DF"/>
    <w:rsid w:val="00CF1700"/>
    <w:rsid w:val="00CF222C"/>
    <w:rsid w:val="00CF2586"/>
    <w:rsid w:val="00CF2EDF"/>
    <w:rsid w:val="00CF3CF7"/>
    <w:rsid w:val="00CF4141"/>
    <w:rsid w:val="00CF4A0C"/>
    <w:rsid w:val="00CF4BDF"/>
    <w:rsid w:val="00CF5222"/>
    <w:rsid w:val="00CF5C1A"/>
    <w:rsid w:val="00CF5DBE"/>
    <w:rsid w:val="00CF6033"/>
    <w:rsid w:val="00CF64EB"/>
    <w:rsid w:val="00CF66B2"/>
    <w:rsid w:val="00CF674C"/>
    <w:rsid w:val="00CF6DAC"/>
    <w:rsid w:val="00CF6E44"/>
    <w:rsid w:val="00CF7CBD"/>
    <w:rsid w:val="00D001BC"/>
    <w:rsid w:val="00D008AA"/>
    <w:rsid w:val="00D00E24"/>
    <w:rsid w:val="00D01462"/>
    <w:rsid w:val="00D01961"/>
    <w:rsid w:val="00D02786"/>
    <w:rsid w:val="00D02B25"/>
    <w:rsid w:val="00D03128"/>
    <w:rsid w:val="00D03195"/>
    <w:rsid w:val="00D0360C"/>
    <w:rsid w:val="00D03C64"/>
    <w:rsid w:val="00D03FE0"/>
    <w:rsid w:val="00D04647"/>
    <w:rsid w:val="00D04AD6"/>
    <w:rsid w:val="00D04EE3"/>
    <w:rsid w:val="00D054F8"/>
    <w:rsid w:val="00D05B86"/>
    <w:rsid w:val="00D061DF"/>
    <w:rsid w:val="00D06BBF"/>
    <w:rsid w:val="00D07070"/>
    <w:rsid w:val="00D0752F"/>
    <w:rsid w:val="00D079F3"/>
    <w:rsid w:val="00D079F8"/>
    <w:rsid w:val="00D07E7B"/>
    <w:rsid w:val="00D117A9"/>
    <w:rsid w:val="00D11E53"/>
    <w:rsid w:val="00D12374"/>
    <w:rsid w:val="00D1259C"/>
    <w:rsid w:val="00D1264B"/>
    <w:rsid w:val="00D14219"/>
    <w:rsid w:val="00D14940"/>
    <w:rsid w:val="00D153B6"/>
    <w:rsid w:val="00D1546A"/>
    <w:rsid w:val="00D15673"/>
    <w:rsid w:val="00D15CCB"/>
    <w:rsid w:val="00D1614E"/>
    <w:rsid w:val="00D16F42"/>
    <w:rsid w:val="00D17385"/>
    <w:rsid w:val="00D20018"/>
    <w:rsid w:val="00D20D01"/>
    <w:rsid w:val="00D20EF3"/>
    <w:rsid w:val="00D21F8C"/>
    <w:rsid w:val="00D23BB1"/>
    <w:rsid w:val="00D23DD8"/>
    <w:rsid w:val="00D23F5E"/>
    <w:rsid w:val="00D2480A"/>
    <w:rsid w:val="00D25322"/>
    <w:rsid w:val="00D25637"/>
    <w:rsid w:val="00D25E25"/>
    <w:rsid w:val="00D26007"/>
    <w:rsid w:val="00D26D06"/>
    <w:rsid w:val="00D275BC"/>
    <w:rsid w:val="00D308FF"/>
    <w:rsid w:val="00D3124A"/>
    <w:rsid w:val="00D31822"/>
    <w:rsid w:val="00D31D8A"/>
    <w:rsid w:val="00D322D7"/>
    <w:rsid w:val="00D323AE"/>
    <w:rsid w:val="00D32DBC"/>
    <w:rsid w:val="00D34455"/>
    <w:rsid w:val="00D3489B"/>
    <w:rsid w:val="00D34B50"/>
    <w:rsid w:val="00D35244"/>
    <w:rsid w:val="00D35258"/>
    <w:rsid w:val="00D352E2"/>
    <w:rsid w:val="00D362EC"/>
    <w:rsid w:val="00D363B1"/>
    <w:rsid w:val="00D36BCB"/>
    <w:rsid w:val="00D40BC1"/>
    <w:rsid w:val="00D413C0"/>
    <w:rsid w:val="00D41D74"/>
    <w:rsid w:val="00D41DB9"/>
    <w:rsid w:val="00D420C1"/>
    <w:rsid w:val="00D42F9C"/>
    <w:rsid w:val="00D4340F"/>
    <w:rsid w:val="00D4352D"/>
    <w:rsid w:val="00D43729"/>
    <w:rsid w:val="00D43D12"/>
    <w:rsid w:val="00D4407D"/>
    <w:rsid w:val="00D451F6"/>
    <w:rsid w:val="00D457A3"/>
    <w:rsid w:val="00D46E13"/>
    <w:rsid w:val="00D47F9C"/>
    <w:rsid w:val="00D5037C"/>
    <w:rsid w:val="00D50533"/>
    <w:rsid w:val="00D50920"/>
    <w:rsid w:val="00D50B6F"/>
    <w:rsid w:val="00D50DAB"/>
    <w:rsid w:val="00D50E3C"/>
    <w:rsid w:val="00D5170F"/>
    <w:rsid w:val="00D52087"/>
    <w:rsid w:val="00D52599"/>
    <w:rsid w:val="00D52D91"/>
    <w:rsid w:val="00D52D92"/>
    <w:rsid w:val="00D5300A"/>
    <w:rsid w:val="00D530BF"/>
    <w:rsid w:val="00D53B4D"/>
    <w:rsid w:val="00D53D4F"/>
    <w:rsid w:val="00D5647F"/>
    <w:rsid w:val="00D57291"/>
    <w:rsid w:val="00D57563"/>
    <w:rsid w:val="00D60508"/>
    <w:rsid w:val="00D609E4"/>
    <w:rsid w:val="00D60AB9"/>
    <w:rsid w:val="00D612B0"/>
    <w:rsid w:val="00D61614"/>
    <w:rsid w:val="00D616AD"/>
    <w:rsid w:val="00D61773"/>
    <w:rsid w:val="00D61E50"/>
    <w:rsid w:val="00D627E2"/>
    <w:rsid w:val="00D629FE"/>
    <w:rsid w:val="00D62B5D"/>
    <w:rsid w:val="00D63017"/>
    <w:rsid w:val="00D63082"/>
    <w:rsid w:val="00D63814"/>
    <w:rsid w:val="00D648D4"/>
    <w:rsid w:val="00D64943"/>
    <w:rsid w:val="00D64D91"/>
    <w:rsid w:val="00D65911"/>
    <w:rsid w:val="00D65F76"/>
    <w:rsid w:val="00D66F17"/>
    <w:rsid w:val="00D6713A"/>
    <w:rsid w:val="00D6794C"/>
    <w:rsid w:val="00D67EBC"/>
    <w:rsid w:val="00D67F17"/>
    <w:rsid w:val="00D7048E"/>
    <w:rsid w:val="00D70573"/>
    <w:rsid w:val="00D70BA0"/>
    <w:rsid w:val="00D715BF"/>
    <w:rsid w:val="00D71611"/>
    <w:rsid w:val="00D71771"/>
    <w:rsid w:val="00D72644"/>
    <w:rsid w:val="00D72DBD"/>
    <w:rsid w:val="00D7358C"/>
    <w:rsid w:val="00D737D2"/>
    <w:rsid w:val="00D743F1"/>
    <w:rsid w:val="00D74B23"/>
    <w:rsid w:val="00D757B6"/>
    <w:rsid w:val="00D76062"/>
    <w:rsid w:val="00D7609F"/>
    <w:rsid w:val="00D76714"/>
    <w:rsid w:val="00D76F5F"/>
    <w:rsid w:val="00D7767C"/>
    <w:rsid w:val="00D80687"/>
    <w:rsid w:val="00D806EA"/>
    <w:rsid w:val="00D807CE"/>
    <w:rsid w:val="00D809FF"/>
    <w:rsid w:val="00D81B5F"/>
    <w:rsid w:val="00D82862"/>
    <w:rsid w:val="00D85657"/>
    <w:rsid w:val="00D857D0"/>
    <w:rsid w:val="00D85D4B"/>
    <w:rsid w:val="00D8644D"/>
    <w:rsid w:val="00D86AD1"/>
    <w:rsid w:val="00D87C08"/>
    <w:rsid w:val="00D90F27"/>
    <w:rsid w:val="00D91859"/>
    <w:rsid w:val="00D929D7"/>
    <w:rsid w:val="00D939F2"/>
    <w:rsid w:val="00D93A0A"/>
    <w:rsid w:val="00D93E94"/>
    <w:rsid w:val="00D945BF"/>
    <w:rsid w:val="00D9579B"/>
    <w:rsid w:val="00D95E54"/>
    <w:rsid w:val="00D95FE0"/>
    <w:rsid w:val="00D973BE"/>
    <w:rsid w:val="00D978A9"/>
    <w:rsid w:val="00D97972"/>
    <w:rsid w:val="00D97990"/>
    <w:rsid w:val="00DA024B"/>
    <w:rsid w:val="00DA0533"/>
    <w:rsid w:val="00DA07B3"/>
    <w:rsid w:val="00DA08B8"/>
    <w:rsid w:val="00DA097B"/>
    <w:rsid w:val="00DA0B08"/>
    <w:rsid w:val="00DA1611"/>
    <w:rsid w:val="00DA1872"/>
    <w:rsid w:val="00DA1A14"/>
    <w:rsid w:val="00DA1DEF"/>
    <w:rsid w:val="00DA1E28"/>
    <w:rsid w:val="00DA2495"/>
    <w:rsid w:val="00DA2A94"/>
    <w:rsid w:val="00DA2CAD"/>
    <w:rsid w:val="00DA2DC4"/>
    <w:rsid w:val="00DA2DFB"/>
    <w:rsid w:val="00DA3015"/>
    <w:rsid w:val="00DA30D4"/>
    <w:rsid w:val="00DA40A2"/>
    <w:rsid w:val="00DA4A79"/>
    <w:rsid w:val="00DA522F"/>
    <w:rsid w:val="00DA5903"/>
    <w:rsid w:val="00DA5DD7"/>
    <w:rsid w:val="00DA6F4C"/>
    <w:rsid w:val="00DA75BA"/>
    <w:rsid w:val="00DA7751"/>
    <w:rsid w:val="00DB04D7"/>
    <w:rsid w:val="00DB0BC7"/>
    <w:rsid w:val="00DB0CC4"/>
    <w:rsid w:val="00DB1033"/>
    <w:rsid w:val="00DB1934"/>
    <w:rsid w:val="00DB1EED"/>
    <w:rsid w:val="00DB2281"/>
    <w:rsid w:val="00DB29F7"/>
    <w:rsid w:val="00DB2A22"/>
    <w:rsid w:val="00DB2AAE"/>
    <w:rsid w:val="00DB2B98"/>
    <w:rsid w:val="00DB32C6"/>
    <w:rsid w:val="00DB3774"/>
    <w:rsid w:val="00DB40E5"/>
    <w:rsid w:val="00DB435B"/>
    <w:rsid w:val="00DB48AC"/>
    <w:rsid w:val="00DB4A15"/>
    <w:rsid w:val="00DB55CD"/>
    <w:rsid w:val="00DB5800"/>
    <w:rsid w:val="00DB634F"/>
    <w:rsid w:val="00DB649A"/>
    <w:rsid w:val="00DB7600"/>
    <w:rsid w:val="00DB798B"/>
    <w:rsid w:val="00DB7B51"/>
    <w:rsid w:val="00DB7E1C"/>
    <w:rsid w:val="00DC0458"/>
    <w:rsid w:val="00DC0738"/>
    <w:rsid w:val="00DC0943"/>
    <w:rsid w:val="00DC0DFF"/>
    <w:rsid w:val="00DC13E6"/>
    <w:rsid w:val="00DC15B4"/>
    <w:rsid w:val="00DC1C98"/>
    <w:rsid w:val="00DC2386"/>
    <w:rsid w:val="00DC2532"/>
    <w:rsid w:val="00DC339B"/>
    <w:rsid w:val="00DC3759"/>
    <w:rsid w:val="00DC4D80"/>
    <w:rsid w:val="00DC4DF0"/>
    <w:rsid w:val="00DC58CE"/>
    <w:rsid w:val="00DC5942"/>
    <w:rsid w:val="00DC6ACD"/>
    <w:rsid w:val="00DC6ADD"/>
    <w:rsid w:val="00DC6FF9"/>
    <w:rsid w:val="00DC72AF"/>
    <w:rsid w:val="00DD0E3F"/>
    <w:rsid w:val="00DD11D7"/>
    <w:rsid w:val="00DD2974"/>
    <w:rsid w:val="00DD2F2E"/>
    <w:rsid w:val="00DD31AE"/>
    <w:rsid w:val="00DD31EE"/>
    <w:rsid w:val="00DD39AB"/>
    <w:rsid w:val="00DD3AAD"/>
    <w:rsid w:val="00DD406C"/>
    <w:rsid w:val="00DD41D9"/>
    <w:rsid w:val="00DD4865"/>
    <w:rsid w:val="00DD4EEB"/>
    <w:rsid w:val="00DD50E1"/>
    <w:rsid w:val="00DD5C9F"/>
    <w:rsid w:val="00DD6732"/>
    <w:rsid w:val="00DD6EC3"/>
    <w:rsid w:val="00DE057E"/>
    <w:rsid w:val="00DE1E76"/>
    <w:rsid w:val="00DE1FA8"/>
    <w:rsid w:val="00DE2ED7"/>
    <w:rsid w:val="00DE35D8"/>
    <w:rsid w:val="00DE3FFD"/>
    <w:rsid w:val="00DE400C"/>
    <w:rsid w:val="00DE4E75"/>
    <w:rsid w:val="00DE5A25"/>
    <w:rsid w:val="00DE703B"/>
    <w:rsid w:val="00DE7ADF"/>
    <w:rsid w:val="00DE7C7A"/>
    <w:rsid w:val="00DE7CB9"/>
    <w:rsid w:val="00DF02E2"/>
    <w:rsid w:val="00DF07ED"/>
    <w:rsid w:val="00DF100C"/>
    <w:rsid w:val="00DF104A"/>
    <w:rsid w:val="00DF14A1"/>
    <w:rsid w:val="00DF1742"/>
    <w:rsid w:val="00DF1EAD"/>
    <w:rsid w:val="00DF1FF0"/>
    <w:rsid w:val="00DF3466"/>
    <w:rsid w:val="00DF44B9"/>
    <w:rsid w:val="00DF49CA"/>
    <w:rsid w:val="00DF4D53"/>
    <w:rsid w:val="00DF577E"/>
    <w:rsid w:val="00DF5BD0"/>
    <w:rsid w:val="00DF653A"/>
    <w:rsid w:val="00DF6B71"/>
    <w:rsid w:val="00DF6DFF"/>
    <w:rsid w:val="00DF6E74"/>
    <w:rsid w:val="00DF6EEC"/>
    <w:rsid w:val="00DF72DC"/>
    <w:rsid w:val="00DF7372"/>
    <w:rsid w:val="00DF7CD4"/>
    <w:rsid w:val="00E00FB3"/>
    <w:rsid w:val="00E03D41"/>
    <w:rsid w:val="00E041A7"/>
    <w:rsid w:val="00E04615"/>
    <w:rsid w:val="00E053F6"/>
    <w:rsid w:val="00E0638B"/>
    <w:rsid w:val="00E07BBC"/>
    <w:rsid w:val="00E10212"/>
    <w:rsid w:val="00E10C95"/>
    <w:rsid w:val="00E1183C"/>
    <w:rsid w:val="00E1293A"/>
    <w:rsid w:val="00E12C65"/>
    <w:rsid w:val="00E13B5B"/>
    <w:rsid w:val="00E141DD"/>
    <w:rsid w:val="00E14467"/>
    <w:rsid w:val="00E14726"/>
    <w:rsid w:val="00E14771"/>
    <w:rsid w:val="00E147CA"/>
    <w:rsid w:val="00E14B7D"/>
    <w:rsid w:val="00E156D7"/>
    <w:rsid w:val="00E16900"/>
    <w:rsid w:val="00E17268"/>
    <w:rsid w:val="00E17E3B"/>
    <w:rsid w:val="00E20129"/>
    <w:rsid w:val="00E20C1D"/>
    <w:rsid w:val="00E2145B"/>
    <w:rsid w:val="00E22412"/>
    <w:rsid w:val="00E224A4"/>
    <w:rsid w:val="00E22661"/>
    <w:rsid w:val="00E23597"/>
    <w:rsid w:val="00E24059"/>
    <w:rsid w:val="00E260E4"/>
    <w:rsid w:val="00E26105"/>
    <w:rsid w:val="00E26438"/>
    <w:rsid w:val="00E266C0"/>
    <w:rsid w:val="00E26B4B"/>
    <w:rsid w:val="00E317FD"/>
    <w:rsid w:val="00E31A0F"/>
    <w:rsid w:val="00E31C61"/>
    <w:rsid w:val="00E331D3"/>
    <w:rsid w:val="00E33B40"/>
    <w:rsid w:val="00E33DBE"/>
    <w:rsid w:val="00E34547"/>
    <w:rsid w:val="00E34C03"/>
    <w:rsid w:val="00E34C4A"/>
    <w:rsid w:val="00E35550"/>
    <w:rsid w:val="00E3564C"/>
    <w:rsid w:val="00E35C11"/>
    <w:rsid w:val="00E35FBB"/>
    <w:rsid w:val="00E37593"/>
    <w:rsid w:val="00E37595"/>
    <w:rsid w:val="00E37AB0"/>
    <w:rsid w:val="00E37BF7"/>
    <w:rsid w:val="00E40397"/>
    <w:rsid w:val="00E40A80"/>
    <w:rsid w:val="00E40BA9"/>
    <w:rsid w:val="00E417B5"/>
    <w:rsid w:val="00E42F32"/>
    <w:rsid w:val="00E42FFA"/>
    <w:rsid w:val="00E44121"/>
    <w:rsid w:val="00E44A54"/>
    <w:rsid w:val="00E451E9"/>
    <w:rsid w:val="00E45387"/>
    <w:rsid w:val="00E45B0F"/>
    <w:rsid w:val="00E465E4"/>
    <w:rsid w:val="00E46A2D"/>
    <w:rsid w:val="00E46E03"/>
    <w:rsid w:val="00E473F5"/>
    <w:rsid w:val="00E50B1D"/>
    <w:rsid w:val="00E511CB"/>
    <w:rsid w:val="00E529EA"/>
    <w:rsid w:val="00E52B26"/>
    <w:rsid w:val="00E52CB0"/>
    <w:rsid w:val="00E53FB2"/>
    <w:rsid w:val="00E54308"/>
    <w:rsid w:val="00E54ECB"/>
    <w:rsid w:val="00E5543B"/>
    <w:rsid w:val="00E55718"/>
    <w:rsid w:val="00E55863"/>
    <w:rsid w:val="00E55BD4"/>
    <w:rsid w:val="00E55C33"/>
    <w:rsid w:val="00E5680E"/>
    <w:rsid w:val="00E5683F"/>
    <w:rsid w:val="00E57171"/>
    <w:rsid w:val="00E57266"/>
    <w:rsid w:val="00E5784F"/>
    <w:rsid w:val="00E57A69"/>
    <w:rsid w:val="00E57B75"/>
    <w:rsid w:val="00E60A1A"/>
    <w:rsid w:val="00E61B09"/>
    <w:rsid w:val="00E6283F"/>
    <w:rsid w:val="00E6286F"/>
    <w:rsid w:val="00E62870"/>
    <w:rsid w:val="00E62AD3"/>
    <w:rsid w:val="00E62C3E"/>
    <w:rsid w:val="00E63016"/>
    <w:rsid w:val="00E635D3"/>
    <w:rsid w:val="00E64050"/>
    <w:rsid w:val="00E64107"/>
    <w:rsid w:val="00E644B0"/>
    <w:rsid w:val="00E666FE"/>
    <w:rsid w:val="00E66798"/>
    <w:rsid w:val="00E66E09"/>
    <w:rsid w:val="00E67042"/>
    <w:rsid w:val="00E6710A"/>
    <w:rsid w:val="00E67651"/>
    <w:rsid w:val="00E67814"/>
    <w:rsid w:val="00E723F1"/>
    <w:rsid w:val="00E72961"/>
    <w:rsid w:val="00E731EF"/>
    <w:rsid w:val="00E74D24"/>
    <w:rsid w:val="00E7525E"/>
    <w:rsid w:val="00E7543C"/>
    <w:rsid w:val="00E756BE"/>
    <w:rsid w:val="00E75E1F"/>
    <w:rsid w:val="00E7615B"/>
    <w:rsid w:val="00E766DE"/>
    <w:rsid w:val="00E76737"/>
    <w:rsid w:val="00E76E7E"/>
    <w:rsid w:val="00E76F87"/>
    <w:rsid w:val="00E802C6"/>
    <w:rsid w:val="00E80A28"/>
    <w:rsid w:val="00E80E69"/>
    <w:rsid w:val="00E80F5E"/>
    <w:rsid w:val="00E81175"/>
    <w:rsid w:val="00E81BAA"/>
    <w:rsid w:val="00E821C9"/>
    <w:rsid w:val="00E82310"/>
    <w:rsid w:val="00E83783"/>
    <w:rsid w:val="00E844CF"/>
    <w:rsid w:val="00E846B3"/>
    <w:rsid w:val="00E84A5D"/>
    <w:rsid w:val="00E84C22"/>
    <w:rsid w:val="00E84ECD"/>
    <w:rsid w:val="00E854DD"/>
    <w:rsid w:val="00E85F63"/>
    <w:rsid w:val="00E862A0"/>
    <w:rsid w:val="00E86E97"/>
    <w:rsid w:val="00E86FC6"/>
    <w:rsid w:val="00E87120"/>
    <w:rsid w:val="00E87379"/>
    <w:rsid w:val="00E87647"/>
    <w:rsid w:val="00E879C0"/>
    <w:rsid w:val="00E900DC"/>
    <w:rsid w:val="00E9059B"/>
    <w:rsid w:val="00E90714"/>
    <w:rsid w:val="00E907E9"/>
    <w:rsid w:val="00E90ED8"/>
    <w:rsid w:val="00E91B3C"/>
    <w:rsid w:val="00E92014"/>
    <w:rsid w:val="00E92175"/>
    <w:rsid w:val="00E92227"/>
    <w:rsid w:val="00E92C7C"/>
    <w:rsid w:val="00E92DC6"/>
    <w:rsid w:val="00E938F2"/>
    <w:rsid w:val="00E93ACD"/>
    <w:rsid w:val="00E9490D"/>
    <w:rsid w:val="00E94B84"/>
    <w:rsid w:val="00E94E7C"/>
    <w:rsid w:val="00E96343"/>
    <w:rsid w:val="00E966CD"/>
    <w:rsid w:val="00E9677C"/>
    <w:rsid w:val="00E968C6"/>
    <w:rsid w:val="00E96E19"/>
    <w:rsid w:val="00E96E55"/>
    <w:rsid w:val="00E97D01"/>
    <w:rsid w:val="00EA2A96"/>
    <w:rsid w:val="00EA2F49"/>
    <w:rsid w:val="00EA3A37"/>
    <w:rsid w:val="00EA4084"/>
    <w:rsid w:val="00EA42FA"/>
    <w:rsid w:val="00EA44E5"/>
    <w:rsid w:val="00EA4816"/>
    <w:rsid w:val="00EA55E9"/>
    <w:rsid w:val="00EA56DD"/>
    <w:rsid w:val="00EA7367"/>
    <w:rsid w:val="00EA7535"/>
    <w:rsid w:val="00EA7EB0"/>
    <w:rsid w:val="00EB020A"/>
    <w:rsid w:val="00EB0CAE"/>
    <w:rsid w:val="00EB2495"/>
    <w:rsid w:val="00EB249D"/>
    <w:rsid w:val="00EB2700"/>
    <w:rsid w:val="00EB2780"/>
    <w:rsid w:val="00EB332B"/>
    <w:rsid w:val="00EB4375"/>
    <w:rsid w:val="00EB4921"/>
    <w:rsid w:val="00EB5289"/>
    <w:rsid w:val="00EB5A49"/>
    <w:rsid w:val="00EB6652"/>
    <w:rsid w:val="00EB69FB"/>
    <w:rsid w:val="00EB7436"/>
    <w:rsid w:val="00EB7632"/>
    <w:rsid w:val="00EC009C"/>
    <w:rsid w:val="00EC052B"/>
    <w:rsid w:val="00EC139C"/>
    <w:rsid w:val="00EC148D"/>
    <w:rsid w:val="00EC1BE1"/>
    <w:rsid w:val="00EC1D86"/>
    <w:rsid w:val="00EC1E1E"/>
    <w:rsid w:val="00EC25F4"/>
    <w:rsid w:val="00EC26DB"/>
    <w:rsid w:val="00EC404D"/>
    <w:rsid w:val="00EC44AB"/>
    <w:rsid w:val="00EC45C0"/>
    <w:rsid w:val="00EC5E69"/>
    <w:rsid w:val="00EC6042"/>
    <w:rsid w:val="00EC6E68"/>
    <w:rsid w:val="00EC70D0"/>
    <w:rsid w:val="00EC7130"/>
    <w:rsid w:val="00EC7FE4"/>
    <w:rsid w:val="00ED0A5B"/>
    <w:rsid w:val="00ED0C49"/>
    <w:rsid w:val="00ED12C1"/>
    <w:rsid w:val="00ED1CA7"/>
    <w:rsid w:val="00ED1D0B"/>
    <w:rsid w:val="00ED1EA7"/>
    <w:rsid w:val="00ED24B4"/>
    <w:rsid w:val="00ED26A5"/>
    <w:rsid w:val="00ED2C23"/>
    <w:rsid w:val="00ED3110"/>
    <w:rsid w:val="00ED4989"/>
    <w:rsid w:val="00ED53B2"/>
    <w:rsid w:val="00ED5A94"/>
    <w:rsid w:val="00ED5B85"/>
    <w:rsid w:val="00ED67B3"/>
    <w:rsid w:val="00ED6B21"/>
    <w:rsid w:val="00ED7300"/>
    <w:rsid w:val="00ED792D"/>
    <w:rsid w:val="00ED7CAF"/>
    <w:rsid w:val="00EE006A"/>
    <w:rsid w:val="00EE031E"/>
    <w:rsid w:val="00EE0603"/>
    <w:rsid w:val="00EE0C2C"/>
    <w:rsid w:val="00EE1B47"/>
    <w:rsid w:val="00EE1B4C"/>
    <w:rsid w:val="00EE2102"/>
    <w:rsid w:val="00EE2664"/>
    <w:rsid w:val="00EE3099"/>
    <w:rsid w:val="00EE3E42"/>
    <w:rsid w:val="00EE4125"/>
    <w:rsid w:val="00EE464E"/>
    <w:rsid w:val="00EE4677"/>
    <w:rsid w:val="00EE470A"/>
    <w:rsid w:val="00EE4BDE"/>
    <w:rsid w:val="00EE4FD2"/>
    <w:rsid w:val="00EE5CBA"/>
    <w:rsid w:val="00EE5EC6"/>
    <w:rsid w:val="00EE60B9"/>
    <w:rsid w:val="00EE6153"/>
    <w:rsid w:val="00EE79CA"/>
    <w:rsid w:val="00EF00CE"/>
    <w:rsid w:val="00EF0EDA"/>
    <w:rsid w:val="00EF10FE"/>
    <w:rsid w:val="00EF148B"/>
    <w:rsid w:val="00EF1533"/>
    <w:rsid w:val="00EF16D5"/>
    <w:rsid w:val="00EF1AC5"/>
    <w:rsid w:val="00EF1B9C"/>
    <w:rsid w:val="00EF2626"/>
    <w:rsid w:val="00EF3770"/>
    <w:rsid w:val="00EF4099"/>
    <w:rsid w:val="00EF4688"/>
    <w:rsid w:val="00EF4712"/>
    <w:rsid w:val="00EF4A57"/>
    <w:rsid w:val="00EF4A86"/>
    <w:rsid w:val="00EF4B55"/>
    <w:rsid w:val="00EF51A9"/>
    <w:rsid w:val="00EF5767"/>
    <w:rsid w:val="00EF5C10"/>
    <w:rsid w:val="00EF63D9"/>
    <w:rsid w:val="00EF649C"/>
    <w:rsid w:val="00EF6589"/>
    <w:rsid w:val="00EF6632"/>
    <w:rsid w:val="00EF6A77"/>
    <w:rsid w:val="00EF6B25"/>
    <w:rsid w:val="00EF6B67"/>
    <w:rsid w:val="00EF6CAF"/>
    <w:rsid w:val="00EF70DD"/>
    <w:rsid w:val="00EF72B4"/>
    <w:rsid w:val="00F00E56"/>
    <w:rsid w:val="00F00FC2"/>
    <w:rsid w:val="00F0101C"/>
    <w:rsid w:val="00F01CF0"/>
    <w:rsid w:val="00F022E0"/>
    <w:rsid w:val="00F033DB"/>
    <w:rsid w:val="00F0389F"/>
    <w:rsid w:val="00F04071"/>
    <w:rsid w:val="00F0502F"/>
    <w:rsid w:val="00F050CA"/>
    <w:rsid w:val="00F06A76"/>
    <w:rsid w:val="00F072B3"/>
    <w:rsid w:val="00F102D3"/>
    <w:rsid w:val="00F10AFC"/>
    <w:rsid w:val="00F12B6A"/>
    <w:rsid w:val="00F12DAC"/>
    <w:rsid w:val="00F13795"/>
    <w:rsid w:val="00F154E8"/>
    <w:rsid w:val="00F15C21"/>
    <w:rsid w:val="00F15D81"/>
    <w:rsid w:val="00F15F4C"/>
    <w:rsid w:val="00F17AB2"/>
    <w:rsid w:val="00F20870"/>
    <w:rsid w:val="00F215A1"/>
    <w:rsid w:val="00F2255E"/>
    <w:rsid w:val="00F22966"/>
    <w:rsid w:val="00F22D35"/>
    <w:rsid w:val="00F231CD"/>
    <w:rsid w:val="00F23B49"/>
    <w:rsid w:val="00F24240"/>
    <w:rsid w:val="00F24A09"/>
    <w:rsid w:val="00F256E4"/>
    <w:rsid w:val="00F268C3"/>
    <w:rsid w:val="00F279B4"/>
    <w:rsid w:val="00F27D83"/>
    <w:rsid w:val="00F30134"/>
    <w:rsid w:val="00F302C1"/>
    <w:rsid w:val="00F30312"/>
    <w:rsid w:val="00F30867"/>
    <w:rsid w:val="00F31464"/>
    <w:rsid w:val="00F31A80"/>
    <w:rsid w:val="00F326A5"/>
    <w:rsid w:val="00F33ABD"/>
    <w:rsid w:val="00F33CED"/>
    <w:rsid w:val="00F33D66"/>
    <w:rsid w:val="00F344FA"/>
    <w:rsid w:val="00F34F1B"/>
    <w:rsid w:val="00F3546A"/>
    <w:rsid w:val="00F35B89"/>
    <w:rsid w:val="00F35CBB"/>
    <w:rsid w:val="00F35DB5"/>
    <w:rsid w:val="00F36C70"/>
    <w:rsid w:val="00F36D36"/>
    <w:rsid w:val="00F3772C"/>
    <w:rsid w:val="00F377C6"/>
    <w:rsid w:val="00F404E2"/>
    <w:rsid w:val="00F40557"/>
    <w:rsid w:val="00F4082D"/>
    <w:rsid w:val="00F4148D"/>
    <w:rsid w:val="00F417F6"/>
    <w:rsid w:val="00F4285B"/>
    <w:rsid w:val="00F42EE8"/>
    <w:rsid w:val="00F4319C"/>
    <w:rsid w:val="00F43398"/>
    <w:rsid w:val="00F43890"/>
    <w:rsid w:val="00F445A4"/>
    <w:rsid w:val="00F4461D"/>
    <w:rsid w:val="00F447D0"/>
    <w:rsid w:val="00F508F5"/>
    <w:rsid w:val="00F51206"/>
    <w:rsid w:val="00F512AE"/>
    <w:rsid w:val="00F51B61"/>
    <w:rsid w:val="00F52070"/>
    <w:rsid w:val="00F524CB"/>
    <w:rsid w:val="00F53034"/>
    <w:rsid w:val="00F53A23"/>
    <w:rsid w:val="00F550FE"/>
    <w:rsid w:val="00F555BB"/>
    <w:rsid w:val="00F55D9F"/>
    <w:rsid w:val="00F55E93"/>
    <w:rsid w:val="00F5653B"/>
    <w:rsid w:val="00F56A50"/>
    <w:rsid w:val="00F56F42"/>
    <w:rsid w:val="00F56FAB"/>
    <w:rsid w:val="00F574AE"/>
    <w:rsid w:val="00F57BB1"/>
    <w:rsid w:val="00F60826"/>
    <w:rsid w:val="00F60CCA"/>
    <w:rsid w:val="00F60F5B"/>
    <w:rsid w:val="00F61282"/>
    <w:rsid w:val="00F612EB"/>
    <w:rsid w:val="00F61667"/>
    <w:rsid w:val="00F61B41"/>
    <w:rsid w:val="00F61F68"/>
    <w:rsid w:val="00F62C3C"/>
    <w:rsid w:val="00F64359"/>
    <w:rsid w:val="00F64D1C"/>
    <w:rsid w:val="00F64FA0"/>
    <w:rsid w:val="00F65BF3"/>
    <w:rsid w:val="00F6677A"/>
    <w:rsid w:val="00F66EDC"/>
    <w:rsid w:val="00F66FA1"/>
    <w:rsid w:val="00F67CAE"/>
    <w:rsid w:val="00F703FA"/>
    <w:rsid w:val="00F7107E"/>
    <w:rsid w:val="00F71A42"/>
    <w:rsid w:val="00F71F86"/>
    <w:rsid w:val="00F723D1"/>
    <w:rsid w:val="00F724F7"/>
    <w:rsid w:val="00F72F88"/>
    <w:rsid w:val="00F7333C"/>
    <w:rsid w:val="00F7361D"/>
    <w:rsid w:val="00F73B27"/>
    <w:rsid w:val="00F7473B"/>
    <w:rsid w:val="00F74B87"/>
    <w:rsid w:val="00F75224"/>
    <w:rsid w:val="00F7583E"/>
    <w:rsid w:val="00F75E4F"/>
    <w:rsid w:val="00F7697E"/>
    <w:rsid w:val="00F76EDC"/>
    <w:rsid w:val="00F77FCF"/>
    <w:rsid w:val="00F80227"/>
    <w:rsid w:val="00F80475"/>
    <w:rsid w:val="00F81111"/>
    <w:rsid w:val="00F81925"/>
    <w:rsid w:val="00F81A22"/>
    <w:rsid w:val="00F8256A"/>
    <w:rsid w:val="00F82723"/>
    <w:rsid w:val="00F82AA4"/>
    <w:rsid w:val="00F82D19"/>
    <w:rsid w:val="00F83249"/>
    <w:rsid w:val="00F83251"/>
    <w:rsid w:val="00F83FBC"/>
    <w:rsid w:val="00F8433B"/>
    <w:rsid w:val="00F864BC"/>
    <w:rsid w:val="00F86AEA"/>
    <w:rsid w:val="00F86CDD"/>
    <w:rsid w:val="00F86E10"/>
    <w:rsid w:val="00F86F37"/>
    <w:rsid w:val="00F86F59"/>
    <w:rsid w:val="00F86F90"/>
    <w:rsid w:val="00F879EB"/>
    <w:rsid w:val="00F9070D"/>
    <w:rsid w:val="00F908AA"/>
    <w:rsid w:val="00F91038"/>
    <w:rsid w:val="00F91419"/>
    <w:rsid w:val="00F9194E"/>
    <w:rsid w:val="00F91D78"/>
    <w:rsid w:val="00F92FCD"/>
    <w:rsid w:val="00F9339B"/>
    <w:rsid w:val="00F93779"/>
    <w:rsid w:val="00F947B2"/>
    <w:rsid w:val="00F947DD"/>
    <w:rsid w:val="00F95068"/>
    <w:rsid w:val="00F9600D"/>
    <w:rsid w:val="00F96C9C"/>
    <w:rsid w:val="00F97955"/>
    <w:rsid w:val="00F97B21"/>
    <w:rsid w:val="00F97B69"/>
    <w:rsid w:val="00FA00C5"/>
    <w:rsid w:val="00FA1115"/>
    <w:rsid w:val="00FA1522"/>
    <w:rsid w:val="00FA1BCA"/>
    <w:rsid w:val="00FA1C00"/>
    <w:rsid w:val="00FA2251"/>
    <w:rsid w:val="00FA28E9"/>
    <w:rsid w:val="00FA2E22"/>
    <w:rsid w:val="00FA3254"/>
    <w:rsid w:val="00FA35ED"/>
    <w:rsid w:val="00FA404D"/>
    <w:rsid w:val="00FA5933"/>
    <w:rsid w:val="00FA5B49"/>
    <w:rsid w:val="00FA6694"/>
    <w:rsid w:val="00FA6EED"/>
    <w:rsid w:val="00FA7336"/>
    <w:rsid w:val="00FA7664"/>
    <w:rsid w:val="00FA7765"/>
    <w:rsid w:val="00FA7CC1"/>
    <w:rsid w:val="00FB0194"/>
    <w:rsid w:val="00FB057A"/>
    <w:rsid w:val="00FB0718"/>
    <w:rsid w:val="00FB0A77"/>
    <w:rsid w:val="00FB11F2"/>
    <w:rsid w:val="00FB149B"/>
    <w:rsid w:val="00FB1866"/>
    <w:rsid w:val="00FB1F1D"/>
    <w:rsid w:val="00FB222B"/>
    <w:rsid w:val="00FB32D4"/>
    <w:rsid w:val="00FB39A0"/>
    <w:rsid w:val="00FB3C59"/>
    <w:rsid w:val="00FB44D5"/>
    <w:rsid w:val="00FB48F0"/>
    <w:rsid w:val="00FB5847"/>
    <w:rsid w:val="00FB5B13"/>
    <w:rsid w:val="00FB6577"/>
    <w:rsid w:val="00FB71AF"/>
    <w:rsid w:val="00FB7705"/>
    <w:rsid w:val="00FB78BA"/>
    <w:rsid w:val="00FB7B15"/>
    <w:rsid w:val="00FB7FA3"/>
    <w:rsid w:val="00FC0614"/>
    <w:rsid w:val="00FC1411"/>
    <w:rsid w:val="00FC1B1F"/>
    <w:rsid w:val="00FC25DD"/>
    <w:rsid w:val="00FC2AD5"/>
    <w:rsid w:val="00FC37C7"/>
    <w:rsid w:val="00FC38DE"/>
    <w:rsid w:val="00FC39C6"/>
    <w:rsid w:val="00FC3E00"/>
    <w:rsid w:val="00FC40C4"/>
    <w:rsid w:val="00FC524B"/>
    <w:rsid w:val="00FC5B6E"/>
    <w:rsid w:val="00FC5FC4"/>
    <w:rsid w:val="00FC6964"/>
    <w:rsid w:val="00FC70D4"/>
    <w:rsid w:val="00FC7A99"/>
    <w:rsid w:val="00FD09E8"/>
    <w:rsid w:val="00FD1590"/>
    <w:rsid w:val="00FD1C1B"/>
    <w:rsid w:val="00FD1F7F"/>
    <w:rsid w:val="00FD28E7"/>
    <w:rsid w:val="00FD2D14"/>
    <w:rsid w:val="00FD2E16"/>
    <w:rsid w:val="00FD3610"/>
    <w:rsid w:val="00FD425C"/>
    <w:rsid w:val="00FD4295"/>
    <w:rsid w:val="00FD4367"/>
    <w:rsid w:val="00FD5398"/>
    <w:rsid w:val="00FD576A"/>
    <w:rsid w:val="00FD5959"/>
    <w:rsid w:val="00FD6403"/>
    <w:rsid w:val="00FD69A2"/>
    <w:rsid w:val="00FD7069"/>
    <w:rsid w:val="00FD73C0"/>
    <w:rsid w:val="00FD7BA5"/>
    <w:rsid w:val="00FE0068"/>
    <w:rsid w:val="00FE00D4"/>
    <w:rsid w:val="00FE0238"/>
    <w:rsid w:val="00FE09E4"/>
    <w:rsid w:val="00FE1AA2"/>
    <w:rsid w:val="00FE20BD"/>
    <w:rsid w:val="00FE2196"/>
    <w:rsid w:val="00FE23D7"/>
    <w:rsid w:val="00FE339E"/>
    <w:rsid w:val="00FE369C"/>
    <w:rsid w:val="00FE39AB"/>
    <w:rsid w:val="00FE3A8B"/>
    <w:rsid w:val="00FE4033"/>
    <w:rsid w:val="00FE4232"/>
    <w:rsid w:val="00FE4249"/>
    <w:rsid w:val="00FE45FD"/>
    <w:rsid w:val="00FE463E"/>
    <w:rsid w:val="00FE471E"/>
    <w:rsid w:val="00FE4C55"/>
    <w:rsid w:val="00FE59E6"/>
    <w:rsid w:val="00FE5A87"/>
    <w:rsid w:val="00FF1213"/>
    <w:rsid w:val="00FF1801"/>
    <w:rsid w:val="00FF1811"/>
    <w:rsid w:val="00FF2057"/>
    <w:rsid w:val="00FF2E61"/>
    <w:rsid w:val="00FF3761"/>
    <w:rsid w:val="00FF3CA9"/>
    <w:rsid w:val="00FF47DB"/>
    <w:rsid w:val="00FF4C1A"/>
    <w:rsid w:val="00FF61DC"/>
    <w:rsid w:val="00FF77F1"/>
    <w:rsid w:val="00FF793F"/>
    <w:rsid w:val="00FF7F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Straight Arrow Connector 5"/>
      </o:rules>
    </o:shapelayout>
  </w:shapeDefaults>
  <w:decimalSymbol w:val="."/>
  <w:listSeparator w:val=","/>
  <w14:docId w14:val="47BEE575"/>
  <w15:docId w15:val="{DB301BCF-761C-43EF-A049-7A2348ED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D3D"/>
    <w:rPr>
      <w:sz w:val="24"/>
      <w:szCs w:val="24"/>
    </w:rPr>
  </w:style>
  <w:style w:type="paragraph" w:styleId="Heading1">
    <w:name w:val="heading 1"/>
    <w:basedOn w:val="Normal"/>
    <w:next w:val="Normal"/>
    <w:link w:val="Heading1Char"/>
    <w:qFormat/>
    <w:rsid w:val="005F59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3454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C14B0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qFormat/>
    <w:rsid w:val="0034360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3F66"/>
    <w:pPr>
      <w:tabs>
        <w:tab w:val="center" w:pos="4320"/>
        <w:tab w:val="right" w:pos="8640"/>
      </w:tabs>
    </w:pPr>
  </w:style>
  <w:style w:type="character" w:styleId="PageNumber">
    <w:name w:val="page number"/>
    <w:basedOn w:val="DefaultParagraphFont"/>
    <w:rsid w:val="00E5543B"/>
  </w:style>
  <w:style w:type="paragraph" w:styleId="Header">
    <w:name w:val="header"/>
    <w:basedOn w:val="Normal"/>
    <w:rsid w:val="00E5543B"/>
    <w:pPr>
      <w:tabs>
        <w:tab w:val="center" w:pos="4320"/>
        <w:tab w:val="right" w:pos="8640"/>
      </w:tabs>
    </w:pPr>
  </w:style>
  <w:style w:type="paragraph" w:styleId="HTMLPreformatted">
    <w:name w:val="HTML Preformatted"/>
    <w:basedOn w:val="Normal"/>
    <w:rsid w:val="00343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rsid w:val="00151599"/>
    <w:rPr>
      <w:sz w:val="20"/>
      <w:szCs w:val="20"/>
    </w:rPr>
  </w:style>
  <w:style w:type="character" w:styleId="FootnoteReference">
    <w:name w:val="footnote reference"/>
    <w:uiPriority w:val="99"/>
    <w:semiHidden/>
    <w:rsid w:val="00151599"/>
    <w:rPr>
      <w:vertAlign w:val="superscript"/>
    </w:rPr>
  </w:style>
  <w:style w:type="paragraph" w:customStyle="1" w:styleId="CM60">
    <w:name w:val="CM60"/>
    <w:basedOn w:val="Normal"/>
    <w:next w:val="Normal"/>
    <w:rsid w:val="00931F10"/>
    <w:pPr>
      <w:widowControl w:val="0"/>
      <w:autoSpaceDE w:val="0"/>
      <w:autoSpaceDN w:val="0"/>
      <w:adjustRightInd w:val="0"/>
    </w:pPr>
  </w:style>
  <w:style w:type="paragraph" w:customStyle="1" w:styleId="CM61">
    <w:name w:val="CM61"/>
    <w:basedOn w:val="Normal"/>
    <w:next w:val="Normal"/>
    <w:rsid w:val="00931F10"/>
    <w:pPr>
      <w:widowControl w:val="0"/>
      <w:autoSpaceDE w:val="0"/>
      <w:autoSpaceDN w:val="0"/>
      <w:adjustRightInd w:val="0"/>
    </w:pPr>
  </w:style>
  <w:style w:type="paragraph" w:customStyle="1" w:styleId="CM28">
    <w:name w:val="CM28"/>
    <w:basedOn w:val="Normal"/>
    <w:next w:val="Normal"/>
    <w:rsid w:val="00931F10"/>
    <w:pPr>
      <w:widowControl w:val="0"/>
      <w:autoSpaceDE w:val="0"/>
      <w:autoSpaceDN w:val="0"/>
      <w:adjustRightInd w:val="0"/>
      <w:spacing w:line="231" w:lineRule="atLeast"/>
    </w:pPr>
  </w:style>
  <w:style w:type="paragraph" w:customStyle="1" w:styleId="CM39">
    <w:name w:val="CM39"/>
    <w:basedOn w:val="Normal"/>
    <w:next w:val="Normal"/>
    <w:rsid w:val="00931F10"/>
    <w:pPr>
      <w:widowControl w:val="0"/>
      <w:autoSpaceDE w:val="0"/>
      <w:autoSpaceDN w:val="0"/>
      <w:adjustRightInd w:val="0"/>
      <w:spacing w:line="231" w:lineRule="atLeast"/>
    </w:pPr>
  </w:style>
  <w:style w:type="paragraph" w:customStyle="1" w:styleId="CM63">
    <w:name w:val="CM63"/>
    <w:basedOn w:val="Normal"/>
    <w:next w:val="Normal"/>
    <w:rsid w:val="00931F10"/>
    <w:pPr>
      <w:widowControl w:val="0"/>
      <w:autoSpaceDE w:val="0"/>
      <w:autoSpaceDN w:val="0"/>
      <w:adjustRightInd w:val="0"/>
    </w:pPr>
  </w:style>
  <w:style w:type="paragraph" w:styleId="NormalWeb">
    <w:name w:val="Normal (Web)"/>
    <w:basedOn w:val="Normal"/>
    <w:uiPriority w:val="99"/>
    <w:rsid w:val="000D4AF9"/>
    <w:pPr>
      <w:spacing w:before="100" w:beforeAutospacing="1" w:after="100" w:afterAutospacing="1"/>
    </w:pPr>
  </w:style>
  <w:style w:type="paragraph" w:customStyle="1" w:styleId="Default">
    <w:name w:val="Default"/>
    <w:rsid w:val="00844502"/>
    <w:pPr>
      <w:widowControl w:val="0"/>
      <w:autoSpaceDE w:val="0"/>
      <w:autoSpaceDN w:val="0"/>
      <w:adjustRightInd w:val="0"/>
    </w:pPr>
    <w:rPr>
      <w:color w:val="000000"/>
      <w:sz w:val="24"/>
      <w:szCs w:val="24"/>
    </w:rPr>
  </w:style>
  <w:style w:type="paragraph" w:customStyle="1" w:styleId="CM1">
    <w:name w:val="CM1"/>
    <w:basedOn w:val="Default"/>
    <w:next w:val="Default"/>
    <w:rsid w:val="00844502"/>
    <w:pPr>
      <w:spacing w:line="276" w:lineRule="atLeast"/>
    </w:pPr>
    <w:rPr>
      <w:color w:val="auto"/>
    </w:rPr>
  </w:style>
  <w:style w:type="paragraph" w:customStyle="1" w:styleId="CM2">
    <w:name w:val="CM2"/>
    <w:basedOn w:val="Default"/>
    <w:next w:val="Default"/>
    <w:rsid w:val="00844502"/>
    <w:rPr>
      <w:color w:val="auto"/>
    </w:rPr>
  </w:style>
  <w:style w:type="paragraph" w:styleId="BalloonText">
    <w:name w:val="Balloon Text"/>
    <w:basedOn w:val="Normal"/>
    <w:semiHidden/>
    <w:rsid w:val="002011C6"/>
    <w:rPr>
      <w:rFonts w:ascii="Tahoma" w:hAnsi="Tahoma" w:cs="Tahoma"/>
      <w:sz w:val="16"/>
      <w:szCs w:val="16"/>
    </w:rPr>
  </w:style>
  <w:style w:type="paragraph" w:styleId="EndnoteText">
    <w:name w:val="endnote text"/>
    <w:basedOn w:val="Normal"/>
    <w:semiHidden/>
    <w:rsid w:val="008E20F1"/>
    <w:rPr>
      <w:sz w:val="20"/>
      <w:szCs w:val="20"/>
    </w:rPr>
  </w:style>
  <w:style w:type="character" w:styleId="EndnoteReference">
    <w:name w:val="endnote reference"/>
    <w:semiHidden/>
    <w:rsid w:val="008E20F1"/>
    <w:rPr>
      <w:vertAlign w:val="superscript"/>
    </w:rPr>
  </w:style>
  <w:style w:type="character" w:styleId="Hyperlink">
    <w:name w:val="Hyperlink"/>
    <w:rsid w:val="00CA2D4D"/>
    <w:rPr>
      <w:color w:val="0000FF"/>
      <w:u w:val="single"/>
    </w:rPr>
  </w:style>
  <w:style w:type="character" w:styleId="FollowedHyperlink">
    <w:name w:val="FollowedHyperlink"/>
    <w:rsid w:val="00A27A52"/>
    <w:rPr>
      <w:color w:val="800080"/>
      <w:u w:val="single"/>
    </w:rPr>
  </w:style>
  <w:style w:type="character" w:styleId="Strong">
    <w:name w:val="Strong"/>
    <w:qFormat/>
    <w:rsid w:val="00BB0121"/>
    <w:rPr>
      <w:b/>
      <w:bCs/>
    </w:rPr>
  </w:style>
  <w:style w:type="paragraph" w:styleId="BodyText">
    <w:name w:val="Body Text"/>
    <w:aliases w:val="bt"/>
    <w:basedOn w:val="Normal"/>
    <w:rsid w:val="00345429"/>
    <w:pPr>
      <w:spacing w:before="120"/>
      <w:jc w:val="both"/>
    </w:pPr>
    <w:rPr>
      <w:rFonts w:ascii="Arial Unicode MS" w:hAnsi="Arial Unicode MS" w:cs="Arial Unicode MS"/>
      <w:color w:val="FF0000"/>
      <w:szCs w:val="20"/>
    </w:rPr>
  </w:style>
  <w:style w:type="character" w:customStyle="1" w:styleId="enumbell1">
    <w:name w:val="enumbell1"/>
    <w:rsid w:val="00D323AE"/>
    <w:rPr>
      <w:b/>
      <w:bCs/>
    </w:rPr>
  </w:style>
  <w:style w:type="character" w:customStyle="1" w:styleId="ptext-25">
    <w:name w:val="ptext-25"/>
    <w:basedOn w:val="DefaultParagraphFont"/>
    <w:rsid w:val="00D323AE"/>
  </w:style>
  <w:style w:type="paragraph" w:customStyle="1" w:styleId="LeftBullet">
    <w:name w:val="Left Bullet"/>
    <w:basedOn w:val="Normal"/>
    <w:next w:val="Normal"/>
    <w:link w:val="LeftBulletChar"/>
    <w:rsid w:val="00BD3E2C"/>
    <w:pPr>
      <w:numPr>
        <w:numId w:val="5"/>
      </w:numPr>
      <w:spacing w:after="240"/>
      <w:jc w:val="both"/>
      <w:outlineLvl w:val="0"/>
    </w:pPr>
  </w:style>
  <w:style w:type="character" w:customStyle="1" w:styleId="LeftBulletChar">
    <w:name w:val="Left Bullet Char"/>
    <w:link w:val="LeftBullet"/>
    <w:rsid w:val="00BD3E2C"/>
    <w:rPr>
      <w:sz w:val="24"/>
      <w:szCs w:val="24"/>
    </w:rPr>
  </w:style>
  <w:style w:type="character" w:customStyle="1" w:styleId="ptext-18">
    <w:name w:val="ptext-18"/>
    <w:basedOn w:val="DefaultParagraphFont"/>
    <w:rsid w:val="006E3150"/>
  </w:style>
  <w:style w:type="character" w:customStyle="1" w:styleId="FootnoteTextChar">
    <w:name w:val="Footnote Text Char"/>
    <w:link w:val="FootnoteText"/>
    <w:uiPriority w:val="99"/>
    <w:rsid w:val="003126E2"/>
    <w:rPr>
      <w:lang w:val="en-US" w:eastAsia="en-US" w:bidi="ar-SA"/>
    </w:rPr>
  </w:style>
  <w:style w:type="character" w:customStyle="1" w:styleId="enumxml">
    <w:name w:val="enumxml"/>
    <w:basedOn w:val="DefaultParagraphFont"/>
    <w:rsid w:val="00E13B5B"/>
  </w:style>
  <w:style w:type="character" w:customStyle="1" w:styleId="apple-converted-space">
    <w:name w:val="apple-converted-space"/>
    <w:basedOn w:val="DefaultParagraphFont"/>
    <w:rsid w:val="00E13B5B"/>
  </w:style>
  <w:style w:type="character" w:styleId="Emphasis">
    <w:name w:val="Emphasis"/>
    <w:uiPriority w:val="20"/>
    <w:qFormat/>
    <w:rsid w:val="00E13B5B"/>
    <w:rPr>
      <w:i/>
      <w:iCs/>
    </w:rPr>
  </w:style>
  <w:style w:type="character" w:customStyle="1" w:styleId="ptext-2">
    <w:name w:val="ptext-2"/>
    <w:basedOn w:val="DefaultParagraphFont"/>
    <w:rsid w:val="00E13B5B"/>
  </w:style>
  <w:style w:type="paragraph" w:styleId="ListParagraph">
    <w:name w:val="List Paragraph"/>
    <w:basedOn w:val="Normal"/>
    <w:uiPriority w:val="34"/>
    <w:qFormat/>
    <w:rsid w:val="00DF6DFF"/>
    <w:pPr>
      <w:ind w:left="720"/>
      <w:contextualSpacing/>
    </w:pPr>
  </w:style>
  <w:style w:type="character" w:customStyle="1" w:styleId="Heading1Char">
    <w:name w:val="Heading 1 Char"/>
    <w:basedOn w:val="DefaultParagraphFont"/>
    <w:link w:val="Heading1"/>
    <w:rsid w:val="005F59F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C14B0F"/>
    <w:rPr>
      <w:rFonts w:asciiTheme="majorHAnsi" w:eastAsiaTheme="majorEastAsia" w:hAnsiTheme="majorHAnsi" w:cstheme="majorBidi"/>
      <w:b/>
      <w:bCs/>
      <w:color w:val="4F81BD" w:themeColor="accent1"/>
      <w:sz w:val="24"/>
      <w:szCs w:val="24"/>
    </w:rPr>
  </w:style>
  <w:style w:type="paragraph" w:styleId="CommentText">
    <w:name w:val="annotation text"/>
    <w:basedOn w:val="Normal"/>
    <w:link w:val="CommentTextChar"/>
    <w:rsid w:val="00C962E9"/>
    <w:rPr>
      <w:sz w:val="20"/>
      <w:szCs w:val="20"/>
    </w:rPr>
  </w:style>
  <w:style w:type="character" w:customStyle="1" w:styleId="CommentTextChar">
    <w:name w:val="Comment Text Char"/>
    <w:basedOn w:val="DefaultParagraphFont"/>
    <w:link w:val="CommentText"/>
    <w:rsid w:val="00C962E9"/>
  </w:style>
  <w:style w:type="character" w:styleId="CommentReference">
    <w:name w:val="annotation reference"/>
    <w:basedOn w:val="DefaultParagraphFont"/>
    <w:uiPriority w:val="99"/>
    <w:rsid w:val="00C962E9"/>
    <w:rPr>
      <w:rFonts w:cs="Times New Roman"/>
      <w:sz w:val="16"/>
    </w:rPr>
  </w:style>
  <w:style w:type="character" w:customStyle="1" w:styleId="FooterChar">
    <w:name w:val="Footer Char"/>
    <w:basedOn w:val="DefaultParagraphFont"/>
    <w:link w:val="Footer"/>
    <w:uiPriority w:val="99"/>
    <w:rsid w:val="00064CBE"/>
    <w:rPr>
      <w:sz w:val="24"/>
      <w:szCs w:val="24"/>
    </w:rPr>
  </w:style>
  <w:style w:type="character" w:styleId="UnresolvedMention">
    <w:name w:val="Unresolved Mention"/>
    <w:basedOn w:val="DefaultParagraphFont"/>
    <w:uiPriority w:val="99"/>
    <w:semiHidden/>
    <w:unhideWhenUsed/>
    <w:rsid w:val="002877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910">
      <w:bodyDiv w:val="1"/>
      <w:marLeft w:val="0"/>
      <w:marRight w:val="0"/>
      <w:marTop w:val="0"/>
      <w:marBottom w:val="0"/>
      <w:divBdr>
        <w:top w:val="none" w:sz="0" w:space="0" w:color="auto"/>
        <w:left w:val="none" w:sz="0" w:space="0" w:color="auto"/>
        <w:bottom w:val="none" w:sz="0" w:space="0" w:color="auto"/>
        <w:right w:val="none" w:sz="0" w:space="0" w:color="auto"/>
      </w:divBdr>
      <w:divsChild>
        <w:div w:id="374425822">
          <w:marLeft w:val="0"/>
          <w:marRight w:val="0"/>
          <w:marTop w:val="0"/>
          <w:marBottom w:val="0"/>
          <w:divBdr>
            <w:top w:val="none" w:sz="0" w:space="0" w:color="auto"/>
            <w:left w:val="none" w:sz="0" w:space="0" w:color="auto"/>
            <w:bottom w:val="none" w:sz="0" w:space="0" w:color="auto"/>
            <w:right w:val="none" w:sz="0" w:space="0" w:color="auto"/>
          </w:divBdr>
          <w:divsChild>
            <w:div w:id="1182087106">
              <w:marLeft w:val="0"/>
              <w:marRight w:val="0"/>
              <w:marTop w:val="0"/>
              <w:marBottom w:val="0"/>
              <w:divBdr>
                <w:top w:val="none" w:sz="0" w:space="0" w:color="auto"/>
                <w:left w:val="none" w:sz="0" w:space="0" w:color="auto"/>
                <w:bottom w:val="none" w:sz="0" w:space="0" w:color="auto"/>
                <w:right w:val="none" w:sz="0" w:space="0" w:color="auto"/>
              </w:divBdr>
              <w:divsChild>
                <w:div w:id="355928180">
                  <w:marLeft w:val="0"/>
                  <w:marRight w:val="0"/>
                  <w:marTop w:val="0"/>
                  <w:marBottom w:val="0"/>
                  <w:divBdr>
                    <w:top w:val="none" w:sz="0" w:space="0" w:color="auto"/>
                    <w:left w:val="none" w:sz="0" w:space="0" w:color="auto"/>
                    <w:bottom w:val="none" w:sz="0" w:space="0" w:color="auto"/>
                    <w:right w:val="none" w:sz="0" w:space="0" w:color="auto"/>
                  </w:divBdr>
                  <w:divsChild>
                    <w:div w:id="393819187">
                      <w:marLeft w:val="0"/>
                      <w:marRight w:val="0"/>
                      <w:marTop w:val="0"/>
                      <w:marBottom w:val="0"/>
                      <w:divBdr>
                        <w:top w:val="none" w:sz="0" w:space="0" w:color="auto"/>
                        <w:left w:val="none" w:sz="0" w:space="0" w:color="auto"/>
                        <w:bottom w:val="none" w:sz="0" w:space="0" w:color="auto"/>
                        <w:right w:val="none" w:sz="0" w:space="0" w:color="auto"/>
                      </w:divBdr>
                      <w:divsChild>
                        <w:div w:id="35087748">
                          <w:marLeft w:val="0"/>
                          <w:marRight w:val="0"/>
                          <w:marTop w:val="0"/>
                          <w:marBottom w:val="0"/>
                          <w:divBdr>
                            <w:top w:val="none" w:sz="0" w:space="0" w:color="auto"/>
                            <w:left w:val="none" w:sz="0" w:space="0" w:color="auto"/>
                            <w:bottom w:val="none" w:sz="0" w:space="0" w:color="auto"/>
                            <w:right w:val="none" w:sz="0" w:space="0" w:color="auto"/>
                          </w:divBdr>
                          <w:divsChild>
                            <w:div w:id="1227645629">
                              <w:marLeft w:val="0"/>
                              <w:marRight w:val="0"/>
                              <w:marTop w:val="0"/>
                              <w:marBottom w:val="0"/>
                              <w:divBdr>
                                <w:top w:val="none" w:sz="0" w:space="0" w:color="auto"/>
                                <w:left w:val="none" w:sz="0" w:space="0" w:color="auto"/>
                                <w:bottom w:val="none" w:sz="0" w:space="0" w:color="auto"/>
                                <w:right w:val="none" w:sz="0" w:space="0" w:color="auto"/>
                              </w:divBdr>
                              <w:divsChild>
                                <w:div w:id="78868673">
                                  <w:marLeft w:val="0"/>
                                  <w:marRight w:val="0"/>
                                  <w:marTop w:val="0"/>
                                  <w:marBottom w:val="0"/>
                                  <w:divBdr>
                                    <w:top w:val="none" w:sz="0" w:space="0" w:color="auto"/>
                                    <w:left w:val="none" w:sz="0" w:space="0" w:color="auto"/>
                                    <w:bottom w:val="none" w:sz="0" w:space="0" w:color="auto"/>
                                    <w:right w:val="none" w:sz="0" w:space="0" w:color="auto"/>
                                  </w:divBdr>
                                  <w:divsChild>
                                    <w:div w:id="1789736153">
                                      <w:marLeft w:val="0"/>
                                      <w:marRight w:val="0"/>
                                      <w:marTop w:val="0"/>
                                      <w:marBottom w:val="0"/>
                                      <w:divBdr>
                                        <w:top w:val="none" w:sz="0" w:space="0" w:color="auto"/>
                                        <w:left w:val="none" w:sz="0" w:space="0" w:color="auto"/>
                                        <w:bottom w:val="none" w:sz="0" w:space="0" w:color="auto"/>
                                        <w:right w:val="none" w:sz="0" w:space="0" w:color="auto"/>
                                      </w:divBdr>
                                      <w:divsChild>
                                        <w:div w:id="2010521745">
                                          <w:marLeft w:val="0"/>
                                          <w:marRight w:val="0"/>
                                          <w:marTop w:val="0"/>
                                          <w:marBottom w:val="0"/>
                                          <w:divBdr>
                                            <w:top w:val="none" w:sz="0" w:space="0" w:color="auto"/>
                                            <w:left w:val="none" w:sz="0" w:space="0" w:color="auto"/>
                                            <w:bottom w:val="none" w:sz="0" w:space="0" w:color="auto"/>
                                            <w:right w:val="none" w:sz="0" w:space="0" w:color="auto"/>
                                          </w:divBdr>
                                          <w:divsChild>
                                            <w:div w:id="1786653138">
                                              <w:marLeft w:val="0"/>
                                              <w:marRight w:val="0"/>
                                              <w:marTop w:val="0"/>
                                              <w:marBottom w:val="0"/>
                                              <w:divBdr>
                                                <w:top w:val="none" w:sz="0" w:space="0" w:color="auto"/>
                                                <w:left w:val="none" w:sz="0" w:space="0" w:color="auto"/>
                                                <w:bottom w:val="none" w:sz="0" w:space="0" w:color="auto"/>
                                                <w:right w:val="none" w:sz="0" w:space="0" w:color="auto"/>
                                              </w:divBdr>
                                              <w:divsChild>
                                                <w:div w:id="2061394019">
                                                  <w:marLeft w:val="0"/>
                                                  <w:marRight w:val="0"/>
                                                  <w:marTop w:val="0"/>
                                                  <w:marBottom w:val="0"/>
                                                  <w:divBdr>
                                                    <w:top w:val="none" w:sz="0" w:space="0" w:color="auto"/>
                                                    <w:left w:val="none" w:sz="0" w:space="0" w:color="auto"/>
                                                    <w:bottom w:val="none" w:sz="0" w:space="0" w:color="auto"/>
                                                    <w:right w:val="none" w:sz="0" w:space="0" w:color="auto"/>
                                                  </w:divBdr>
                                                  <w:divsChild>
                                                    <w:div w:id="703361896">
                                                      <w:marLeft w:val="0"/>
                                                      <w:marRight w:val="0"/>
                                                      <w:marTop w:val="0"/>
                                                      <w:marBottom w:val="0"/>
                                                      <w:divBdr>
                                                        <w:top w:val="none" w:sz="0" w:space="0" w:color="auto"/>
                                                        <w:left w:val="none" w:sz="0" w:space="0" w:color="auto"/>
                                                        <w:bottom w:val="none" w:sz="0" w:space="0" w:color="auto"/>
                                                        <w:right w:val="none" w:sz="0" w:space="0" w:color="auto"/>
                                                      </w:divBdr>
                                                      <w:divsChild>
                                                        <w:div w:id="1658652003">
                                                          <w:marLeft w:val="0"/>
                                                          <w:marRight w:val="0"/>
                                                          <w:marTop w:val="0"/>
                                                          <w:marBottom w:val="0"/>
                                                          <w:divBdr>
                                                            <w:top w:val="none" w:sz="0" w:space="0" w:color="auto"/>
                                                            <w:left w:val="none" w:sz="0" w:space="0" w:color="auto"/>
                                                            <w:bottom w:val="none" w:sz="0" w:space="0" w:color="auto"/>
                                                            <w:right w:val="none" w:sz="0" w:space="0" w:color="auto"/>
                                                          </w:divBdr>
                                                          <w:divsChild>
                                                            <w:div w:id="780730500">
                                                              <w:marLeft w:val="0"/>
                                                              <w:marRight w:val="0"/>
                                                              <w:marTop w:val="0"/>
                                                              <w:marBottom w:val="0"/>
                                                              <w:divBdr>
                                                                <w:top w:val="none" w:sz="0" w:space="0" w:color="auto"/>
                                                                <w:left w:val="none" w:sz="0" w:space="0" w:color="auto"/>
                                                                <w:bottom w:val="none" w:sz="0" w:space="0" w:color="auto"/>
                                                                <w:right w:val="none" w:sz="0" w:space="0" w:color="auto"/>
                                                              </w:divBdr>
                                                              <w:divsChild>
                                                                <w:div w:id="611519747">
                                                                  <w:marLeft w:val="0"/>
                                                                  <w:marRight w:val="0"/>
                                                                  <w:marTop w:val="0"/>
                                                                  <w:marBottom w:val="0"/>
                                                                  <w:divBdr>
                                                                    <w:top w:val="none" w:sz="0" w:space="0" w:color="auto"/>
                                                                    <w:left w:val="none" w:sz="0" w:space="0" w:color="auto"/>
                                                                    <w:bottom w:val="none" w:sz="0" w:space="0" w:color="auto"/>
                                                                    <w:right w:val="none" w:sz="0" w:space="0" w:color="auto"/>
                                                                  </w:divBdr>
                                                                  <w:divsChild>
                                                                    <w:div w:id="1142818043">
                                                                      <w:marLeft w:val="0"/>
                                                                      <w:marRight w:val="0"/>
                                                                      <w:marTop w:val="0"/>
                                                                      <w:marBottom w:val="0"/>
                                                                      <w:divBdr>
                                                                        <w:top w:val="none" w:sz="0" w:space="0" w:color="auto"/>
                                                                        <w:left w:val="none" w:sz="0" w:space="0" w:color="auto"/>
                                                                        <w:bottom w:val="none" w:sz="0" w:space="0" w:color="auto"/>
                                                                        <w:right w:val="none" w:sz="0" w:space="0" w:color="auto"/>
                                                                      </w:divBdr>
                                                                      <w:divsChild>
                                                                        <w:div w:id="287669655">
                                                                          <w:marLeft w:val="0"/>
                                                                          <w:marRight w:val="0"/>
                                                                          <w:marTop w:val="0"/>
                                                                          <w:marBottom w:val="0"/>
                                                                          <w:divBdr>
                                                                            <w:top w:val="none" w:sz="0" w:space="0" w:color="auto"/>
                                                                            <w:left w:val="none" w:sz="0" w:space="0" w:color="auto"/>
                                                                            <w:bottom w:val="none" w:sz="0" w:space="0" w:color="auto"/>
                                                                            <w:right w:val="none" w:sz="0" w:space="0" w:color="auto"/>
                                                                          </w:divBdr>
                                                                        </w:div>
                                                                        <w:div w:id="8878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74671">
      <w:bodyDiv w:val="1"/>
      <w:marLeft w:val="0"/>
      <w:marRight w:val="0"/>
      <w:marTop w:val="0"/>
      <w:marBottom w:val="0"/>
      <w:divBdr>
        <w:top w:val="none" w:sz="0" w:space="0" w:color="auto"/>
        <w:left w:val="none" w:sz="0" w:space="0" w:color="auto"/>
        <w:bottom w:val="none" w:sz="0" w:space="0" w:color="auto"/>
        <w:right w:val="none" w:sz="0" w:space="0" w:color="auto"/>
      </w:divBdr>
      <w:divsChild>
        <w:div w:id="824974465">
          <w:marLeft w:val="0"/>
          <w:marRight w:val="0"/>
          <w:marTop w:val="0"/>
          <w:marBottom w:val="0"/>
          <w:divBdr>
            <w:top w:val="none" w:sz="0" w:space="0" w:color="auto"/>
            <w:left w:val="none" w:sz="0" w:space="0" w:color="auto"/>
            <w:bottom w:val="none" w:sz="0" w:space="0" w:color="auto"/>
            <w:right w:val="none" w:sz="0" w:space="0" w:color="auto"/>
          </w:divBdr>
          <w:divsChild>
            <w:div w:id="121117996">
              <w:marLeft w:val="0"/>
              <w:marRight w:val="0"/>
              <w:marTop w:val="0"/>
              <w:marBottom w:val="0"/>
              <w:divBdr>
                <w:top w:val="none" w:sz="0" w:space="0" w:color="auto"/>
                <w:left w:val="none" w:sz="0" w:space="0" w:color="auto"/>
                <w:bottom w:val="none" w:sz="0" w:space="0" w:color="auto"/>
                <w:right w:val="none" w:sz="0" w:space="0" w:color="auto"/>
              </w:divBdr>
              <w:divsChild>
                <w:div w:id="1029992896">
                  <w:marLeft w:val="150"/>
                  <w:marRight w:val="150"/>
                  <w:marTop w:val="150"/>
                  <w:marBottom w:val="0"/>
                  <w:divBdr>
                    <w:top w:val="none" w:sz="0" w:space="0" w:color="auto"/>
                    <w:left w:val="none" w:sz="0" w:space="0" w:color="auto"/>
                    <w:bottom w:val="none" w:sz="0" w:space="0" w:color="auto"/>
                    <w:right w:val="none" w:sz="0" w:space="0" w:color="auto"/>
                  </w:divBdr>
                  <w:divsChild>
                    <w:div w:id="671494025">
                      <w:marLeft w:val="0"/>
                      <w:marRight w:val="0"/>
                      <w:marTop w:val="150"/>
                      <w:marBottom w:val="0"/>
                      <w:divBdr>
                        <w:top w:val="none" w:sz="0" w:space="0" w:color="auto"/>
                        <w:left w:val="none" w:sz="0" w:space="0" w:color="auto"/>
                        <w:bottom w:val="none" w:sz="0" w:space="0" w:color="auto"/>
                        <w:right w:val="none" w:sz="0" w:space="0" w:color="auto"/>
                      </w:divBdr>
                      <w:divsChild>
                        <w:div w:id="207376117">
                          <w:marLeft w:val="0"/>
                          <w:marRight w:val="0"/>
                          <w:marTop w:val="0"/>
                          <w:marBottom w:val="0"/>
                          <w:divBdr>
                            <w:top w:val="none" w:sz="0" w:space="0" w:color="auto"/>
                            <w:left w:val="none" w:sz="0" w:space="0" w:color="auto"/>
                            <w:bottom w:val="none" w:sz="0" w:space="0" w:color="auto"/>
                            <w:right w:val="none" w:sz="0" w:space="0" w:color="auto"/>
                          </w:divBdr>
                          <w:divsChild>
                            <w:div w:id="1971589018">
                              <w:marLeft w:val="0"/>
                              <w:marRight w:val="0"/>
                              <w:marTop w:val="0"/>
                              <w:marBottom w:val="0"/>
                              <w:divBdr>
                                <w:top w:val="none" w:sz="0" w:space="0" w:color="auto"/>
                                <w:left w:val="none" w:sz="0" w:space="0" w:color="auto"/>
                                <w:bottom w:val="none" w:sz="0" w:space="0" w:color="auto"/>
                                <w:right w:val="none" w:sz="0" w:space="0" w:color="auto"/>
                              </w:divBdr>
                              <w:divsChild>
                                <w:div w:id="1914582606">
                                  <w:marLeft w:val="0"/>
                                  <w:marRight w:val="0"/>
                                  <w:marTop w:val="0"/>
                                  <w:marBottom w:val="0"/>
                                  <w:divBdr>
                                    <w:top w:val="none" w:sz="0" w:space="0" w:color="auto"/>
                                    <w:left w:val="none" w:sz="0" w:space="0" w:color="auto"/>
                                    <w:bottom w:val="none" w:sz="0" w:space="0" w:color="auto"/>
                                    <w:right w:val="none" w:sz="0" w:space="0" w:color="auto"/>
                                  </w:divBdr>
                                  <w:divsChild>
                                    <w:div w:id="1621180113">
                                      <w:marLeft w:val="0"/>
                                      <w:marRight w:val="0"/>
                                      <w:marTop w:val="0"/>
                                      <w:marBottom w:val="0"/>
                                      <w:divBdr>
                                        <w:top w:val="none" w:sz="0" w:space="0" w:color="auto"/>
                                        <w:left w:val="none" w:sz="0" w:space="0" w:color="auto"/>
                                        <w:bottom w:val="none" w:sz="0" w:space="0" w:color="auto"/>
                                        <w:right w:val="none" w:sz="0" w:space="0" w:color="auto"/>
                                      </w:divBdr>
                                      <w:divsChild>
                                        <w:div w:id="251938980">
                                          <w:marLeft w:val="0"/>
                                          <w:marRight w:val="0"/>
                                          <w:marTop w:val="0"/>
                                          <w:marBottom w:val="0"/>
                                          <w:divBdr>
                                            <w:top w:val="none" w:sz="0" w:space="0" w:color="auto"/>
                                            <w:left w:val="none" w:sz="0" w:space="0" w:color="auto"/>
                                            <w:bottom w:val="none" w:sz="0" w:space="0" w:color="auto"/>
                                            <w:right w:val="none" w:sz="0" w:space="0" w:color="auto"/>
                                          </w:divBdr>
                                          <w:divsChild>
                                            <w:div w:id="1779639686">
                                              <w:marLeft w:val="0"/>
                                              <w:marRight w:val="0"/>
                                              <w:marTop w:val="0"/>
                                              <w:marBottom w:val="0"/>
                                              <w:divBdr>
                                                <w:top w:val="none" w:sz="0" w:space="0" w:color="auto"/>
                                                <w:left w:val="none" w:sz="0" w:space="0" w:color="auto"/>
                                                <w:bottom w:val="none" w:sz="0" w:space="0" w:color="auto"/>
                                                <w:right w:val="none" w:sz="0" w:space="0" w:color="auto"/>
                                              </w:divBdr>
                                              <w:divsChild>
                                                <w:div w:id="15891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77343">
      <w:bodyDiv w:val="1"/>
      <w:marLeft w:val="0"/>
      <w:marRight w:val="0"/>
      <w:marTop w:val="0"/>
      <w:marBottom w:val="0"/>
      <w:divBdr>
        <w:top w:val="none" w:sz="0" w:space="0" w:color="auto"/>
        <w:left w:val="none" w:sz="0" w:space="0" w:color="auto"/>
        <w:bottom w:val="none" w:sz="0" w:space="0" w:color="auto"/>
        <w:right w:val="none" w:sz="0" w:space="0" w:color="auto"/>
      </w:divBdr>
      <w:divsChild>
        <w:div w:id="1882479045">
          <w:marLeft w:val="0"/>
          <w:marRight w:val="0"/>
          <w:marTop w:val="0"/>
          <w:marBottom w:val="0"/>
          <w:divBdr>
            <w:top w:val="none" w:sz="0" w:space="0" w:color="auto"/>
            <w:left w:val="none" w:sz="0" w:space="0" w:color="auto"/>
            <w:bottom w:val="none" w:sz="0" w:space="0" w:color="auto"/>
            <w:right w:val="none" w:sz="0" w:space="0" w:color="auto"/>
          </w:divBdr>
        </w:div>
      </w:divsChild>
    </w:div>
    <w:div w:id="168446746">
      <w:bodyDiv w:val="1"/>
      <w:marLeft w:val="0"/>
      <w:marRight w:val="0"/>
      <w:marTop w:val="0"/>
      <w:marBottom w:val="0"/>
      <w:divBdr>
        <w:top w:val="none" w:sz="0" w:space="0" w:color="auto"/>
        <w:left w:val="none" w:sz="0" w:space="0" w:color="auto"/>
        <w:bottom w:val="none" w:sz="0" w:space="0" w:color="auto"/>
        <w:right w:val="none" w:sz="0" w:space="0" w:color="auto"/>
      </w:divBdr>
    </w:div>
    <w:div w:id="219833028">
      <w:bodyDiv w:val="1"/>
      <w:marLeft w:val="0"/>
      <w:marRight w:val="0"/>
      <w:marTop w:val="0"/>
      <w:marBottom w:val="0"/>
      <w:divBdr>
        <w:top w:val="none" w:sz="0" w:space="0" w:color="auto"/>
        <w:left w:val="none" w:sz="0" w:space="0" w:color="auto"/>
        <w:bottom w:val="none" w:sz="0" w:space="0" w:color="auto"/>
        <w:right w:val="none" w:sz="0" w:space="0" w:color="auto"/>
      </w:divBdr>
      <w:divsChild>
        <w:div w:id="1639147387">
          <w:marLeft w:val="0"/>
          <w:marRight w:val="0"/>
          <w:marTop w:val="0"/>
          <w:marBottom w:val="0"/>
          <w:divBdr>
            <w:top w:val="none" w:sz="0" w:space="0" w:color="auto"/>
            <w:left w:val="none" w:sz="0" w:space="0" w:color="auto"/>
            <w:bottom w:val="none" w:sz="0" w:space="0" w:color="auto"/>
            <w:right w:val="none" w:sz="0" w:space="0" w:color="auto"/>
          </w:divBdr>
          <w:divsChild>
            <w:div w:id="1966348375">
              <w:marLeft w:val="0"/>
              <w:marRight w:val="0"/>
              <w:marTop w:val="0"/>
              <w:marBottom w:val="0"/>
              <w:divBdr>
                <w:top w:val="none" w:sz="0" w:space="0" w:color="auto"/>
                <w:left w:val="none" w:sz="0" w:space="0" w:color="auto"/>
                <w:bottom w:val="none" w:sz="0" w:space="0" w:color="auto"/>
                <w:right w:val="none" w:sz="0" w:space="0" w:color="auto"/>
              </w:divBdr>
              <w:divsChild>
                <w:div w:id="1816989857">
                  <w:marLeft w:val="0"/>
                  <w:marRight w:val="0"/>
                  <w:marTop w:val="0"/>
                  <w:marBottom w:val="0"/>
                  <w:divBdr>
                    <w:top w:val="none" w:sz="0" w:space="0" w:color="auto"/>
                    <w:left w:val="none" w:sz="0" w:space="0" w:color="auto"/>
                    <w:bottom w:val="none" w:sz="0" w:space="0" w:color="auto"/>
                    <w:right w:val="none" w:sz="0" w:space="0" w:color="auto"/>
                  </w:divBdr>
                  <w:divsChild>
                    <w:div w:id="702942608">
                      <w:marLeft w:val="0"/>
                      <w:marRight w:val="0"/>
                      <w:marTop w:val="0"/>
                      <w:marBottom w:val="0"/>
                      <w:divBdr>
                        <w:top w:val="none" w:sz="0" w:space="0" w:color="auto"/>
                        <w:left w:val="none" w:sz="0" w:space="0" w:color="auto"/>
                        <w:bottom w:val="none" w:sz="0" w:space="0" w:color="auto"/>
                        <w:right w:val="none" w:sz="0" w:space="0" w:color="auto"/>
                      </w:divBdr>
                      <w:divsChild>
                        <w:div w:id="842933595">
                          <w:marLeft w:val="0"/>
                          <w:marRight w:val="0"/>
                          <w:marTop w:val="0"/>
                          <w:marBottom w:val="0"/>
                          <w:divBdr>
                            <w:top w:val="none" w:sz="0" w:space="0" w:color="auto"/>
                            <w:left w:val="none" w:sz="0" w:space="0" w:color="auto"/>
                            <w:bottom w:val="none" w:sz="0" w:space="0" w:color="auto"/>
                            <w:right w:val="none" w:sz="0" w:space="0" w:color="auto"/>
                          </w:divBdr>
                          <w:divsChild>
                            <w:div w:id="1244604744">
                              <w:marLeft w:val="0"/>
                              <w:marRight w:val="0"/>
                              <w:marTop w:val="0"/>
                              <w:marBottom w:val="0"/>
                              <w:divBdr>
                                <w:top w:val="none" w:sz="0" w:space="0" w:color="auto"/>
                                <w:left w:val="none" w:sz="0" w:space="0" w:color="auto"/>
                                <w:bottom w:val="none" w:sz="0" w:space="0" w:color="auto"/>
                                <w:right w:val="none" w:sz="0" w:space="0" w:color="auto"/>
                              </w:divBdr>
                              <w:divsChild>
                                <w:div w:id="1346134485">
                                  <w:marLeft w:val="0"/>
                                  <w:marRight w:val="0"/>
                                  <w:marTop w:val="0"/>
                                  <w:marBottom w:val="0"/>
                                  <w:divBdr>
                                    <w:top w:val="none" w:sz="0" w:space="0" w:color="auto"/>
                                    <w:left w:val="none" w:sz="0" w:space="0" w:color="auto"/>
                                    <w:bottom w:val="none" w:sz="0" w:space="0" w:color="auto"/>
                                    <w:right w:val="none" w:sz="0" w:space="0" w:color="auto"/>
                                  </w:divBdr>
                                  <w:divsChild>
                                    <w:div w:id="1922715068">
                                      <w:marLeft w:val="0"/>
                                      <w:marRight w:val="0"/>
                                      <w:marTop w:val="0"/>
                                      <w:marBottom w:val="0"/>
                                      <w:divBdr>
                                        <w:top w:val="none" w:sz="0" w:space="0" w:color="auto"/>
                                        <w:left w:val="none" w:sz="0" w:space="0" w:color="auto"/>
                                        <w:bottom w:val="none" w:sz="0" w:space="0" w:color="auto"/>
                                        <w:right w:val="none" w:sz="0" w:space="0" w:color="auto"/>
                                      </w:divBdr>
                                      <w:divsChild>
                                        <w:div w:id="180823849">
                                          <w:marLeft w:val="0"/>
                                          <w:marRight w:val="0"/>
                                          <w:marTop w:val="0"/>
                                          <w:marBottom w:val="0"/>
                                          <w:divBdr>
                                            <w:top w:val="none" w:sz="0" w:space="0" w:color="auto"/>
                                            <w:left w:val="none" w:sz="0" w:space="0" w:color="auto"/>
                                            <w:bottom w:val="none" w:sz="0" w:space="0" w:color="auto"/>
                                            <w:right w:val="none" w:sz="0" w:space="0" w:color="auto"/>
                                          </w:divBdr>
                                          <w:divsChild>
                                            <w:div w:id="825709621">
                                              <w:marLeft w:val="0"/>
                                              <w:marRight w:val="0"/>
                                              <w:marTop w:val="0"/>
                                              <w:marBottom w:val="0"/>
                                              <w:divBdr>
                                                <w:top w:val="none" w:sz="0" w:space="0" w:color="auto"/>
                                                <w:left w:val="none" w:sz="0" w:space="0" w:color="auto"/>
                                                <w:bottom w:val="none" w:sz="0" w:space="0" w:color="auto"/>
                                                <w:right w:val="none" w:sz="0" w:space="0" w:color="auto"/>
                                              </w:divBdr>
                                              <w:divsChild>
                                                <w:div w:id="1760516871">
                                                  <w:marLeft w:val="0"/>
                                                  <w:marRight w:val="0"/>
                                                  <w:marTop w:val="0"/>
                                                  <w:marBottom w:val="0"/>
                                                  <w:divBdr>
                                                    <w:top w:val="none" w:sz="0" w:space="0" w:color="auto"/>
                                                    <w:left w:val="none" w:sz="0" w:space="0" w:color="auto"/>
                                                    <w:bottom w:val="none" w:sz="0" w:space="0" w:color="auto"/>
                                                    <w:right w:val="none" w:sz="0" w:space="0" w:color="auto"/>
                                                  </w:divBdr>
                                                  <w:divsChild>
                                                    <w:div w:id="1484929758">
                                                      <w:marLeft w:val="0"/>
                                                      <w:marRight w:val="0"/>
                                                      <w:marTop w:val="0"/>
                                                      <w:marBottom w:val="0"/>
                                                      <w:divBdr>
                                                        <w:top w:val="none" w:sz="0" w:space="0" w:color="auto"/>
                                                        <w:left w:val="none" w:sz="0" w:space="0" w:color="auto"/>
                                                        <w:bottom w:val="none" w:sz="0" w:space="0" w:color="auto"/>
                                                        <w:right w:val="none" w:sz="0" w:space="0" w:color="auto"/>
                                                      </w:divBdr>
                                                      <w:divsChild>
                                                        <w:div w:id="740712157">
                                                          <w:marLeft w:val="0"/>
                                                          <w:marRight w:val="0"/>
                                                          <w:marTop w:val="0"/>
                                                          <w:marBottom w:val="0"/>
                                                          <w:divBdr>
                                                            <w:top w:val="none" w:sz="0" w:space="0" w:color="auto"/>
                                                            <w:left w:val="none" w:sz="0" w:space="0" w:color="auto"/>
                                                            <w:bottom w:val="none" w:sz="0" w:space="0" w:color="auto"/>
                                                            <w:right w:val="none" w:sz="0" w:space="0" w:color="auto"/>
                                                          </w:divBdr>
                                                          <w:divsChild>
                                                            <w:div w:id="1575894855">
                                                              <w:marLeft w:val="0"/>
                                                              <w:marRight w:val="0"/>
                                                              <w:marTop w:val="0"/>
                                                              <w:marBottom w:val="0"/>
                                                              <w:divBdr>
                                                                <w:top w:val="none" w:sz="0" w:space="0" w:color="auto"/>
                                                                <w:left w:val="none" w:sz="0" w:space="0" w:color="auto"/>
                                                                <w:bottom w:val="none" w:sz="0" w:space="0" w:color="auto"/>
                                                                <w:right w:val="none" w:sz="0" w:space="0" w:color="auto"/>
                                                              </w:divBdr>
                                                              <w:divsChild>
                                                                <w:div w:id="451484356">
                                                                  <w:marLeft w:val="0"/>
                                                                  <w:marRight w:val="0"/>
                                                                  <w:marTop w:val="0"/>
                                                                  <w:marBottom w:val="0"/>
                                                                  <w:divBdr>
                                                                    <w:top w:val="none" w:sz="0" w:space="0" w:color="auto"/>
                                                                    <w:left w:val="none" w:sz="0" w:space="0" w:color="auto"/>
                                                                    <w:bottom w:val="none" w:sz="0" w:space="0" w:color="auto"/>
                                                                    <w:right w:val="none" w:sz="0" w:space="0" w:color="auto"/>
                                                                  </w:divBdr>
                                                                  <w:divsChild>
                                                                    <w:div w:id="132254072">
                                                                      <w:marLeft w:val="0"/>
                                                                      <w:marRight w:val="0"/>
                                                                      <w:marTop w:val="0"/>
                                                                      <w:marBottom w:val="0"/>
                                                                      <w:divBdr>
                                                                        <w:top w:val="none" w:sz="0" w:space="0" w:color="auto"/>
                                                                        <w:left w:val="none" w:sz="0" w:space="0" w:color="auto"/>
                                                                        <w:bottom w:val="none" w:sz="0" w:space="0" w:color="auto"/>
                                                                        <w:right w:val="none" w:sz="0" w:space="0" w:color="auto"/>
                                                                      </w:divBdr>
                                                                      <w:divsChild>
                                                                        <w:div w:id="98070304">
                                                                          <w:marLeft w:val="0"/>
                                                                          <w:marRight w:val="0"/>
                                                                          <w:marTop w:val="0"/>
                                                                          <w:marBottom w:val="0"/>
                                                                          <w:divBdr>
                                                                            <w:top w:val="none" w:sz="0" w:space="0" w:color="auto"/>
                                                                            <w:left w:val="none" w:sz="0" w:space="0" w:color="auto"/>
                                                                            <w:bottom w:val="none" w:sz="0" w:space="0" w:color="auto"/>
                                                                            <w:right w:val="none" w:sz="0" w:space="0" w:color="auto"/>
                                                                          </w:divBdr>
                                                                        </w:div>
                                                                        <w:div w:id="1073814556">
                                                                          <w:marLeft w:val="0"/>
                                                                          <w:marRight w:val="0"/>
                                                                          <w:marTop w:val="0"/>
                                                                          <w:marBottom w:val="0"/>
                                                                          <w:divBdr>
                                                                            <w:top w:val="none" w:sz="0" w:space="0" w:color="auto"/>
                                                                            <w:left w:val="none" w:sz="0" w:space="0" w:color="auto"/>
                                                                            <w:bottom w:val="none" w:sz="0" w:space="0" w:color="auto"/>
                                                                            <w:right w:val="none" w:sz="0" w:space="0" w:color="auto"/>
                                                                          </w:divBdr>
                                                                          <w:divsChild>
                                                                            <w:div w:id="29111268">
                                                                              <w:marLeft w:val="0"/>
                                                                              <w:marRight w:val="0"/>
                                                                              <w:marTop w:val="0"/>
                                                                              <w:marBottom w:val="0"/>
                                                                              <w:divBdr>
                                                                                <w:top w:val="none" w:sz="0" w:space="0" w:color="auto"/>
                                                                                <w:left w:val="none" w:sz="0" w:space="0" w:color="auto"/>
                                                                                <w:bottom w:val="none" w:sz="0" w:space="0" w:color="auto"/>
                                                                                <w:right w:val="none" w:sz="0" w:space="0" w:color="auto"/>
                                                                              </w:divBdr>
                                                                            </w:div>
                                                                            <w:div w:id="1338462934">
                                                                              <w:marLeft w:val="0"/>
                                                                              <w:marRight w:val="0"/>
                                                                              <w:marTop w:val="0"/>
                                                                              <w:marBottom w:val="0"/>
                                                                              <w:divBdr>
                                                                                <w:top w:val="none" w:sz="0" w:space="0" w:color="auto"/>
                                                                                <w:left w:val="none" w:sz="0" w:space="0" w:color="auto"/>
                                                                                <w:bottom w:val="none" w:sz="0" w:space="0" w:color="auto"/>
                                                                                <w:right w:val="none" w:sz="0" w:space="0" w:color="auto"/>
                                                                              </w:divBdr>
                                                                            </w:div>
                                                                            <w:div w:id="1544559720">
                                                                              <w:marLeft w:val="0"/>
                                                                              <w:marRight w:val="0"/>
                                                                              <w:marTop w:val="0"/>
                                                                              <w:marBottom w:val="0"/>
                                                                              <w:divBdr>
                                                                                <w:top w:val="none" w:sz="0" w:space="0" w:color="auto"/>
                                                                                <w:left w:val="none" w:sz="0" w:space="0" w:color="auto"/>
                                                                                <w:bottom w:val="none" w:sz="0" w:space="0" w:color="auto"/>
                                                                                <w:right w:val="none" w:sz="0" w:space="0" w:color="auto"/>
                                                                              </w:divBdr>
                                                                              <w:divsChild>
                                                                                <w:div w:id="904797035">
                                                                                  <w:marLeft w:val="0"/>
                                                                                  <w:marRight w:val="0"/>
                                                                                  <w:marTop w:val="0"/>
                                                                                  <w:marBottom w:val="0"/>
                                                                                  <w:divBdr>
                                                                                    <w:top w:val="none" w:sz="0" w:space="0" w:color="auto"/>
                                                                                    <w:left w:val="none" w:sz="0" w:space="0" w:color="auto"/>
                                                                                    <w:bottom w:val="none" w:sz="0" w:space="0" w:color="auto"/>
                                                                                    <w:right w:val="none" w:sz="0" w:space="0" w:color="auto"/>
                                                                                  </w:divBdr>
                                                                                </w:div>
                                                                                <w:div w:id="984550123">
                                                                                  <w:marLeft w:val="0"/>
                                                                                  <w:marRight w:val="0"/>
                                                                                  <w:marTop w:val="0"/>
                                                                                  <w:marBottom w:val="0"/>
                                                                                  <w:divBdr>
                                                                                    <w:top w:val="none" w:sz="0" w:space="0" w:color="auto"/>
                                                                                    <w:left w:val="none" w:sz="0" w:space="0" w:color="auto"/>
                                                                                    <w:bottom w:val="none" w:sz="0" w:space="0" w:color="auto"/>
                                                                                    <w:right w:val="none" w:sz="0" w:space="0" w:color="auto"/>
                                                                                  </w:divBdr>
                                                                                </w:div>
                                                                                <w:div w:id="17157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59777">
                                                                          <w:marLeft w:val="0"/>
                                                                          <w:marRight w:val="0"/>
                                                                          <w:marTop w:val="0"/>
                                                                          <w:marBottom w:val="0"/>
                                                                          <w:divBdr>
                                                                            <w:top w:val="none" w:sz="0" w:space="0" w:color="auto"/>
                                                                            <w:left w:val="none" w:sz="0" w:space="0" w:color="auto"/>
                                                                            <w:bottom w:val="none" w:sz="0" w:space="0" w:color="auto"/>
                                                                            <w:right w:val="none" w:sz="0" w:space="0" w:color="auto"/>
                                                                          </w:divBdr>
                                                                          <w:divsChild>
                                                                            <w:div w:id="1555772913">
                                                                              <w:marLeft w:val="0"/>
                                                                              <w:marRight w:val="0"/>
                                                                              <w:marTop w:val="0"/>
                                                                              <w:marBottom w:val="0"/>
                                                                              <w:divBdr>
                                                                                <w:top w:val="none" w:sz="0" w:space="0" w:color="auto"/>
                                                                                <w:left w:val="none" w:sz="0" w:space="0" w:color="auto"/>
                                                                                <w:bottom w:val="none" w:sz="0" w:space="0" w:color="auto"/>
                                                                                <w:right w:val="none" w:sz="0" w:space="0" w:color="auto"/>
                                                                              </w:divBdr>
                                                                            </w:div>
                                                                          </w:divsChild>
                                                                        </w:div>
                                                                        <w:div w:id="2035035656">
                                                                          <w:marLeft w:val="0"/>
                                                                          <w:marRight w:val="0"/>
                                                                          <w:marTop w:val="0"/>
                                                                          <w:marBottom w:val="0"/>
                                                                          <w:divBdr>
                                                                            <w:top w:val="none" w:sz="0" w:space="0" w:color="auto"/>
                                                                            <w:left w:val="none" w:sz="0" w:space="0" w:color="auto"/>
                                                                            <w:bottom w:val="none" w:sz="0" w:space="0" w:color="auto"/>
                                                                            <w:right w:val="none" w:sz="0" w:space="0" w:color="auto"/>
                                                                          </w:divBdr>
                                                                          <w:divsChild>
                                                                            <w:div w:id="715816083">
                                                                              <w:marLeft w:val="0"/>
                                                                              <w:marRight w:val="0"/>
                                                                              <w:marTop w:val="0"/>
                                                                              <w:marBottom w:val="0"/>
                                                                              <w:divBdr>
                                                                                <w:top w:val="none" w:sz="0" w:space="0" w:color="auto"/>
                                                                                <w:left w:val="none" w:sz="0" w:space="0" w:color="auto"/>
                                                                                <w:bottom w:val="none" w:sz="0" w:space="0" w:color="auto"/>
                                                                                <w:right w:val="none" w:sz="0" w:space="0" w:color="auto"/>
                                                                              </w:divBdr>
                                                                            </w:div>
                                                                            <w:div w:id="812019716">
                                                                              <w:marLeft w:val="0"/>
                                                                              <w:marRight w:val="0"/>
                                                                              <w:marTop w:val="0"/>
                                                                              <w:marBottom w:val="0"/>
                                                                              <w:divBdr>
                                                                                <w:top w:val="none" w:sz="0" w:space="0" w:color="auto"/>
                                                                                <w:left w:val="none" w:sz="0" w:space="0" w:color="auto"/>
                                                                                <w:bottom w:val="none" w:sz="0" w:space="0" w:color="auto"/>
                                                                                <w:right w:val="none" w:sz="0" w:space="0" w:color="auto"/>
                                                                              </w:divBdr>
                                                                            </w:div>
                                                                            <w:div w:id="1725905710">
                                                                              <w:marLeft w:val="0"/>
                                                                              <w:marRight w:val="0"/>
                                                                              <w:marTop w:val="0"/>
                                                                              <w:marBottom w:val="0"/>
                                                                              <w:divBdr>
                                                                                <w:top w:val="none" w:sz="0" w:space="0" w:color="auto"/>
                                                                                <w:left w:val="none" w:sz="0" w:space="0" w:color="auto"/>
                                                                                <w:bottom w:val="none" w:sz="0" w:space="0" w:color="auto"/>
                                                                                <w:right w:val="none" w:sz="0" w:space="0" w:color="auto"/>
                                                                              </w:divBdr>
                                                                            </w:div>
                                                                            <w:div w:id="2056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8868">
                                                                      <w:marLeft w:val="0"/>
                                                                      <w:marRight w:val="0"/>
                                                                      <w:marTop w:val="0"/>
                                                                      <w:marBottom w:val="0"/>
                                                                      <w:divBdr>
                                                                        <w:top w:val="none" w:sz="0" w:space="0" w:color="auto"/>
                                                                        <w:left w:val="none" w:sz="0" w:space="0" w:color="auto"/>
                                                                        <w:bottom w:val="none" w:sz="0" w:space="0" w:color="auto"/>
                                                                        <w:right w:val="none" w:sz="0" w:space="0" w:color="auto"/>
                                                                      </w:divBdr>
                                                                      <w:divsChild>
                                                                        <w:div w:id="221984327">
                                                                          <w:marLeft w:val="0"/>
                                                                          <w:marRight w:val="0"/>
                                                                          <w:marTop w:val="0"/>
                                                                          <w:marBottom w:val="0"/>
                                                                          <w:divBdr>
                                                                            <w:top w:val="none" w:sz="0" w:space="0" w:color="auto"/>
                                                                            <w:left w:val="none" w:sz="0" w:space="0" w:color="auto"/>
                                                                            <w:bottom w:val="none" w:sz="0" w:space="0" w:color="auto"/>
                                                                            <w:right w:val="none" w:sz="0" w:space="0" w:color="auto"/>
                                                                          </w:divBdr>
                                                                          <w:divsChild>
                                                                            <w:div w:id="1559314837">
                                                                              <w:marLeft w:val="0"/>
                                                                              <w:marRight w:val="0"/>
                                                                              <w:marTop w:val="0"/>
                                                                              <w:marBottom w:val="0"/>
                                                                              <w:divBdr>
                                                                                <w:top w:val="none" w:sz="0" w:space="0" w:color="auto"/>
                                                                                <w:left w:val="none" w:sz="0" w:space="0" w:color="auto"/>
                                                                                <w:bottom w:val="none" w:sz="0" w:space="0" w:color="auto"/>
                                                                                <w:right w:val="none" w:sz="0" w:space="0" w:color="auto"/>
                                                                              </w:divBdr>
                                                                            </w:div>
                                                                          </w:divsChild>
                                                                        </w:div>
                                                                        <w:div w:id="339623626">
                                                                          <w:marLeft w:val="0"/>
                                                                          <w:marRight w:val="0"/>
                                                                          <w:marTop w:val="0"/>
                                                                          <w:marBottom w:val="0"/>
                                                                          <w:divBdr>
                                                                            <w:top w:val="none" w:sz="0" w:space="0" w:color="auto"/>
                                                                            <w:left w:val="none" w:sz="0" w:space="0" w:color="auto"/>
                                                                            <w:bottom w:val="none" w:sz="0" w:space="0" w:color="auto"/>
                                                                            <w:right w:val="none" w:sz="0" w:space="0" w:color="auto"/>
                                                                          </w:divBdr>
                                                                          <w:divsChild>
                                                                            <w:div w:id="123356606">
                                                                              <w:marLeft w:val="0"/>
                                                                              <w:marRight w:val="0"/>
                                                                              <w:marTop w:val="0"/>
                                                                              <w:marBottom w:val="0"/>
                                                                              <w:divBdr>
                                                                                <w:top w:val="none" w:sz="0" w:space="0" w:color="auto"/>
                                                                                <w:left w:val="none" w:sz="0" w:space="0" w:color="auto"/>
                                                                                <w:bottom w:val="none" w:sz="0" w:space="0" w:color="auto"/>
                                                                                <w:right w:val="none" w:sz="0" w:space="0" w:color="auto"/>
                                                                              </w:divBdr>
                                                                              <w:divsChild>
                                                                                <w:div w:id="518083191">
                                                                                  <w:marLeft w:val="0"/>
                                                                                  <w:marRight w:val="0"/>
                                                                                  <w:marTop w:val="0"/>
                                                                                  <w:marBottom w:val="0"/>
                                                                                  <w:divBdr>
                                                                                    <w:top w:val="none" w:sz="0" w:space="0" w:color="auto"/>
                                                                                    <w:left w:val="none" w:sz="0" w:space="0" w:color="auto"/>
                                                                                    <w:bottom w:val="none" w:sz="0" w:space="0" w:color="auto"/>
                                                                                    <w:right w:val="none" w:sz="0" w:space="0" w:color="auto"/>
                                                                                  </w:divBdr>
                                                                                </w:div>
                                                                                <w:div w:id="1074667445">
                                                                                  <w:marLeft w:val="0"/>
                                                                                  <w:marRight w:val="0"/>
                                                                                  <w:marTop w:val="0"/>
                                                                                  <w:marBottom w:val="0"/>
                                                                                  <w:divBdr>
                                                                                    <w:top w:val="none" w:sz="0" w:space="0" w:color="auto"/>
                                                                                    <w:left w:val="none" w:sz="0" w:space="0" w:color="auto"/>
                                                                                    <w:bottom w:val="none" w:sz="0" w:space="0" w:color="auto"/>
                                                                                    <w:right w:val="none" w:sz="0" w:space="0" w:color="auto"/>
                                                                                  </w:divBdr>
                                                                                </w:div>
                                                                                <w:div w:id="1746219739">
                                                                                  <w:marLeft w:val="0"/>
                                                                                  <w:marRight w:val="0"/>
                                                                                  <w:marTop w:val="0"/>
                                                                                  <w:marBottom w:val="0"/>
                                                                                  <w:divBdr>
                                                                                    <w:top w:val="none" w:sz="0" w:space="0" w:color="auto"/>
                                                                                    <w:left w:val="none" w:sz="0" w:space="0" w:color="auto"/>
                                                                                    <w:bottom w:val="none" w:sz="0" w:space="0" w:color="auto"/>
                                                                                    <w:right w:val="none" w:sz="0" w:space="0" w:color="auto"/>
                                                                                  </w:divBdr>
                                                                                </w:div>
                                                                                <w:div w:id="2114783119">
                                                                                  <w:marLeft w:val="0"/>
                                                                                  <w:marRight w:val="0"/>
                                                                                  <w:marTop w:val="0"/>
                                                                                  <w:marBottom w:val="0"/>
                                                                                  <w:divBdr>
                                                                                    <w:top w:val="none" w:sz="0" w:space="0" w:color="auto"/>
                                                                                    <w:left w:val="none" w:sz="0" w:space="0" w:color="auto"/>
                                                                                    <w:bottom w:val="none" w:sz="0" w:space="0" w:color="auto"/>
                                                                                    <w:right w:val="none" w:sz="0" w:space="0" w:color="auto"/>
                                                                                  </w:divBdr>
                                                                                </w:div>
                                                                              </w:divsChild>
                                                                            </w:div>
                                                                            <w:div w:id="716977247">
                                                                              <w:marLeft w:val="0"/>
                                                                              <w:marRight w:val="0"/>
                                                                              <w:marTop w:val="0"/>
                                                                              <w:marBottom w:val="0"/>
                                                                              <w:divBdr>
                                                                                <w:top w:val="none" w:sz="0" w:space="0" w:color="auto"/>
                                                                                <w:left w:val="none" w:sz="0" w:space="0" w:color="auto"/>
                                                                                <w:bottom w:val="none" w:sz="0" w:space="0" w:color="auto"/>
                                                                                <w:right w:val="none" w:sz="0" w:space="0" w:color="auto"/>
                                                                              </w:divBdr>
                                                                            </w:div>
                                                                            <w:div w:id="843935080">
                                                                              <w:marLeft w:val="0"/>
                                                                              <w:marRight w:val="0"/>
                                                                              <w:marTop w:val="0"/>
                                                                              <w:marBottom w:val="0"/>
                                                                              <w:divBdr>
                                                                                <w:top w:val="none" w:sz="0" w:space="0" w:color="auto"/>
                                                                                <w:left w:val="none" w:sz="0" w:space="0" w:color="auto"/>
                                                                                <w:bottom w:val="none" w:sz="0" w:space="0" w:color="auto"/>
                                                                                <w:right w:val="none" w:sz="0" w:space="0" w:color="auto"/>
                                                                              </w:divBdr>
                                                                            </w:div>
                                                                            <w:div w:id="1612398145">
                                                                              <w:marLeft w:val="0"/>
                                                                              <w:marRight w:val="0"/>
                                                                              <w:marTop w:val="0"/>
                                                                              <w:marBottom w:val="0"/>
                                                                              <w:divBdr>
                                                                                <w:top w:val="none" w:sz="0" w:space="0" w:color="auto"/>
                                                                                <w:left w:val="none" w:sz="0" w:space="0" w:color="auto"/>
                                                                                <w:bottom w:val="none" w:sz="0" w:space="0" w:color="auto"/>
                                                                                <w:right w:val="none" w:sz="0" w:space="0" w:color="auto"/>
                                                                              </w:divBdr>
                                                                            </w:div>
                                                                          </w:divsChild>
                                                                        </w:div>
                                                                        <w:div w:id="1039353129">
                                                                          <w:marLeft w:val="0"/>
                                                                          <w:marRight w:val="0"/>
                                                                          <w:marTop w:val="0"/>
                                                                          <w:marBottom w:val="0"/>
                                                                          <w:divBdr>
                                                                            <w:top w:val="none" w:sz="0" w:space="0" w:color="auto"/>
                                                                            <w:left w:val="none" w:sz="0" w:space="0" w:color="auto"/>
                                                                            <w:bottom w:val="none" w:sz="0" w:space="0" w:color="auto"/>
                                                                            <w:right w:val="none" w:sz="0" w:space="0" w:color="auto"/>
                                                                          </w:divBdr>
                                                                          <w:divsChild>
                                                                            <w:div w:id="778258552">
                                                                              <w:marLeft w:val="0"/>
                                                                              <w:marRight w:val="0"/>
                                                                              <w:marTop w:val="0"/>
                                                                              <w:marBottom w:val="0"/>
                                                                              <w:divBdr>
                                                                                <w:top w:val="none" w:sz="0" w:space="0" w:color="auto"/>
                                                                                <w:left w:val="none" w:sz="0" w:space="0" w:color="auto"/>
                                                                                <w:bottom w:val="none" w:sz="0" w:space="0" w:color="auto"/>
                                                                                <w:right w:val="none" w:sz="0" w:space="0" w:color="auto"/>
                                                                              </w:divBdr>
                                                                            </w:div>
                                                                            <w:div w:id="1127816745">
                                                                              <w:marLeft w:val="0"/>
                                                                              <w:marRight w:val="0"/>
                                                                              <w:marTop w:val="0"/>
                                                                              <w:marBottom w:val="0"/>
                                                                              <w:divBdr>
                                                                                <w:top w:val="none" w:sz="0" w:space="0" w:color="auto"/>
                                                                                <w:left w:val="none" w:sz="0" w:space="0" w:color="auto"/>
                                                                                <w:bottom w:val="none" w:sz="0" w:space="0" w:color="auto"/>
                                                                                <w:right w:val="none" w:sz="0" w:space="0" w:color="auto"/>
                                                                              </w:divBdr>
                                                                            </w:div>
                                                                            <w:div w:id="2022387593">
                                                                              <w:marLeft w:val="0"/>
                                                                              <w:marRight w:val="0"/>
                                                                              <w:marTop w:val="0"/>
                                                                              <w:marBottom w:val="0"/>
                                                                              <w:divBdr>
                                                                                <w:top w:val="none" w:sz="0" w:space="0" w:color="auto"/>
                                                                                <w:left w:val="none" w:sz="0" w:space="0" w:color="auto"/>
                                                                                <w:bottom w:val="none" w:sz="0" w:space="0" w:color="auto"/>
                                                                                <w:right w:val="none" w:sz="0" w:space="0" w:color="auto"/>
                                                                              </w:divBdr>
                                                                            </w:div>
                                                                          </w:divsChild>
                                                                        </w:div>
                                                                        <w:div w:id="12147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891739">
      <w:bodyDiv w:val="1"/>
      <w:marLeft w:val="0"/>
      <w:marRight w:val="0"/>
      <w:marTop w:val="0"/>
      <w:marBottom w:val="0"/>
      <w:divBdr>
        <w:top w:val="none" w:sz="0" w:space="0" w:color="auto"/>
        <w:left w:val="none" w:sz="0" w:space="0" w:color="auto"/>
        <w:bottom w:val="none" w:sz="0" w:space="0" w:color="auto"/>
        <w:right w:val="none" w:sz="0" w:space="0" w:color="auto"/>
      </w:divBdr>
    </w:div>
    <w:div w:id="328289286">
      <w:bodyDiv w:val="1"/>
      <w:marLeft w:val="0"/>
      <w:marRight w:val="0"/>
      <w:marTop w:val="0"/>
      <w:marBottom w:val="0"/>
      <w:divBdr>
        <w:top w:val="none" w:sz="0" w:space="0" w:color="auto"/>
        <w:left w:val="none" w:sz="0" w:space="0" w:color="auto"/>
        <w:bottom w:val="none" w:sz="0" w:space="0" w:color="auto"/>
        <w:right w:val="none" w:sz="0" w:space="0" w:color="auto"/>
      </w:divBdr>
      <w:divsChild>
        <w:div w:id="1121924033">
          <w:marLeft w:val="0"/>
          <w:marRight w:val="0"/>
          <w:marTop w:val="0"/>
          <w:marBottom w:val="0"/>
          <w:divBdr>
            <w:top w:val="none" w:sz="0" w:space="0" w:color="auto"/>
            <w:left w:val="none" w:sz="0" w:space="0" w:color="auto"/>
            <w:bottom w:val="none" w:sz="0" w:space="0" w:color="auto"/>
            <w:right w:val="none" w:sz="0" w:space="0" w:color="auto"/>
          </w:divBdr>
          <w:divsChild>
            <w:div w:id="1978294020">
              <w:marLeft w:val="0"/>
              <w:marRight w:val="0"/>
              <w:marTop w:val="0"/>
              <w:marBottom w:val="0"/>
              <w:divBdr>
                <w:top w:val="none" w:sz="0" w:space="0" w:color="auto"/>
                <w:left w:val="none" w:sz="0" w:space="0" w:color="auto"/>
                <w:bottom w:val="none" w:sz="0" w:space="0" w:color="auto"/>
                <w:right w:val="none" w:sz="0" w:space="0" w:color="auto"/>
              </w:divBdr>
              <w:divsChild>
                <w:div w:id="1829401915">
                  <w:marLeft w:val="0"/>
                  <w:marRight w:val="0"/>
                  <w:marTop w:val="0"/>
                  <w:marBottom w:val="0"/>
                  <w:divBdr>
                    <w:top w:val="none" w:sz="0" w:space="0" w:color="auto"/>
                    <w:left w:val="none" w:sz="0" w:space="0" w:color="auto"/>
                    <w:bottom w:val="none" w:sz="0" w:space="0" w:color="auto"/>
                    <w:right w:val="none" w:sz="0" w:space="0" w:color="auto"/>
                  </w:divBdr>
                  <w:divsChild>
                    <w:div w:id="1149639675">
                      <w:marLeft w:val="0"/>
                      <w:marRight w:val="0"/>
                      <w:marTop w:val="0"/>
                      <w:marBottom w:val="0"/>
                      <w:divBdr>
                        <w:top w:val="none" w:sz="0" w:space="0" w:color="auto"/>
                        <w:left w:val="none" w:sz="0" w:space="0" w:color="auto"/>
                        <w:bottom w:val="none" w:sz="0" w:space="0" w:color="auto"/>
                        <w:right w:val="none" w:sz="0" w:space="0" w:color="auto"/>
                      </w:divBdr>
                      <w:divsChild>
                        <w:div w:id="1465348246">
                          <w:marLeft w:val="0"/>
                          <w:marRight w:val="0"/>
                          <w:marTop w:val="0"/>
                          <w:marBottom w:val="0"/>
                          <w:divBdr>
                            <w:top w:val="none" w:sz="0" w:space="0" w:color="auto"/>
                            <w:left w:val="none" w:sz="0" w:space="0" w:color="auto"/>
                            <w:bottom w:val="none" w:sz="0" w:space="0" w:color="auto"/>
                            <w:right w:val="none" w:sz="0" w:space="0" w:color="auto"/>
                          </w:divBdr>
                          <w:divsChild>
                            <w:div w:id="340200601">
                              <w:marLeft w:val="0"/>
                              <w:marRight w:val="0"/>
                              <w:marTop w:val="0"/>
                              <w:marBottom w:val="0"/>
                              <w:divBdr>
                                <w:top w:val="none" w:sz="0" w:space="0" w:color="auto"/>
                                <w:left w:val="none" w:sz="0" w:space="0" w:color="auto"/>
                                <w:bottom w:val="none" w:sz="0" w:space="0" w:color="auto"/>
                                <w:right w:val="none" w:sz="0" w:space="0" w:color="auto"/>
                              </w:divBdr>
                              <w:divsChild>
                                <w:div w:id="1466116897">
                                  <w:marLeft w:val="0"/>
                                  <w:marRight w:val="0"/>
                                  <w:marTop w:val="0"/>
                                  <w:marBottom w:val="0"/>
                                  <w:divBdr>
                                    <w:top w:val="none" w:sz="0" w:space="0" w:color="auto"/>
                                    <w:left w:val="none" w:sz="0" w:space="0" w:color="auto"/>
                                    <w:bottom w:val="none" w:sz="0" w:space="0" w:color="auto"/>
                                    <w:right w:val="none" w:sz="0" w:space="0" w:color="auto"/>
                                  </w:divBdr>
                                  <w:divsChild>
                                    <w:div w:id="654183941">
                                      <w:marLeft w:val="0"/>
                                      <w:marRight w:val="0"/>
                                      <w:marTop w:val="0"/>
                                      <w:marBottom w:val="0"/>
                                      <w:divBdr>
                                        <w:top w:val="none" w:sz="0" w:space="0" w:color="auto"/>
                                        <w:left w:val="none" w:sz="0" w:space="0" w:color="auto"/>
                                        <w:bottom w:val="none" w:sz="0" w:space="0" w:color="auto"/>
                                        <w:right w:val="none" w:sz="0" w:space="0" w:color="auto"/>
                                      </w:divBdr>
                                      <w:divsChild>
                                        <w:div w:id="159930021">
                                          <w:marLeft w:val="0"/>
                                          <w:marRight w:val="0"/>
                                          <w:marTop w:val="0"/>
                                          <w:marBottom w:val="0"/>
                                          <w:divBdr>
                                            <w:top w:val="none" w:sz="0" w:space="0" w:color="auto"/>
                                            <w:left w:val="none" w:sz="0" w:space="0" w:color="auto"/>
                                            <w:bottom w:val="none" w:sz="0" w:space="0" w:color="auto"/>
                                            <w:right w:val="none" w:sz="0" w:space="0" w:color="auto"/>
                                          </w:divBdr>
                                          <w:divsChild>
                                            <w:div w:id="1978755293">
                                              <w:marLeft w:val="0"/>
                                              <w:marRight w:val="0"/>
                                              <w:marTop w:val="0"/>
                                              <w:marBottom w:val="0"/>
                                              <w:divBdr>
                                                <w:top w:val="none" w:sz="0" w:space="0" w:color="auto"/>
                                                <w:left w:val="none" w:sz="0" w:space="0" w:color="auto"/>
                                                <w:bottom w:val="none" w:sz="0" w:space="0" w:color="auto"/>
                                                <w:right w:val="none" w:sz="0" w:space="0" w:color="auto"/>
                                              </w:divBdr>
                                              <w:divsChild>
                                                <w:div w:id="36127131">
                                                  <w:marLeft w:val="0"/>
                                                  <w:marRight w:val="0"/>
                                                  <w:marTop w:val="0"/>
                                                  <w:marBottom w:val="0"/>
                                                  <w:divBdr>
                                                    <w:top w:val="none" w:sz="0" w:space="0" w:color="auto"/>
                                                    <w:left w:val="none" w:sz="0" w:space="0" w:color="auto"/>
                                                    <w:bottom w:val="none" w:sz="0" w:space="0" w:color="auto"/>
                                                    <w:right w:val="none" w:sz="0" w:space="0" w:color="auto"/>
                                                  </w:divBdr>
                                                  <w:divsChild>
                                                    <w:div w:id="1343313065">
                                                      <w:marLeft w:val="0"/>
                                                      <w:marRight w:val="0"/>
                                                      <w:marTop w:val="0"/>
                                                      <w:marBottom w:val="0"/>
                                                      <w:divBdr>
                                                        <w:top w:val="none" w:sz="0" w:space="0" w:color="auto"/>
                                                        <w:left w:val="none" w:sz="0" w:space="0" w:color="auto"/>
                                                        <w:bottom w:val="none" w:sz="0" w:space="0" w:color="auto"/>
                                                        <w:right w:val="none" w:sz="0" w:space="0" w:color="auto"/>
                                                      </w:divBdr>
                                                      <w:divsChild>
                                                        <w:div w:id="364718262">
                                                          <w:marLeft w:val="0"/>
                                                          <w:marRight w:val="0"/>
                                                          <w:marTop w:val="0"/>
                                                          <w:marBottom w:val="0"/>
                                                          <w:divBdr>
                                                            <w:top w:val="none" w:sz="0" w:space="0" w:color="auto"/>
                                                            <w:left w:val="none" w:sz="0" w:space="0" w:color="auto"/>
                                                            <w:bottom w:val="none" w:sz="0" w:space="0" w:color="auto"/>
                                                            <w:right w:val="none" w:sz="0" w:space="0" w:color="auto"/>
                                                          </w:divBdr>
                                                          <w:divsChild>
                                                            <w:div w:id="498273328">
                                                              <w:marLeft w:val="0"/>
                                                              <w:marRight w:val="0"/>
                                                              <w:marTop w:val="0"/>
                                                              <w:marBottom w:val="0"/>
                                                              <w:divBdr>
                                                                <w:top w:val="none" w:sz="0" w:space="0" w:color="auto"/>
                                                                <w:left w:val="none" w:sz="0" w:space="0" w:color="auto"/>
                                                                <w:bottom w:val="none" w:sz="0" w:space="0" w:color="auto"/>
                                                                <w:right w:val="none" w:sz="0" w:space="0" w:color="auto"/>
                                                              </w:divBdr>
                                                              <w:divsChild>
                                                                <w:div w:id="902909855">
                                                                  <w:marLeft w:val="0"/>
                                                                  <w:marRight w:val="0"/>
                                                                  <w:marTop w:val="104"/>
                                                                  <w:marBottom w:val="104"/>
                                                                  <w:divBdr>
                                                                    <w:top w:val="dotted" w:sz="4" w:space="5" w:color="CCCCCC"/>
                                                                    <w:left w:val="dotted" w:sz="4" w:space="5" w:color="CCCCCC"/>
                                                                    <w:bottom w:val="dotted" w:sz="4" w:space="5" w:color="CCCCCC"/>
                                                                    <w:right w:val="dotted" w:sz="4" w:space="5" w:color="CCCCCC"/>
                                                                  </w:divBdr>
                                                                  <w:divsChild>
                                                                    <w:div w:id="255213745">
                                                                      <w:marLeft w:val="0"/>
                                                                      <w:marRight w:val="0"/>
                                                                      <w:marTop w:val="0"/>
                                                                      <w:marBottom w:val="0"/>
                                                                      <w:divBdr>
                                                                        <w:top w:val="none" w:sz="0" w:space="0" w:color="auto"/>
                                                                        <w:left w:val="none" w:sz="0" w:space="0" w:color="auto"/>
                                                                        <w:bottom w:val="none" w:sz="0" w:space="0" w:color="auto"/>
                                                                        <w:right w:val="none" w:sz="0" w:space="0" w:color="auto"/>
                                                                      </w:divBdr>
                                                                    </w:div>
                                                                    <w:div w:id="17233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0374373">
      <w:bodyDiv w:val="1"/>
      <w:marLeft w:val="0"/>
      <w:marRight w:val="0"/>
      <w:marTop w:val="0"/>
      <w:marBottom w:val="0"/>
      <w:divBdr>
        <w:top w:val="none" w:sz="0" w:space="0" w:color="auto"/>
        <w:left w:val="none" w:sz="0" w:space="0" w:color="auto"/>
        <w:bottom w:val="none" w:sz="0" w:space="0" w:color="auto"/>
        <w:right w:val="none" w:sz="0" w:space="0" w:color="auto"/>
      </w:divBdr>
      <w:divsChild>
        <w:div w:id="2032485781">
          <w:marLeft w:val="0"/>
          <w:marRight w:val="0"/>
          <w:marTop w:val="0"/>
          <w:marBottom w:val="0"/>
          <w:divBdr>
            <w:top w:val="none" w:sz="0" w:space="0" w:color="auto"/>
            <w:left w:val="none" w:sz="0" w:space="0" w:color="auto"/>
            <w:bottom w:val="none" w:sz="0" w:space="0" w:color="auto"/>
            <w:right w:val="none" w:sz="0" w:space="0" w:color="auto"/>
          </w:divBdr>
          <w:divsChild>
            <w:div w:id="30422056">
              <w:marLeft w:val="0"/>
              <w:marRight w:val="0"/>
              <w:marTop w:val="0"/>
              <w:marBottom w:val="0"/>
              <w:divBdr>
                <w:top w:val="none" w:sz="0" w:space="0" w:color="auto"/>
                <w:left w:val="none" w:sz="0" w:space="0" w:color="auto"/>
                <w:bottom w:val="none" w:sz="0" w:space="0" w:color="auto"/>
                <w:right w:val="none" w:sz="0" w:space="0" w:color="auto"/>
              </w:divBdr>
              <w:divsChild>
                <w:div w:id="1844853724">
                  <w:marLeft w:val="0"/>
                  <w:marRight w:val="0"/>
                  <w:marTop w:val="0"/>
                  <w:marBottom w:val="0"/>
                  <w:divBdr>
                    <w:top w:val="none" w:sz="0" w:space="0" w:color="auto"/>
                    <w:left w:val="none" w:sz="0" w:space="0" w:color="auto"/>
                    <w:bottom w:val="none" w:sz="0" w:space="0" w:color="auto"/>
                    <w:right w:val="none" w:sz="0" w:space="0" w:color="auto"/>
                  </w:divBdr>
                  <w:divsChild>
                    <w:div w:id="3636776">
                      <w:marLeft w:val="0"/>
                      <w:marRight w:val="0"/>
                      <w:marTop w:val="0"/>
                      <w:marBottom w:val="0"/>
                      <w:divBdr>
                        <w:top w:val="none" w:sz="0" w:space="0" w:color="auto"/>
                        <w:left w:val="none" w:sz="0" w:space="0" w:color="auto"/>
                        <w:bottom w:val="none" w:sz="0" w:space="0" w:color="auto"/>
                        <w:right w:val="none" w:sz="0" w:space="0" w:color="auto"/>
                      </w:divBdr>
                      <w:divsChild>
                        <w:div w:id="432240178">
                          <w:marLeft w:val="0"/>
                          <w:marRight w:val="0"/>
                          <w:marTop w:val="0"/>
                          <w:marBottom w:val="0"/>
                          <w:divBdr>
                            <w:top w:val="none" w:sz="0" w:space="0" w:color="auto"/>
                            <w:left w:val="none" w:sz="0" w:space="0" w:color="auto"/>
                            <w:bottom w:val="none" w:sz="0" w:space="0" w:color="auto"/>
                            <w:right w:val="none" w:sz="0" w:space="0" w:color="auto"/>
                          </w:divBdr>
                          <w:divsChild>
                            <w:div w:id="1315992565">
                              <w:marLeft w:val="0"/>
                              <w:marRight w:val="0"/>
                              <w:marTop w:val="0"/>
                              <w:marBottom w:val="0"/>
                              <w:divBdr>
                                <w:top w:val="none" w:sz="0" w:space="0" w:color="auto"/>
                                <w:left w:val="none" w:sz="0" w:space="0" w:color="auto"/>
                                <w:bottom w:val="none" w:sz="0" w:space="0" w:color="auto"/>
                                <w:right w:val="none" w:sz="0" w:space="0" w:color="auto"/>
                              </w:divBdr>
                              <w:divsChild>
                                <w:div w:id="747387753">
                                  <w:marLeft w:val="0"/>
                                  <w:marRight w:val="0"/>
                                  <w:marTop w:val="0"/>
                                  <w:marBottom w:val="0"/>
                                  <w:divBdr>
                                    <w:top w:val="none" w:sz="0" w:space="0" w:color="auto"/>
                                    <w:left w:val="none" w:sz="0" w:space="0" w:color="auto"/>
                                    <w:bottom w:val="none" w:sz="0" w:space="0" w:color="auto"/>
                                    <w:right w:val="none" w:sz="0" w:space="0" w:color="auto"/>
                                  </w:divBdr>
                                  <w:divsChild>
                                    <w:div w:id="1629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900731">
      <w:bodyDiv w:val="1"/>
      <w:marLeft w:val="0"/>
      <w:marRight w:val="0"/>
      <w:marTop w:val="0"/>
      <w:marBottom w:val="0"/>
      <w:divBdr>
        <w:top w:val="none" w:sz="0" w:space="0" w:color="auto"/>
        <w:left w:val="none" w:sz="0" w:space="0" w:color="auto"/>
        <w:bottom w:val="none" w:sz="0" w:space="0" w:color="auto"/>
        <w:right w:val="none" w:sz="0" w:space="0" w:color="auto"/>
      </w:divBdr>
      <w:divsChild>
        <w:div w:id="1613051268">
          <w:marLeft w:val="0"/>
          <w:marRight w:val="0"/>
          <w:marTop w:val="0"/>
          <w:marBottom w:val="0"/>
          <w:divBdr>
            <w:top w:val="none" w:sz="0" w:space="0" w:color="auto"/>
            <w:left w:val="none" w:sz="0" w:space="0" w:color="auto"/>
            <w:bottom w:val="none" w:sz="0" w:space="0" w:color="auto"/>
            <w:right w:val="none" w:sz="0" w:space="0" w:color="auto"/>
          </w:divBdr>
          <w:divsChild>
            <w:div w:id="494032307">
              <w:marLeft w:val="0"/>
              <w:marRight w:val="0"/>
              <w:marTop w:val="0"/>
              <w:marBottom w:val="0"/>
              <w:divBdr>
                <w:top w:val="none" w:sz="0" w:space="0" w:color="auto"/>
                <w:left w:val="none" w:sz="0" w:space="0" w:color="auto"/>
                <w:bottom w:val="none" w:sz="0" w:space="0" w:color="auto"/>
                <w:right w:val="none" w:sz="0" w:space="0" w:color="auto"/>
              </w:divBdr>
              <w:divsChild>
                <w:div w:id="1204752129">
                  <w:marLeft w:val="150"/>
                  <w:marRight w:val="150"/>
                  <w:marTop w:val="150"/>
                  <w:marBottom w:val="0"/>
                  <w:divBdr>
                    <w:top w:val="none" w:sz="0" w:space="0" w:color="auto"/>
                    <w:left w:val="none" w:sz="0" w:space="0" w:color="auto"/>
                    <w:bottom w:val="none" w:sz="0" w:space="0" w:color="auto"/>
                    <w:right w:val="none" w:sz="0" w:space="0" w:color="auto"/>
                  </w:divBdr>
                  <w:divsChild>
                    <w:div w:id="735401114">
                      <w:marLeft w:val="0"/>
                      <w:marRight w:val="0"/>
                      <w:marTop w:val="150"/>
                      <w:marBottom w:val="0"/>
                      <w:divBdr>
                        <w:top w:val="none" w:sz="0" w:space="0" w:color="auto"/>
                        <w:left w:val="none" w:sz="0" w:space="0" w:color="auto"/>
                        <w:bottom w:val="none" w:sz="0" w:space="0" w:color="auto"/>
                        <w:right w:val="none" w:sz="0" w:space="0" w:color="auto"/>
                      </w:divBdr>
                      <w:divsChild>
                        <w:div w:id="1836796918">
                          <w:marLeft w:val="0"/>
                          <w:marRight w:val="0"/>
                          <w:marTop w:val="0"/>
                          <w:marBottom w:val="0"/>
                          <w:divBdr>
                            <w:top w:val="none" w:sz="0" w:space="0" w:color="auto"/>
                            <w:left w:val="none" w:sz="0" w:space="0" w:color="auto"/>
                            <w:bottom w:val="none" w:sz="0" w:space="0" w:color="auto"/>
                            <w:right w:val="none" w:sz="0" w:space="0" w:color="auto"/>
                          </w:divBdr>
                          <w:divsChild>
                            <w:div w:id="1789082577">
                              <w:marLeft w:val="0"/>
                              <w:marRight w:val="0"/>
                              <w:marTop w:val="0"/>
                              <w:marBottom w:val="0"/>
                              <w:divBdr>
                                <w:top w:val="none" w:sz="0" w:space="0" w:color="auto"/>
                                <w:left w:val="none" w:sz="0" w:space="0" w:color="auto"/>
                                <w:bottom w:val="none" w:sz="0" w:space="0" w:color="auto"/>
                                <w:right w:val="none" w:sz="0" w:space="0" w:color="auto"/>
                              </w:divBdr>
                              <w:divsChild>
                                <w:div w:id="1378312682">
                                  <w:marLeft w:val="0"/>
                                  <w:marRight w:val="0"/>
                                  <w:marTop w:val="0"/>
                                  <w:marBottom w:val="0"/>
                                  <w:divBdr>
                                    <w:top w:val="none" w:sz="0" w:space="0" w:color="auto"/>
                                    <w:left w:val="none" w:sz="0" w:space="0" w:color="auto"/>
                                    <w:bottom w:val="none" w:sz="0" w:space="0" w:color="auto"/>
                                    <w:right w:val="none" w:sz="0" w:space="0" w:color="auto"/>
                                  </w:divBdr>
                                  <w:divsChild>
                                    <w:div w:id="326518244">
                                      <w:marLeft w:val="0"/>
                                      <w:marRight w:val="0"/>
                                      <w:marTop w:val="0"/>
                                      <w:marBottom w:val="0"/>
                                      <w:divBdr>
                                        <w:top w:val="none" w:sz="0" w:space="0" w:color="auto"/>
                                        <w:left w:val="none" w:sz="0" w:space="0" w:color="auto"/>
                                        <w:bottom w:val="none" w:sz="0" w:space="0" w:color="auto"/>
                                        <w:right w:val="none" w:sz="0" w:space="0" w:color="auto"/>
                                      </w:divBdr>
                                      <w:divsChild>
                                        <w:div w:id="49889358">
                                          <w:marLeft w:val="0"/>
                                          <w:marRight w:val="0"/>
                                          <w:marTop w:val="0"/>
                                          <w:marBottom w:val="0"/>
                                          <w:divBdr>
                                            <w:top w:val="none" w:sz="0" w:space="0" w:color="auto"/>
                                            <w:left w:val="none" w:sz="0" w:space="0" w:color="auto"/>
                                            <w:bottom w:val="none" w:sz="0" w:space="0" w:color="auto"/>
                                            <w:right w:val="none" w:sz="0" w:space="0" w:color="auto"/>
                                          </w:divBdr>
                                          <w:divsChild>
                                            <w:div w:id="11780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623324">
      <w:bodyDiv w:val="1"/>
      <w:marLeft w:val="0"/>
      <w:marRight w:val="0"/>
      <w:marTop w:val="0"/>
      <w:marBottom w:val="0"/>
      <w:divBdr>
        <w:top w:val="none" w:sz="0" w:space="0" w:color="auto"/>
        <w:left w:val="none" w:sz="0" w:space="0" w:color="auto"/>
        <w:bottom w:val="none" w:sz="0" w:space="0" w:color="auto"/>
        <w:right w:val="none" w:sz="0" w:space="0" w:color="auto"/>
      </w:divBdr>
      <w:divsChild>
        <w:div w:id="545988984">
          <w:marLeft w:val="0"/>
          <w:marRight w:val="0"/>
          <w:marTop w:val="0"/>
          <w:marBottom w:val="0"/>
          <w:divBdr>
            <w:top w:val="none" w:sz="0" w:space="0" w:color="auto"/>
            <w:left w:val="none" w:sz="0" w:space="0" w:color="auto"/>
            <w:bottom w:val="none" w:sz="0" w:space="0" w:color="auto"/>
            <w:right w:val="none" w:sz="0" w:space="0" w:color="auto"/>
          </w:divBdr>
          <w:divsChild>
            <w:div w:id="1882981797">
              <w:marLeft w:val="0"/>
              <w:marRight w:val="0"/>
              <w:marTop w:val="0"/>
              <w:marBottom w:val="0"/>
              <w:divBdr>
                <w:top w:val="none" w:sz="0" w:space="0" w:color="auto"/>
                <w:left w:val="none" w:sz="0" w:space="0" w:color="auto"/>
                <w:bottom w:val="none" w:sz="0" w:space="0" w:color="auto"/>
                <w:right w:val="none" w:sz="0" w:space="0" w:color="auto"/>
              </w:divBdr>
              <w:divsChild>
                <w:div w:id="101271853">
                  <w:marLeft w:val="0"/>
                  <w:marRight w:val="0"/>
                  <w:marTop w:val="0"/>
                  <w:marBottom w:val="0"/>
                  <w:divBdr>
                    <w:top w:val="none" w:sz="0" w:space="0" w:color="auto"/>
                    <w:left w:val="none" w:sz="0" w:space="0" w:color="auto"/>
                    <w:bottom w:val="none" w:sz="0" w:space="0" w:color="auto"/>
                    <w:right w:val="none" w:sz="0" w:space="0" w:color="auto"/>
                  </w:divBdr>
                  <w:divsChild>
                    <w:div w:id="1431780980">
                      <w:marLeft w:val="0"/>
                      <w:marRight w:val="0"/>
                      <w:marTop w:val="0"/>
                      <w:marBottom w:val="0"/>
                      <w:divBdr>
                        <w:top w:val="none" w:sz="0" w:space="0" w:color="auto"/>
                        <w:left w:val="none" w:sz="0" w:space="0" w:color="auto"/>
                        <w:bottom w:val="none" w:sz="0" w:space="0" w:color="auto"/>
                        <w:right w:val="none" w:sz="0" w:space="0" w:color="auto"/>
                      </w:divBdr>
                      <w:divsChild>
                        <w:div w:id="443185756">
                          <w:marLeft w:val="0"/>
                          <w:marRight w:val="0"/>
                          <w:marTop w:val="0"/>
                          <w:marBottom w:val="0"/>
                          <w:divBdr>
                            <w:top w:val="none" w:sz="0" w:space="0" w:color="auto"/>
                            <w:left w:val="none" w:sz="0" w:space="0" w:color="auto"/>
                            <w:bottom w:val="none" w:sz="0" w:space="0" w:color="auto"/>
                            <w:right w:val="none" w:sz="0" w:space="0" w:color="auto"/>
                          </w:divBdr>
                          <w:divsChild>
                            <w:div w:id="1789809440">
                              <w:marLeft w:val="0"/>
                              <w:marRight w:val="0"/>
                              <w:marTop w:val="0"/>
                              <w:marBottom w:val="0"/>
                              <w:divBdr>
                                <w:top w:val="none" w:sz="0" w:space="0" w:color="auto"/>
                                <w:left w:val="none" w:sz="0" w:space="0" w:color="auto"/>
                                <w:bottom w:val="none" w:sz="0" w:space="0" w:color="auto"/>
                                <w:right w:val="none" w:sz="0" w:space="0" w:color="auto"/>
                              </w:divBdr>
                              <w:divsChild>
                                <w:div w:id="1055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9122">
                          <w:marLeft w:val="0"/>
                          <w:marRight w:val="0"/>
                          <w:marTop w:val="0"/>
                          <w:marBottom w:val="0"/>
                          <w:divBdr>
                            <w:top w:val="none" w:sz="0" w:space="0" w:color="auto"/>
                            <w:left w:val="none" w:sz="0" w:space="0" w:color="auto"/>
                            <w:bottom w:val="none" w:sz="0" w:space="0" w:color="auto"/>
                            <w:right w:val="none" w:sz="0" w:space="0" w:color="auto"/>
                          </w:divBdr>
                          <w:divsChild>
                            <w:div w:id="1077560631">
                              <w:marLeft w:val="0"/>
                              <w:marRight w:val="0"/>
                              <w:marTop w:val="0"/>
                              <w:marBottom w:val="0"/>
                              <w:divBdr>
                                <w:top w:val="none" w:sz="0" w:space="0" w:color="auto"/>
                                <w:left w:val="none" w:sz="0" w:space="0" w:color="auto"/>
                                <w:bottom w:val="none" w:sz="0" w:space="0" w:color="auto"/>
                                <w:right w:val="none" w:sz="0" w:space="0" w:color="auto"/>
                              </w:divBdr>
                              <w:divsChild>
                                <w:div w:id="1066368781">
                                  <w:marLeft w:val="0"/>
                                  <w:marRight w:val="0"/>
                                  <w:marTop w:val="0"/>
                                  <w:marBottom w:val="0"/>
                                  <w:divBdr>
                                    <w:top w:val="none" w:sz="0" w:space="0" w:color="auto"/>
                                    <w:left w:val="none" w:sz="0" w:space="0" w:color="auto"/>
                                    <w:bottom w:val="none" w:sz="0" w:space="0" w:color="auto"/>
                                    <w:right w:val="none" w:sz="0" w:space="0" w:color="auto"/>
                                  </w:divBdr>
                                  <w:divsChild>
                                    <w:div w:id="2072800402">
                                      <w:marLeft w:val="0"/>
                                      <w:marRight w:val="0"/>
                                      <w:marTop w:val="0"/>
                                      <w:marBottom w:val="0"/>
                                      <w:divBdr>
                                        <w:top w:val="none" w:sz="0" w:space="0" w:color="auto"/>
                                        <w:left w:val="none" w:sz="0" w:space="0" w:color="auto"/>
                                        <w:bottom w:val="none" w:sz="0" w:space="0" w:color="auto"/>
                                        <w:right w:val="none" w:sz="0" w:space="0" w:color="auto"/>
                                      </w:divBdr>
                                      <w:divsChild>
                                        <w:div w:id="1619800347">
                                          <w:marLeft w:val="0"/>
                                          <w:marRight w:val="0"/>
                                          <w:marTop w:val="0"/>
                                          <w:marBottom w:val="0"/>
                                          <w:divBdr>
                                            <w:top w:val="none" w:sz="0" w:space="0" w:color="auto"/>
                                            <w:left w:val="none" w:sz="0" w:space="0" w:color="auto"/>
                                            <w:bottom w:val="none" w:sz="0" w:space="0" w:color="auto"/>
                                            <w:right w:val="none" w:sz="0" w:space="0" w:color="auto"/>
                                          </w:divBdr>
                                          <w:divsChild>
                                            <w:div w:id="1563566011">
                                              <w:marLeft w:val="0"/>
                                              <w:marRight w:val="0"/>
                                              <w:marTop w:val="0"/>
                                              <w:marBottom w:val="0"/>
                                              <w:divBdr>
                                                <w:top w:val="none" w:sz="0" w:space="0" w:color="auto"/>
                                                <w:left w:val="none" w:sz="0" w:space="0" w:color="auto"/>
                                                <w:bottom w:val="none" w:sz="0" w:space="0" w:color="auto"/>
                                                <w:right w:val="none" w:sz="0" w:space="0" w:color="auto"/>
                                              </w:divBdr>
                                              <w:divsChild>
                                                <w:div w:id="965887006">
                                                  <w:marLeft w:val="0"/>
                                                  <w:marRight w:val="0"/>
                                                  <w:marTop w:val="0"/>
                                                  <w:marBottom w:val="0"/>
                                                  <w:divBdr>
                                                    <w:top w:val="none" w:sz="0" w:space="0" w:color="auto"/>
                                                    <w:left w:val="none" w:sz="0" w:space="0" w:color="auto"/>
                                                    <w:bottom w:val="none" w:sz="0" w:space="0" w:color="auto"/>
                                                    <w:right w:val="none" w:sz="0" w:space="0" w:color="auto"/>
                                                  </w:divBdr>
                                                  <w:divsChild>
                                                    <w:div w:id="1394963692">
                                                      <w:marLeft w:val="0"/>
                                                      <w:marRight w:val="0"/>
                                                      <w:marTop w:val="240"/>
                                                      <w:marBottom w:val="60"/>
                                                      <w:divBdr>
                                                        <w:top w:val="none" w:sz="0" w:space="0" w:color="auto"/>
                                                        <w:left w:val="none" w:sz="0" w:space="0" w:color="auto"/>
                                                        <w:bottom w:val="none" w:sz="0" w:space="0" w:color="auto"/>
                                                        <w:right w:val="none" w:sz="0" w:space="0" w:color="auto"/>
                                                      </w:divBdr>
                                                      <w:divsChild>
                                                        <w:div w:id="272396008">
                                                          <w:marLeft w:val="0"/>
                                                          <w:marRight w:val="0"/>
                                                          <w:marTop w:val="0"/>
                                                          <w:marBottom w:val="0"/>
                                                          <w:divBdr>
                                                            <w:top w:val="none" w:sz="0" w:space="0" w:color="auto"/>
                                                            <w:left w:val="none" w:sz="0" w:space="0" w:color="auto"/>
                                                            <w:bottom w:val="none" w:sz="0" w:space="0" w:color="auto"/>
                                                            <w:right w:val="none" w:sz="0" w:space="0" w:color="auto"/>
                                                          </w:divBdr>
                                                        </w:div>
                                                        <w:div w:id="1752510022">
                                                          <w:marLeft w:val="240"/>
                                                          <w:marRight w:val="0"/>
                                                          <w:marTop w:val="60"/>
                                                          <w:marBottom w:val="60"/>
                                                          <w:divBdr>
                                                            <w:top w:val="none" w:sz="0" w:space="0" w:color="auto"/>
                                                            <w:left w:val="none" w:sz="0" w:space="0" w:color="auto"/>
                                                            <w:bottom w:val="none" w:sz="0" w:space="0" w:color="auto"/>
                                                            <w:right w:val="none" w:sz="0" w:space="0" w:color="auto"/>
                                                          </w:divBdr>
                                                          <w:divsChild>
                                                            <w:div w:id="168326542">
                                                              <w:marLeft w:val="240"/>
                                                              <w:marRight w:val="0"/>
                                                              <w:marTop w:val="60"/>
                                                              <w:marBottom w:val="60"/>
                                                              <w:divBdr>
                                                                <w:top w:val="none" w:sz="0" w:space="0" w:color="auto"/>
                                                                <w:left w:val="none" w:sz="0" w:space="0" w:color="auto"/>
                                                                <w:bottom w:val="none" w:sz="0" w:space="0" w:color="auto"/>
                                                                <w:right w:val="none" w:sz="0" w:space="0" w:color="auto"/>
                                                              </w:divBdr>
                                                              <w:divsChild>
                                                                <w:div w:id="215048486">
                                                                  <w:marLeft w:val="0"/>
                                                                  <w:marRight w:val="0"/>
                                                                  <w:marTop w:val="0"/>
                                                                  <w:marBottom w:val="0"/>
                                                                  <w:divBdr>
                                                                    <w:top w:val="none" w:sz="0" w:space="0" w:color="auto"/>
                                                                    <w:left w:val="none" w:sz="0" w:space="0" w:color="auto"/>
                                                                    <w:bottom w:val="none" w:sz="0" w:space="0" w:color="auto"/>
                                                                    <w:right w:val="none" w:sz="0" w:space="0" w:color="auto"/>
                                                                  </w:divBdr>
                                                                </w:div>
                                                              </w:divsChild>
                                                            </w:div>
                                                            <w:div w:id="608665336">
                                                              <w:marLeft w:val="240"/>
                                                              <w:marRight w:val="0"/>
                                                              <w:marTop w:val="60"/>
                                                              <w:marBottom w:val="60"/>
                                                              <w:divBdr>
                                                                <w:top w:val="none" w:sz="0" w:space="0" w:color="auto"/>
                                                                <w:left w:val="none" w:sz="0" w:space="0" w:color="auto"/>
                                                                <w:bottom w:val="none" w:sz="0" w:space="0" w:color="auto"/>
                                                                <w:right w:val="none" w:sz="0" w:space="0" w:color="auto"/>
                                                              </w:divBdr>
                                                              <w:divsChild>
                                                                <w:div w:id="1522087247">
                                                                  <w:marLeft w:val="0"/>
                                                                  <w:marRight w:val="0"/>
                                                                  <w:marTop w:val="0"/>
                                                                  <w:marBottom w:val="0"/>
                                                                  <w:divBdr>
                                                                    <w:top w:val="none" w:sz="0" w:space="0" w:color="auto"/>
                                                                    <w:left w:val="none" w:sz="0" w:space="0" w:color="auto"/>
                                                                    <w:bottom w:val="none" w:sz="0" w:space="0" w:color="auto"/>
                                                                    <w:right w:val="none" w:sz="0" w:space="0" w:color="auto"/>
                                                                  </w:divBdr>
                                                                </w:div>
                                                              </w:divsChild>
                                                            </w:div>
                                                            <w:div w:id="1085106017">
                                                              <w:marLeft w:val="240"/>
                                                              <w:marRight w:val="0"/>
                                                              <w:marTop w:val="60"/>
                                                              <w:marBottom w:val="60"/>
                                                              <w:divBdr>
                                                                <w:top w:val="none" w:sz="0" w:space="0" w:color="auto"/>
                                                                <w:left w:val="none" w:sz="0" w:space="0" w:color="auto"/>
                                                                <w:bottom w:val="none" w:sz="0" w:space="0" w:color="auto"/>
                                                                <w:right w:val="none" w:sz="0" w:space="0" w:color="auto"/>
                                                              </w:divBdr>
                                                              <w:divsChild>
                                                                <w:div w:id="550699460">
                                                                  <w:marLeft w:val="0"/>
                                                                  <w:marRight w:val="0"/>
                                                                  <w:marTop w:val="0"/>
                                                                  <w:marBottom w:val="0"/>
                                                                  <w:divBdr>
                                                                    <w:top w:val="none" w:sz="0" w:space="0" w:color="auto"/>
                                                                    <w:left w:val="none" w:sz="0" w:space="0" w:color="auto"/>
                                                                    <w:bottom w:val="none" w:sz="0" w:space="0" w:color="auto"/>
                                                                    <w:right w:val="none" w:sz="0" w:space="0" w:color="auto"/>
                                                                  </w:divBdr>
                                                                </w:div>
                                                              </w:divsChild>
                                                            </w:div>
                                                            <w:div w:id="1852210865">
                                                              <w:marLeft w:val="240"/>
                                                              <w:marRight w:val="0"/>
                                                              <w:marTop w:val="60"/>
                                                              <w:marBottom w:val="60"/>
                                                              <w:divBdr>
                                                                <w:top w:val="none" w:sz="0" w:space="0" w:color="auto"/>
                                                                <w:left w:val="none" w:sz="0" w:space="0" w:color="auto"/>
                                                                <w:bottom w:val="none" w:sz="0" w:space="0" w:color="auto"/>
                                                                <w:right w:val="none" w:sz="0" w:space="0" w:color="auto"/>
                                                              </w:divBdr>
                                                              <w:divsChild>
                                                                <w:div w:id="304432319">
                                                                  <w:marLeft w:val="0"/>
                                                                  <w:marRight w:val="0"/>
                                                                  <w:marTop w:val="0"/>
                                                                  <w:marBottom w:val="0"/>
                                                                  <w:divBdr>
                                                                    <w:top w:val="none" w:sz="0" w:space="0" w:color="auto"/>
                                                                    <w:left w:val="none" w:sz="0" w:space="0" w:color="auto"/>
                                                                    <w:bottom w:val="none" w:sz="0" w:space="0" w:color="auto"/>
                                                                    <w:right w:val="none" w:sz="0" w:space="0" w:color="auto"/>
                                                                  </w:divBdr>
                                                                </w:div>
                                                              </w:divsChild>
                                                            </w:div>
                                                            <w:div w:id="18750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425360">
      <w:bodyDiv w:val="1"/>
      <w:marLeft w:val="0"/>
      <w:marRight w:val="0"/>
      <w:marTop w:val="0"/>
      <w:marBottom w:val="0"/>
      <w:divBdr>
        <w:top w:val="none" w:sz="0" w:space="0" w:color="auto"/>
        <w:left w:val="none" w:sz="0" w:space="0" w:color="auto"/>
        <w:bottom w:val="none" w:sz="0" w:space="0" w:color="auto"/>
        <w:right w:val="none" w:sz="0" w:space="0" w:color="auto"/>
      </w:divBdr>
      <w:divsChild>
        <w:div w:id="774986325">
          <w:marLeft w:val="0"/>
          <w:marRight w:val="0"/>
          <w:marTop w:val="240"/>
          <w:marBottom w:val="240"/>
          <w:divBdr>
            <w:top w:val="none" w:sz="0" w:space="0" w:color="auto"/>
            <w:left w:val="none" w:sz="0" w:space="0" w:color="auto"/>
            <w:bottom w:val="none" w:sz="0" w:space="0" w:color="auto"/>
            <w:right w:val="none" w:sz="0" w:space="0" w:color="auto"/>
          </w:divBdr>
        </w:div>
      </w:divsChild>
    </w:div>
    <w:div w:id="414016535">
      <w:bodyDiv w:val="1"/>
      <w:marLeft w:val="0"/>
      <w:marRight w:val="0"/>
      <w:marTop w:val="0"/>
      <w:marBottom w:val="0"/>
      <w:divBdr>
        <w:top w:val="none" w:sz="0" w:space="0" w:color="auto"/>
        <w:left w:val="none" w:sz="0" w:space="0" w:color="auto"/>
        <w:bottom w:val="none" w:sz="0" w:space="0" w:color="auto"/>
        <w:right w:val="none" w:sz="0" w:space="0" w:color="auto"/>
      </w:divBdr>
      <w:divsChild>
        <w:div w:id="377049748">
          <w:marLeft w:val="0"/>
          <w:marRight w:val="0"/>
          <w:marTop w:val="0"/>
          <w:marBottom w:val="0"/>
          <w:divBdr>
            <w:top w:val="none" w:sz="0" w:space="0" w:color="auto"/>
            <w:left w:val="none" w:sz="0" w:space="0" w:color="auto"/>
            <w:bottom w:val="none" w:sz="0" w:space="0" w:color="auto"/>
            <w:right w:val="none" w:sz="0" w:space="0" w:color="auto"/>
          </w:divBdr>
          <w:divsChild>
            <w:div w:id="1238977288">
              <w:marLeft w:val="-3072"/>
              <w:marRight w:val="0"/>
              <w:marTop w:val="0"/>
              <w:marBottom w:val="0"/>
              <w:divBdr>
                <w:top w:val="none" w:sz="0" w:space="0" w:color="auto"/>
                <w:left w:val="none" w:sz="0" w:space="0" w:color="auto"/>
                <w:bottom w:val="none" w:sz="0" w:space="0" w:color="auto"/>
                <w:right w:val="none" w:sz="0" w:space="0" w:color="auto"/>
              </w:divBdr>
              <w:divsChild>
                <w:div w:id="785848887">
                  <w:marLeft w:val="3072"/>
                  <w:marRight w:val="0"/>
                  <w:marTop w:val="0"/>
                  <w:marBottom w:val="0"/>
                  <w:divBdr>
                    <w:top w:val="none" w:sz="0" w:space="0" w:color="auto"/>
                    <w:left w:val="none" w:sz="0" w:space="0" w:color="auto"/>
                    <w:bottom w:val="none" w:sz="0" w:space="0" w:color="auto"/>
                    <w:right w:val="none" w:sz="0" w:space="0" w:color="auto"/>
                  </w:divBdr>
                  <w:divsChild>
                    <w:div w:id="17844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09810">
      <w:bodyDiv w:val="1"/>
      <w:marLeft w:val="0"/>
      <w:marRight w:val="0"/>
      <w:marTop w:val="0"/>
      <w:marBottom w:val="0"/>
      <w:divBdr>
        <w:top w:val="none" w:sz="0" w:space="0" w:color="auto"/>
        <w:left w:val="none" w:sz="0" w:space="0" w:color="auto"/>
        <w:bottom w:val="none" w:sz="0" w:space="0" w:color="auto"/>
        <w:right w:val="none" w:sz="0" w:space="0" w:color="auto"/>
      </w:divBdr>
      <w:divsChild>
        <w:div w:id="1110246431">
          <w:marLeft w:val="0"/>
          <w:marRight w:val="0"/>
          <w:marTop w:val="0"/>
          <w:marBottom w:val="0"/>
          <w:divBdr>
            <w:top w:val="none" w:sz="0" w:space="0" w:color="auto"/>
            <w:left w:val="none" w:sz="0" w:space="0" w:color="auto"/>
            <w:bottom w:val="none" w:sz="0" w:space="0" w:color="auto"/>
            <w:right w:val="none" w:sz="0" w:space="0" w:color="auto"/>
          </w:divBdr>
          <w:divsChild>
            <w:div w:id="583414909">
              <w:marLeft w:val="0"/>
              <w:marRight w:val="0"/>
              <w:marTop w:val="0"/>
              <w:marBottom w:val="0"/>
              <w:divBdr>
                <w:top w:val="none" w:sz="0" w:space="0" w:color="auto"/>
                <w:left w:val="none" w:sz="0" w:space="0" w:color="auto"/>
                <w:bottom w:val="none" w:sz="0" w:space="0" w:color="auto"/>
                <w:right w:val="none" w:sz="0" w:space="0" w:color="auto"/>
              </w:divBdr>
              <w:divsChild>
                <w:div w:id="918447939">
                  <w:marLeft w:val="0"/>
                  <w:marRight w:val="0"/>
                  <w:marTop w:val="0"/>
                  <w:marBottom w:val="0"/>
                  <w:divBdr>
                    <w:top w:val="none" w:sz="0" w:space="0" w:color="auto"/>
                    <w:left w:val="none" w:sz="0" w:space="0" w:color="auto"/>
                    <w:bottom w:val="none" w:sz="0" w:space="0" w:color="auto"/>
                    <w:right w:val="none" w:sz="0" w:space="0" w:color="auto"/>
                  </w:divBdr>
                  <w:divsChild>
                    <w:div w:id="662858314">
                      <w:marLeft w:val="0"/>
                      <w:marRight w:val="0"/>
                      <w:marTop w:val="0"/>
                      <w:marBottom w:val="225"/>
                      <w:divBdr>
                        <w:top w:val="none" w:sz="0" w:space="0" w:color="auto"/>
                        <w:left w:val="none" w:sz="0" w:space="0" w:color="auto"/>
                        <w:bottom w:val="single" w:sz="18" w:space="0" w:color="216CA5"/>
                        <w:right w:val="none" w:sz="0" w:space="0" w:color="auto"/>
                      </w:divBdr>
                      <w:divsChild>
                        <w:div w:id="593783366">
                          <w:marLeft w:val="0"/>
                          <w:marRight w:val="0"/>
                          <w:marTop w:val="0"/>
                          <w:marBottom w:val="0"/>
                          <w:divBdr>
                            <w:top w:val="none" w:sz="0" w:space="0" w:color="auto"/>
                            <w:left w:val="none" w:sz="0" w:space="0" w:color="auto"/>
                            <w:bottom w:val="none" w:sz="0" w:space="0" w:color="auto"/>
                            <w:right w:val="none" w:sz="0" w:space="0" w:color="auto"/>
                          </w:divBdr>
                          <w:divsChild>
                            <w:div w:id="1002514526">
                              <w:marLeft w:val="0"/>
                              <w:marRight w:val="0"/>
                              <w:marTop w:val="0"/>
                              <w:marBottom w:val="0"/>
                              <w:divBdr>
                                <w:top w:val="none" w:sz="0" w:space="0" w:color="auto"/>
                                <w:left w:val="none" w:sz="0" w:space="0" w:color="auto"/>
                                <w:bottom w:val="none" w:sz="0" w:space="0" w:color="auto"/>
                                <w:right w:val="none" w:sz="0" w:space="0" w:color="auto"/>
                              </w:divBdr>
                              <w:divsChild>
                                <w:div w:id="576524120">
                                  <w:marLeft w:val="0"/>
                                  <w:marRight w:val="0"/>
                                  <w:marTop w:val="0"/>
                                  <w:marBottom w:val="0"/>
                                  <w:divBdr>
                                    <w:top w:val="none" w:sz="0" w:space="0" w:color="auto"/>
                                    <w:left w:val="none" w:sz="0" w:space="0" w:color="auto"/>
                                    <w:bottom w:val="none" w:sz="0" w:space="0" w:color="auto"/>
                                    <w:right w:val="none" w:sz="0" w:space="0" w:color="auto"/>
                                  </w:divBdr>
                                  <w:divsChild>
                                    <w:div w:id="496849223">
                                      <w:marLeft w:val="0"/>
                                      <w:marRight w:val="0"/>
                                      <w:marTop w:val="0"/>
                                      <w:marBottom w:val="0"/>
                                      <w:divBdr>
                                        <w:top w:val="none" w:sz="0" w:space="0" w:color="auto"/>
                                        <w:left w:val="none" w:sz="0" w:space="0" w:color="auto"/>
                                        <w:bottom w:val="none" w:sz="0" w:space="0" w:color="auto"/>
                                        <w:right w:val="none" w:sz="0" w:space="0" w:color="auto"/>
                                      </w:divBdr>
                                      <w:divsChild>
                                        <w:div w:id="11353727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210174">
      <w:bodyDiv w:val="1"/>
      <w:marLeft w:val="0"/>
      <w:marRight w:val="0"/>
      <w:marTop w:val="0"/>
      <w:marBottom w:val="0"/>
      <w:divBdr>
        <w:top w:val="none" w:sz="0" w:space="0" w:color="auto"/>
        <w:left w:val="none" w:sz="0" w:space="0" w:color="auto"/>
        <w:bottom w:val="none" w:sz="0" w:space="0" w:color="auto"/>
        <w:right w:val="none" w:sz="0" w:space="0" w:color="auto"/>
      </w:divBdr>
      <w:divsChild>
        <w:div w:id="538205378">
          <w:marLeft w:val="0"/>
          <w:marRight w:val="0"/>
          <w:marTop w:val="0"/>
          <w:marBottom w:val="0"/>
          <w:divBdr>
            <w:top w:val="none" w:sz="0" w:space="0" w:color="auto"/>
            <w:left w:val="none" w:sz="0" w:space="0" w:color="auto"/>
            <w:bottom w:val="none" w:sz="0" w:space="0" w:color="auto"/>
            <w:right w:val="none" w:sz="0" w:space="0" w:color="auto"/>
          </w:divBdr>
          <w:divsChild>
            <w:div w:id="951016909">
              <w:marLeft w:val="0"/>
              <w:marRight w:val="0"/>
              <w:marTop w:val="0"/>
              <w:marBottom w:val="0"/>
              <w:divBdr>
                <w:top w:val="none" w:sz="0" w:space="0" w:color="auto"/>
                <w:left w:val="none" w:sz="0" w:space="0" w:color="auto"/>
                <w:bottom w:val="none" w:sz="0" w:space="0" w:color="auto"/>
                <w:right w:val="none" w:sz="0" w:space="0" w:color="auto"/>
              </w:divBdr>
              <w:divsChild>
                <w:div w:id="1164738510">
                  <w:marLeft w:val="0"/>
                  <w:marRight w:val="0"/>
                  <w:marTop w:val="0"/>
                  <w:marBottom w:val="0"/>
                  <w:divBdr>
                    <w:top w:val="none" w:sz="0" w:space="0" w:color="auto"/>
                    <w:left w:val="none" w:sz="0" w:space="0" w:color="auto"/>
                    <w:bottom w:val="none" w:sz="0" w:space="0" w:color="auto"/>
                    <w:right w:val="none" w:sz="0" w:space="0" w:color="auto"/>
                  </w:divBdr>
                  <w:divsChild>
                    <w:div w:id="1247962548">
                      <w:marLeft w:val="0"/>
                      <w:marRight w:val="0"/>
                      <w:marTop w:val="0"/>
                      <w:marBottom w:val="0"/>
                      <w:divBdr>
                        <w:top w:val="none" w:sz="0" w:space="0" w:color="auto"/>
                        <w:left w:val="none" w:sz="0" w:space="0" w:color="auto"/>
                        <w:bottom w:val="none" w:sz="0" w:space="0" w:color="auto"/>
                        <w:right w:val="none" w:sz="0" w:space="0" w:color="auto"/>
                      </w:divBdr>
                      <w:divsChild>
                        <w:div w:id="1375813642">
                          <w:marLeft w:val="0"/>
                          <w:marRight w:val="0"/>
                          <w:marTop w:val="0"/>
                          <w:marBottom w:val="0"/>
                          <w:divBdr>
                            <w:top w:val="none" w:sz="0" w:space="0" w:color="auto"/>
                            <w:left w:val="none" w:sz="0" w:space="0" w:color="auto"/>
                            <w:bottom w:val="none" w:sz="0" w:space="0" w:color="auto"/>
                            <w:right w:val="none" w:sz="0" w:space="0" w:color="auto"/>
                          </w:divBdr>
                          <w:divsChild>
                            <w:div w:id="422800724">
                              <w:marLeft w:val="0"/>
                              <w:marRight w:val="0"/>
                              <w:marTop w:val="0"/>
                              <w:marBottom w:val="0"/>
                              <w:divBdr>
                                <w:top w:val="none" w:sz="0" w:space="0" w:color="auto"/>
                                <w:left w:val="none" w:sz="0" w:space="0" w:color="auto"/>
                                <w:bottom w:val="none" w:sz="0" w:space="0" w:color="auto"/>
                                <w:right w:val="none" w:sz="0" w:space="0" w:color="auto"/>
                              </w:divBdr>
                              <w:divsChild>
                                <w:div w:id="1396464320">
                                  <w:marLeft w:val="0"/>
                                  <w:marRight w:val="0"/>
                                  <w:marTop w:val="0"/>
                                  <w:marBottom w:val="0"/>
                                  <w:divBdr>
                                    <w:top w:val="none" w:sz="0" w:space="0" w:color="auto"/>
                                    <w:left w:val="none" w:sz="0" w:space="0" w:color="auto"/>
                                    <w:bottom w:val="none" w:sz="0" w:space="0" w:color="auto"/>
                                    <w:right w:val="none" w:sz="0" w:space="0" w:color="auto"/>
                                  </w:divBdr>
                                  <w:divsChild>
                                    <w:div w:id="689382324">
                                      <w:marLeft w:val="0"/>
                                      <w:marRight w:val="0"/>
                                      <w:marTop w:val="0"/>
                                      <w:marBottom w:val="0"/>
                                      <w:divBdr>
                                        <w:top w:val="none" w:sz="0" w:space="0" w:color="auto"/>
                                        <w:left w:val="none" w:sz="0" w:space="0" w:color="auto"/>
                                        <w:bottom w:val="none" w:sz="0" w:space="0" w:color="auto"/>
                                        <w:right w:val="none" w:sz="0" w:space="0" w:color="auto"/>
                                      </w:divBdr>
                                      <w:divsChild>
                                        <w:div w:id="488668527">
                                          <w:marLeft w:val="0"/>
                                          <w:marRight w:val="0"/>
                                          <w:marTop w:val="0"/>
                                          <w:marBottom w:val="0"/>
                                          <w:divBdr>
                                            <w:top w:val="none" w:sz="0" w:space="0" w:color="auto"/>
                                            <w:left w:val="none" w:sz="0" w:space="0" w:color="auto"/>
                                            <w:bottom w:val="none" w:sz="0" w:space="0" w:color="auto"/>
                                            <w:right w:val="none" w:sz="0" w:space="0" w:color="auto"/>
                                          </w:divBdr>
                                          <w:divsChild>
                                            <w:div w:id="311764138">
                                              <w:marLeft w:val="0"/>
                                              <w:marRight w:val="0"/>
                                              <w:marTop w:val="0"/>
                                              <w:marBottom w:val="0"/>
                                              <w:divBdr>
                                                <w:top w:val="none" w:sz="0" w:space="0" w:color="auto"/>
                                                <w:left w:val="none" w:sz="0" w:space="0" w:color="auto"/>
                                                <w:bottom w:val="none" w:sz="0" w:space="0" w:color="auto"/>
                                                <w:right w:val="none" w:sz="0" w:space="0" w:color="auto"/>
                                              </w:divBdr>
                                            </w:div>
                                            <w:div w:id="17674578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033971">
      <w:bodyDiv w:val="1"/>
      <w:marLeft w:val="0"/>
      <w:marRight w:val="0"/>
      <w:marTop w:val="0"/>
      <w:marBottom w:val="0"/>
      <w:divBdr>
        <w:top w:val="none" w:sz="0" w:space="0" w:color="auto"/>
        <w:left w:val="none" w:sz="0" w:space="0" w:color="auto"/>
        <w:bottom w:val="none" w:sz="0" w:space="0" w:color="auto"/>
        <w:right w:val="none" w:sz="0" w:space="0" w:color="auto"/>
      </w:divBdr>
      <w:divsChild>
        <w:div w:id="1885829169">
          <w:marLeft w:val="0"/>
          <w:marRight w:val="0"/>
          <w:marTop w:val="0"/>
          <w:marBottom w:val="0"/>
          <w:divBdr>
            <w:top w:val="none" w:sz="0" w:space="0" w:color="auto"/>
            <w:left w:val="none" w:sz="0" w:space="0" w:color="auto"/>
            <w:bottom w:val="none" w:sz="0" w:space="0" w:color="auto"/>
            <w:right w:val="none" w:sz="0" w:space="0" w:color="auto"/>
          </w:divBdr>
          <w:divsChild>
            <w:div w:id="378213717">
              <w:marLeft w:val="0"/>
              <w:marRight w:val="0"/>
              <w:marTop w:val="0"/>
              <w:marBottom w:val="0"/>
              <w:divBdr>
                <w:top w:val="none" w:sz="0" w:space="0" w:color="auto"/>
                <w:left w:val="none" w:sz="0" w:space="0" w:color="auto"/>
                <w:bottom w:val="none" w:sz="0" w:space="0" w:color="auto"/>
                <w:right w:val="none" w:sz="0" w:space="0" w:color="auto"/>
              </w:divBdr>
              <w:divsChild>
                <w:div w:id="1772626390">
                  <w:marLeft w:val="0"/>
                  <w:marRight w:val="0"/>
                  <w:marTop w:val="0"/>
                  <w:marBottom w:val="0"/>
                  <w:divBdr>
                    <w:top w:val="none" w:sz="0" w:space="0" w:color="auto"/>
                    <w:left w:val="none" w:sz="0" w:space="0" w:color="auto"/>
                    <w:bottom w:val="none" w:sz="0" w:space="0" w:color="auto"/>
                    <w:right w:val="none" w:sz="0" w:space="0" w:color="auto"/>
                  </w:divBdr>
                  <w:divsChild>
                    <w:div w:id="301926110">
                      <w:marLeft w:val="0"/>
                      <w:marRight w:val="0"/>
                      <w:marTop w:val="0"/>
                      <w:marBottom w:val="0"/>
                      <w:divBdr>
                        <w:top w:val="none" w:sz="0" w:space="0" w:color="auto"/>
                        <w:left w:val="none" w:sz="0" w:space="0" w:color="auto"/>
                        <w:bottom w:val="none" w:sz="0" w:space="0" w:color="auto"/>
                        <w:right w:val="none" w:sz="0" w:space="0" w:color="auto"/>
                      </w:divBdr>
                      <w:divsChild>
                        <w:div w:id="15811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73765">
      <w:bodyDiv w:val="1"/>
      <w:marLeft w:val="0"/>
      <w:marRight w:val="0"/>
      <w:marTop w:val="0"/>
      <w:marBottom w:val="0"/>
      <w:divBdr>
        <w:top w:val="none" w:sz="0" w:space="0" w:color="auto"/>
        <w:left w:val="none" w:sz="0" w:space="0" w:color="auto"/>
        <w:bottom w:val="none" w:sz="0" w:space="0" w:color="auto"/>
        <w:right w:val="none" w:sz="0" w:space="0" w:color="auto"/>
      </w:divBdr>
      <w:divsChild>
        <w:div w:id="1832133939">
          <w:marLeft w:val="0"/>
          <w:marRight w:val="0"/>
          <w:marTop w:val="0"/>
          <w:marBottom w:val="0"/>
          <w:divBdr>
            <w:top w:val="none" w:sz="0" w:space="0" w:color="auto"/>
            <w:left w:val="none" w:sz="0" w:space="0" w:color="auto"/>
            <w:bottom w:val="none" w:sz="0" w:space="0" w:color="auto"/>
            <w:right w:val="none" w:sz="0" w:space="0" w:color="auto"/>
          </w:divBdr>
          <w:divsChild>
            <w:div w:id="922488549">
              <w:marLeft w:val="0"/>
              <w:marRight w:val="0"/>
              <w:marTop w:val="0"/>
              <w:marBottom w:val="0"/>
              <w:divBdr>
                <w:top w:val="none" w:sz="0" w:space="0" w:color="auto"/>
                <w:left w:val="none" w:sz="0" w:space="0" w:color="auto"/>
                <w:bottom w:val="none" w:sz="0" w:space="0" w:color="auto"/>
                <w:right w:val="none" w:sz="0" w:space="0" w:color="auto"/>
              </w:divBdr>
              <w:divsChild>
                <w:div w:id="982001081">
                  <w:marLeft w:val="0"/>
                  <w:marRight w:val="0"/>
                  <w:marTop w:val="0"/>
                  <w:marBottom w:val="0"/>
                  <w:divBdr>
                    <w:top w:val="none" w:sz="0" w:space="0" w:color="auto"/>
                    <w:left w:val="none" w:sz="0" w:space="0" w:color="auto"/>
                    <w:bottom w:val="none" w:sz="0" w:space="0" w:color="auto"/>
                    <w:right w:val="none" w:sz="0" w:space="0" w:color="auto"/>
                  </w:divBdr>
                  <w:divsChild>
                    <w:div w:id="91319015">
                      <w:marLeft w:val="0"/>
                      <w:marRight w:val="0"/>
                      <w:marTop w:val="0"/>
                      <w:marBottom w:val="0"/>
                      <w:divBdr>
                        <w:top w:val="none" w:sz="0" w:space="0" w:color="auto"/>
                        <w:left w:val="none" w:sz="0" w:space="0" w:color="auto"/>
                        <w:bottom w:val="none" w:sz="0" w:space="0" w:color="auto"/>
                        <w:right w:val="none" w:sz="0" w:space="0" w:color="auto"/>
                      </w:divBdr>
                      <w:divsChild>
                        <w:div w:id="1979064749">
                          <w:marLeft w:val="0"/>
                          <w:marRight w:val="0"/>
                          <w:marTop w:val="0"/>
                          <w:marBottom w:val="0"/>
                          <w:divBdr>
                            <w:top w:val="none" w:sz="0" w:space="0" w:color="auto"/>
                            <w:left w:val="none" w:sz="0" w:space="0" w:color="auto"/>
                            <w:bottom w:val="none" w:sz="0" w:space="0" w:color="auto"/>
                            <w:right w:val="none" w:sz="0" w:space="0" w:color="auto"/>
                          </w:divBdr>
                          <w:divsChild>
                            <w:div w:id="2067988563">
                              <w:marLeft w:val="0"/>
                              <w:marRight w:val="0"/>
                              <w:marTop w:val="0"/>
                              <w:marBottom w:val="0"/>
                              <w:divBdr>
                                <w:top w:val="none" w:sz="0" w:space="0" w:color="auto"/>
                                <w:left w:val="none" w:sz="0" w:space="0" w:color="auto"/>
                                <w:bottom w:val="none" w:sz="0" w:space="0" w:color="auto"/>
                                <w:right w:val="none" w:sz="0" w:space="0" w:color="auto"/>
                              </w:divBdr>
                              <w:divsChild>
                                <w:div w:id="1242250864">
                                  <w:marLeft w:val="0"/>
                                  <w:marRight w:val="0"/>
                                  <w:marTop w:val="0"/>
                                  <w:marBottom w:val="0"/>
                                  <w:divBdr>
                                    <w:top w:val="none" w:sz="0" w:space="0" w:color="auto"/>
                                    <w:left w:val="none" w:sz="0" w:space="0" w:color="auto"/>
                                    <w:bottom w:val="none" w:sz="0" w:space="0" w:color="auto"/>
                                    <w:right w:val="none" w:sz="0" w:space="0" w:color="auto"/>
                                  </w:divBdr>
                                  <w:divsChild>
                                    <w:div w:id="370418682">
                                      <w:marLeft w:val="0"/>
                                      <w:marRight w:val="0"/>
                                      <w:marTop w:val="0"/>
                                      <w:marBottom w:val="0"/>
                                      <w:divBdr>
                                        <w:top w:val="none" w:sz="0" w:space="0" w:color="auto"/>
                                        <w:left w:val="none" w:sz="0" w:space="0" w:color="auto"/>
                                        <w:bottom w:val="none" w:sz="0" w:space="0" w:color="auto"/>
                                        <w:right w:val="none" w:sz="0" w:space="0" w:color="auto"/>
                                      </w:divBdr>
                                      <w:divsChild>
                                        <w:div w:id="2034334319">
                                          <w:marLeft w:val="0"/>
                                          <w:marRight w:val="0"/>
                                          <w:marTop w:val="0"/>
                                          <w:marBottom w:val="0"/>
                                          <w:divBdr>
                                            <w:top w:val="none" w:sz="0" w:space="0" w:color="auto"/>
                                            <w:left w:val="none" w:sz="0" w:space="0" w:color="auto"/>
                                            <w:bottom w:val="none" w:sz="0" w:space="0" w:color="auto"/>
                                            <w:right w:val="none" w:sz="0" w:space="0" w:color="auto"/>
                                          </w:divBdr>
                                          <w:divsChild>
                                            <w:div w:id="1198200279">
                                              <w:marLeft w:val="0"/>
                                              <w:marRight w:val="0"/>
                                              <w:marTop w:val="0"/>
                                              <w:marBottom w:val="0"/>
                                              <w:divBdr>
                                                <w:top w:val="none" w:sz="0" w:space="0" w:color="auto"/>
                                                <w:left w:val="none" w:sz="0" w:space="0" w:color="auto"/>
                                                <w:bottom w:val="none" w:sz="0" w:space="0" w:color="auto"/>
                                                <w:right w:val="none" w:sz="0" w:space="0" w:color="auto"/>
                                              </w:divBdr>
                                              <w:divsChild>
                                                <w:div w:id="1839685213">
                                                  <w:marLeft w:val="0"/>
                                                  <w:marRight w:val="0"/>
                                                  <w:marTop w:val="0"/>
                                                  <w:marBottom w:val="0"/>
                                                  <w:divBdr>
                                                    <w:top w:val="none" w:sz="0" w:space="0" w:color="auto"/>
                                                    <w:left w:val="none" w:sz="0" w:space="0" w:color="auto"/>
                                                    <w:bottom w:val="none" w:sz="0" w:space="0" w:color="auto"/>
                                                    <w:right w:val="none" w:sz="0" w:space="0" w:color="auto"/>
                                                  </w:divBdr>
                                                  <w:divsChild>
                                                    <w:div w:id="1185438706">
                                                      <w:marLeft w:val="0"/>
                                                      <w:marRight w:val="0"/>
                                                      <w:marTop w:val="240"/>
                                                      <w:marBottom w:val="60"/>
                                                      <w:divBdr>
                                                        <w:top w:val="none" w:sz="0" w:space="0" w:color="auto"/>
                                                        <w:left w:val="none" w:sz="0" w:space="0" w:color="auto"/>
                                                        <w:bottom w:val="none" w:sz="0" w:space="0" w:color="auto"/>
                                                        <w:right w:val="none" w:sz="0" w:space="0" w:color="auto"/>
                                                      </w:divBdr>
                                                      <w:divsChild>
                                                        <w:div w:id="1707025702">
                                                          <w:marLeft w:val="240"/>
                                                          <w:marRight w:val="0"/>
                                                          <w:marTop w:val="60"/>
                                                          <w:marBottom w:val="60"/>
                                                          <w:divBdr>
                                                            <w:top w:val="none" w:sz="0" w:space="0" w:color="auto"/>
                                                            <w:left w:val="none" w:sz="0" w:space="0" w:color="auto"/>
                                                            <w:bottom w:val="none" w:sz="0" w:space="0" w:color="auto"/>
                                                            <w:right w:val="none" w:sz="0" w:space="0" w:color="auto"/>
                                                          </w:divBdr>
                                                          <w:divsChild>
                                                            <w:div w:id="844057748">
                                                              <w:marLeft w:val="240"/>
                                                              <w:marRight w:val="0"/>
                                                              <w:marTop w:val="60"/>
                                                              <w:marBottom w:val="60"/>
                                                              <w:divBdr>
                                                                <w:top w:val="none" w:sz="0" w:space="0" w:color="auto"/>
                                                                <w:left w:val="none" w:sz="0" w:space="0" w:color="auto"/>
                                                                <w:bottom w:val="none" w:sz="0" w:space="0" w:color="auto"/>
                                                                <w:right w:val="none" w:sz="0" w:space="0" w:color="auto"/>
                                                              </w:divBdr>
                                                              <w:divsChild>
                                                                <w:div w:id="1449738462">
                                                                  <w:marLeft w:val="0"/>
                                                                  <w:marRight w:val="0"/>
                                                                  <w:marTop w:val="0"/>
                                                                  <w:marBottom w:val="0"/>
                                                                  <w:divBdr>
                                                                    <w:top w:val="none" w:sz="0" w:space="0" w:color="auto"/>
                                                                    <w:left w:val="none" w:sz="0" w:space="0" w:color="auto"/>
                                                                    <w:bottom w:val="none" w:sz="0" w:space="0" w:color="auto"/>
                                                                    <w:right w:val="none" w:sz="0" w:space="0" w:color="auto"/>
                                                                  </w:divBdr>
                                                                </w:div>
                                                              </w:divsChild>
                                                            </w:div>
                                                            <w:div w:id="1215509760">
                                                              <w:marLeft w:val="240"/>
                                                              <w:marRight w:val="0"/>
                                                              <w:marTop w:val="60"/>
                                                              <w:marBottom w:val="60"/>
                                                              <w:divBdr>
                                                                <w:top w:val="none" w:sz="0" w:space="0" w:color="auto"/>
                                                                <w:left w:val="none" w:sz="0" w:space="0" w:color="auto"/>
                                                                <w:bottom w:val="none" w:sz="0" w:space="0" w:color="auto"/>
                                                                <w:right w:val="none" w:sz="0" w:space="0" w:color="auto"/>
                                                              </w:divBdr>
                                                              <w:divsChild>
                                                                <w:div w:id="1155226201">
                                                                  <w:marLeft w:val="240"/>
                                                                  <w:marRight w:val="0"/>
                                                                  <w:marTop w:val="60"/>
                                                                  <w:marBottom w:val="60"/>
                                                                  <w:divBdr>
                                                                    <w:top w:val="none" w:sz="0" w:space="0" w:color="auto"/>
                                                                    <w:left w:val="none" w:sz="0" w:space="0" w:color="auto"/>
                                                                    <w:bottom w:val="none" w:sz="0" w:space="0" w:color="auto"/>
                                                                    <w:right w:val="none" w:sz="0" w:space="0" w:color="auto"/>
                                                                  </w:divBdr>
                                                                  <w:divsChild>
                                                                    <w:div w:id="501241510">
                                                                      <w:marLeft w:val="240"/>
                                                                      <w:marRight w:val="0"/>
                                                                      <w:marTop w:val="60"/>
                                                                      <w:marBottom w:val="60"/>
                                                                      <w:divBdr>
                                                                        <w:top w:val="none" w:sz="0" w:space="0" w:color="auto"/>
                                                                        <w:left w:val="none" w:sz="0" w:space="0" w:color="auto"/>
                                                                        <w:bottom w:val="none" w:sz="0" w:space="0" w:color="auto"/>
                                                                        <w:right w:val="none" w:sz="0" w:space="0" w:color="auto"/>
                                                                      </w:divBdr>
                                                                      <w:divsChild>
                                                                        <w:div w:id="1780564864">
                                                                          <w:marLeft w:val="0"/>
                                                                          <w:marRight w:val="0"/>
                                                                          <w:marTop w:val="0"/>
                                                                          <w:marBottom w:val="0"/>
                                                                          <w:divBdr>
                                                                            <w:top w:val="none" w:sz="0" w:space="0" w:color="auto"/>
                                                                            <w:left w:val="none" w:sz="0" w:space="0" w:color="auto"/>
                                                                            <w:bottom w:val="none" w:sz="0" w:space="0" w:color="auto"/>
                                                                            <w:right w:val="none" w:sz="0" w:space="0" w:color="auto"/>
                                                                          </w:divBdr>
                                                                        </w:div>
                                                                      </w:divsChild>
                                                                    </w:div>
                                                                    <w:div w:id="657924648">
                                                                      <w:marLeft w:val="240"/>
                                                                      <w:marRight w:val="0"/>
                                                                      <w:marTop w:val="60"/>
                                                                      <w:marBottom w:val="60"/>
                                                                      <w:divBdr>
                                                                        <w:top w:val="none" w:sz="0" w:space="0" w:color="auto"/>
                                                                        <w:left w:val="none" w:sz="0" w:space="0" w:color="auto"/>
                                                                        <w:bottom w:val="none" w:sz="0" w:space="0" w:color="auto"/>
                                                                        <w:right w:val="none" w:sz="0" w:space="0" w:color="auto"/>
                                                                      </w:divBdr>
                                                                      <w:divsChild>
                                                                        <w:div w:id="428547642">
                                                                          <w:marLeft w:val="0"/>
                                                                          <w:marRight w:val="0"/>
                                                                          <w:marTop w:val="0"/>
                                                                          <w:marBottom w:val="0"/>
                                                                          <w:divBdr>
                                                                            <w:top w:val="none" w:sz="0" w:space="0" w:color="auto"/>
                                                                            <w:left w:val="none" w:sz="0" w:space="0" w:color="auto"/>
                                                                            <w:bottom w:val="none" w:sz="0" w:space="0" w:color="auto"/>
                                                                            <w:right w:val="none" w:sz="0" w:space="0" w:color="auto"/>
                                                                          </w:divBdr>
                                                                        </w:div>
                                                                      </w:divsChild>
                                                                    </w:div>
                                                                    <w:div w:id="1028600114">
                                                                      <w:marLeft w:val="240"/>
                                                                      <w:marRight w:val="0"/>
                                                                      <w:marTop w:val="60"/>
                                                                      <w:marBottom w:val="60"/>
                                                                      <w:divBdr>
                                                                        <w:top w:val="none" w:sz="0" w:space="0" w:color="auto"/>
                                                                        <w:left w:val="none" w:sz="0" w:space="0" w:color="auto"/>
                                                                        <w:bottom w:val="none" w:sz="0" w:space="0" w:color="auto"/>
                                                                        <w:right w:val="none" w:sz="0" w:space="0" w:color="auto"/>
                                                                      </w:divBdr>
                                                                      <w:divsChild>
                                                                        <w:div w:id="1769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5001">
                                                                  <w:marLeft w:val="240"/>
                                                                  <w:marRight w:val="0"/>
                                                                  <w:marTop w:val="60"/>
                                                                  <w:marBottom w:val="60"/>
                                                                  <w:divBdr>
                                                                    <w:top w:val="none" w:sz="0" w:space="0" w:color="auto"/>
                                                                    <w:left w:val="none" w:sz="0" w:space="0" w:color="auto"/>
                                                                    <w:bottom w:val="none" w:sz="0" w:space="0" w:color="auto"/>
                                                                    <w:right w:val="none" w:sz="0" w:space="0" w:color="auto"/>
                                                                  </w:divBdr>
                                                                  <w:divsChild>
                                                                    <w:div w:id="7930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7393522">
      <w:bodyDiv w:val="1"/>
      <w:marLeft w:val="0"/>
      <w:marRight w:val="0"/>
      <w:marTop w:val="0"/>
      <w:marBottom w:val="0"/>
      <w:divBdr>
        <w:top w:val="none" w:sz="0" w:space="0" w:color="auto"/>
        <w:left w:val="none" w:sz="0" w:space="0" w:color="auto"/>
        <w:bottom w:val="none" w:sz="0" w:space="0" w:color="auto"/>
        <w:right w:val="none" w:sz="0" w:space="0" w:color="auto"/>
      </w:divBdr>
      <w:divsChild>
        <w:div w:id="1000236237">
          <w:marLeft w:val="0"/>
          <w:marRight w:val="0"/>
          <w:marTop w:val="0"/>
          <w:marBottom w:val="0"/>
          <w:divBdr>
            <w:top w:val="none" w:sz="0" w:space="0" w:color="auto"/>
            <w:left w:val="none" w:sz="0" w:space="0" w:color="auto"/>
            <w:bottom w:val="none" w:sz="0" w:space="0" w:color="auto"/>
            <w:right w:val="none" w:sz="0" w:space="0" w:color="auto"/>
          </w:divBdr>
          <w:divsChild>
            <w:div w:id="105586312">
              <w:marLeft w:val="0"/>
              <w:marRight w:val="0"/>
              <w:marTop w:val="0"/>
              <w:marBottom w:val="0"/>
              <w:divBdr>
                <w:top w:val="none" w:sz="0" w:space="0" w:color="auto"/>
                <w:left w:val="none" w:sz="0" w:space="0" w:color="auto"/>
                <w:bottom w:val="none" w:sz="0" w:space="0" w:color="auto"/>
                <w:right w:val="none" w:sz="0" w:space="0" w:color="auto"/>
              </w:divBdr>
            </w:div>
            <w:div w:id="618536135">
              <w:marLeft w:val="0"/>
              <w:marRight w:val="0"/>
              <w:marTop w:val="0"/>
              <w:marBottom w:val="0"/>
              <w:divBdr>
                <w:top w:val="none" w:sz="0" w:space="0" w:color="auto"/>
                <w:left w:val="none" w:sz="0" w:space="0" w:color="auto"/>
                <w:bottom w:val="none" w:sz="0" w:space="0" w:color="auto"/>
                <w:right w:val="none" w:sz="0" w:space="0" w:color="auto"/>
              </w:divBdr>
            </w:div>
            <w:div w:id="682129850">
              <w:marLeft w:val="0"/>
              <w:marRight w:val="0"/>
              <w:marTop w:val="0"/>
              <w:marBottom w:val="0"/>
              <w:divBdr>
                <w:top w:val="none" w:sz="0" w:space="0" w:color="auto"/>
                <w:left w:val="none" w:sz="0" w:space="0" w:color="auto"/>
                <w:bottom w:val="none" w:sz="0" w:space="0" w:color="auto"/>
                <w:right w:val="none" w:sz="0" w:space="0" w:color="auto"/>
              </w:divBdr>
            </w:div>
            <w:div w:id="942998060">
              <w:marLeft w:val="0"/>
              <w:marRight w:val="0"/>
              <w:marTop w:val="0"/>
              <w:marBottom w:val="0"/>
              <w:divBdr>
                <w:top w:val="none" w:sz="0" w:space="0" w:color="auto"/>
                <w:left w:val="none" w:sz="0" w:space="0" w:color="auto"/>
                <w:bottom w:val="none" w:sz="0" w:space="0" w:color="auto"/>
                <w:right w:val="none" w:sz="0" w:space="0" w:color="auto"/>
              </w:divBdr>
            </w:div>
            <w:div w:id="967397994">
              <w:marLeft w:val="0"/>
              <w:marRight w:val="0"/>
              <w:marTop w:val="0"/>
              <w:marBottom w:val="0"/>
              <w:divBdr>
                <w:top w:val="none" w:sz="0" w:space="0" w:color="auto"/>
                <w:left w:val="none" w:sz="0" w:space="0" w:color="auto"/>
                <w:bottom w:val="none" w:sz="0" w:space="0" w:color="auto"/>
                <w:right w:val="none" w:sz="0" w:space="0" w:color="auto"/>
              </w:divBdr>
            </w:div>
            <w:div w:id="1000617073">
              <w:marLeft w:val="0"/>
              <w:marRight w:val="0"/>
              <w:marTop w:val="0"/>
              <w:marBottom w:val="0"/>
              <w:divBdr>
                <w:top w:val="none" w:sz="0" w:space="0" w:color="auto"/>
                <w:left w:val="none" w:sz="0" w:space="0" w:color="auto"/>
                <w:bottom w:val="none" w:sz="0" w:space="0" w:color="auto"/>
                <w:right w:val="none" w:sz="0" w:space="0" w:color="auto"/>
              </w:divBdr>
            </w:div>
            <w:div w:id="1057164823">
              <w:marLeft w:val="0"/>
              <w:marRight w:val="0"/>
              <w:marTop w:val="0"/>
              <w:marBottom w:val="0"/>
              <w:divBdr>
                <w:top w:val="none" w:sz="0" w:space="0" w:color="auto"/>
                <w:left w:val="none" w:sz="0" w:space="0" w:color="auto"/>
                <w:bottom w:val="none" w:sz="0" w:space="0" w:color="auto"/>
                <w:right w:val="none" w:sz="0" w:space="0" w:color="auto"/>
              </w:divBdr>
            </w:div>
            <w:div w:id="1106735710">
              <w:marLeft w:val="0"/>
              <w:marRight w:val="0"/>
              <w:marTop w:val="0"/>
              <w:marBottom w:val="0"/>
              <w:divBdr>
                <w:top w:val="none" w:sz="0" w:space="0" w:color="auto"/>
                <w:left w:val="none" w:sz="0" w:space="0" w:color="auto"/>
                <w:bottom w:val="none" w:sz="0" w:space="0" w:color="auto"/>
                <w:right w:val="none" w:sz="0" w:space="0" w:color="auto"/>
              </w:divBdr>
            </w:div>
            <w:div w:id="1142188885">
              <w:marLeft w:val="0"/>
              <w:marRight w:val="0"/>
              <w:marTop w:val="0"/>
              <w:marBottom w:val="0"/>
              <w:divBdr>
                <w:top w:val="none" w:sz="0" w:space="0" w:color="auto"/>
                <w:left w:val="none" w:sz="0" w:space="0" w:color="auto"/>
                <w:bottom w:val="none" w:sz="0" w:space="0" w:color="auto"/>
                <w:right w:val="none" w:sz="0" w:space="0" w:color="auto"/>
              </w:divBdr>
            </w:div>
            <w:div w:id="1418795058">
              <w:marLeft w:val="0"/>
              <w:marRight w:val="0"/>
              <w:marTop w:val="0"/>
              <w:marBottom w:val="0"/>
              <w:divBdr>
                <w:top w:val="none" w:sz="0" w:space="0" w:color="auto"/>
                <w:left w:val="none" w:sz="0" w:space="0" w:color="auto"/>
                <w:bottom w:val="none" w:sz="0" w:space="0" w:color="auto"/>
                <w:right w:val="none" w:sz="0" w:space="0" w:color="auto"/>
              </w:divBdr>
            </w:div>
            <w:div w:id="1552692204">
              <w:marLeft w:val="0"/>
              <w:marRight w:val="0"/>
              <w:marTop w:val="0"/>
              <w:marBottom w:val="0"/>
              <w:divBdr>
                <w:top w:val="none" w:sz="0" w:space="0" w:color="auto"/>
                <w:left w:val="none" w:sz="0" w:space="0" w:color="auto"/>
                <w:bottom w:val="none" w:sz="0" w:space="0" w:color="auto"/>
                <w:right w:val="none" w:sz="0" w:space="0" w:color="auto"/>
              </w:divBdr>
            </w:div>
            <w:div w:id="2053724417">
              <w:marLeft w:val="0"/>
              <w:marRight w:val="0"/>
              <w:marTop w:val="0"/>
              <w:marBottom w:val="0"/>
              <w:divBdr>
                <w:top w:val="none" w:sz="0" w:space="0" w:color="auto"/>
                <w:left w:val="none" w:sz="0" w:space="0" w:color="auto"/>
                <w:bottom w:val="none" w:sz="0" w:space="0" w:color="auto"/>
                <w:right w:val="none" w:sz="0" w:space="0" w:color="auto"/>
              </w:divBdr>
            </w:div>
            <w:div w:id="2085174554">
              <w:marLeft w:val="0"/>
              <w:marRight w:val="0"/>
              <w:marTop w:val="0"/>
              <w:marBottom w:val="0"/>
              <w:divBdr>
                <w:top w:val="none" w:sz="0" w:space="0" w:color="auto"/>
                <w:left w:val="none" w:sz="0" w:space="0" w:color="auto"/>
                <w:bottom w:val="none" w:sz="0" w:space="0" w:color="auto"/>
                <w:right w:val="none" w:sz="0" w:space="0" w:color="auto"/>
              </w:divBdr>
            </w:div>
            <w:div w:id="20915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6978">
      <w:bodyDiv w:val="1"/>
      <w:marLeft w:val="0"/>
      <w:marRight w:val="0"/>
      <w:marTop w:val="0"/>
      <w:marBottom w:val="0"/>
      <w:divBdr>
        <w:top w:val="none" w:sz="0" w:space="0" w:color="auto"/>
        <w:left w:val="none" w:sz="0" w:space="0" w:color="auto"/>
        <w:bottom w:val="none" w:sz="0" w:space="0" w:color="auto"/>
        <w:right w:val="none" w:sz="0" w:space="0" w:color="auto"/>
      </w:divBdr>
      <w:divsChild>
        <w:div w:id="1223248008">
          <w:marLeft w:val="0"/>
          <w:marRight w:val="0"/>
          <w:marTop w:val="0"/>
          <w:marBottom w:val="0"/>
          <w:divBdr>
            <w:top w:val="none" w:sz="0" w:space="0" w:color="auto"/>
            <w:left w:val="none" w:sz="0" w:space="0" w:color="auto"/>
            <w:bottom w:val="none" w:sz="0" w:space="0" w:color="auto"/>
            <w:right w:val="none" w:sz="0" w:space="0" w:color="auto"/>
          </w:divBdr>
          <w:divsChild>
            <w:div w:id="628898235">
              <w:marLeft w:val="0"/>
              <w:marRight w:val="0"/>
              <w:marTop w:val="0"/>
              <w:marBottom w:val="0"/>
              <w:divBdr>
                <w:top w:val="none" w:sz="0" w:space="0" w:color="auto"/>
                <w:left w:val="none" w:sz="0" w:space="0" w:color="auto"/>
                <w:bottom w:val="none" w:sz="0" w:space="0" w:color="auto"/>
                <w:right w:val="none" w:sz="0" w:space="0" w:color="auto"/>
              </w:divBdr>
              <w:divsChild>
                <w:div w:id="2082287303">
                  <w:marLeft w:val="0"/>
                  <w:marRight w:val="0"/>
                  <w:marTop w:val="0"/>
                  <w:marBottom w:val="0"/>
                  <w:divBdr>
                    <w:top w:val="none" w:sz="0" w:space="0" w:color="auto"/>
                    <w:left w:val="none" w:sz="0" w:space="0" w:color="auto"/>
                    <w:bottom w:val="none" w:sz="0" w:space="0" w:color="auto"/>
                    <w:right w:val="none" w:sz="0" w:space="0" w:color="auto"/>
                  </w:divBdr>
                  <w:divsChild>
                    <w:div w:id="1865046826">
                      <w:marLeft w:val="0"/>
                      <w:marRight w:val="0"/>
                      <w:marTop w:val="0"/>
                      <w:marBottom w:val="0"/>
                      <w:divBdr>
                        <w:top w:val="none" w:sz="0" w:space="0" w:color="auto"/>
                        <w:left w:val="none" w:sz="0" w:space="0" w:color="auto"/>
                        <w:bottom w:val="none" w:sz="0" w:space="0" w:color="auto"/>
                        <w:right w:val="none" w:sz="0" w:space="0" w:color="auto"/>
                      </w:divBdr>
                      <w:divsChild>
                        <w:div w:id="2008093026">
                          <w:marLeft w:val="0"/>
                          <w:marRight w:val="0"/>
                          <w:marTop w:val="0"/>
                          <w:marBottom w:val="0"/>
                          <w:divBdr>
                            <w:top w:val="none" w:sz="0" w:space="0" w:color="auto"/>
                            <w:left w:val="none" w:sz="0" w:space="0" w:color="auto"/>
                            <w:bottom w:val="none" w:sz="0" w:space="0" w:color="auto"/>
                            <w:right w:val="none" w:sz="0" w:space="0" w:color="auto"/>
                          </w:divBdr>
                          <w:divsChild>
                            <w:div w:id="172107975">
                              <w:marLeft w:val="0"/>
                              <w:marRight w:val="0"/>
                              <w:marTop w:val="0"/>
                              <w:marBottom w:val="0"/>
                              <w:divBdr>
                                <w:top w:val="none" w:sz="0" w:space="0" w:color="auto"/>
                                <w:left w:val="none" w:sz="0" w:space="0" w:color="auto"/>
                                <w:bottom w:val="none" w:sz="0" w:space="0" w:color="auto"/>
                                <w:right w:val="none" w:sz="0" w:space="0" w:color="auto"/>
                              </w:divBdr>
                              <w:divsChild>
                                <w:div w:id="491406985">
                                  <w:marLeft w:val="0"/>
                                  <w:marRight w:val="0"/>
                                  <w:marTop w:val="0"/>
                                  <w:marBottom w:val="0"/>
                                  <w:divBdr>
                                    <w:top w:val="none" w:sz="0" w:space="0" w:color="auto"/>
                                    <w:left w:val="none" w:sz="0" w:space="0" w:color="auto"/>
                                    <w:bottom w:val="none" w:sz="0" w:space="0" w:color="auto"/>
                                    <w:right w:val="none" w:sz="0" w:space="0" w:color="auto"/>
                                  </w:divBdr>
                                  <w:divsChild>
                                    <w:div w:id="749305635">
                                      <w:marLeft w:val="0"/>
                                      <w:marRight w:val="0"/>
                                      <w:marTop w:val="0"/>
                                      <w:marBottom w:val="0"/>
                                      <w:divBdr>
                                        <w:top w:val="none" w:sz="0" w:space="0" w:color="auto"/>
                                        <w:left w:val="none" w:sz="0" w:space="0" w:color="auto"/>
                                        <w:bottom w:val="none" w:sz="0" w:space="0" w:color="auto"/>
                                        <w:right w:val="none" w:sz="0" w:space="0" w:color="auto"/>
                                      </w:divBdr>
                                      <w:divsChild>
                                        <w:div w:id="1662811309">
                                          <w:marLeft w:val="0"/>
                                          <w:marRight w:val="0"/>
                                          <w:marTop w:val="0"/>
                                          <w:marBottom w:val="0"/>
                                          <w:divBdr>
                                            <w:top w:val="none" w:sz="0" w:space="0" w:color="auto"/>
                                            <w:left w:val="none" w:sz="0" w:space="0" w:color="auto"/>
                                            <w:bottom w:val="none" w:sz="0" w:space="0" w:color="auto"/>
                                            <w:right w:val="none" w:sz="0" w:space="0" w:color="auto"/>
                                          </w:divBdr>
                                          <w:divsChild>
                                            <w:div w:id="1249197253">
                                              <w:marLeft w:val="0"/>
                                              <w:marRight w:val="0"/>
                                              <w:marTop w:val="0"/>
                                              <w:marBottom w:val="0"/>
                                              <w:divBdr>
                                                <w:top w:val="none" w:sz="0" w:space="0" w:color="auto"/>
                                                <w:left w:val="none" w:sz="0" w:space="0" w:color="auto"/>
                                                <w:bottom w:val="none" w:sz="0" w:space="0" w:color="auto"/>
                                                <w:right w:val="none" w:sz="0" w:space="0" w:color="auto"/>
                                              </w:divBdr>
                                            </w:div>
                                            <w:div w:id="21356377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628986">
      <w:bodyDiv w:val="1"/>
      <w:marLeft w:val="0"/>
      <w:marRight w:val="0"/>
      <w:marTop w:val="0"/>
      <w:marBottom w:val="0"/>
      <w:divBdr>
        <w:top w:val="none" w:sz="0" w:space="0" w:color="auto"/>
        <w:left w:val="none" w:sz="0" w:space="0" w:color="auto"/>
        <w:bottom w:val="none" w:sz="0" w:space="0" w:color="auto"/>
        <w:right w:val="none" w:sz="0" w:space="0" w:color="auto"/>
      </w:divBdr>
      <w:divsChild>
        <w:div w:id="1329091711">
          <w:marLeft w:val="0"/>
          <w:marRight w:val="0"/>
          <w:marTop w:val="0"/>
          <w:marBottom w:val="0"/>
          <w:divBdr>
            <w:top w:val="none" w:sz="0" w:space="0" w:color="auto"/>
            <w:left w:val="none" w:sz="0" w:space="0" w:color="auto"/>
            <w:bottom w:val="none" w:sz="0" w:space="0" w:color="auto"/>
            <w:right w:val="none" w:sz="0" w:space="0" w:color="auto"/>
          </w:divBdr>
          <w:divsChild>
            <w:div w:id="1512379155">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sChild>
                    <w:div w:id="338704205">
                      <w:marLeft w:val="0"/>
                      <w:marRight w:val="0"/>
                      <w:marTop w:val="0"/>
                      <w:marBottom w:val="0"/>
                      <w:divBdr>
                        <w:top w:val="none" w:sz="0" w:space="0" w:color="auto"/>
                        <w:left w:val="none" w:sz="0" w:space="0" w:color="auto"/>
                        <w:bottom w:val="none" w:sz="0" w:space="0" w:color="auto"/>
                        <w:right w:val="none" w:sz="0" w:space="0" w:color="auto"/>
                      </w:divBdr>
                      <w:divsChild>
                        <w:div w:id="677541083">
                          <w:marLeft w:val="0"/>
                          <w:marRight w:val="0"/>
                          <w:marTop w:val="0"/>
                          <w:marBottom w:val="0"/>
                          <w:divBdr>
                            <w:top w:val="none" w:sz="0" w:space="0" w:color="auto"/>
                            <w:left w:val="none" w:sz="0" w:space="0" w:color="auto"/>
                            <w:bottom w:val="none" w:sz="0" w:space="0" w:color="auto"/>
                            <w:right w:val="none" w:sz="0" w:space="0" w:color="auto"/>
                          </w:divBdr>
                          <w:divsChild>
                            <w:div w:id="1815175342">
                              <w:marLeft w:val="0"/>
                              <w:marRight w:val="0"/>
                              <w:marTop w:val="0"/>
                              <w:marBottom w:val="0"/>
                              <w:divBdr>
                                <w:top w:val="none" w:sz="0" w:space="0" w:color="auto"/>
                                <w:left w:val="none" w:sz="0" w:space="0" w:color="auto"/>
                                <w:bottom w:val="none" w:sz="0" w:space="0" w:color="auto"/>
                                <w:right w:val="none" w:sz="0" w:space="0" w:color="auto"/>
                              </w:divBdr>
                              <w:divsChild>
                                <w:div w:id="1308632786">
                                  <w:marLeft w:val="0"/>
                                  <w:marRight w:val="0"/>
                                  <w:marTop w:val="0"/>
                                  <w:marBottom w:val="0"/>
                                  <w:divBdr>
                                    <w:top w:val="none" w:sz="0" w:space="0" w:color="auto"/>
                                    <w:left w:val="none" w:sz="0" w:space="0" w:color="auto"/>
                                    <w:bottom w:val="none" w:sz="0" w:space="0" w:color="auto"/>
                                    <w:right w:val="none" w:sz="0" w:space="0" w:color="auto"/>
                                  </w:divBdr>
                                  <w:divsChild>
                                    <w:div w:id="2698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943266">
      <w:bodyDiv w:val="1"/>
      <w:marLeft w:val="0"/>
      <w:marRight w:val="0"/>
      <w:marTop w:val="0"/>
      <w:marBottom w:val="0"/>
      <w:divBdr>
        <w:top w:val="none" w:sz="0" w:space="0" w:color="auto"/>
        <w:left w:val="none" w:sz="0" w:space="0" w:color="auto"/>
        <w:bottom w:val="none" w:sz="0" w:space="0" w:color="auto"/>
        <w:right w:val="none" w:sz="0" w:space="0" w:color="auto"/>
      </w:divBdr>
      <w:divsChild>
        <w:div w:id="820079214">
          <w:marLeft w:val="240"/>
          <w:marRight w:val="0"/>
          <w:marTop w:val="60"/>
          <w:marBottom w:val="60"/>
          <w:divBdr>
            <w:top w:val="none" w:sz="0" w:space="0" w:color="auto"/>
            <w:left w:val="none" w:sz="0" w:space="0" w:color="auto"/>
            <w:bottom w:val="none" w:sz="0" w:space="0" w:color="auto"/>
            <w:right w:val="none" w:sz="0" w:space="0" w:color="auto"/>
          </w:divBdr>
          <w:divsChild>
            <w:div w:id="1292126574">
              <w:marLeft w:val="0"/>
              <w:marRight w:val="0"/>
              <w:marTop w:val="0"/>
              <w:marBottom w:val="0"/>
              <w:divBdr>
                <w:top w:val="none" w:sz="0" w:space="0" w:color="auto"/>
                <w:left w:val="none" w:sz="0" w:space="0" w:color="auto"/>
                <w:bottom w:val="none" w:sz="0" w:space="0" w:color="auto"/>
                <w:right w:val="none" w:sz="0" w:space="0" w:color="auto"/>
              </w:divBdr>
            </w:div>
          </w:divsChild>
        </w:div>
        <w:div w:id="1694526433">
          <w:marLeft w:val="240"/>
          <w:marRight w:val="0"/>
          <w:marTop w:val="60"/>
          <w:marBottom w:val="60"/>
          <w:divBdr>
            <w:top w:val="none" w:sz="0" w:space="0" w:color="auto"/>
            <w:left w:val="none" w:sz="0" w:space="0" w:color="auto"/>
            <w:bottom w:val="none" w:sz="0" w:space="0" w:color="auto"/>
            <w:right w:val="none" w:sz="0" w:space="0" w:color="auto"/>
          </w:divBdr>
          <w:divsChild>
            <w:div w:id="63838988">
              <w:marLeft w:val="240"/>
              <w:marRight w:val="0"/>
              <w:marTop w:val="60"/>
              <w:marBottom w:val="60"/>
              <w:divBdr>
                <w:top w:val="none" w:sz="0" w:space="0" w:color="auto"/>
                <w:left w:val="none" w:sz="0" w:space="0" w:color="auto"/>
                <w:bottom w:val="none" w:sz="0" w:space="0" w:color="auto"/>
                <w:right w:val="none" w:sz="0" w:space="0" w:color="auto"/>
              </w:divBdr>
              <w:divsChild>
                <w:div w:id="1516842351">
                  <w:marLeft w:val="0"/>
                  <w:marRight w:val="0"/>
                  <w:marTop w:val="0"/>
                  <w:marBottom w:val="0"/>
                  <w:divBdr>
                    <w:top w:val="none" w:sz="0" w:space="0" w:color="auto"/>
                    <w:left w:val="none" w:sz="0" w:space="0" w:color="auto"/>
                    <w:bottom w:val="none" w:sz="0" w:space="0" w:color="auto"/>
                    <w:right w:val="none" w:sz="0" w:space="0" w:color="auto"/>
                  </w:divBdr>
                </w:div>
              </w:divsChild>
            </w:div>
            <w:div w:id="1156727195">
              <w:marLeft w:val="240"/>
              <w:marRight w:val="0"/>
              <w:marTop w:val="60"/>
              <w:marBottom w:val="60"/>
              <w:divBdr>
                <w:top w:val="none" w:sz="0" w:space="0" w:color="auto"/>
                <w:left w:val="none" w:sz="0" w:space="0" w:color="auto"/>
                <w:bottom w:val="none" w:sz="0" w:space="0" w:color="auto"/>
                <w:right w:val="none" w:sz="0" w:space="0" w:color="auto"/>
              </w:divBdr>
              <w:divsChild>
                <w:div w:id="6152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0069">
      <w:bodyDiv w:val="1"/>
      <w:marLeft w:val="0"/>
      <w:marRight w:val="0"/>
      <w:marTop w:val="0"/>
      <w:marBottom w:val="0"/>
      <w:divBdr>
        <w:top w:val="none" w:sz="0" w:space="0" w:color="auto"/>
        <w:left w:val="none" w:sz="0" w:space="0" w:color="auto"/>
        <w:bottom w:val="none" w:sz="0" w:space="0" w:color="auto"/>
        <w:right w:val="none" w:sz="0" w:space="0" w:color="auto"/>
      </w:divBdr>
      <w:divsChild>
        <w:div w:id="1180780430">
          <w:marLeft w:val="0"/>
          <w:marRight w:val="-5040"/>
          <w:marTop w:val="0"/>
          <w:marBottom w:val="0"/>
          <w:divBdr>
            <w:top w:val="none" w:sz="0" w:space="0" w:color="auto"/>
            <w:left w:val="none" w:sz="0" w:space="0" w:color="auto"/>
            <w:bottom w:val="none" w:sz="0" w:space="0" w:color="auto"/>
            <w:right w:val="none" w:sz="0" w:space="0" w:color="auto"/>
          </w:divBdr>
          <w:divsChild>
            <w:div w:id="1687830824">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883368485">
      <w:bodyDiv w:val="1"/>
      <w:marLeft w:val="0"/>
      <w:marRight w:val="0"/>
      <w:marTop w:val="0"/>
      <w:marBottom w:val="0"/>
      <w:divBdr>
        <w:top w:val="none" w:sz="0" w:space="0" w:color="auto"/>
        <w:left w:val="none" w:sz="0" w:space="0" w:color="auto"/>
        <w:bottom w:val="none" w:sz="0" w:space="0" w:color="auto"/>
        <w:right w:val="none" w:sz="0" w:space="0" w:color="auto"/>
      </w:divBdr>
      <w:divsChild>
        <w:div w:id="178324497">
          <w:marLeft w:val="0"/>
          <w:marRight w:val="0"/>
          <w:marTop w:val="0"/>
          <w:marBottom w:val="0"/>
          <w:divBdr>
            <w:top w:val="none" w:sz="0" w:space="0" w:color="auto"/>
            <w:left w:val="none" w:sz="0" w:space="0" w:color="auto"/>
            <w:bottom w:val="none" w:sz="0" w:space="0" w:color="auto"/>
            <w:right w:val="none" w:sz="0" w:space="0" w:color="auto"/>
          </w:divBdr>
          <w:divsChild>
            <w:div w:id="1339500660">
              <w:marLeft w:val="0"/>
              <w:marRight w:val="0"/>
              <w:marTop w:val="0"/>
              <w:marBottom w:val="0"/>
              <w:divBdr>
                <w:top w:val="none" w:sz="0" w:space="0" w:color="auto"/>
                <w:left w:val="none" w:sz="0" w:space="0" w:color="auto"/>
                <w:bottom w:val="none" w:sz="0" w:space="0" w:color="auto"/>
                <w:right w:val="none" w:sz="0" w:space="0" w:color="auto"/>
              </w:divBdr>
            </w:div>
          </w:divsChild>
        </w:div>
        <w:div w:id="375399428">
          <w:marLeft w:val="0"/>
          <w:marRight w:val="0"/>
          <w:marTop w:val="0"/>
          <w:marBottom w:val="0"/>
          <w:divBdr>
            <w:top w:val="none" w:sz="0" w:space="0" w:color="auto"/>
            <w:left w:val="none" w:sz="0" w:space="0" w:color="auto"/>
            <w:bottom w:val="none" w:sz="0" w:space="0" w:color="auto"/>
            <w:right w:val="none" w:sz="0" w:space="0" w:color="auto"/>
          </w:divBdr>
          <w:divsChild>
            <w:div w:id="24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1654">
      <w:bodyDiv w:val="1"/>
      <w:marLeft w:val="0"/>
      <w:marRight w:val="0"/>
      <w:marTop w:val="0"/>
      <w:marBottom w:val="0"/>
      <w:divBdr>
        <w:top w:val="none" w:sz="0" w:space="0" w:color="auto"/>
        <w:left w:val="none" w:sz="0" w:space="0" w:color="auto"/>
        <w:bottom w:val="none" w:sz="0" w:space="0" w:color="auto"/>
        <w:right w:val="none" w:sz="0" w:space="0" w:color="auto"/>
      </w:divBdr>
      <w:divsChild>
        <w:div w:id="1337266262">
          <w:marLeft w:val="0"/>
          <w:marRight w:val="-5040"/>
          <w:marTop w:val="0"/>
          <w:marBottom w:val="0"/>
          <w:divBdr>
            <w:top w:val="none" w:sz="0" w:space="0" w:color="auto"/>
            <w:left w:val="none" w:sz="0" w:space="0" w:color="auto"/>
            <w:bottom w:val="none" w:sz="0" w:space="0" w:color="auto"/>
            <w:right w:val="none" w:sz="0" w:space="0" w:color="auto"/>
          </w:divBdr>
          <w:divsChild>
            <w:div w:id="330064101">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981731386">
      <w:bodyDiv w:val="1"/>
      <w:marLeft w:val="0"/>
      <w:marRight w:val="0"/>
      <w:marTop w:val="0"/>
      <w:marBottom w:val="0"/>
      <w:divBdr>
        <w:top w:val="none" w:sz="0" w:space="0" w:color="auto"/>
        <w:left w:val="none" w:sz="0" w:space="0" w:color="auto"/>
        <w:bottom w:val="none" w:sz="0" w:space="0" w:color="auto"/>
        <w:right w:val="none" w:sz="0" w:space="0" w:color="auto"/>
      </w:divBdr>
    </w:div>
    <w:div w:id="1015035580">
      <w:bodyDiv w:val="1"/>
      <w:marLeft w:val="0"/>
      <w:marRight w:val="0"/>
      <w:marTop w:val="0"/>
      <w:marBottom w:val="0"/>
      <w:divBdr>
        <w:top w:val="none" w:sz="0" w:space="0" w:color="auto"/>
        <w:left w:val="none" w:sz="0" w:space="0" w:color="auto"/>
        <w:bottom w:val="none" w:sz="0" w:space="0" w:color="auto"/>
        <w:right w:val="none" w:sz="0" w:space="0" w:color="auto"/>
      </w:divBdr>
      <w:divsChild>
        <w:div w:id="101461693">
          <w:marLeft w:val="0"/>
          <w:marRight w:val="0"/>
          <w:marTop w:val="150"/>
          <w:marBottom w:val="0"/>
          <w:divBdr>
            <w:top w:val="none" w:sz="0" w:space="0" w:color="auto"/>
            <w:left w:val="none" w:sz="0" w:space="0" w:color="auto"/>
            <w:bottom w:val="none" w:sz="0" w:space="0" w:color="auto"/>
            <w:right w:val="none" w:sz="0" w:space="0" w:color="auto"/>
          </w:divBdr>
        </w:div>
        <w:div w:id="274139151">
          <w:marLeft w:val="0"/>
          <w:marRight w:val="0"/>
          <w:marTop w:val="150"/>
          <w:marBottom w:val="0"/>
          <w:divBdr>
            <w:top w:val="none" w:sz="0" w:space="0" w:color="auto"/>
            <w:left w:val="none" w:sz="0" w:space="0" w:color="auto"/>
            <w:bottom w:val="none" w:sz="0" w:space="0" w:color="auto"/>
            <w:right w:val="none" w:sz="0" w:space="0" w:color="auto"/>
          </w:divBdr>
        </w:div>
        <w:div w:id="762186138">
          <w:marLeft w:val="0"/>
          <w:marRight w:val="0"/>
          <w:marTop w:val="0"/>
          <w:marBottom w:val="0"/>
          <w:divBdr>
            <w:top w:val="none" w:sz="0" w:space="0" w:color="auto"/>
            <w:left w:val="none" w:sz="0" w:space="0" w:color="auto"/>
            <w:bottom w:val="none" w:sz="0" w:space="0" w:color="auto"/>
            <w:right w:val="none" w:sz="0" w:space="0" w:color="auto"/>
          </w:divBdr>
        </w:div>
        <w:div w:id="1202667084">
          <w:marLeft w:val="0"/>
          <w:marRight w:val="0"/>
          <w:marTop w:val="150"/>
          <w:marBottom w:val="0"/>
          <w:divBdr>
            <w:top w:val="none" w:sz="0" w:space="0" w:color="auto"/>
            <w:left w:val="none" w:sz="0" w:space="0" w:color="auto"/>
            <w:bottom w:val="none" w:sz="0" w:space="0" w:color="auto"/>
            <w:right w:val="none" w:sz="0" w:space="0" w:color="auto"/>
          </w:divBdr>
        </w:div>
        <w:div w:id="1772504347">
          <w:marLeft w:val="0"/>
          <w:marRight w:val="0"/>
          <w:marTop w:val="0"/>
          <w:marBottom w:val="0"/>
          <w:divBdr>
            <w:top w:val="none" w:sz="0" w:space="0" w:color="auto"/>
            <w:left w:val="none" w:sz="0" w:space="0" w:color="auto"/>
            <w:bottom w:val="none" w:sz="0" w:space="0" w:color="auto"/>
            <w:right w:val="none" w:sz="0" w:space="0" w:color="auto"/>
          </w:divBdr>
        </w:div>
      </w:divsChild>
    </w:div>
    <w:div w:id="1039859984">
      <w:bodyDiv w:val="1"/>
      <w:marLeft w:val="0"/>
      <w:marRight w:val="0"/>
      <w:marTop w:val="0"/>
      <w:marBottom w:val="0"/>
      <w:divBdr>
        <w:top w:val="none" w:sz="0" w:space="0" w:color="auto"/>
        <w:left w:val="none" w:sz="0" w:space="0" w:color="auto"/>
        <w:bottom w:val="none" w:sz="0" w:space="0" w:color="auto"/>
        <w:right w:val="none" w:sz="0" w:space="0" w:color="auto"/>
      </w:divBdr>
      <w:divsChild>
        <w:div w:id="86118099">
          <w:marLeft w:val="0"/>
          <w:marRight w:val="0"/>
          <w:marTop w:val="0"/>
          <w:marBottom w:val="0"/>
          <w:divBdr>
            <w:top w:val="none" w:sz="0" w:space="0" w:color="auto"/>
            <w:left w:val="none" w:sz="0" w:space="0" w:color="auto"/>
            <w:bottom w:val="none" w:sz="0" w:space="0" w:color="auto"/>
            <w:right w:val="none" w:sz="0" w:space="0" w:color="auto"/>
          </w:divBdr>
          <w:divsChild>
            <w:div w:id="1452362854">
              <w:marLeft w:val="0"/>
              <w:marRight w:val="0"/>
              <w:marTop w:val="0"/>
              <w:marBottom w:val="0"/>
              <w:divBdr>
                <w:top w:val="none" w:sz="0" w:space="0" w:color="auto"/>
                <w:left w:val="none" w:sz="0" w:space="0" w:color="auto"/>
                <w:bottom w:val="none" w:sz="0" w:space="0" w:color="auto"/>
                <w:right w:val="none" w:sz="0" w:space="0" w:color="auto"/>
              </w:divBdr>
              <w:divsChild>
                <w:div w:id="285350609">
                  <w:marLeft w:val="150"/>
                  <w:marRight w:val="150"/>
                  <w:marTop w:val="150"/>
                  <w:marBottom w:val="0"/>
                  <w:divBdr>
                    <w:top w:val="none" w:sz="0" w:space="0" w:color="auto"/>
                    <w:left w:val="none" w:sz="0" w:space="0" w:color="auto"/>
                    <w:bottom w:val="none" w:sz="0" w:space="0" w:color="auto"/>
                    <w:right w:val="none" w:sz="0" w:space="0" w:color="auto"/>
                  </w:divBdr>
                  <w:divsChild>
                    <w:div w:id="703139224">
                      <w:marLeft w:val="0"/>
                      <w:marRight w:val="0"/>
                      <w:marTop w:val="150"/>
                      <w:marBottom w:val="0"/>
                      <w:divBdr>
                        <w:top w:val="none" w:sz="0" w:space="0" w:color="auto"/>
                        <w:left w:val="none" w:sz="0" w:space="0" w:color="auto"/>
                        <w:bottom w:val="none" w:sz="0" w:space="0" w:color="auto"/>
                        <w:right w:val="none" w:sz="0" w:space="0" w:color="auto"/>
                      </w:divBdr>
                      <w:divsChild>
                        <w:div w:id="2066639230">
                          <w:marLeft w:val="0"/>
                          <w:marRight w:val="0"/>
                          <w:marTop w:val="0"/>
                          <w:marBottom w:val="0"/>
                          <w:divBdr>
                            <w:top w:val="none" w:sz="0" w:space="0" w:color="auto"/>
                            <w:left w:val="none" w:sz="0" w:space="0" w:color="auto"/>
                            <w:bottom w:val="none" w:sz="0" w:space="0" w:color="auto"/>
                            <w:right w:val="none" w:sz="0" w:space="0" w:color="auto"/>
                          </w:divBdr>
                          <w:divsChild>
                            <w:div w:id="496576067">
                              <w:marLeft w:val="0"/>
                              <w:marRight w:val="0"/>
                              <w:marTop w:val="0"/>
                              <w:marBottom w:val="0"/>
                              <w:divBdr>
                                <w:top w:val="none" w:sz="0" w:space="0" w:color="auto"/>
                                <w:left w:val="none" w:sz="0" w:space="0" w:color="auto"/>
                                <w:bottom w:val="none" w:sz="0" w:space="0" w:color="auto"/>
                                <w:right w:val="none" w:sz="0" w:space="0" w:color="auto"/>
                              </w:divBdr>
                              <w:divsChild>
                                <w:div w:id="1514345651">
                                  <w:marLeft w:val="0"/>
                                  <w:marRight w:val="0"/>
                                  <w:marTop w:val="0"/>
                                  <w:marBottom w:val="0"/>
                                  <w:divBdr>
                                    <w:top w:val="none" w:sz="0" w:space="0" w:color="auto"/>
                                    <w:left w:val="none" w:sz="0" w:space="0" w:color="auto"/>
                                    <w:bottom w:val="none" w:sz="0" w:space="0" w:color="auto"/>
                                    <w:right w:val="none" w:sz="0" w:space="0" w:color="auto"/>
                                  </w:divBdr>
                                  <w:divsChild>
                                    <w:div w:id="308557026">
                                      <w:marLeft w:val="0"/>
                                      <w:marRight w:val="0"/>
                                      <w:marTop w:val="0"/>
                                      <w:marBottom w:val="0"/>
                                      <w:divBdr>
                                        <w:top w:val="none" w:sz="0" w:space="0" w:color="auto"/>
                                        <w:left w:val="none" w:sz="0" w:space="0" w:color="auto"/>
                                        <w:bottom w:val="none" w:sz="0" w:space="0" w:color="auto"/>
                                        <w:right w:val="none" w:sz="0" w:space="0" w:color="auto"/>
                                      </w:divBdr>
                                      <w:divsChild>
                                        <w:div w:id="1828353750">
                                          <w:marLeft w:val="0"/>
                                          <w:marRight w:val="0"/>
                                          <w:marTop w:val="0"/>
                                          <w:marBottom w:val="0"/>
                                          <w:divBdr>
                                            <w:top w:val="none" w:sz="0" w:space="0" w:color="auto"/>
                                            <w:left w:val="none" w:sz="0" w:space="0" w:color="auto"/>
                                            <w:bottom w:val="none" w:sz="0" w:space="0" w:color="auto"/>
                                            <w:right w:val="none" w:sz="0" w:space="0" w:color="auto"/>
                                          </w:divBdr>
                                          <w:divsChild>
                                            <w:div w:id="1060204528">
                                              <w:marLeft w:val="0"/>
                                              <w:marRight w:val="0"/>
                                              <w:marTop w:val="0"/>
                                              <w:marBottom w:val="0"/>
                                              <w:divBdr>
                                                <w:top w:val="none" w:sz="0" w:space="0" w:color="auto"/>
                                                <w:left w:val="none" w:sz="0" w:space="0" w:color="auto"/>
                                                <w:bottom w:val="none" w:sz="0" w:space="0" w:color="auto"/>
                                                <w:right w:val="none" w:sz="0" w:space="0" w:color="auto"/>
                                              </w:divBdr>
                                              <w:divsChild>
                                                <w:div w:id="888419300">
                                                  <w:marLeft w:val="0"/>
                                                  <w:marRight w:val="0"/>
                                                  <w:marTop w:val="0"/>
                                                  <w:marBottom w:val="0"/>
                                                  <w:divBdr>
                                                    <w:top w:val="none" w:sz="0" w:space="0" w:color="auto"/>
                                                    <w:left w:val="none" w:sz="0" w:space="0" w:color="auto"/>
                                                    <w:bottom w:val="none" w:sz="0" w:space="0" w:color="auto"/>
                                                    <w:right w:val="none" w:sz="0" w:space="0" w:color="auto"/>
                                                  </w:divBdr>
                                                  <w:divsChild>
                                                    <w:div w:id="813986302">
                                                      <w:marLeft w:val="0"/>
                                                      <w:marRight w:val="0"/>
                                                      <w:marTop w:val="0"/>
                                                      <w:marBottom w:val="0"/>
                                                      <w:divBdr>
                                                        <w:top w:val="none" w:sz="0" w:space="0" w:color="auto"/>
                                                        <w:left w:val="none" w:sz="0" w:space="0" w:color="auto"/>
                                                        <w:bottom w:val="none" w:sz="0" w:space="0" w:color="auto"/>
                                                        <w:right w:val="none" w:sz="0" w:space="0" w:color="auto"/>
                                                      </w:divBdr>
                                                      <w:divsChild>
                                                        <w:div w:id="1500657699">
                                                          <w:marLeft w:val="0"/>
                                                          <w:marRight w:val="0"/>
                                                          <w:marTop w:val="0"/>
                                                          <w:marBottom w:val="0"/>
                                                          <w:divBdr>
                                                            <w:top w:val="none" w:sz="0" w:space="0" w:color="auto"/>
                                                            <w:left w:val="none" w:sz="0" w:space="0" w:color="auto"/>
                                                            <w:bottom w:val="none" w:sz="0" w:space="0" w:color="auto"/>
                                                            <w:right w:val="none" w:sz="0" w:space="0" w:color="auto"/>
                                                          </w:divBdr>
                                                          <w:divsChild>
                                                            <w:div w:id="14031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4239493">
      <w:bodyDiv w:val="1"/>
      <w:marLeft w:val="0"/>
      <w:marRight w:val="0"/>
      <w:marTop w:val="0"/>
      <w:marBottom w:val="0"/>
      <w:divBdr>
        <w:top w:val="none" w:sz="0" w:space="0" w:color="auto"/>
        <w:left w:val="none" w:sz="0" w:space="0" w:color="auto"/>
        <w:bottom w:val="none" w:sz="0" w:space="0" w:color="auto"/>
        <w:right w:val="none" w:sz="0" w:space="0" w:color="auto"/>
      </w:divBdr>
    </w:div>
    <w:div w:id="1060247510">
      <w:bodyDiv w:val="1"/>
      <w:marLeft w:val="0"/>
      <w:marRight w:val="0"/>
      <w:marTop w:val="0"/>
      <w:marBottom w:val="0"/>
      <w:divBdr>
        <w:top w:val="none" w:sz="0" w:space="0" w:color="auto"/>
        <w:left w:val="none" w:sz="0" w:space="0" w:color="auto"/>
        <w:bottom w:val="none" w:sz="0" w:space="0" w:color="auto"/>
        <w:right w:val="none" w:sz="0" w:space="0" w:color="auto"/>
      </w:divBdr>
      <w:divsChild>
        <w:div w:id="1173372650">
          <w:marLeft w:val="0"/>
          <w:marRight w:val="0"/>
          <w:marTop w:val="0"/>
          <w:marBottom w:val="0"/>
          <w:divBdr>
            <w:top w:val="none" w:sz="0" w:space="0" w:color="auto"/>
            <w:left w:val="none" w:sz="0" w:space="0" w:color="auto"/>
            <w:bottom w:val="none" w:sz="0" w:space="0" w:color="auto"/>
            <w:right w:val="none" w:sz="0" w:space="0" w:color="auto"/>
          </w:divBdr>
          <w:divsChild>
            <w:div w:id="1072503782">
              <w:marLeft w:val="0"/>
              <w:marRight w:val="0"/>
              <w:marTop w:val="0"/>
              <w:marBottom w:val="0"/>
              <w:divBdr>
                <w:top w:val="none" w:sz="0" w:space="0" w:color="auto"/>
                <w:left w:val="none" w:sz="0" w:space="0" w:color="auto"/>
                <w:bottom w:val="none" w:sz="0" w:space="0" w:color="auto"/>
                <w:right w:val="none" w:sz="0" w:space="0" w:color="auto"/>
              </w:divBdr>
              <w:divsChild>
                <w:div w:id="1151747492">
                  <w:marLeft w:val="0"/>
                  <w:marRight w:val="0"/>
                  <w:marTop w:val="0"/>
                  <w:marBottom w:val="0"/>
                  <w:divBdr>
                    <w:top w:val="none" w:sz="0" w:space="0" w:color="auto"/>
                    <w:left w:val="none" w:sz="0" w:space="0" w:color="auto"/>
                    <w:bottom w:val="none" w:sz="0" w:space="0" w:color="auto"/>
                    <w:right w:val="none" w:sz="0" w:space="0" w:color="auto"/>
                  </w:divBdr>
                  <w:divsChild>
                    <w:div w:id="2068258560">
                      <w:marLeft w:val="0"/>
                      <w:marRight w:val="0"/>
                      <w:marTop w:val="0"/>
                      <w:marBottom w:val="0"/>
                      <w:divBdr>
                        <w:top w:val="none" w:sz="0" w:space="0" w:color="auto"/>
                        <w:left w:val="none" w:sz="0" w:space="0" w:color="auto"/>
                        <w:bottom w:val="none" w:sz="0" w:space="0" w:color="auto"/>
                        <w:right w:val="none" w:sz="0" w:space="0" w:color="auto"/>
                      </w:divBdr>
                      <w:divsChild>
                        <w:div w:id="824783872">
                          <w:marLeft w:val="0"/>
                          <w:marRight w:val="0"/>
                          <w:marTop w:val="0"/>
                          <w:marBottom w:val="0"/>
                          <w:divBdr>
                            <w:top w:val="none" w:sz="0" w:space="0" w:color="auto"/>
                            <w:left w:val="none" w:sz="0" w:space="0" w:color="auto"/>
                            <w:bottom w:val="none" w:sz="0" w:space="0" w:color="auto"/>
                            <w:right w:val="none" w:sz="0" w:space="0" w:color="auto"/>
                          </w:divBdr>
                          <w:divsChild>
                            <w:div w:id="731124235">
                              <w:marLeft w:val="0"/>
                              <w:marRight w:val="0"/>
                              <w:marTop w:val="0"/>
                              <w:marBottom w:val="0"/>
                              <w:divBdr>
                                <w:top w:val="none" w:sz="0" w:space="0" w:color="auto"/>
                                <w:left w:val="none" w:sz="0" w:space="0" w:color="auto"/>
                                <w:bottom w:val="none" w:sz="0" w:space="0" w:color="auto"/>
                                <w:right w:val="none" w:sz="0" w:space="0" w:color="auto"/>
                              </w:divBdr>
                              <w:divsChild>
                                <w:div w:id="76287542">
                                  <w:marLeft w:val="0"/>
                                  <w:marRight w:val="0"/>
                                  <w:marTop w:val="0"/>
                                  <w:marBottom w:val="0"/>
                                  <w:divBdr>
                                    <w:top w:val="none" w:sz="0" w:space="0" w:color="auto"/>
                                    <w:left w:val="none" w:sz="0" w:space="0" w:color="auto"/>
                                    <w:bottom w:val="none" w:sz="0" w:space="0" w:color="auto"/>
                                    <w:right w:val="none" w:sz="0" w:space="0" w:color="auto"/>
                                  </w:divBdr>
                                  <w:divsChild>
                                    <w:div w:id="769348844">
                                      <w:marLeft w:val="0"/>
                                      <w:marRight w:val="0"/>
                                      <w:marTop w:val="0"/>
                                      <w:marBottom w:val="0"/>
                                      <w:divBdr>
                                        <w:top w:val="none" w:sz="0" w:space="0" w:color="auto"/>
                                        <w:left w:val="none" w:sz="0" w:space="0" w:color="auto"/>
                                        <w:bottom w:val="none" w:sz="0" w:space="0" w:color="auto"/>
                                        <w:right w:val="none" w:sz="0" w:space="0" w:color="auto"/>
                                      </w:divBdr>
                                      <w:divsChild>
                                        <w:div w:id="1880390079">
                                          <w:marLeft w:val="0"/>
                                          <w:marRight w:val="0"/>
                                          <w:marTop w:val="0"/>
                                          <w:marBottom w:val="0"/>
                                          <w:divBdr>
                                            <w:top w:val="none" w:sz="0" w:space="0" w:color="auto"/>
                                            <w:left w:val="none" w:sz="0" w:space="0" w:color="auto"/>
                                            <w:bottom w:val="none" w:sz="0" w:space="0" w:color="auto"/>
                                            <w:right w:val="none" w:sz="0" w:space="0" w:color="auto"/>
                                          </w:divBdr>
                                          <w:divsChild>
                                            <w:div w:id="551767809">
                                              <w:marLeft w:val="0"/>
                                              <w:marRight w:val="0"/>
                                              <w:marTop w:val="0"/>
                                              <w:marBottom w:val="0"/>
                                              <w:divBdr>
                                                <w:top w:val="none" w:sz="0" w:space="0" w:color="auto"/>
                                                <w:left w:val="none" w:sz="0" w:space="0" w:color="auto"/>
                                                <w:bottom w:val="none" w:sz="0" w:space="0" w:color="auto"/>
                                                <w:right w:val="none" w:sz="0" w:space="0" w:color="auto"/>
                                              </w:divBdr>
                                              <w:divsChild>
                                                <w:div w:id="484787386">
                                                  <w:marLeft w:val="0"/>
                                                  <w:marRight w:val="0"/>
                                                  <w:marTop w:val="240"/>
                                                  <w:marBottom w:val="240"/>
                                                  <w:divBdr>
                                                    <w:top w:val="none" w:sz="0" w:space="0" w:color="auto"/>
                                                    <w:left w:val="none" w:sz="0" w:space="0" w:color="auto"/>
                                                    <w:bottom w:val="none" w:sz="0" w:space="0" w:color="auto"/>
                                                    <w:right w:val="none" w:sz="0" w:space="0" w:color="auto"/>
                                                  </w:divBdr>
                                                </w:div>
                                                <w:div w:id="6091678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399012">
      <w:bodyDiv w:val="1"/>
      <w:marLeft w:val="0"/>
      <w:marRight w:val="0"/>
      <w:marTop w:val="0"/>
      <w:marBottom w:val="0"/>
      <w:divBdr>
        <w:top w:val="none" w:sz="0" w:space="0" w:color="auto"/>
        <w:left w:val="none" w:sz="0" w:space="0" w:color="auto"/>
        <w:bottom w:val="none" w:sz="0" w:space="0" w:color="auto"/>
        <w:right w:val="none" w:sz="0" w:space="0" w:color="auto"/>
      </w:divBdr>
      <w:divsChild>
        <w:div w:id="1468203016">
          <w:marLeft w:val="0"/>
          <w:marRight w:val="0"/>
          <w:marTop w:val="0"/>
          <w:marBottom w:val="0"/>
          <w:divBdr>
            <w:top w:val="none" w:sz="0" w:space="0" w:color="auto"/>
            <w:left w:val="none" w:sz="0" w:space="0" w:color="auto"/>
            <w:bottom w:val="none" w:sz="0" w:space="0" w:color="auto"/>
            <w:right w:val="none" w:sz="0" w:space="0" w:color="auto"/>
          </w:divBdr>
          <w:divsChild>
            <w:div w:id="1765540639">
              <w:marLeft w:val="0"/>
              <w:marRight w:val="0"/>
              <w:marTop w:val="0"/>
              <w:marBottom w:val="0"/>
              <w:divBdr>
                <w:top w:val="single" w:sz="6" w:space="0" w:color="CCCCCC"/>
                <w:left w:val="single" w:sz="6" w:space="0" w:color="CCCCCC"/>
                <w:bottom w:val="single" w:sz="6" w:space="0" w:color="CCCCCC"/>
                <w:right w:val="single" w:sz="6" w:space="0" w:color="CCCCCC"/>
              </w:divBdr>
              <w:divsChild>
                <w:div w:id="332031303">
                  <w:marLeft w:val="0"/>
                  <w:marRight w:val="0"/>
                  <w:marTop w:val="0"/>
                  <w:marBottom w:val="0"/>
                  <w:divBdr>
                    <w:top w:val="none" w:sz="0" w:space="0" w:color="auto"/>
                    <w:left w:val="none" w:sz="0" w:space="0" w:color="auto"/>
                    <w:bottom w:val="none" w:sz="0" w:space="0" w:color="auto"/>
                    <w:right w:val="none" w:sz="0" w:space="0" w:color="auto"/>
                  </w:divBdr>
                  <w:divsChild>
                    <w:div w:id="11024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9281">
      <w:bodyDiv w:val="1"/>
      <w:marLeft w:val="0"/>
      <w:marRight w:val="0"/>
      <w:marTop w:val="0"/>
      <w:marBottom w:val="0"/>
      <w:divBdr>
        <w:top w:val="none" w:sz="0" w:space="0" w:color="auto"/>
        <w:left w:val="none" w:sz="0" w:space="0" w:color="auto"/>
        <w:bottom w:val="none" w:sz="0" w:space="0" w:color="auto"/>
        <w:right w:val="none" w:sz="0" w:space="0" w:color="auto"/>
      </w:divBdr>
      <w:divsChild>
        <w:div w:id="2112621680">
          <w:marLeft w:val="0"/>
          <w:marRight w:val="0"/>
          <w:marTop w:val="0"/>
          <w:marBottom w:val="0"/>
          <w:divBdr>
            <w:top w:val="none" w:sz="0" w:space="0" w:color="auto"/>
            <w:left w:val="none" w:sz="0" w:space="0" w:color="auto"/>
            <w:bottom w:val="none" w:sz="0" w:space="0" w:color="auto"/>
            <w:right w:val="none" w:sz="0" w:space="0" w:color="auto"/>
          </w:divBdr>
          <w:divsChild>
            <w:div w:id="129178369">
              <w:marLeft w:val="0"/>
              <w:marRight w:val="0"/>
              <w:marTop w:val="0"/>
              <w:marBottom w:val="0"/>
              <w:divBdr>
                <w:top w:val="none" w:sz="0" w:space="0" w:color="auto"/>
                <w:left w:val="none" w:sz="0" w:space="0" w:color="auto"/>
                <w:bottom w:val="none" w:sz="0" w:space="0" w:color="auto"/>
                <w:right w:val="none" w:sz="0" w:space="0" w:color="auto"/>
              </w:divBdr>
            </w:div>
            <w:div w:id="195969529">
              <w:marLeft w:val="0"/>
              <w:marRight w:val="0"/>
              <w:marTop w:val="0"/>
              <w:marBottom w:val="0"/>
              <w:divBdr>
                <w:top w:val="none" w:sz="0" w:space="0" w:color="auto"/>
                <w:left w:val="none" w:sz="0" w:space="0" w:color="auto"/>
                <w:bottom w:val="none" w:sz="0" w:space="0" w:color="auto"/>
                <w:right w:val="none" w:sz="0" w:space="0" w:color="auto"/>
              </w:divBdr>
            </w:div>
            <w:div w:id="222444593">
              <w:marLeft w:val="0"/>
              <w:marRight w:val="0"/>
              <w:marTop w:val="0"/>
              <w:marBottom w:val="0"/>
              <w:divBdr>
                <w:top w:val="none" w:sz="0" w:space="0" w:color="auto"/>
                <w:left w:val="none" w:sz="0" w:space="0" w:color="auto"/>
                <w:bottom w:val="none" w:sz="0" w:space="0" w:color="auto"/>
                <w:right w:val="none" w:sz="0" w:space="0" w:color="auto"/>
              </w:divBdr>
            </w:div>
            <w:div w:id="806357537">
              <w:marLeft w:val="0"/>
              <w:marRight w:val="0"/>
              <w:marTop w:val="0"/>
              <w:marBottom w:val="0"/>
              <w:divBdr>
                <w:top w:val="none" w:sz="0" w:space="0" w:color="auto"/>
                <w:left w:val="none" w:sz="0" w:space="0" w:color="auto"/>
                <w:bottom w:val="none" w:sz="0" w:space="0" w:color="auto"/>
                <w:right w:val="none" w:sz="0" w:space="0" w:color="auto"/>
              </w:divBdr>
            </w:div>
            <w:div w:id="823622118">
              <w:marLeft w:val="0"/>
              <w:marRight w:val="0"/>
              <w:marTop w:val="0"/>
              <w:marBottom w:val="0"/>
              <w:divBdr>
                <w:top w:val="none" w:sz="0" w:space="0" w:color="auto"/>
                <w:left w:val="none" w:sz="0" w:space="0" w:color="auto"/>
                <w:bottom w:val="none" w:sz="0" w:space="0" w:color="auto"/>
                <w:right w:val="none" w:sz="0" w:space="0" w:color="auto"/>
              </w:divBdr>
            </w:div>
            <w:div w:id="999649737">
              <w:marLeft w:val="0"/>
              <w:marRight w:val="0"/>
              <w:marTop w:val="0"/>
              <w:marBottom w:val="0"/>
              <w:divBdr>
                <w:top w:val="none" w:sz="0" w:space="0" w:color="auto"/>
                <w:left w:val="none" w:sz="0" w:space="0" w:color="auto"/>
                <w:bottom w:val="none" w:sz="0" w:space="0" w:color="auto"/>
                <w:right w:val="none" w:sz="0" w:space="0" w:color="auto"/>
              </w:divBdr>
            </w:div>
            <w:div w:id="1059524206">
              <w:marLeft w:val="0"/>
              <w:marRight w:val="0"/>
              <w:marTop w:val="0"/>
              <w:marBottom w:val="0"/>
              <w:divBdr>
                <w:top w:val="none" w:sz="0" w:space="0" w:color="auto"/>
                <w:left w:val="none" w:sz="0" w:space="0" w:color="auto"/>
                <w:bottom w:val="none" w:sz="0" w:space="0" w:color="auto"/>
                <w:right w:val="none" w:sz="0" w:space="0" w:color="auto"/>
              </w:divBdr>
            </w:div>
            <w:div w:id="1079789944">
              <w:marLeft w:val="0"/>
              <w:marRight w:val="0"/>
              <w:marTop w:val="0"/>
              <w:marBottom w:val="0"/>
              <w:divBdr>
                <w:top w:val="none" w:sz="0" w:space="0" w:color="auto"/>
                <w:left w:val="none" w:sz="0" w:space="0" w:color="auto"/>
                <w:bottom w:val="none" w:sz="0" w:space="0" w:color="auto"/>
                <w:right w:val="none" w:sz="0" w:space="0" w:color="auto"/>
              </w:divBdr>
            </w:div>
            <w:div w:id="1101485847">
              <w:marLeft w:val="0"/>
              <w:marRight w:val="0"/>
              <w:marTop w:val="0"/>
              <w:marBottom w:val="0"/>
              <w:divBdr>
                <w:top w:val="none" w:sz="0" w:space="0" w:color="auto"/>
                <w:left w:val="none" w:sz="0" w:space="0" w:color="auto"/>
                <w:bottom w:val="none" w:sz="0" w:space="0" w:color="auto"/>
                <w:right w:val="none" w:sz="0" w:space="0" w:color="auto"/>
              </w:divBdr>
            </w:div>
            <w:div w:id="1142886689">
              <w:marLeft w:val="0"/>
              <w:marRight w:val="0"/>
              <w:marTop w:val="0"/>
              <w:marBottom w:val="0"/>
              <w:divBdr>
                <w:top w:val="none" w:sz="0" w:space="0" w:color="auto"/>
                <w:left w:val="none" w:sz="0" w:space="0" w:color="auto"/>
                <w:bottom w:val="none" w:sz="0" w:space="0" w:color="auto"/>
                <w:right w:val="none" w:sz="0" w:space="0" w:color="auto"/>
              </w:divBdr>
            </w:div>
            <w:div w:id="1238780042">
              <w:marLeft w:val="0"/>
              <w:marRight w:val="0"/>
              <w:marTop w:val="0"/>
              <w:marBottom w:val="0"/>
              <w:divBdr>
                <w:top w:val="none" w:sz="0" w:space="0" w:color="auto"/>
                <w:left w:val="none" w:sz="0" w:space="0" w:color="auto"/>
                <w:bottom w:val="none" w:sz="0" w:space="0" w:color="auto"/>
                <w:right w:val="none" w:sz="0" w:space="0" w:color="auto"/>
              </w:divBdr>
            </w:div>
            <w:div w:id="1886864414">
              <w:marLeft w:val="0"/>
              <w:marRight w:val="0"/>
              <w:marTop w:val="0"/>
              <w:marBottom w:val="0"/>
              <w:divBdr>
                <w:top w:val="none" w:sz="0" w:space="0" w:color="auto"/>
                <w:left w:val="none" w:sz="0" w:space="0" w:color="auto"/>
                <w:bottom w:val="none" w:sz="0" w:space="0" w:color="auto"/>
                <w:right w:val="none" w:sz="0" w:space="0" w:color="auto"/>
              </w:divBdr>
            </w:div>
            <w:div w:id="21252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8536">
      <w:bodyDiv w:val="1"/>
      <w:marLeft w:val="0"/>
      <w:marRight w:val="0"/>
      <w:marTop w:val="0"/>
      <w:marBottom w:val="0"/>
      <w:divBdr>
        <w:top w:val="none" w:sz="0" w:space="0" w:color="auto"/>
        <w:left w:val="none" w:sz="0" w:space="0" w:color="auto"/>
        <w:bottom w:val="none" w:sz="0" w:space="0" w:color="auto"/>
        <w:right w:val="none" w:sz="0" w:space="0" w:color="auto"/>
      </w:divBdr>
    </w:div>
    <w:div w:id="1120026783">
      <w:bodyDiv w:val="1"/>
      <w:marLeft w:val="0"/>
      <w:marRight w:val="0"/>
      <w:marTop w:val="0"/>
      <w:marBottom w:val="0"/>
      <w:divBdr>
        <w:top w:val="none" w:sz="0" w:space="0" w:color="auto"/>
        <w:left w:val="none" w:sz="0" w:space="0" w:color="auto"/>
        <w:bottom w:val="none" w:sz="0" w:space="0" w:color="auto"/>
        <w:right w:val="none" w:sz="0" w:space="0" w:color="auto"/>
      </w:divBdr>
      <w:divsChild>
        <w:div w:id="322927863">
          <w:marLeft w:val="0"/>
          <w:marRight w:val="0"/>
          <w:marTop w:val="0"/>
          <w:marBottom w:val="0"/>
          <w:divBdr>
            <w:top w:val="none" w:sz="0" w:space="0" w:color="auto"/>
            <w:left w:val="none" w:sz="0" w:space="0" w:color="auto"/>
            <w:bottom w:val="none" w:sz="0" w:space="0" w:color="auto"/>
            <w:right w:val="none" w:sz="0" w:space="0" w:color="auto"/>
          </w:divBdr>
          <w:divsChild>
            <w:div w:id="1777674180">
              <w:marLeft w:val="0"/>
              <w:marRight w:val="0"/>
              <w:marTop w:val="0"/>
              <w:marBottom w:val="0"/>
              <w:divBdr>
                <w:top w:val="none" w:sz="0" w:space="0" w:color="auto"/>
                <w:left w:val="none" w:sz="0" w:space="0" w:color="auto"/>
                <w:bottom w:val="none" w:sz="0" w:space="0" w:color="auto"/>
                <w:right w:val="none" w:sz="0" w:space="0" w:color="auto"/>
              </w:divBdr>
              <w:divsChild>
                <w:div w:id="280041686">
                  <w:marLeft w:val="150"/>
                  <w:marRight w:val="150"/>
                  <w:marTop w:val="150"/>
                  <w:marBottom w:val="0"/>
                  <w:divBdr>
                    <w:top w:val="none" w:sz="0" w:space="0" w:color="auto"/>
                    <w:left w:val="none" w:sz="0" w:space="0" w:color="auto"/>
                    <w:bottom w:val="none" w:sz="0" w:space="0" w:color="auto"/>
                    <w:right w:val="none" w:sz="0" w:space="0" w:color="auto"/>
                  </w:divBdr>
                  <w:divsChild>
                    <w:div w:id="513423401">
                      <w:marLeft w:val="0"/>
                      <w:marRight w:val="0"/>
                      <w:marTop w:val="150"/>
                      <w:marBottom w:val="0"/>
                      <w:divBdr>
                        <w:top w:val="none" w:sz="0" w:space="0" w:color="auto"/>
                        <w:left w:val="none" w:sz="0" w:space="0" w:color="auto"/>
                        <w:bottom w:val="none" w:sz="0" w:space="0" w:color="auto"/>
                        <w:right w:val="none" w:sz="0" w:space="0" w:color="auto"/>
                      </w:divBdr>
                      <w:divsChild>
                        <w:div w:id="1035083228">
                          <w:marLeft w:val="0"/>
                          <w:marRight w:val="0"/>
                          <w:marTop w:val="0"/>
                          <w:marBottom w:val="0"/>
                          <w:divBdr>
                            <w:top w:val="none" w:sz="0" w:space="0" w:color="auto"/>
                            <w:left w:val="none" w:sz="0" w:space="0" w:color="auto"/>
                            <w:bottom w:val="none" w:sz="0" w:space="0" w:color="auto"/>
                            <w:right w:val="none" w:sz="0" w:space="0" w:color="auto"/>
                          </w:divBdr>
                          <w:divsChild>
                            <w:div w:id="1286699382">
                              <w:marLeft w:val="0"/>
                              <w:marRight w:val="0"/>
                              <w:marTop w:val="0"/>
                              <w:marBottom w:val="0"/>
                              <w:divBdr>
                                <w:top w:val="none" w:sz="0" w:space="0" w:color="auto"/>
                                <w:left w:val="none" w:sz="0" w:space="0" w:color="auto"/>
                                <w:bottom w:val="none" w:sz="0" w:space="0" w:color="auto"/>
                                <w:right w:val="none" w:sz="0" w:space="0" w:color="auto"/>
                              </w:divBdr>
                              <w:divsChild>
                                <w:div w:id="2085567684">
                                  <w:marLeft w:val="0"/>
                                  <w:marRight w:val="0"/>
                                  <w:marTop w:val="0"/>
                                  <w:marBottom w:val="0"/>
                                  <w:divBdr>
                                    <w:top w:val="none" w:sz="0" w:space="0" w:color="auto"/>
                                    <w:left w:val="none" w:sz="0" w:space="0" w:color="auto"/>
                                    <w:bottom w:val="none" w:sz="0" w:space="0" w:color="auto"/>
                                    <w:right w:val="none" w:sz="0" w:space="0" w:color="auto"/>
                                  </w:divBdr>
                                  <w:divsChild>
                                    <w:div w:id="90244650">
                                      <w:marLeft w:val="0"/>
                                      <w:marRight w:val="0"/>
                                      <w:marTop w:val="0"/>
                                      <w:marBottom w:val="0"/>
                                      <w:divBdr>
                                        <w:top w:val="none" w:sz="0" w:space="0" w:color="auto"/>
                                        <w:left w:val="none" w:sz="0" w:space="0" w:color="auto"/>
                                        <w:bottom w:val="none" w:sz="0" w:space="0" w:color="auto"/>
                                        <w:right w:val="none" w:sz="0" w:space="0" w:color="auto"/>
                                      </w:divBdr>
                                      <w:divsChild>
                                        <w:div w:id="628819718">
                                          <w:marLeft w:val="0"/>
                                          <w:marRight w:val="0"/>
                                          <w:marTop w:val="0"/>
                                          <w:marBottom w:val="0"/>
                                          <w:divBdr>
                                            <w:top w:val="none" w:sz="0" w:space="0" w:color="auto"/>
                                            <w:left w:val="none" w:sz="0" w:space="0" w:color="auto"/>
                                            <w:bottom w:val="none" w:sz="0" w:space="0" w:color="auto"/>
                                            <w:right w:val="none" w:sz="0" w:space="0" w:color="auto"/>
                                          </w:divBdr>
                                          <w:divsChild>
                                            <w:div w:id="506290924">
                                              <w:marLeft w:val="0"/>
                                              <w:marRight w:val="0"/>
                                              <w:marTop w:val="0"/>
                                              <w:marBottom w:val="0"/>
                                              <w:divBdr>
                                                <w:top w:val="none" w:sz="0" w:space="0" w:color="auto"/>
                                                <w:left w:val="none" w:sz="0" w:space="0" w:color="auto"/>
                                                <w:bottom w:val="none" w:sz="0" w:space="0" w:color="auto"/>
                                                <w:right w:val="none" w:sz="0" w:space="0" w:color="auto"/>
                                              </w:divBdr>
                                              <w:divsChild>
                                                <w:div w:id="11260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615155">
      <w:bodyDiv w:val="1"/>
      <w:marLeft w:val="0"/>
      <w:marRight w:val="0"/>
      <w:marTop w:val="0"/>
      <w:marBottom w:val="0"/>
      <w:divBdr>
        <w:top w:val="none" w:sz="0" w:space="0" w:color="auto"/>
        <w:left w:val="none" w:sz="0" w:space="0" w:color="auto"/>
        <w:bottom w:val="none" w:sz="0" w:space="0" w:color="auto"/>
        <w:right w:val="none" w:sz="0" w:space="0" w:color="auto"/>
      </w:divBdr>
      <w:divsChild>
        <w:div w:id="1252855107">
          <w:marLeft w:val="0"/>
          <w:marRight w:val="0"/>
          <w:marTop w:val="0"/>
          <w:marBottom w:val="0"/>
          <w:divBdr>
            <w:top w:val="none" w:sz="0" w:space="0" w:color="auto"/>
            <w:left w:val="none" w:sz="0" w:space="0" w:color="auto"/>
            <w:bottom w:val="none" w:sz="0" w:space="0" w:color="auto"/>
            <w:right w:val="none" w:sz="0" w:space="0" w:color="auto"/>
          </w:divBdr>
          <w:divsChild>
            <w:div w:id="1020467284">
              <w:marLeft w:val="0"/>
              <w:marRight w:val="0"/>
              <w:marTop w:val="0"/>
              <w:marBottom w:val="0"/>
              <w:divBdr>
                <w:top w:val="none" w:sz="0" w:space="0" w:color="auto"/>
                <w:left w:val="none" w:sz="0" w:space="0" w:color="auto"/>
                <w:bottom w:val="none" w:sz="0" w:space="0" w:color="auto"/>
                <w:right w:val="none" w:sz="0" w:space="0" w:color="auto"/>
              </w:divBdr>
              <w:divsChild>
                <w:div w:id="1234043335">
                  <w:marLeft w:val="0"/>
                  <w:marRight w:val="0"/>
                  <w:marTop w:val="0"/>
                  <w:marBottom w:val="0"/>
                  <w:divBdr>
                    <w:top w:val="none" w:sz="0" w:space="0" w:color="auto"/>
                    <w:left w:val="none" w:sz="0" w:space="0" w:color="auto"/>
                    <w:bottom w:val="none" w:sz="0" w:space="0" w:color="auto"/>
                    <w:right w:val="none" w:sz="0" w:space="0" w:color="auto"/>
                  </w:divBdr>
                  <w:divsChild>
                    <w:div w:id="1737164595">
                      <w:marLeft w:val="0"/>
                      <w:marRight w:val="0"/>
                      <w:marTop w:val="0"/>
                      <w:marBottom w:val="225"/>
                      <w:divBdr>
                        <w:top w:val="none" w:sz="0" w:space="0" w:color="auto"/>
                        <w:left w:val="none" w:sz="0" w:space="0" w:color="auto"/>
                        <w:bottom w:val="single" w:sz="18" w:space="0" w:color="216CA5"/>
                        <w:right w:val="none" w:sz="0" w:space="0" w:color="auto"/>
                      </w:divBdr>
                      <w:divsChild>
                        <w:div w:id="8338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184470">
      <w:bodyDiv w:val="1"/>
      <w:marLeft w:val="0"/>
      <w:marRight w:val="0"/>
      <w:marTop w:val="0"/>
      <w:marBottom w:val="0"/>
      <w:divBdr>
        <w:top w:val="none" w:sz="0" w:space="0" w:color="auto"/>
        <w:left w:val="none" w:sz="0" w:space="0" w:color="auto"/>
        <w:bottom w:val="none" w:sz="0" w:space="0" w:color="auto"/>
        <w:right w:val="none" w:sz="0" w:space="0" w:color="auto"/>
      </w:divBdr>
      <w:divsChild>
        <w:div w:id="24211906">
          <w:marLeft w:val="0"/>
          <w:marRight w:val="0"/>
          <w:marTop w:val="0"/>
          <w:marBottom w:val="0"/>
          <w:divBdr>
            <w:top w:val="none" w:sz="0" w:space="0" w:color="auto"/>
            <w:left w:val="none" w:sz="0" w:space="0" w:color="auto"/>
            <w:bottom w:val="none" w:sz="0" w:space="0" w:color="auto"/>
            <w:right w:val="none" w:sz="0" w:space="0" w:color="auto"/>
          </w:divBdr>
        </w:div>
        <w:div w:id="104351730">
          <w:marLeft w:val="0"/>
          <w:marRight w:val="0"/>
          <w:marTop w:val="0"/>
          <w:marBottom w:val="0"/>
          <w:divBdr>
            <w:top w:val="none" w:sz="0" w:space="0" w:color="auto"/>
            <w:left w:val="none" w:sz="0" w:space="0" w:color="auto"/>
            <w:bottom w:val="none" w:sz="0" w:space="0" w:color="auto"/>
            <w:right w:val="none" w:sz="0" w:space="0" w:color="auto"/>
          </w:divBdr>
        </w:div>
        <w:div w:id="285284793">
          <w:marLeft w:val="0"/>
          <w:marRight w:val="0"/>
          <w:marTop w:val="0"/>
          <w:marBottom w:val="0"/>
          <w:divBdr>
            <w:top w:val="none" w:sz="0" w:space="0" w:color="auto"/>
            <w:left w:val="none" w:sz="0" w:space="0" w:color="auto"/>
            <w:bottom w:val="none" w:sz="0" w:space="0" w:color="auto"/>
            <w:right w:val="none" w:sz="0" w:space="0" w:color="auto"/>
          </w:divBdr>
        </w:div>
        <w:div w:id="374156927">
          <w:marLeft w:val="0"/>
          <w:marRight w:val="0"/>
          <w:marTop w:val="0"/>
          <w:marBottom w:val="0"/>
          <w:divBdr>
            <w:top w:val="none" w:sz="0" w:space="0" w:color="auto"/>
            <w:left w:val="none" w:sz="0" w:space="0" w:color="auto"/>
            <w:bottom w:val="none" w:sz="0" w:space="0" w:color="auto"/>
            <w:right w:val="none" w:sz="0" w:space="0" w:color="auto"/>
          </w:divBdr>
        </w:div>
        <w:div w:id="500856779">
          <w:marLeft w:val="0"/>
          <w:marRight w:val="0"/>
          <w:marTop w:val="0"/>
          <w:marBottom w:val="0"/>
          <w:divBdr>
            <w:top w:val="none" w:sz="0" w:space="0" w:color="auto"/>
            <w:left w:val="none" w:sz="0" w:space="0" w:color="auto"/>
            <w:bottom w:val="none" w:sz="0" w:space="0" w:color="auto"/>
            <w:right w:val="none" w:sz="0" w:space="0" w:color="auto"/>
          </w:divBdr>
        </w:div>
        <w:div w:id="692419433">
          <w:marLeft w:val="0"/>
          <w:marRight w:val="0"/>
          <w:marTop w:val="0"/>
          <w:marBottom w:val="0"/>
          <w:divBdr>
            <w:top w:val="none" w:sz="0" w:space="0" w:color="auto"/>
            <w:left w:val="none" w:sz="0" w:space="0" w:color="auto"/>
            <w:bottom w:val="none" w:sz="0" w:space="0" w:color="auto"/>
            <w:right w:val="none" w:sz="0" w:space="0" w:color="auto"/>
          </w:divBdr>
        </w:div>
        <w:div w:id="695037886">
          <w:marLeft w:val="0"/>
          <w:marRight w:val="0"/>
          <w:marTop w:val="0"/>
          <w:marBottom w:val="0"/>
          <w:divBdr>
            <w:top w:val="none" w:sz="0" w:space="0" w:color="auto"/>
            <w:left w:val="none" w:sz="0" w:space="0" w:color="auto"/>
            <w:bottom w:val="none" w:sz="0" w:space="0" w:color="auto"/>
            <w:right w:val="none" w:sz="0" w:space="0" w:color="auto"/>
          </w:divBdr>
        </w:div>
        <w:div w:id="878515712">
          <w:marLeft w:val="0"/>
          <w:marRight w:val="0"/>
          <w:marTop w:val="0"/>
          <w:marBottom w:val="0"/>
          <w:divBdr>
            <w:top w:val="none" w:sz="0" w:space="0" w:color="auto"/>
            <w:left w:val="none" w:sz="0" w:space="0" w:color="auto"/>
            <w:bottom w:val="none" w:sz="0" w:space="0" w:color="auto"/>
            <w:right w:val="none" w:sz="0" w:space="0" w:color="auto"/>
          </w:divBdr>
        </w:div>
        <w:div w:id="1063482123">
          <w:marLeft w:val="0"/>
          <w:marRight w:val="0"/>
          <w:marTop w:val="0"/>
          <w:marBottom w:val="0"/>
          <w:divBdr>
            <w:top w:val="none" w:sz="0" w:space="0" w:color="auto"/>
            <w:left w:val="none" w:sz="0" w:space="0" w:color="auto"/>
            <w:bottom w:val="none" w:sz="0" w:space="0" w:color="auto"/>
            <w:right w:val="none" w:sz="0" w:space="0" w:color="auto"/>
          </w:divBdr>
        </w:div>
        <w:div w:id="1092900507">
          <w:marLeft w:val="0"/>
          <w:marRight w:val="0"/>
          <w:marTop w:val="0"/>
          <w:marBottom w:val="0"/>
          <w:divBdr>
            <w:top w:val="none" w:sz="0" w:space="0" w:color="auto"/>
            <w:left w:val="none" w:sz="0" w:space="0" w:color="auto"/>
            <w:bottom w:val="none" w:sz="0" w:space="0" w:color="auto"/>
            <w:right w:val="none" w:sz="0" w:space="0" w:color="auto"/>
          </w:divBdr>
        </w:div>
        <w:div w:id="1124226526">
          <w:marLeft w:val="0"/>
          <w:marRight w:val="0"/>
          <w:marTop w:val="0"/>
          <w:marBottom w:val="0"/>
          <w:divBdr>
            <w:top w:val="none" w:sz="0" w:space="0" w:color="auto"/>
            <w:left w:val="none" w:sz="0" w:space="0" w:color="auto"/>
            <w:bottom w:val="none" w:sz="0" w:space="0" w:color="auto"/>
            <w:right w:val="none" w:sz="0" w:space="0" w:color="auto"/>
          </w:divBdr>
        </w:div>
        <w:div w:id="1280068935">
          <w:marLeft w:val="0"/>
          <w:marRight w:val="0"/>
          <w:marTop w:val="0"/>
          <w:marBottom w:val="0"/>
          <w:divBdr>
            <w:top w:val="none" w:sz="0" w:space="0" w:color="auto"/>
            <w:left w:val="none" w:sz="0" w:space="0" w:color="auto"/>
            <w:bottom w:val="none" w:sz="0" w:space="0" w:color="auto"/>
            <w:right w:val="none" w:sz="0" w:space="0" w:color="auto"/>
          </w:divBdr>
        </w:div>
        <w:div w:id="1417359078">
          <w:marLeft w:val="0"/>
          <w:marRight w:val="0"/>
          <w:marTop w:val="0"/>
          <w:marBottom w:val="0"/>
          <w:divBdr>
            <w:top w:val="none" w:sz="0" w:space="0" w:color="auto"/>
            <w:left w:val="none" w:sz="0" w:space="0" w:color="auto"/>
            <w:bottom w:val="none" w:sz="0" w:space="0" w:color="auto"/>
            <w:right w:val="none" w:sz="0" w:space="0" w:color="auto"/>
          </w:divBdr>
        </w:div>
        <w:div w:id="1490704992">
          <w:marLeft w:val="0"/>
          <w:marRight w:val="0"/>
          <w:marTop w:val="0"/>
          <w:marBottom w:val="0"/>
          <w:divBdr>
            <w:top w:val="none" w:sz="0" w:space="0" w:color="auto"/>
            <w:left w:val="none" w:sz="0" w:space="0" w:color="auto"/>
            <w:bottom w:val="none" w:sz="0" w:space="0" w:color="auto"/>
            <w:right w:val="none" w:sz="0" w:space="0" w:color="auto"/>
          </w:divBdr>
        </w:div>
        <w:div w:id="1628850314">
          <w:marLeft w:val="0"/>
          <w:marRight w:val="0"/>
          <w:marTop w:val="0"/>
          <w:marBottom w:val="0"/>
          <w:divBdr>
            <w:top w:val="none" w:sz="0" w:space="0" w:color="auto"/>
            <w:left w:val="none" w:sz="0" w:space="0" w:color="auto"/>
            <w:bottom w:val="none" w:sz="0" w:space="0" w:color="auto"/>
            <w:right w:val="none" w:sz="0" w:space="0" w:color="auto"/>
          </w:divBdr>
        </w:div>
        <w:div w:id="1819107539">
          <w:marLeft w:val="0"/>
          <w:marRight w:val="0"/>
          <w:marTop w:val="0"/>
          <w:marBottom w:val="0"/>
          <w:divBdr>
            <w:top w:val="none" w:sz="0" w:space="0" w:color="auto"/>
            <w:left w:val="none" w:sz="0" w:space="0" w:color="auto"/>
            <w:bottom w:val="none" w:sz="0" w:space="0" w:color="auto"/>
            <w:right w:val="none" w:sz="0" w:space="0" w:color="auto"/>
          </w:divBdr>
        </w:div>
        <w:div w:id="2081977098">
          <w:marLeft w:val="0"/>
          <w:marRight w:val="0"/>
          <w:marTop w:val="0"/>
          <w:marBottom w:val="0"/>
          <w:divBdr>
            <w:top w:val="none" w:sz="0" w:space="0" w:color="auto"/>
            <w:left w:val="none" w:sz="0" w:space="0" w:color="auto"/>
            <w:bottom w:val="none" w:sz="0" w:space="0" w:color="auto"/>
            <w:right w:val="none" w:sz="0" w:space="0" w:color="auto"/>
          </w:divBdr>
        </w:div>
      </w:divsChild>
    </w:div>
    <w:div w:id="1221526252">
      <w:bodyDiv w:val="1"/>
      <w:marLeft w:val="150"/>
      <w:marRight w:val="75"/>
      <w:marTop w:val="0"/>
      <w:marBottom w:val="150"/>
      <w:divBdr>
        <w:top w:val="none" w:sz="0" w:space="0" w:color="auto"/>
        <w:left w:val="none" w:sz="0" w:space="0" w:color="auto"/>
        <w:bottom w:val="none" w:sz="0" w:space="0" w:color="auto"/>
        <w:right w:val="none" w:sz="0" w:space="0" w:color="auto"/>
      </w:divBdr>
      <w:divsChild>
        <w:div w:id="642347797">
          <w:blockQuote w:val="1"/>
          <w:marLeft w:val="720"/>
          <w:marRight w:val="720"/>
          <w:marTop w:val="100"/>
          <w:marBottom w:val="100"/>
          <w:divBdr>
            <w:top w:val="single" w:sz="6" w:space="0" w:color="000000"/>
            <w:left w:val="single" w:sz="6" w:space="23" w:color="000000"/>
            <w:bottom w:val="single" w:sz="6" w:space="0" w:color="000000"/>
            <w:right w:val="single" w:sz="6" w:space="23" w:color="000000"/>
          </w:divBdr>
        </w:div>
      </w:divsChild>
    </w:div>
    <w:div w:id="1353604819">
      <w:bodyDiv w:val="1"/>
      <w:marLeft w:val="0"/>
      <w:marRight w:val="0"/>
      <w:marTop w:val="0"/>
      <w:marBottom w:val="0"/>
      <w:divBdr>
        <w:top w:val="none" w:sz="0" w:space="0" w:color="auto"/>
        <w:left w:val="none" w:sz="0" w:space="0" w:color="auto"/>
        <w:bottom w:val="none" w:sz="0" w:space="0" w:color="auto"/>
        <w:right w:val="none" w:sz="0" w:space="0" w:color="auto"/>
      </w:divBdr>
      <w:divsChild>
        <w:div w:id="1975788505">
          <w:marLeft w:val="0"/>
          <w:marRight w:val="0"/>
          <w:marTop w:val="0"/>
          <w:marBottom w:val="0"/>
          <w:divBdr>
            <w:top w:val="none" w:sz="0" w:space="0" w:color="auto"/>
            <w:left w:val="none" w:sz="0" w:space="0" w:color="auto"/>
            <w:bottom w:val="none" w:sz="0" w:space="0" w:color="auto"/>
            <w:right w:val="none" w:sz="0" w:space="0" w:color="auto"/>
          </w:divBdr>
          <w:divsChild>
            <w:div w:id="168368743">
              <w:marLeft w:val="0"/>
              <w:marRight w:val="0"/>
              <w:marTop w:val="0"/>
              <w:marBottom w:val="0"/>
              <w:divBdr>
                <w:top w:val="none" w:sz="0" w:space="0" w:color="auto"/>
                <w:left w:val="none" w:sz="0" w:space="0" w:color="auto"/>
                <w:bottom w:val="none" w:sz="0" w:space="0" w:color="auto"/>
                <w:right w:val="none" w:sz="0" w:space="0" w:color="auto"/>
              </w:divBdr>
            </w:div>
            <w:div w:id="571235550">
              <w:marLeft w:val="0"/>
              <w:marRight w:val="0"/>
              <w:marTop w:val="0"/>
              <w:marBottom w:val="0"/>
              <w:divBdr>
                <w:top w:val="none" w:sz="0" w:space="0" w:color="auto"/>
                <w:left w:val="none" w:sz="0" w:space="0" w:color="auto"/>
                <w:bottom w:val="none" w:sz="0" w:space="0" w:color="auto"/>
                <w:right w:val="none" w:sz="0" w:space="0" w:color="auto"/>
              </w:divBdr>
            </w:div>
            <w:div w:id="712467471">
              <w:marLeft w:val="0"/>
              <w:marRight w:val="0"/>
              <w:marTop w:val="0"/>
              <w:marBottom w:val="0"/>
              <w:divBdr>
                <w:top w:val="none" w:sz="0" w:space="0" w:color="auto"/>
                <w:left w:val="none" w:sz="0" w:space="0" w:color="auto"/>
                <w:bottom w:val="none" w:sz="0" w:space="0" w:color="auto"/>
                <w:right w:val="none" w:sz="0" w:space="0" w:color="auto"/>
              </w:divBdr>
            </w:div>
            <w:div w:id="744689643">
              <w:marLeft w:val="0"/>
              <w:marRight w:val="0"/>
              <w:marTop w:val="0"/>
              <w:marBottom w:val="0"/>
              <w:divBdr>
                <w:top w:val="none" w:sz="0" w:space="0" w:color="auto"/>
                <w:left w:val="none" w:sz="0" w:space="0" w:color="auto"/>
                <w:bottom w:val="none" w:sz="0" w:space="0" w:color="auto"/>
                <w:right w:val="none" w:sz="0" w:space="0" w:color="auto"/>
              </w:divBdr>
            </w:div>
            <w:div w:id="828063617">
              <w:marLeft w:val="0"/>
              <w:marRight w:val="0"/>
              <w:marTop w:val="0"/>
              <w:marBottom w:val="0"/>
              <w:divBdr>
                <w:top w:val="none" w:sz="0" w:space="0" w:color="auto"/>
                <w:left w:val="none" w:sz="0" w:space="0" w:color="auto"/>
                <w:bottom w:val="none" w:sz="0" w:space="0" w:color="auto"/>
                <w:right w:val="none" w:sz="0" w:space="0" w:color="auto"/>
              </w:divBdr>
            </w:div>
            <w:div w:id="879249356">
              <w:marLeft w:val="0"/>
              <w:marRight w:val="0"/>
              <w:marTop w:val="0"/>
              <w:marBottom w:val="0"/>
              <w:divBdr>
                <w:top w:val="none" w:sz="0" w:space="0" w:color="auto"/>
                <w:left w:val="none" w:sz="0" w:space="0" w:color="auto"/>
                <w:bottom w:val="none" w:sz="0" w:space="0" w:color="auto"/>
                <w:right w:val="none" w:sz="0" w:space="0" w:color="auto"/>
              </w:divBdr>
            </w:div>
            <w:div w:id="1237547630">
              <w:marLeft w:val="0"/>
              <w:marRight w:val="0"/>
              <w:marTop w:val="0"/>
              <w:marBottom w:val="0"/>
              <w:divBdr>
                <w:top w:val="none" w:sz="0" w:space="0" w:color="auto"/>
                <w:left w:val="none" w:sz="0" w:space="0" w:color="auto"/>
                <w:bottom w:val="none" w:sz="0" w:space="0" w:color="auto"/>
                <w:right w:val="none" w:sz="0" w:space="0" w:color="auto"/>
              </w:divBdr>
            </w:div>
            <w:div w:id="1354498593">
              <w:marLeft w:val="0"/>
              <w:marRight w:val="0"/>
              <w:marTop w:val="0"/>
              <w:marBottom w:val="0"/>
              <w:divBdr>
                <w:top w:val="none" w:sz="0" w:space="0" w:color="auto"/>
                <w:left w:val="none" w:sz="0" w:space="0" w:color="auto"/>
                <w:bottom w:val="none" w:sz="0" w:space="0" w:color="auto"/>
                <w:right w:val="none" w:sz="0" w:space="0" w:color="auto"/>
              </w:divBdr>
            </w:div>
            <w:div w:id="1679650717">
              <w:marLeft w:val="0"/>
              <w:marRight w:val="0"/>
              <w:marTop w:val="0"/>
              <w:marBottom w:val="0"/>
              <w:divBdr>
                <w:top w:val="none" w:sz="0" w:space="0" w:color="auto"/>
                <w:left w:val="none" w:sz="0" w:space="0" w:color="auto"/>
                <w:bottom w:val="none" w:sz="0" w:space="0" w:color="auto"/>
                <w:right w:val="none" w:sz="0" w:space="0" w:color="auto"/>
              </w:divBdr>
            </w:div>
            <w:div w:id="20898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799">
      <w:bodyDiv w:val="1"/>
      <w:marLeft w:val="0"/>
      <w:marRight w:val="0"/>
      <w:marTop w:val="0"/>
      <w:marBottom w:val="0"/>
      <w:divBdr>
        <w:top w:val="none" w:sz="0" w:space="0" w:color="auto"/>
        <w:left w:val="none" w:sz="0" w:space="0" w:color="auto"/>
        <w:bottom w:val="none" w:sz="0" w:space="0" w:color="auto"/>
        <w:right w:val="none" w:sz="0" w:space="0" w:color="auto"/>
      </w:divBdr>
    </w:div>
    <w:div w:id="1366951799">
      <w:bodyDiv w:val="1"/>
      <w:marLeft w:val="0"/>
      <w:marRight w:val="0"/>
      <w:marTop w:val="0"/>
      <w:marBottom w:val="0"/>
      <w:divBdr>
        <w:top w:val="none" w:sz="0" w:space="0" w:color="auto"/>
        <w:left w:val="none" w:sz="0" w:space="0" w:color="auto"/>
        <w:bottom w:val="none" w:sz="0" w:space="0" w:color="auto"/>
        <w:right w:val="none" w:sz="0" w:space="0" w:color="auto"/>
      </w:divBdr>
      <w:divsChild>
        <w:div w:id="1366322726">
          <w:marLeft w:val="0"/>
          <w:marRight w:val="-5040"/>
          <w:marTop w:val="0"/>
          <w:marBottom w:val="0"/>
          <w:divBdr>
            <w:top w:val="none" w:sz="0" w:space="0" w:color="auto"/>
            <w:left w:val="none" w:sz="0" w:space="0" w:color="auto"/>
            <w:bottom w:val="none" w:sz="0" w:space="0" w:color="auto"/>
            <w:right w:val="none" w:sz="0" w:space="0" w:color="auto"/>
          </w:divBdr>
          <w:divsChild>
            <w:div w:id="643002708">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479877824">
      <w:bodyDiv w:val="1"/>
      <w:marLeft w:val="0"/>
      <w:marRight w:val="0"/>
      <w:marTop w:val="0"/>
      <w:marBottom w:val="0"/>
      <w:divBdr>
        <w:top w:val="none" w:sz="0" w:space="0" w:color="auto"/>
        <w:left w:val="none" w:sz="0" w:space="0" w:color="auto"/>
        <w:bottom w:val="none" w:sz="0" w:space="0" w:color="auto"/>
        <w:right w:val="none" w:sz="0" w:space="0" w:color="auto"/>
      </w:divBdr>
      <w:divsChild>
        <w:div w:id="1667974348">
          <w:marLeft w:val="0"/>
          <w:marRight w:val="0"/>
          <w:marTop w:val="0"/>
          <w:marBottom w:val="0"/>
          <w:divBdr>
            <w:top w:val="none" w:sz="0" w:space="0" w:color="auto"/>
            <w:left w:val="none" w:sz="0" w:space="0" w:color="auto"/>
            <w:bottom w:val="none" w:sz="0" w:space="0" w:color="auto"/>
            <w:right w:val="none" w:sz="0" w:space="0" w:color="auto"/>
          </w:divBdr>
          <w:divsChild>
            <w:div w:id="506020221">
              <w:marLeft w:val="0"/>
              <w:marRight w:val="0"/>
              <w:marTop w:val="0"/>
              <w:marBottom w:val="0"/>
              <w:divBdr>
                <w:top w:val="none" w:sz="0" w:space="0" w:color="auto"/>
                <w:left w:val="none" w:sz="0" w:space="0" w:color="auto"/>
                <w:bottom w:val="none" w:sz="0" w:space="0" w:color="auto"/>
                <w:right w:val="none" w:sz="0" w:space="0" w:color="auto"/>
              </w:divBdr>
              <w:divsChild>
                <w:div w:id="1983805959">
                  <w:marLeft w:val="150"/>
                  <w:marRight w:val="150"/>
                  <w:marTop w:val="0"/>
                  <w:marBottom w:val="0"/>
                  <w:divBdr>
                    <w:top w:val="none" w:sz="0" w:space="0" w:color="auto"/>
                    <w:left w:val="none" w:sz="0" w:space="0" w:color="auto"/>
                    <w:bottom w:val="none" w:sz="0" w:space="0" w:color="auto"/>
                    <w:right w:val="none" w:sz="0" w:space="0" w:color="auto"/>
                  </w:divBdr>
                  <w:divsChild>
                    <w:div w:id="1066879561">
                      <w:marLeft w:val="0"/>
                      <w:marRight w:val="0"/>
                      <w:marTop w:val="0"/>
                      <w:marBottom w:val="0"/>
                      <w:divBdr>
                        <w:top w:val="none" w:sz="0" w:space="0" w:color="auto"/>
                        <w:left w:val="none" w:sz="0" w:space="0" w:color="auto"/>
                        <w:bottom w:val="none" w:sz="0" w:space="0" w:color="auto"/>
                        <w:right w:val="none" w:sz="0" w:space="0" w:color="auto"/>
                      </w:divBdr>
                      <w:divsChild>
                        <w:div w:id="1596786623">
                          <w:marLeft w:val="0"/>
                          <w:marRight w:val="0"/>
                          <w:marTop w:val="0"/>
                          <w:marBottom w:val="0"/>
                          <w:divBdr>
                            <w:top w:val="none" w:sz="0" w:space="0" w:color="auto"/>
                            <w:left w:val="none" w:sz="0" w:space="0" w:color="auto"/>
                            <w:bottom w:val="none" w:sz="0" w:space="0" w:color="auto"/>
                            <w:right w:val="none" w:sz="0" w:space="0" w:color="auto"/>
                          </w:divBdr>
                          <w:divsChild>
                            <w:div w:id="1762801774">
                              <w:marLeft w:val="0"/>
                              <w:marRight w:val="0"/>
                              <w:marTop w:val="0"/>
                              <w:marBottom w:val="0"/>
                              <w:divBdr>
                                <w:top w:val="none" w:sz="0" w:space="0" w:color="auto"/>
                                <w:left w:val="none" w:sz="0" w:space="0" w:color="auto"/>
                                <w:bottom w:val="none" w:sz="0" w:space="0" w:color="auto"/>
                                <w:right w:val="none" w:sz="0" w:space="0" w:color="auto"/>
                              </w:divBdr>
                              <w:divsChild>
                                <w:div w:id="824593906">
                                  <w:marLeft w:val="0"/>
                                  <w:marRight w:val="0"/>
                                  <w:marTop w:val="0"/>
                                  <w:marBottom w:val="0"/>
                                  <w:divBdr>
                                    <w:top w:val="none" w:sz="0" w:space="0" w:color="auto"/>
                                    <w:left w:val="none" w:sz="0" w:space="0" w:color="auto"/>
                                    <w:bottom w:val="none" w:sz="0" w:space="0" w:color="auto"/>
                                    <w:right w:val="none" w:sz="0" w:space="0" w:color="auto"/>
                                  </w:divBdr>
                                  <w:divsChild>
                                    <w:div w:id="591398236">
                                      <w:marLeft w:val="0"/>
                                      <w:marRight w:val="0"/>
                                      <w:marTop w:val="0"/>
                                      <w:marBottom w:val="0"/>
                                      <w:divBdr>
                                        <w:top w:val="none" w:sz="0" w:space="0" w:color="auto"/>
                                        <w:left w:val="none" w:sz="0" w:space="0" w:color="auto"/>
                                        <w:bottom w:val="none" w:sz="0" w:space="0" w:color="auto"/>
                                        <w:right w:val="none" w:sz="0" w:space="0" w:color="auto"/>
                                      </w:divBdr>
                                      <w:divsChild>
                                        <w:div w:id="2038188615">
                                          <w:marLeft w:val="0"/>
                                          <w:marRight w:val="0"/>
                                          <w:marTop w:val="0"/>
                                          <w:marBottom w:val="0"/>
                                          <w:divBdr>
                                            <w:top w:val="none" w:sz="0" w:space="0" w:color="auto"/>
                                            <w:left w:val="none" w:sz="0" w:space="0" w:color="auto"/>
                                            <w:bottom w:val="none" w:sz="0" w:space="0" w:color="auto"/>
                                            <w:right w:val="none" w:sz="0" w:space="0" w:color="auto"/>
                                          </w:divBdr>
                                          <w:divsChild>
                                            <w:div w:id="2046783792">
                                              <w:marLeft w:val="0"/>
                                              <w:marRight w:val="0"/>
                                              <w:marTop w:val="0"/>
                                              <w:marBottom w:val="0"/>
                                              <w:divBdr>
                                                <w:top w:val="none" w:sz="0" w:space="0" w:color="auto"/>
                                                <w:left w:val="none" w:sz="0" w:space="0" w:color="auto"/>
                                                <w:bottom w:val="none" w:sz="0" w:space="0" w:color="auto"/>
                                                <w:right w:val="none" w:sz="0" w:space="0" w:color="auto"/>
                                              </w:divBdr>
                                              <w:divsChild>
                                                <w:div w:id="1122072347">
                                                  <w:marLeft w:val="0"/>
                                                  <w:marRight w:val="0"/>
                                                  <w:marTop w:val="0"/>
                                                  <w:marBottom w:val="0"/>
                                                  <w:divBdr>
                                                    <w:top w:val="none" w:sz="0" w:space="0" w:color="auto"/>
                                                    <w:left w:val="none" w:sz="0" w:space="0" w:color="auto"/>
                                                    <w:bottom w:val="none" w:sz="0" w:space="0" w:color="auto"/>
                                                    <w:right w:val="none" w:sz="0" w:space="0" w:color="auto"/>
                                                  </w:divBdr>
                                                </w:div>
                                                <w:div w:id="1867058100">
                                                  <w:marLeft w:val="0"/>
                                                  <w:marRight w:val="0"/>
                                                  <w:marTop w:val="0"/>
                                                  <w:marBottom w:val="0"/>
                                                  <w:divBdr>
                                                    <w:top w:val="none" w:sz="0" w:space="0" w:color="auto"/>
                                                    <w:left w:val="none" w:sz="0" w:space="0" w:color="auto"/>
                                                    <w:bottom w:val="none" w:sz="0" w:space="0" w:color="auto"/>
                                                    <w:right w:val="none" w:sz="0" w:space="0" w:color="auto"/>
                                                  </w:divBdr>
                                                </w:div>
                                                <w:div w:id="2082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191665">
      <w:bodyDiv w:val="1"/>
      <w:marLeft w:val="0"/>
      <w:marRight w:val="0"/>
      <w:marTop w:val="0"/>
      <w:marBottom w:val="0"/>
      <w:divBdr>
        <w:top w:val="none" w:sz="0" w:space="0" w:color="auto"/>
        <w:left w:val="none" w:sz="0" w:space="0" w:color="auto"/>
        <w:bottom w:val="none" w:sz="0" w:space="0" w:color="auto"/>
        <w:right w:val="none" w:sz="0" w:space="0" w:color="auto"/>
      </w:divBdr>
      <w:divsChild>
        <w:div w:id="1042678082">
          <w:marLeft w:val="0"/>
          <w:marRight w:val="0"/>
          <w:marTop w:val="0"/>
          <w:marBottom w:val="0"/>
          <w:divBdr>
            <w:top w:val="none" w:sz="0" w:space="0" w:color="auto"/>
            <w:left w:val="none" w:sz="0" w:space="0" w:color="auto"/>
            <w:bottom w:val="none" w:sz="0" w:space="0" w:color="auto"/>
            <w:right w:val="none" w:sz="0" w:space="0" w:color="auto"/>
          </w:divBdr>
          <w:divsChild>
            <w:div w:id="1288851550">
              <w:marLeft w:val="0"/>
              <w:marRight w:val="0"/>
              <w:marTop w:val="0"/>
              <w:marBottom w:val="0"/>
              <w:divBdr>
                <w:top w:val="none" w:sz="0" w:space="0" w:color="auto"/>
                <w:left w:val="none" w:sz="0" w:space="0" w:color="auto"/>
                <w:bottom w:val="none" w:sz="0" w:space="0" w:color="auto"/>
                <w:right w:val="none" w:sz="0" w:space="0" w:color="auto"/>
              </w:divBdr>
              <w:divsChild>
                <w:div w:id="1379628566">
                  <w:marLeft w:val="0"/>
                  <w:marRight w:val="0"/>
                  <w:marTop w:val="0"/>
                  <w:marBottom w:val="0"/>
                  <w:divBdr>
                    <w:top w:val="none" w:sz="0" w:space="0" w:color="auto"/>
                    <w:left w:val="none" w:sz="0" w:space="0" w:color="auto"/>
                    <w:bottom w:val="none" w:sz="0" w:space="0" w:color="auto"/>
                    <w:right w:val="none" w:sz="0" w:space="0" w:color="auto"/>
                  </w:divBdr>
                  <w:divsChild>
                    <w:div w:id="1833058124">
                      <w:marLeft w:val="0"/>
                      <w:marRight w:val="0"/>
                      <w:marTop w:val="0"/>
                      <w:marBottom w:val="0"/>
                      <w:divBdr>
                        <w:top w:val="none" w:sz="0" w:space="0" w:color="auto"/>
                        <w:left w:val="none" w:sz="0" w:space="0" w:color="auto"/>
                        <w:bottom w:val="none" w:sz="0" w:space="0" w:color="auto"/>
                        <w:right w:val="none" w:sz="0" w:space="0" w:color="auto"/>
                      </w:divBdr>
                      <w:divsChild>
                        <w:div w:id="114758703">
                          <w:marLeft w:val="0"/>
                          <w:marRight w:val="0"/>
                          <w:marTop w:val="0"/>
                          <w:marBottom w:val="0"/>
                          <w:divBdr>
                            <w:top w:val="none" w:sz="0" w:space="0" w:color="auto"/>
                            <w:left w:val="none" w:sz="0" w:space="0" w:color="auto"/>
                            <w:bottom w:val="none" w:sz="0" w:space="0" w:color="auto"/>
                            <w:right w:val="none" w:sz="0" w:space="0" w:color="auto"/>
                          </w:divBdr>
                          <w:divsChild>
                            <w:div w:id="36322061">
                              <w:marLeft w:val="0"/>
                              <w:marRight w:val="0"/>
                              <w:marTop w:val="0"/>
                              <w:marBottom w:val="0"/>
                              <w:divBdr>
                                <w:top w:val="none" w:sz="0" w:space="0" w:color="auto"/>
                                <w:left w:val="none" w:sz="0" w:space="0" w:color="auto"/>
                                <w:bottom w:val="none" w:sz="0" w:space="0" w:color="auto"/>
                                <w:right w:val="none" w:sz="0" w:space="0" w:color="auto"/>
                              </w:divBdr>
                              <w:divsChild>
                                <w:div w:id="74323256">
                                  <w:marLeft w:val="0"/>
                                  <w:marRight w:val="0"/>
                                  <w:marTop w:val="0"/>
                                  <w:marBottom w:val="0"/>
                                  <w:divBdr>
                                    <w:top w:val="none" w:sz="0" w:space="0" w:color="auto"/>
                                    <w:left w:val="none" w:sz="0" w:space="0" w:color="auto"/>
                                    <w:bottom w:val="none" w:sz="0" w:space="0" w:color="auto"/>
                                    <w:right w:val="none" w:sz="0" w:space="0" w:color="auto"/>
                                  </w:divBdr>
                                  <w:divsChild>
                                    <w:div w:id="6238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875462">
      <w:bodyDiv w:val="1"/>
      <w:marLeft w:val="0"/>
      <w:marRight w:val="0"/>
      <w:marTop w:val="0"/>
      <w:marBottom w:val="0"/>
      <w:divBdr>
        <w:top w:val="none" w:sz="0" w:space="0" w:color="auto"/>
        <w:left w:val="none" w:sz="0" w:space="0" w:color="auto"/>
        <w:bottom w:val="none" w:sz="0" w:space="0" w:color="auto"/>
        <w:right w:val="none" w:sz="0" w:space="0" w:color="auto"/>
      </w:divBdr>
      <w:divsChild>
        <w:div w:id="1071193256">
          <w:marLeft w:val="0"/>
          <w:marRight w:val="0"/>
          <w:marTop w:val="0"/>
          <w:marBottom w:val="0"/>
          <w:divBdr>
            <w:top w:val="none" w:sz="0" w:space="0" w:color="auto"/>
            <w:left w:val="none" w:sz="0" w:space="0" w:color="auto"/>
            <w:bottom w:val="none" w:sz="0" w:space="0" w:color="auto"/>
            <w:right w:val="none" w:sz="0" w:space="0" w:color="auto"/>
          </w:divBdr>
          <w:divsChild>
            <w:div w:id="938759933">
              <w:marLeft w:val="0"/>
              <w:marRight w:val="0"/>
              <w:marTop w:val="0"/>
              <w:marBottom w:val="0"/>
              <w:divBdr>
                <w:top w:val="none" w:sz="0" w:space="0" w:color="auto"/>
                <w:left w:val="none" w:sz="0" w:space="0" w:color="auto"/>
                <w:bottom w:val="none" w:sz="0" w:space="0" w:color="auto"/>
                <w:right w:val="none" w:sz="0" w:space="0" w:color="auto"/>
              </w:divBdr>
              <w:divsChild>
                <w:div w:id="1249268139">
                  <w:marLeft w:val="150"/>
                  <w:marRight w:val="150"/>
                  <w:marTop w:val="0"/>
                  <w:marBottom w:val="0"/>
                  <w:divBdr>
                    <w:top w:val="none" w:sz="0" w:space="0" w:color="auto"/>
                    <w:left w:val="none" w:sz="0" w:space="0" w:color="auto"/>
                    <w:bottom w:val="none" w:sz="0" w:space="0" w:color="auto"/>
                    <w:right w:val="none" w:sz="0" w:space="0" w:color="auto"/>
                  </w:divBdr>
                  <w:divsChild>
                    <w:div w:id="1158107487">
                      <w:marLeft w:val="0"/>
                      <w:marRight w:val="0"/>
                      <w:marTop w:val="0"/>
                      <w:marBottom w:val="0"/>
                      <w:divBdr>
                        <w:top w:val="none" w:sz="0" w:space="0" w:color="auto"/>
                        <w:left w:val="none" w:sz="0" w:space="0" w:color="auto"/>
                        <w:bottom w:val="none" w:sz="0" w:space="0" w:color="auto"/>
                        <w:right w:val="none" w:sz="0" w:space="0" w:color="auto"/>
                      </w:divBdr>
                      <w:divsChild>
                        <w:div w:id="1636569451">
                          <w:marLeft w:val="0"/>
                          <w:marRight w:val="0"/>
                          <w:marTop w:val="0"/>
                          <w:marBottom w:val="0"/>
                          <w:divBdr>
                            <w:top w:val="none" w:sz="0" w:space="0" w:color="auto"/>
                            <w:left w:val="none" w:sz="0" w:space="0" w:color="auto"/>
                            <w:bottom w:val="none" w:sz="0" w:space="0" w:color="auto"/>
                            <w:right w:val="none" w:sz="0" w:space="0" w:color="auto"/>
                          </w:divBdr>
                          <w:divsChild>
                            <w:div w:id="87509617">
                              <w:marLeft w:val="0"/>
                              <w:marRight w:val="0"/>
                              <w:marTop w:val="0"/>
                              <w:marBottom w:val="0"/>
                              <w:divBdr>
                                <w:top w:val="none" w:sz="0" w:space="0" w:color="auto"/>
                                <w:left w:val="none" w:sz="0" w:space="0" w:color="auto"/>
                                <w:bottom w:val="none" w:sz="0" w:space="0" w:color="auto"/>
                                <w:right w:val="none" w:sz="0" w:space="0" w:color="auto"/>
                              </w:divBdr>
                              <w:divsChild>
                                <w:div w:id="498080733">
                                  <w:marLeft w:val="0"/>
                                  <w:marRight w:val="0"/>
                                  <w:marTop w:val="0"/>
                                  <w:marBottom w:val="0"/>
                                  <w:divBdr>
                                    <w:top w:val="none" w:sz="0" w:space="0" w:color="auto"/>
                                    <w:left w:val="none" w:sz="0" w:space="0" w:color="auto"/>
                                    <w:bottom w:val="none" w:sz="0" w:space="0" w:color="auto"/>
                                    <w:right w:val="none" w:sz="0" w:space="0" w:color="auto"/>
                                  </w:divBdr>
                                  <w:divsChild>
                                    <w:div w:id="1771582508">
                                      <w:marLeft w:val="0"/>
                                      <w:marRight w:val="0"/>
                                      <w:marTop w:val="0"/>
                                      <w:marBottom w:val="0"/>
                                      <w:divBdr>
                                        <w:top w:val="none" w:sz="0" w:space="0" w:color="auto"/>
                                        <w:left w:val="none" w:sz="0" w:space="0" w:color="auto"/>
                                        <w:bottom w:val="none" w:sz="0" w:space="0" w:color="auto"/>
                                        <w:right w:val="none" w:sz="0" w:space="0" w:color="auto"/>
                                      </w:divBdr>
                                      <w:divsChild>
                                        <w:div w:id="143084262">
                                          <w:marLeft w:val="0"/>
                                          <w:marRight w:val="0"/>
                                          <w:marTop w:val="0"/>
                                          <w:marBottom w:val="0"/>
                                          <w:divBdr>
                                            <w:top w:val="none" w:sz="0" w:space="0" w:color="auto"/>
                                            <w:left w:val="none" w:sz="0" w:space="0" w:color="auto"/>
                                            <w:bottom w:val="none" w:sz="0" w:space="0" w:color="auto"/>
                                            <w:right w:val="none" w:sz="0" w:space="0" w:color="auto"/>
                                          </w:divBdr>
                                          <w:divsChild>
                                            <w:div w:id="991904466">
                                              <w:marLeft w:val="0"/>
                                              <w:marRight w:val="0"/>
                                              <w:marTop w:val="0"/>
                                              <w:marBottom w:val="0"/>
                                              <w:divBdr>
                                                <w:top w:val="none" w:sz="0" w:space="0" w:color="auto"/>
                                                <w:left w:val="none" w:sz="0" w:space="0" w:color="auto"/>
                                                <w:bottom w:val="none" w:sz="0" w:space="0" w:color="auto"/>
                                                <w:right w:val="none" w:sz="0" w:space="0" w:color="auto"/>
                                              </w:divBdr>
                                              <w:divsChild>
                                                <w:div w:id="19263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271568">
      <w:bodyDiv w:val="1"/>
      <w:marLeft w:val="0"/>
      <w:marRight w:val="0"/>
      <w:marTop w:val="0"/>
      <w:marBottom w:val="0"/>
      <w:divBdr>
        <w:top w:val="none" w:sz="0" w:space="0" w:color="auto"/>
        <w:left w:val="none" w:sz="0" w:space="0" w:color="auto"/>
        <w:bottom w:val="none" w:sz="0" w:space="0" w:color="auto"/>
        <w:right w:val="none" w:sz="0" w:space="0" w:color="auto"/>
      </w:divBdr>
    </w:div>
    <w:div w:id="1552695012">
      <w:bodyDiv w:val="1"/>
      <w:marLeft w:val="0"/>
      <w:marRight w:val="0"/>
      <w:marTop w:val="0"/>
      <w:marBottom w:val="0"/>
      <w:divBdr>
        <w:top w:val="none" w:sz="0" w:space="0" w:color="auto"/>
        <w:left w:val="none" w:sz="0" w:space="0" w:color="auto"/>
        <w:bottom w:val="none" w:sz="0" w:space="0" w:color="auto"/>
        <w:right w:val="none" w:sz="0" w:space="0" w:color="auto"/>
      </w:divBdr>
    </w:div>
    <w:div w:id="1616792305">
      <w:bodyDiv w:val="1"/>
      <w:marLeft w:val="0"/>
      <w:marRight w:val="0"/>
      <w:marTop w:val="0"/>
      <w:marBottom w:val="0"/>
      <w:divBdr>
        <w:top w:val="none" w:sz="0" w:space="0" w:color="auto"/>
        <w:left w:val="none" w:sz="0" w:space="0" w:color="auto"/>
        <w:bottom w:val="none" w:sz="0" w:space="0" w:color="auto"/>
        <w:right w:val="none" w:sz="0" w:space="0" w:color="auto"/>
      </w:divBdr>
    </w:div>
    <w:div w:id="1696342701">
      <w:bodyDiv w:val="1"/>
      <w:marLeft w:val="0"/>
      <w:marRight w:val="0"/>
      <w:marTop w:val="0"/>
      <w:marBottom w:val="0"/>
      <w:divBdr>
        <w:top w:val="none" w:sz="0" w:space="0" w:color="auto"/>
        <w:left w:val="none" w:sz="0" w:space="0" w:color="auto"/>
        <w:bottom w:val="none" w:sz="0" w:space="0" w:color="auto"/>
        <w:right w:val="none" w:sz="0" w:space="0" w:color="auto"/>
      </w:divBdr>
      <w:divsChild>
        <w:div w:id="472909477">
          <w:marLeft w:val="0"/>
          <w:marRight w:val="0"/>
          <w:marTop w:val="0"/>
          <w:marBottom w:val="0"/>
          <w:divBdr>
            <w:top w:val="single" w:sz="2" w:space="0" w:color="999999"/>
            <w:left w:val="single" w:sz="2" w:space="0" w:color="999999"/>
            <w:bottom w:val="single" w:sz="2" w:space="0" w:color="999999"/>
            <w:right w:val="single" w:sz="2" w:space="0" w:color="999999"/>
          </w:divBdr>
        </w:div>
      </w:divsChild>
    </w:div>
    <w:div w:id="1770539253">
      <w:bodyDiv w:val="1"/>
      <w:marLeft w:val="0"/>
      <w:marRight w:val="0"/>
      <w:marTop w:val="0"/>
      <w:marBottom w:val="0"/>
      <w:divBdr>
        <w:top w:val="none" w:sz="0" w:space="0" w:color="auto"/>
        <w:left w:val="none" w:sz="0" w:space="0" w:color="auto"/>
        <w:bottom w:val="none" w:sz="0" w:space="0" w:color="auto"/>
        <w:right w:val="none" w:sz="0" w:space="0" w:color="auto"/>
      </w:divBdr>
      <w:divsChild>
        <w:div w:id="1618370499">
          <w:marLeft w:val="0"/>
          <w:marRight w:val="0"/>
          <w:marTop w:val="0"/>
          <w:marBottom w:val="0"/>
          <w:divBdr>
            <w:top w:val="none" w:sz="0" w:space="0" w:color="auto"/>
            <w:left w:val="none" w:sz="0" w:space="0" w:color="auto"/>
            <w:bottom w:val="none" w:sz="0" w:space="0" w:color="auto"/>
            <w:right w:val="none" w:sz="0" w:space="0" w:color="auto"/>
          </w:divBdr>
          <w:divsChild>
            <w:div w:id="1888107843">
              <w:marLeft w:val="0"/>
              <w:marRight w:val="0"/>
              <w:marTop w:val="0"/>
              <w:marBottom w:val="0"/>
              <w:divBdr>
                <w:top w:val="none" w:sz="0" w:space="0" w:color="auto"/>
                <w:left w:val="none" w:sz="0" w:space="0" w:color="auto"/>
                <w:bottom w:val="none" w:sz="0" w:space="0" w:color="auto"/>
                <w:right w:val="none" w:sz="0" w:space="0" w:color="auto"/>
              </w:divBdr>
              <w:divsChild>
                <w:div w:id="928193034">
                  <w:marLeft w:val="150"/>
                  <w:marRight w:val="150"/>
                  <w:marTop w:val="150"/>
                  <w:marBottom w:val="0"/>
                  <w:divBdr>
                    <w:top w:val="none" w:sz="0" w:space="0" w:color="auto"/>
                    <w:left w:val="none" w:sz="0" w:space="0" w:color="auto"/>
                    <w:bottom w:val="none" w:sz="0" w:space="0" w:color="auto"/>
                    <w:right w:val="none" w:sz="0" w:space="0" w:color="auto"/>
                  </w:divBdr>
                  <w:divsChild>
                    <w:div w:id="1562793488">
                      <w:marLeft w:val="0"/>
                      <w:marRight w:val="0"/>
                      <w:marTop w:val="150"/>
                      <w:marBottom w:val="0"/>
                      <w:divBdr>
                        <w:top w:val="none" w:sz="0" w:space="0" w:color="auto"/>
                        <w:left w:val="none" w:sz="0" w:space="0" w:color="auto"/>
                        <w:bottom w:val="none" w:sz="0" w:space="0" w:color="auto"/>
                        <w:right w:val="none" w:sz="0" w:space="0" w:color="auto"/>
                      </w:divBdr>
                      <w:divsChild>
                        <w:div w:id="1031421145">
                          <w:marLeft w:val="0"/>
                          <w:marRight w:val="0"/>
                          <w:marTop w:val="0"/>
                          <w:marBottom w:val="0"/>
                          <w:divBdr>
                            <w:top w:val="none" w:sz="0" w:space="0" w:color="auto"/>
                            <w:left w:val="none" w:sz="0" w:space="0" w:color="auto"/>
                            <w:bottom w:val="none" w:sz="0" w:space="0" w:color="auto"/>
                            <w:right w:val="none" w:sz="0" w:space="0" w:color="auto"/>
                          </w:divBdr>
                          <w:divsChild>
                            <w:div w:id="835876590">
                              <w:marLeft w:val="0"/>
                              <w:marRight w:val="0"/>
                              <w:marTop w:val="0"/>
                              <w:marBottom w:val="0"/>
                              <w:divBdr>
                                <w:top w:val="none" w:sz="0" w:space="0" w:color="auto"/>
                                <w:left w:val="none" w:sz="0" w:space="0" w:color="auto"/>
                                <w:bottom w:val="none" w:sz="0" w:space="0" w:color="auto"/>
                                <w:right w:val="none" w:sz="0" w:space="0" w:color="auto"/>
                              </w:divBdr>
                              <w:divsChild>
                                <w:div w:id="6758590">
                                  <w:marLeft w:val="0"/>
                                  <w:marRight w:val="0"/>
                                  <w:marTop w:val="0"/>
                                  <w:marBottom w:val="0"/>
                                  <w:divBdr>
                                    <w:top w:val="none" w:sz="0" w:space="0" w:color="auto"/>
                                    <w:left w:val="none" w:sz="0" w:space="0" w:color="auto"/>
                                    <w:bottom w:val="none" w:sz="0" w:space="0" w:color="auto"/>
                                    <w:right w:val="none" w:sz="0" w:space="0" w:color="auto"/>
                                  </w:divBdr>
                                  <w:divsChild>
                                    <w:div w:id="644239419">
                                      <w:marLeft w:val="0"/>
                                      <w:marRight w:val="0"/>
                                      <w:marTop w:val="0"/>
                                      <w:marBottom w:val="0"/>
                                      <w:divBdr>
                                        <w:top w:val="none" w:sz="0" w:space="0" w:color="auto"/>
                                        <w:left w:val="none" w:sz="0" w:space="0" w:color="auto"/>
                                        <w:bottom w:val="none" w:sz="0" w:space="0" w:color="auto"/>
                                        <w:right w:val="none" w:sz="0" w:space="0" w:color="auto"/>
                                      </w:divBdr>
                                      <w:divsChild>
                                        <w:div w:id="684597081">
                                          <w:marLeft w:val="0"/>
                                          <w:marRight w:val="0"/>
                                          <w:marTop w:val="0"/>
                                          <w:marBottom w:val="0"/>
                                          <w:divBdr>
                                            <w:top w:val="none" w:sz="0" w:space="0" w:color="auto"/>
                                            <w:left w:val="none" w:sz="0" w:space="0" w:color="auto"/>
                                            <w:bottom w:val="none" w:sz="0" w:space="0" w:color="auto"/>
                                            <w:right w:val="none" w:sz="0" w:space="0" w:color="auto"/>
                                          </w:divBdr>
                                          <w:divsChild>
                                            <w:div w:id="1396974499">
                                              <w:marLeft w:val="0"/>
                                              <w:marRight w:val="0"/>
                                              <w:marTop w:val="0"/>
                                              <w:marBottom w:val="0"/>
                                              <w:divBdr>
                                                <w:top w:val="none" w:sz="0" w:space="0" w:color="auto"/>
                                                <w:left w:val="none" w:sz="0" w:space="0" w:color="auto"/>
                                                <w:bottom w:val="none" w:sz="0" w:space="0" w:color="auto"/>
                                                <w:right w:val="none" w:sz="0" w:space="0" w:color="auto"/>
                                              </w:divBdr>
                                              <w:divsChild>
                                                <w:div w:id="1022710405">
                                                  <w:marLeft w:val="0"/>
                                                  <w:marRight w:val="0"/>
                                                  <w:marTop w:val="0"/>
                                                  <w:marBottom w:val="0"/>
                                                  <w:divBdr>
                                                    <w:top w:val="none" w:sz="0" w:space="0" w:color="auto"/>
                                                    <w:left w:val="none" w:sz="0" w:space="0" w:color="auto"/>
                                                    <w:bottom w:val="none" w:sz="0" w:space="0" w:color="auto"/>
                                                    <w:right w:val="none" w:sz="0" w:space="0" w:color="auto"/>
                                                  </w:divBdr>
                                                  <w:divsChild>
                                                    <w:div w:id="760957291">
                                                      <w:marLeft w:val="0"/>
                                                      <w:marRight w:val="0"/>
                                                      <w:marTop w:val="0"/>
                                                      <w:marBottom w:val="0"/>
                                                      <w:divBdr>
                                                        <w:top w:val="none" w:sz="0" w:space="0" w:color="auto"/>
                                                        <w:left w:val="none" w:sz="0" w:space="0" w:color="auto"/>
                                                        <w:bottom w:val="none" w:sz="0" w:space="0" w:color="auto"/>
                                                        <w:right w:val="none" w:sz="0" w:space="0" w:color="auto"/>
                                                      </w:divBdr>
                                                      <w:divsChild>
                                                        <w:div w:id="997734275">
                                                          <w:marLeft w:val="0"/>
                                                          <w:marRight w:val="0"/>
                                                          <w:marTop w:val="0"/>
                                                          <w:marBottom w:val="0"/>
                                                          <w:divBdr>
                                                            <w:top w:val="none" w:sz="0" w:space="0" w:color="auto"/>
                                                            <w:left w:val="none" w:sz="0" w:space="0" w:color="auto"/>
                                                            <w:bottom w:val="none" w:sz="0" w:space="0" w:color="auto"/>
                                                            <w:right w:val="none" w:sz="0" w:space="0" w:color="auto"/>
                                                          </w:divBdr>
                                                        </w:div>
                                                        <w:div w:id="105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0931338">
          <w:marLeft w:val="0"/>
          <w:marRight w:val="0"/>
          <w:marTop w:val="0"/>
          <w:marBottom w:val="0"/>
          <w:divBdr>
            <w:top w:val="none" w:sz="0" w:space="0" w:color="auto"/>
            <w:left w:val="none" w:sz="0" w:space="0" w:color="auto"/>
            <w:bottom w:val="none" w:sz="0" w:space="0" w:color="auto"/>
            <w:right w:val="none" w:sz="0" w:space="0" w:color="auto"/>
          </w:divBdr>
          <w:divsChild>
            <w:div w:id="1564873356">
              <w:marLeft w:val="0"/>
              <w:marRight w:val="0"/>
              <w:marTop w:val="0"/>
              <w:marBottom w:val="0"/>
              <w:divBdr>
                <w:top w:val="none" w:sz="0" w:space="0" w:color="auto"/>
                <w:left w:val="none" w:sz="0" w:space="0" w:color="auto"/>
                <w:bottom w:val="none" w:sz="0" w:space="0" w:color="auto"/>
                <w:right w:val="none" w:sz="0" w:space="0" w:color="auto"/>
              </w:divBdr>
              <w:divsChild>
                <w:div w:id="1358778750">
                  <w:marLeft w:val="0"/>
                  <w:marRight w:val="0"/>
                  <w:marTop w:val="0"/>
                  <w:marBottom w:val="0"/>
                  <w:divBdr>
                    <w:top w:val="none" w:sz="0" w:space="0" w:color="auto"/>
                    <w:left w:val="none" w:sz="0" w:space="0" w:color="auto"/>
                    <w:bottom w:val="none" w:sz="0" w:space="0" w:color="auto"/>
                    <w:right w:val="none" w:sz="0" w:space="0" w:color="auto"/>
                  </w:divBdr>
                  <w:divsChild>
                    <w:div w:id="1840268615">
                      <w:marLeft w:val="0"/>
                      <w:marRight w:val="0"/>
                      <w:marTop w:val="0"/>
                      <w:marBottom w:val="0"/>
                      <w:divBdr>
                        <w:top w:val="none" w:sz="0" w:space="0" w:color="auto"/>
                        <w:left w:val="none" w:sz="0" w:space="0" w:color="auto"/>
                        <w:bottom w:val="none" w:sz="0" w:space="0" w:color="auto"/>
                        <w:right w:val="none" w:sz="0" w:space="0" w:color="auto"/>
                      </w:divBdr>
                      <w:divsChild>
                        <w:div w:id="906384743">
                          <w:marLeft w:val="0"/>
                          <w:marRight w:val="0"/>
                          <w:marTop w:val="0"/>
                          <w:marBottom w:val="0"/>
                          <w:divBdr>
                            <w:top w:val="none" w:sz="0" w:space="0" w:color="auto"/>
                            <w:left w:val="none" w:sz="0" w:space="0" w:color="auto"/>
                            <w:bottom w:val="none" w:sz="0" w:space="0" w:color="auto"/>
                            <w:right w:val="none" w:sz="0" w:space="0" w:color="auto"/>
                          </w:divBdr>
                          <w:divsChild>
                            <w:div w:id="2122530695">
                              <w:marLeft w:val="0"/>
                              <w:marRight w:val="0"/>
                              <w:marTop w:val="0"/>
                              <w:marBottom w:val="0"/>
                              <w:divBdr>
                                <w:top w:val="none" w:sz="0" w:space="0" w:color="auto"/>
                                <w:left w:val="none" w:sz="0" w:space="0" w:color="auto"/>
                                <w:bottom w:val="none" w:sz="0" w:space="0" w:color="auto"/>
                                <w:right w:val="none" w:sz="0" w:space="0" w:color="auto"/>
                              </w:divBdr>
                              <w:divsChild>
                                <w:div w:id="1523206439">
                                  <w:marLeft w:val="0"/>
                                  <w:marRight w:val="0"/>
                                  <w:marTop w:val="0"/>
                                  <w:marBottom w:val="0"/>
                                  <w:divBdr>
                                    <w:top w:val="none" w:sz="0" w:space="0" w:color="auto"/>
                                    <w:left w:val="none" w:sz="0" w:space="0" w:color="auto"/>
                                    <w:bottom w:val="none" w:sz="0" w:space="0" w:color="auto"/>
                                    <w:right w:val="none" w:sz="0" w:space="0" w:color="auto"/>
                                  </w:divBdr>
                                  <w:divsChild>
                                    <w:div w:id="10875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182052">
      <w:bodyDiv w:val="1"/>
      <w:marLeft w:val="0"/>
      <w:marRight w:val="0"/>
      <w:marTop w:val="0"/>
      <w:marBottom w:val="0"/>
      <w:divBdr>
        <w:top w:val="none" w:sz="0" w:space="0" w:color="auto"/>
        <w:left w:val="none" w:sz="0" w:space="0" w:color="auto"/>
        <w:bottom w:val="none" w:sz="0" w:space="0" w:color="auto"/>
        <w:right w:val="none" w:sz="0" w:space="0" w:color="auto"/>
      </w:divBdr>
      <w:divsChild>
        <w:div w:id="837235709">
          <w:marLeft w:val="240"/>
          <w:marRight w:val="0"/>
          <w:marTop w:val="60"/>
          <w:marBottom w:val="60"/>
          <w:divBdr>
            <w:top w:val="none" w:sz="0" w:space="0" w:color="auto"/>
            <w:left w:val="none" w:sz="0" w:space="0" w:color="auto"/>
            <w:bottom w:val="none" w:sz="0" w:space="0" w:color="auto"/>
            <w:right w:val="none" w:sz="0" w:space="0" w:color="auto"/>
          </w:divBdr>
          <w:divsChild>
            <w:div w:id="2067412914">
              <w:marLeft w:val="0"/>
              <w:marRight w:val="0"/>
              <w:marTop w:val="0"/>
              <w:marBottom w:val="0"/>
              <w:divBdr>
                <w:top w:val="none" w:sz="0" w:space="0" w:color="auto"/>
                <w:left w:val="none" w:sz="0" w:space="0" w:color="auto"/>
                <w:bottom w:val="none" w:sz="0" w:space="0" w:color="auto"/>
                <w:right w:val="none" w:sz="0" w:space="0" w:color="auto"/>
              </w:divBdr>
            </w:div>
          </w:divsChild>
        </w:div>
        <w:div w:id="843055801">
          <w:marLeft w:val="240"/>
          <w:marRight w:val="0"/>
          <w:marTop w:val="60"/>
          <w:marBottom w:val="60"/>
          <w:divBdr>
            <w:top w:val="none" w:sz="0" w:space="0" w:color="auto"/>
            <w:left w:val="none" w:sz="0" w:space="0" w:color="auto"/>
            <w:bottom w:val="none" w:sz="0" w:space="0" w:color="auto"/>
            <w:right w:val="none" w:sz="0" w:space="0" w:color="auto"/>
          </w:divBdr>
          <w:divsChild>
            <w:div w:id="82456294">
              <w:marLeft w:val="240"/>
              <w:marRight w:val="0"/>
              <w:marTop w:val="60"/>
              <w:marBottom w:val="60"/>
              <w:divBdr>
                <w:top w:val="none" w:sz="0" w:space="0" w:color="auto"/>
                <w:left w:val="none" w:sz="0" w:space="0" w:color="auto"/>
                <w:bottom w:val="none" w:sz="0" w:space="0" w:color="auto"/>
                <w:right w:val="none" w:sz="0" w:space="0" w:color="auto"/>
              </w:divBdr>
              <w:divsChild>
                <w:div w:id="2071659267">
                  <w:marLeft w:val="0"/>
                  <w:marRight w:val="0"/>
                  <w:marTop w:val="0"/>
                  <w:marBottom w:val="0"/>
                  <w:divBdr>
                    <w:top w:val="none" w:sz="0" w:space="0" w:color="auto"/>
                    <w:left w:val="none" w:sz="0" w:space="0" w:color="auto"/>
                    <w:bottom w:val="none" w:sz="0" w:space="0" w:color="auto"/>
                    <w:right w:val="none" w:sz="0" w:space="0" w:color="auto"/>
                  </w:divBdr>
                </w:div>
              </w:divsChild>
            </w:div>
            <w:div w:id="195772892">
              <w:marLeft w:val="240"/>
              <w:marRight w:val="0"/>
              <w:marTop w:val="60"/>
              <w:marBottom w:val="60"/>
              <w:divBdr>
                <w:top w:val="none" w:sz="0" w:space="0" w:color="auto"/>
                <w:left w:val="none" w:sz="0" w:space="0" w:color="auto"/>
                <w:bottom w:val="none" w:sz="0" w:space="0" w:color="auto"/>
                <w:right w:val="none" w:sz="0" w:space="0" w:color="auto"/>
              </w:divBdr>
              <w:divsChild>
                <w:div w:id="121116664">
                  <w:marLeft w:val="0"/>
                  <w:marRight w:val="0"/>
                  <w:marTop w:val="0"/>
                  <w:marBottom w:val="0"/>
                  <w:divBdr>
                    <w:top w:val="none" w:sz="0" w:space="0" w:color="auto"/>
                    <w:left w:val="none" w:sz="0" w:space="0" w:color="auto"/>
                    <w:bottom w:val="none" w:sz="0" w:space="0" w:color="auto"/>
                    <w:right w:val="none" w:sz="0" w:space="0" w:color="auto"/>
                  </w:divBdr>
                </w:div>
              </w:divsChild>
            </w:div>
            <w:div w:id="249854089">
              <w:marLeft w:val="240"/>
              <w:marRight w:val="0"/>
              <w:marTop w:val="60"/>
              <w:marBottom w:val="60"/>
              <w:divBdr>
                <w:top w:val="none" w:sz="0" w:space="0" w:color="auto"/>
                <w:left w:val="none" w:sz="0" w:space="0" w:color="auto"/>
                <w:bottom w:val="none" w:sz="0" w:space="0" w:color="auto"/>
                <w:right w:val="none" w:sz="0" w:space="0" w:color="auto"/>
              </w:divBdr>
              <w:divsChild>
                <w:div w:id="1798602738">
                  <w:marLeft w:val="0"/>
                  <w:marRight w:val="0"/>
                  <w:marTop w:val="0"/>
                  <w:marBottom w:val="0"/>
                  <w:divBdr>
                    <w:top w:val="none" w:sz="0" w:space="0" w:color="auto"/>
                    <w:left w:val="none" w:sz="0" w:space="0" w:color="auto"/>
                    <w:bottom w:val="none" w:sz="0" w:space="0" w:color="auto"/>
                    <w:right w:val="none" w:sz="0" w:space="0" w:color="auto"/>
                  </w:divBdr>
                </w:div>
              </w:divsChild>
            </w:div>
            <w:div w:id="915868906">
              <w:marLeft w:val="240"/>
              <w:marRight w:val="0"/>
              <w:marTop w:val="60"/>
              <w:marBottom w:val="60"/>
              <w:divBdr>
                <w:top w:val="none" w:sz="0" w:space="0" w:color="auto"/>
                <w:left w:val="none" w:sz="0" w:space="0" w:color="auto"/>
                <w:bottom w:val="none" w:sz="0" w:space="0" w:color="auto"/>
                <w:right w:val="none" w:sz="0" w:space="0" w:color="auto"/>
              </w:divBdr>
              <w:divsChild>
                <w:div w:id="159807">
                  <w:marLeft w:val="240"/>
                  <w:marRight w:val="0"/>
                  <w:marTop w:val="60"/>
                  <w:marBottom w:val="60"/>
                  <w:divBdr>
                    <w:top w:val="none" w:sz="0" w:space="0" w:color="auto"/>
                    <w:left w:val="none" w:sz="0" w:space="0" w:color="auto"/>
                    <w:bottom w:val="none" w:sz="0" w:space="0" w:color="auto"/>
                    <w:right w:val="none" w:sz="0" w:space="0" w:color="auto"/>
                  </w:divBdr>
                  <w:divsChild>
                    <w:div w:id="1745910175">
                      <w:marLeft w:val="0"/>
                      <w:marRight w:val="0"/>
                      <w:marTop w:val="0"/>
                      <w:marBottom w:val="0"/>
                      <w:divBdr>
                        <w:top w:val="none" w:sz="0" w:space="0" w:color="auto"/>
                        <w:left w:val="none" w:sz="0" w:space="0" w:color="auto"/>
                        <w:bottom w:val="none" w:sz="0" w:space="0" w:color="auto"/>
                        <w:right w:val="none" w:sz="0" w:space="0" w:color="auto"/>
                      </w:divBdr>
                    </w:div>
                  </w:divsChild>
                </w:div>
                <w:div w:id="121922770">
                  <w:marLeft w:val="240"/>
                  <w:marRight w:val="0"/>
                  <w:marTop w:val="60"/>
                  <w:marBottom w:val="60"/>
                  <w:divBdr>
                    <w:top w:val="none" w:sz="0" w:space="0" w:color="auto"/>
                    <w:left w:val="none" w:sz="0" w:space="0" w:color="auto"/>
                    <w:bottom w:val="none" w:sz="0" w:space="0" w:color="auto"/>
                    <w:right w:val="none" w:sz="0" w:space="0" w:color="auto"/>
                  </w:divBdr>
                  <w:divsChild>
                    <w:div w:id="990256727">
                      <w:marLeft w:val="0"/>
                      <w:marRight w:val="0"/>
                      <w:marTop w:val="0"/>
                      <w:marBottom w:val="0"/>
                      <w:divBdr>
                        <w:top w:val="none" w:sz="0" w:space="0" w:color="auto"/>
                        <w:left w:val="none" w:sz="0" w:space="0" w:color="auto"/>
                        <w:bottom w:val="none" w:sz="0" w:space="0" w:color="auto"/>
                        <w:right w:val="none" w:sz="0" w:space="0" w:color="auto"/>
                      </w:divBdr>
                    </w:div>
                  </w:divsChild>
                </w:div>
                <w:div w:id="455679920">
                  <w:marLeft w:val="240"/>
                  <w:marRight w:val="0"/>
                  <w:marTop w:val="60"/>
                  <w:marBottom w:val="60"/>
                  <w:divBdr>
                    <w:top w:val="none" w:sz="0" w:space="0" w:color="auto"/>
                    <w:left w:val="none" w:sz="0" w:space="0" w:color="auto"/>
                    <w:bottom w:val="none" w:sz="0" w:space="0" w:color="auto"/>
                    <w:right w:val="none" w:sz="0" w:space="0" w:color="auto"/>
                  </w:divBdr>
                  <w:divsChild>
                    <w:div w:id="12453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7160">
              <w:marLeft w:val="240"/>
              <w:marRight w:val="0"/>
              <w:marTop w:val="60"/>
              <w:marBottom w:val="60"/>
              <w:divBdr>
                <w:top w:val="none" w:sz="0" w:space="0" w:color="auto"/>
                <w:left w:val="none" w:sz="0" w:space="0" w:color="auto"/>
                <w:bottom w:val="none" w:sz="0" w:space="0" w:color="auto"/>
                <w:right w:val="none" w:sz="0" w:space="0" w:color="auto"/>
              </w:divBdr>
              <w:divsChild>
                <w:div w:id="1631860719">
                  <w:marLeft w:val="0"/>
                  <w:marRight w:val="0"/>
                  <w:marTop w:val="0"/>
                  <w:marBottom w:val="0"/>
                  <w:divBdr>
                    <w:top w:val="none" w:sz="0" w:space="0" w:color="auto"/>
                    <w:left w:val="none" w:sz="0" w:space="0" w:color="auto"/>
                    <w:bottom w:val="none" w:sz="0" w:space="0" w:color="auto"/>
                    <w:right w:val="none" w:sz="0" w:space="0" w:color="auto"/>
                  </w:divBdr>
                </w:div>
              </w:divsChild>
            </w:div>
            <w:div w:id="1689598502">
              <w:marLeft w:val="240"/>
              <w:marRight w:val="0"/>
              <w:marTop w:val="60"/>
              <w:marBottom w:val="60"/>
              <w:divBdr>
                <w:top w:val="none" w:sz="0" w:space="0" w:color="auto"/>
                <w:left w:val="none" w:sz="0" w:space="0" w:color="auto"/>
                <w:bottom w:val="none" w:sz="0" w:space="0" w:color="auto"/>
                <w:right w:val="none" w:sz="0" w:space="0" w:color="auto"/>
              </w:divBdr>
              <w:divsChild>
                <w:div w:id="1273903447">
                  <w:marLeft w:val="0"/>
                  <w:marRight w:val="0"/>
                  <w:marTop w:val="0"/>
                  <w:marBottom w:val="0"/>
                  <w:divBdr>
                    <w:top w:val="none" w:sz="0" w:space="0" w:color="auto"/>
                    <w:left w:val="none" w:sz="0" w:space="0" w:color="auto"/>
                    <w:bottom w:val="none" w:sz="0" w:space="0" w:color="auto"/>
                    <w:right w:val="none" w:sz="0" w:space="0" w:color="auto"/>
                  </w:divBdr>
                </w:div>
              </w:divsChild>
            </w:div>
            <w:div w:id="1870029115">
              <w:marLeft w:val="240"/>
              <w:marRight w:val="0"/>
              <w:marTop w:val="60"/>
              <w:marBottom w:val="60"/>
              <w:divBdr>
                <w:top w:val="none" w:sz="0" w:space="0" w:color="auto"/>
                <w:left w:val="none" w:sz="0" w:space="0" w:color="auto"/>
                <w:bottom w:val="none" w:sz="0" w:space="0" w:color="auto"/>
                <w:right w:val="none" w:sz="0" w:space="0" w:color="auto"/>
              </w:divBdr>
              <w:divsChild>
                <w:div w:id="1731147342">
                  <w:marLeft w:val="0"/>
                  <w:marRight w:val="0"/>
                  <w:marTop w:val="0"/>
                  <w:marBottom w:val="0"/>
                  <w:divBdr>
                    <w:top w:val="none" w:sz="0" w:space="0" w:color="auto"/>
                    <w:left w:val="none" w:sz="0" w:space="0" w:color="auto"/>
                    <w:bottom w:val="none" w:sz="0" w:space="0" w:color="auto"/>
                    <w:right w:val="none" w:sz="0" w:space="0" w:color="auto"/>
                  </w:divBdr>
                </w:div>
              </w:divsChild>
            </w:div>
            <w:div w:id="1936942069">
              <w:marLeft w:val="240"/>
              <w:marRight w:val="0"/>
              <w:marTop w:val="60"/>
              <w:marBottom w:val="60"/>
              <w:divBdr>
                <w:top w:val="none" w:sz="0" w:space="0" w:color="auto"/>
                <w:left w:val="none" w:sz="0" w:space="0" w:color="auto"/>
                <w:bottom w:val="none" w:sz="0" w:space="0" w:color="auto"/>
                <w:right w:val="none" w:sz="0" w:space="0" w:color="auto"/>
              </w:divBdr>
              <w:divsChild>
                <w:div w:id="120656036">
                  <w:marLeft w:val="0"/>
                  <w:marRight w:val="0"/>
                  <w:marTop w:val="0"/>
                  <w:marBottom w:val="0"/>
                  <w:divBdr>
                    <w:top w:val="none" w:sz="0" w:space="0" w:color="auto"/>
                    <w:left w:val="none" w:sz="0" w:space="0" w:color="auto"/>
                    <w:bottom w:val="none" w:sz="0" w:space="0" w:color="auto"/>
                    <w:right w:val="none" w:sz="0" w:space="0" w:color="auto"/>
                  </w:divBdr>
                </w:div>
              </w:divsChild>
            </w:div>
            <w:div w:id="1945961021">
              <w:marLeft w:val="240"/>
              <w:marRight w:val="0"/>
              <w:marTop w:val="60"/>
              <w:marBottom w:val="60"/>
              <w:divBdr>
                <w:top w:val="none" w:sz="0" w:space="0" w:color="auto"/>
                <w:left w:val="none" w:sz="0" w:space="0" w:color="auto"/>
                <w:bottom w:val="none" w:sz="0" w:space="0" w:color="auto"/>
                <w:right w:val="none" w:sz="0" w:space="0" w:color="auto"/>
              </w:divBdr>
              <w:divsChild>
                <w:div w:id="9970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8195">
          <w:marLeft w:val="240"/>
          <w:marRight w:val="0"/>
          <w:marTop w:val="60"/>
          <w:marBottom w:val="60"/>
          <w:divBdr>
            <w:top w:val="none" w:sz="0" w:space="0" w:color="auto"/>
            <w:left w:val="none" w:sz="0" w:space="0" w:color="auto"/>
            <w:bottom w:val="none" w:sz="0" w:space="0" w:color="auto"/>
            <w:right w:val="none" w:sz="0" w:space="0" w:color="auto"/>
          </w:divBdr>
          <w:divsChild>
            <w:div w:id="1501582610">
              <w:marLeft w:val="240"/>
              <w:marRight w:val="0"/>
              <w:marTop w:val="60"/>
              <w:marBottom w:val="60"/>
              <w:divBdr>
                <w:top w:val="none" w:sz="0" w:space="0" w:color="auto"/>
                <w:left w:val="none" w:sz="0" w:space="0" w:color="auto"/>
                <w:bottom w:val="none" w:sz="0" w:space="0" w:color="auto"/>
                <w:right w:val="none" w:sz="0" w:space="0" w:color="auto"/>
              </w:divBdr>
              <w:divsChild>
                <w:div w:id="202904836">
                  <w:marLeft w:val="675"/>
                  <w:marRight w:val="0"/>
                  <w:marTop w:val="0"/>
                  <w:marBottom w:val="0"/>
                  <w:divBdr>
                    <w:top w:val="none" w:sz="0" w:space="0" w:color="auto"/>
                    <w:left w:val="none" w:sz="0" w:space="0" w:color="auto"/>
                    <w:bottom w:val="none" w:sz="0" w:space="0" w:color="auto"/>
                    <w:right w:val="none" w:sz="0" w:space="0" w:color="auto"/>
                  </w:divBdr>
                </w:div>
                <w:div w:id="593902670">
                  <w:marLeft w:val="240"/>
                  <w:marRight w:val="0"/>
                  <w:marTop w:val="60"/>
                  <w:marBottom w:val="60"/>
                  <w:divBdr>
                    <w:top w:val="none" w:sz="0" w:space="0" w:color="auto"/>
                    <w:left w:val="none" w:sz="0" w:space="0" w:color="auto"/>
                    <w:bottom w:val="none" w:sz="0" w:space="0" w:color="auto"/>
                    <w:right w:val="none" w:sz="0" w:space="0" w:color="auto"/>
                  </w:divBdr>
                  <w:divsChild>
                    <w:div w:id="621808024">
                      <w:marLeft w:val="0"/>
                      <w:marRight w:val="0"/>
                      <w:marTop w:val="0"/>
                      <w:marBottom w:val="0"/>
                      <w:divBdr>
                        <w:top w:val="none" w:sz="0" w:space="0" w:color="auto"/>
                        <w:left w:val="none" w:sz="0" w:space="0" w:color="auto"/>
                        <w:bottom w:val="none" w:sz="0" w:space="0" w:color="auto"/>
                        <w:right w:val="none" w:sz="0" w:space="0" w:color="auto"/>
                      </w:divBdr>
                    </w:div>
                  </w:divsChild>
                </w:div>
                <w:div w:id="744644182">
                  <w:marLeft w:val="240"/>
                  <w:marRight w:val="0"/>
                  <w:marTop w:val="60"/>
                  <w:marBottom w:val="60"/>
                  <w:divBdr>
                    <w:top w:val="none" w:sz="0" w:space="0" w:color="auto"/>
                    <w:left w:val="none" w:sz="0" w:space="0" w:color="auto"/>
                    <w:bottom w:val="none" w:sz="0" w:space="0" w:color="auto"/>
                    <w:right w:val="none" w:sz="0" w:space="0" w:color="auto"/>
                  </w:divBdr>
                  <w:divsChild>
                    <w:div w:id="5900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4587">
              <w:marLeft w:val="240"/>
              <w:marRight w:val="0"/>
              <w:marTop w:val="60"/>
              <w:marBottom w:val="60"/>
              <w:divBdr>
                <w:top w:val="none" w:sz="0" w:space="0" w:color="auto"/>
                <w:left w:val="none" w:sz="0" w:space="0" w:color="auto"/>
                <w:bottom w:val="none" w:sz="0" w:space="0" w:color="auto"/>
                <w:right w:val="none" w:sz="0" w:space="0" w:color="auto"/>
              </w:divBdr>
              <w:divsChild>
                <w:div w:id="69619533">
                  <w:marLeft w:val="240"/>
                  <w:marRight w:val="0"/>
                  <w:marTop w:val="60"/>
                  <w:marBottom w:val="60"/>
                  <w:divBdr>
                    <w:top w:val="none" w:sz="0" w:space="0" w:color="auto"/>
                    <w:left w:val="none" w:sz="0" w:space="0" w:color="auto"/>
                    <w:bottom w:val="none" w:sz="0" w:space="0" w:color="auto"/>
                    <w:right w:val="none" w:sz="0" w:space="0" w:color="auto"/>
                  </w:divBdr>
                  <w:divsChild>
                    <w:div w:id="135800561">
                      <w:marLeft w:val="0"/>
                      <w:marRight w:val="0"/>
                      <w:marTop w:val="0"/>
                      <w:marBottom w:val="0"/>
                      <w:divBdr>
                        <w:top w:val="none" w:sz="0" w:space="0" w:color="auto"/>
                        <w:left w:val="none" w:sz="0" w:space="0" w:color="auto"/>
                        <w:bottom w:val="none" w:sz="0" w:space="0" w:color="auto"/>
                        <w:right w:val="none" w:sz="0" w:space="0" w:color="auto"/>
                      </w:divBdr>
                    </w:div>
                  </w:divsChild>
                </w:div>
                <w:div w:id="1479104435">
                  <w:marLeft w:val="240"/>
                  <w:marRight w:val="0"/>
                  <w:marTop w:val="60"/>
                  <w:marBottom w:val="60"/>
                  <w:divBdr>
                    <w:top w:val="none" w:sz="0" w:space="0" w:color="auto"/>
                    <w:left w:val="none" w:sz="0" w:space="0" w:color="auto"/>
                    <w:bottom w:val="none" w:sz="0" w:space="0" w:color="auto"/>
                    <w:right w:val="none" w:sz="0" w:space="0" w:color="auto"/>
                  </w:divBdr>
                  <w:divsChild>
                    <w:div w:id="8406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5070">
          <w:marLeft w:val="240"/>
          <w:marRight w:val="0"/>
          <w:marTop w:val="60"/>
          <w:marBottom w:val="60"/>
          <w:divBdr>
            <w:top w:val="none" w:sz="0" w:space="0" w:color="auto"/>
            <w:left w:val="none" w:sz="0" w:space="0" w:color="auto"/>
            <w:bottom w:val="none" w:sz="0" w:space="0" w:color="auto"/>
            <w:right w:val="none" w:sz="0" w:space="0" w:color="auto"/>
          </w:divBdr>
          <w:divsChild>
            <w:div w:id="308176434">
              <w:marLeft w:val="240"/>
              <w:marRight w:val="0"/>
              <w:marTop w:val="60"/>
              <w:marBottom w:val="60"/>
              <w:divBdr>
                <w:top w:val="none" w:sz="0" w:space="0" w:color="auto"/>
                <w:left w:val="none" w:sz="0" w:space="0" w:color="auto"/>
                <w:bottom w:val="none" w:sz="0" w:space="0" w:color="auto"/>
                <w:right w:val="none" w:sz="0" w:space="0" w:color="auto"/>
              </w:divBdr>
              <w:divsChild>
                <w:div w:id="172457263">
                  <w:marLeft w:val="240"/>
                  <w:marRight w:val="0"/>
                  <w:marTop w:val="60"/>
                  <w:marBottom w:val="60"/>
                  <w:divBdr>
                    <w:top w:val="none" w:sz="0" w:space="0" w:color="auto"/>
                    <w:left w:val="none" w:sz="0" w:space="0" w:color="auto"/>
                    <w:bottom w:val="none" w:sz="0" w:space="0" w:color="auto"/>
                    <w:right w:val="none" w:sz="0" w:space="0" w:color="auto"/>
                  </w:divBdr>
                  <w:divsChild>
                    <w:div w:id="378171196">
                      <w:marLeft w:val="0"/>
                      <w:marRight w:val="0"/>
                      <w:marTop w:val="0"/>
                      <w:marBottom w:val="0"/>
                      <w:divBdr>
                        <w:top w:val="none" w:sz="0" w:space="0" w:color="auto"/>
                        <w:left w:val="none" w:sz="0" w:space="0" w:color="auto"/>
                        <w:bottom w:val="none" w:sz="0" w:space="0" w:color="auto"/>
                        <w:right w:val="none" w:sz="0" w:space="0" w:color="auto"/>
                      </w:divBdr>
                    </w:div>
                  </w:divsChild>
                </w:div>
                <w:div w:id="890068661">
                  <w:marLeft w:val="240"/>
                  <w:marRight w:val="0"/>
                  <w:marTop w:val="60"/>
                  <w:marBottom w:val="60"/>
                  <w:divBdr>
                    <w:top w:val="none" w:sz="0" w:space="0" w:color="auto"/>
                    <w:left w:val="none" w:sz="0" w:space="0" w:color="auto"/>
                    <w:bottom w:val="none" w:sz="0" w:space="0" w:color="auto"/>
                    <w:right w:val="none" w:sz="0" w:space="0" w:color="auto"/>
                  </w:divBdr>
                  <w:divsChild>
                    <w:div w:id="2043432513">
                      <w:marLeft w:val="0"/>
                      <w:marRight w:val="0"/>
                      <w:marTop w:val="0"/>
                      <w:marBottom w:val="0"/>
                      <w:divBdr>
                        <w:top w:val="none" w:sz="0" w:space="0" w:color="auto"/>
                        <w:left w:val="none" w:sz="0" w:space="0" w:color="auto"/>
                        <w:bottom w:val="none" w:sz="0" w:space="0" w:color="auto"/>
                        <w:right w:val="none" w:sz="0" w:space="0" w:color="auto"/>
                      </w:divBdr>
                    </w:div>
                  </w:divsChild>
                </w:div>
                <w:div w:id="1034693959">
                  <w:marLeft w:val="240"/>
                  <w:marRight w:val="0"/>
                  <w:marTop w:val="60"/>
                  <w:marBottom w:val="60"/>
                  <w:divBdr>
                    <w:top w:val="none" w:sz="0" w:space="0" w:color="auto"/>
                    <w:left w:val="none" w:sz="0" w:space="0" w:color="auto"/>
                    <w:bottom w:val="none" w:sz="0" w:space="0" w:color="auto"/>
                    <w:right w:val="none" w:sz="0" w:space="0" w:color="auto"/>
                  </w:divBdr>
                  <w:divsChild>
                    <w:div w:id="17165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4666">
              <w:marLeft w:val="240"/>
              <w:marRight w:val="0"/>
              <w:marTop w:val="60"/>
              <w:marBottom w:val="60"/>
              <w:divBdr>
                <w:top w:val="none" w:sz="0" w:space="0" w:color="auto"/>
                <w:left w:val="none" w:sz="0" w:space="0" w:color="auto"/>
                <w:bottom w:val="none" w:sz="0" w:space="0" w:color="auto"/>
                <w:right w:val="none" w:sz="0" w:space="0" w:color="auto"/>
              </w:divBdr>
              <w:divsChild>
                <w:div w:id="600793803">
                  <w:marLeft w:val="0"/>
                  <w:marRight w:val="0"/>
                  <w:marTop w:val="0"/>
                  <w:marBottom w:val="0"/>
                  <w:divBdr>
                    <w:top w:val="none" w:sz="0" w:space="0" w:color="auto"/>
                    <w:left w:val="none" w:sz="0" w:space="0" w:color="auto"/>
                    <w:bottom w:val="none" w:sz="0" w:space="0" w:color="auto"/>
                    <w:right w:val="none" w:sz="0" w:space="0" w:color="auto"/>
                  </w:divBdr>
                </w:div>
              </w:divsChild>
            </w:div>
            <w:div w:id="752778644">
              <w:marLeft w:val="240"/>
              <w:marRight w:val="0"/>
              <w:marTop w:val="60"/>
              <w:marBottom w:val="60"/>
              <w:divBdr>
                <w:top w:val="none" w:sz="0" w:space="0" w:color="auto"/>
                <w:left w:val="none" w:sz="0" w:space="0" w:color="auto"/>
                <w:bottom w:val="none" w:sz="0" w:space="0" w:color="auto"/>
                <w:right w:val="none" w:sz="0" w:space="0" w:color="auto"/>
              </w:divBdr>
              <w:divsChild>
                <w:div w:id="965045927">
                  <w:marLeft w:val="0"/>
                  <w:marRight w:val="0"/>
                  <w:marTop w:val="0"/>
                  <w:marBottom w:val="0"/>
                  <w:divBdr>
                    <w:top w:val="none" w:sz="0" w:space="0" w:color="auto"/>
                    <w:left w:val="none" w:sz="0" w:space="0" w:color="auto"/>
                    <w:bottom w:val="none" w:sz="0" w:space="0" w:color="auto"/>
                    <w:right w:val="none" w:sz="0" w:space="0" w:color="auto"/>
                  </w:divBdr>
                </w:div>
              </w:divsChild>
            </w:div>
            <w:div w:id="901253402">
              <w:marLeft w:val="240"/>
              <w:marRight w:val="0"/>
              <w:marTop w:val="60"/>
              <w:marBottom w:val="60"/>
              <w:divBdr>
                <w:top w:val="none" w:sz="0" w:space="0" w:color="auto"/>
                <w:left w:val="none" w:sz="0" w:space="0" w:color="auto"/>
                <w:bottom w:val="none" w:sz="0" w:space="0" w:color="auto"/>
                <w:right w:val="none" w:sz="0" w:space="0" w:color="auto"/>
              </w:divBdr>
              <w:divsChild>
                <w:div w:id="1413115483">
                  <w:marLeft w:val="240"/>
                  <w:marRight w:val="0"/>
                  <w:marTop w:val="60"/>
                  <w:marBottom w:val="60"/>
                  <w:divBdr>
                    <w:top w:val="none" w:sz="0" w:space="0" w:color="auto"/>
                    <w:left w:val="none" w:sz="0" w:space="0" w:color="auto"/>
                    <w:bottom w:val="none" w:sz="0" w:space="0" w:color="auto"/>
                    <w:right w:val="none" w:sz="0" w:space="0" w:color="auto"/>
                  </w:divBdr>
                  <w:divsChild>
                    <w:div w:id="492768743">
                      <w:marLeft w:val="0"/>
                      <w:marRight w:val="0"/>
                      <w:marTop w:val="0"/>
                      <w:marBottom w:val="0"/>
                      <w:divBdr>
                        <w:top w:val="none" w:sz="0" w:space="0" w:color="auto"/>
                        <w:left w:val="none" w:sz="0" w:space="0" w:color="auto"/>
                        <w:bottom w:val="none" w:sz="0" w:space="0" w:color="auto"/>
                        <w:right w:val="none" w:sz="0" w:space="0" w:color="auto"/>
                      </w:divBdr>
                    </w:div>
                  </w:divsChild>
                </w:div>
                <w:div w:id="1821650144">
                  <w:marLeft w:val="240"/>
                  <w:marRight w:val="0"/>
                  <w:marTop w:val="60"/>
                  <w:marBottom w:val="60"/>
                  <w:divBdr>
                    <w:top w:val="none" w:sz="0" w:space="0" w:color="auto"/>
                    <w:left w:val="none" w:sz="0" w:space="0" w:color="auto"/>
                    <w:bottom w:val="none" w:sz="0" w:space="0" w:color="auto"/>
                    <w:right w:val="none" w:sz="0" w:space="0" w:color="auto"/>
                  </w:divBdr>
                  <w:divsChild>
                    <w:div w:id="9424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7511">
          <w:marLeft w:val="240"/>
          <w:marRight w:val="0"/>
          <w:marTop w:val="60"/>
          <w:marBottom w:val="6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
          </w:divsChild>
        </w:div>
        <w:div w:id="2047177920">
          <w:marLeft w:val="240"/>
          <w:marRight w:val="0"/>
          <w:marTop w:val="60"/>
          <w:marBottom w:val="60"/>
          <w:divBdr>
            <w:top w:val="none" w:sz="0" w:space="0" w:color="auto"/>
            <w:left w:val="none" w:sz="0" w:space="0" w:color="auto"/>
            <w:bottom w:val="none" w:sz="0" w:space="0" w:color="auto"/>
            <w:right w:val="none" w:sz="0" w:space="0" w:color="auto"/>
          </w:divBdr>
          <w:divsChild>
            <w:div w:id="47148050">
              <w:marLeft w:val="240"/>
              <w:marRight w:val="0"/>
              <w:marTop w:val="60"/>
              <w:marBottom w:val="60"/>
              <w:divBdr>
                <w:top w:val="none" w:sz="0" w:space="0" w:color="auto"/>
                <w:left w:val="none" w:sz="0" w:space="0" w:color="auto"/>
                <w:bottom w:val="none" w:sz="0" w:space="0" w:color="auto"/>
                <w:right w:val="none" w:sz="0" w:space="0" w:color="auto"/>
              </w:divBdr>
              <w:divsChild>
                <w:div w:id="2012296559">
                  <w:marLeft w:val="0"/>
                  <w:marRight w:val="0"/>
                  <w:marTop w:val="0"/>
                  <w:marBottom w:val="0"/>
                  <w:divBdr>
                    <w:top w:val="none" w:sz="0" w:space="0" w:color="auto"/>
                    <w:left w:val="none" w:sz="0" w:space="0" w:color="auto"/>
                    <w:bottom w:val="none" w:sz="0" w:space="0" w:color="auto"/>
                    <w:right w:val="none" w:sz="0" w:space="0" w:color="auto"/>
                  </w:divBdr>
                </w:div>
              </w:divsChild>
            </w:div>
            <w:div w:id="181626756">
              <w:marLeft w:val="240"/>
              <w:marRight w:val="0"/>
              <w:marTop w:val="60"/>
              <w:marBottom w:val="60"/>
              <w:divBdr>
                <w:top w:val="none" w:sz="0" w:space="0" w:color="auto"/>
                <w:left w:val="none" w:sz="0" w:space="0" w:color="auto"/>
                <w:bottom w:val="none" w:sz="0" w:space="0" w:color="auto"/>
                <w:right w:val="none" w:sz="0" w:space="0" w:color="auto"/>
              </w:divBdr>
              <w:divsChild>
                <w:div w:id="518935371">
                  <w:marLeft w:val="0"/>
                  <w:marRight w:val="0"/>
                  <w:marTop w:val="0"/>
                  <w:marBottom w:val="0"/>
                  <w:divBdr>
                    <w:top w:val="none" w:sz="0" w:space="0" w:color="auto"/>
                    <w:left w:val="none" w:sz="0" w:space="0" w:color="auto"/>
                    <w:bottom w:val="none" w:sz="0" w:space="0" w:color="auto"/>
                    <w:right w:val="none" w:sz="0" w:space="0" w:color="auto"/>
                  </w:divBdr>
                </w:div>
              </w:divsChild>
            </w:div>
            <w:div w:id="328749832">
              <w:marLeft w:val="240"/>
              <w:marRight w:val="0"/>
              <w:marTop w:val="60"/>
              <w:marBottom w:val="60"/>
              <w:divBdr>
                <w:top w:val="none" w:sz="0" w:space="0" w:color="auto"/>
                <w:left w:val="none" w:sz="0" w:space="0" w:color="auto"/>
                <w:bottom w:val="none" w:sz="0" w:space="0" w:color="auto"/>
                <w:right w:val="none" w:sz="0" w:space="0" w:color="auto"/>
              </w:divBdr>
              <w:divsChild>
                <w:div w:id="1304309420">
                  <w:marLeft w:val="0"/>
                  <w:marRight w:val="0"/>
                  <w:marTop w:val="0"/>
                  <w:marBottom w:val="0"/>
                  <w:divBdr>
                    <w:top w:val="none" w:sz="0" w:space="0" w:color="auto"/>
                    <w:left w:val="none" w:sz="0" w:space="0" w:color="auto"/>
                    <w:bottom w:val="none" w:sz="0" w:space="0" w:color="auto"/>
                    <w:right w:val="none" w:sz="0" w:space="0" w:color="auto"/>
                  </w:divBdr>
                </w:div>
              </w:divsChild>
            </w:div>
            <w:div w:id="1694109680">
              <w:marLeft w:val="240"/>
              <w:marRight w:val="0"/>
              <w:marTop w:val="60"/>
              <w:marBottom w:val="60"/>
              <w:divBdr>
                <w:top w:val="none" w:sz="0" w:space="0" w:color="auto"/>
                <w:left w:val="none" w:sz="0" w:space="0" w:color="auto"/>
                <w:bottom w:val="none" w:sz="0" w:space="0" w:color="auto"/>
                <w:right w:val="none" w:sz="0" w:space="0" w:color="auto"/>
              </w:divBdr>
              <w:divsChild>
                <w:div w:id="13371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3829">
      <w:bodyDiv w:val="1"/>
      <w:marLeft w:val="0"/>
      <w:marRight w:val="0"/>
      <w:marTop w:val="0"/>
      <w:marBottom w:val="0"/>
      <w:divBdr>
        <w:top w:val="none" w:sz="0" w:space="0" w:color="auto"/>
        <w:left w:val="none" w:sz="0" w:space="0" w:color="auto"/>
        <w:bottom w:val="none" w:sz="0" w:space="0" w:color="auto"/>
        <w:right w:val="none" w:sz="0" w:space="0" w:color="auto"/>
      </w:divBdr>
      <w:divsChild>
        <w:div w:id="705524107">
          <w:marLeft w:val="0"/>
          <w:marRight w:val="75"/>
          <w:marTop w:val="0"/>
          <w:marBottom w:val="0"/>
          <w:divBdr>
            <w:top w:val="none" w:sz="0" w:space="0" w:color="auto"/>
            <w:left w:val="single" w:sz="6" w:space="2" w:color="DDDDDD"/>
            <w:bottom w:val="single" w:sz="6" w:space="2" w:color="DDDDDD"/>
            <w:right w:val="none" w:sz="0" w:space="0" w:color="auto"/>
          </w:divBdr>
          <w:divsChild>
            <w:div w:id="155221502">
              <w:marLeft w:val="0"/>
              <w:marRight w:val="0"/>
              <w:marTop w:val="750"/>
              <w:marBottom w:val="0"/>
              <w:divBdr>
                <w:top w:val="none" w:sz="0" w:space="0" w:color="auto"/>
                <w:left w:val="none" w:sz="0" w:space="0" w:color="auto"/>
                <w:bottom w:val="none" w:sz="0" w:space="0" w:color="auto"/>
                <w:right w:val="none" w:sz="0" w:space="0" w:color="auto"/>
              </w:divBdr>
              <w:divsChild>
                <w:div w:id="896818419">
                  <w:marLeft w:val="15"/>
                  <w:marRight w:val="75"/>
                  <w:marTop w:val="0"/>
                  <w:marBottom w:val="75"/>
                  <w:divBdr>
                    <w:top w:val="none" w:sz="0" w:space="0" w:color="auto"/>
                    <w:left w:val="none" w:sz="0" w:space="0" w:color="auto"/>
                    <w:bottom w:val="none" w:sz="0" w:space="0" w:color="auto"/>
                    <w:right w:val="none" w:sz="0" w:space="0" w:color="auto"/>
                  </w:divBdr>
                  <w:divsChild>
                    <w:div w:id="514929246">
                      <w:marLeft w:val="0"/>
                      <w:marRight w:val="0"/>
                      <w:marTop w:val="0"/>
                      <w:marBottom w:val="0"/>
                      <w:divBdr>
                        <w:top w:val="single" w:sz="6" w:space="1" w:color="CCCCCC"/>
                        <w:left w:val="single" w:sz="6" w:space="1" w:color="CCCCCC"/>
                        <w:bottom w:val="single" w:sz="6" w:space="1" w:color="CCCCCC"/>
                        <w:right w:val="single" w:sz="6" w:space="1" w:color="CCCCCC"/>
                      </w:divBdr>
                    </w:div>
                  </w:divsChild>
                </w:div>
              </w:divsChild>
            </w:div>
          </w:divsChild>
        </w:div>
      </w:divsChild>
    </w:div>
    <w:div w:id="1931356159">
      <w:bodyDiv w:val="1"/>
      <w:marLeft w:val="0"/>
      <w:marRight w:val="0"/>
      <w:marTop w:val="0"/>
      <w:marBottom w:val="0"/>
      <w:divBdr>
        <w:top w:val="none" w:sz="0" w:space="0" w:color="auto"/>
        <w:left w:val="none" w:sz="0" w:space="0" w:color="auto"/>
        <w:bottom w:val="none" w:sz="0" w:space="0" w:color="auto"/>
        <w:right w:val="none" w:sz="0" w:space="0" w:color="auto"/>
      </w:divBdr>
      <w:divsChild>
        <w:div w:id="566720309">
          <w:marLeft w:val="0"/>
          <w:marRight w:val="0"/>
          <w:marTop w:val="150"/>
          <w:marBottom w:val="0"/>
          <w:divBdr>
            <w:top w:val="none" w:sz="0" w:space="0" w:color="auto"/>
            <w:left w:val="none" w:sz="0" w:space="0" w:color="auto"/>
            <w:bottom w:val="none" w:sz="0" w:space="0" w:color="auto"/>
            <w:right w:val="none" w:sz="0" w:space="0" w:color="auto"/>
          </w:divBdr>
        </w:div>
        <w:div w:id="693918127">
          <w:marLeft w:val="0"/>
          <w:marRight w:val="0"/>
          <w:marTop w:val="0"/>
          <w:marBottom w:val="0"/>
          <w:divBdr>
            <w:top w:val="none" w:sz="0" w:space="0" w:color="auto"/>
            <w:left w:val="none" w:sz="0" w:space="0" w:color="auto"/>
            <w:bottom w:val="none" w:sz="0" w:space="0" w:color="auto"/>
            <w:right w:val="none" w:sz="0" w:space="0" w:color="auto"/>
          </w:divBdr>
        </w:div>
        <w:div w:id="769012544">
          <w:marLeft w:val="0"/>
          <w:marRight w:val="0"/>
          <w:marTop w:val="150"/>
          <w:marBottom w:val="0"/>
          <w:divBdr>
            <w:top w:val="none" w:sz="0" w:space="0" w:color="auto"/>
            <w:left w:val="none" w:sz="0" w:space="0" w:color="auto"/>
            <w:bottom w:val="none" w:sz="0" w:space="0" w:color="auto"/>
            <w:right w:val="none" w:sz="0" w:space="0" w:color="auto"/>
          </w:divBdr>
        </w:div>
        <w:div w:id="1475369423">
          <w:marLeft w:val="0"/>
          <w:marRight w:val="0"/>
          <w:marTop w:val="0"/>
          <w:marBottom w:val="0"/>
          <w:divBdr>
            <w:top w:val="none" w:sz="0" w:space="0" w:color="auto"/>
            <w:left w:val="none" w:sz="0" w:space="0" w:color="auto"/>
            <w:bottom w:val="none" w:sz="0" w:space="0" w:color="auto"/>
            <w:right w:val="none" w:sz="0" w:space="0" w:color="auto"/>
          </w:divBdr>
        </w:div>
      </w:divsChild>
    </w:div>
    <w:div w:id="1973050021">
      <w:bodyDiv w:val="1"/>
      <w:marLeft w:val="0"/>
      <w:marRight w:val="0"/>
      <w:marTop w:val="0"/>
      <w:marBottom w:val="0"/>
      <w:divBdr>
        <w:top w:val="none" w:sz="0" w:space="0" w:color="auto"/>
        <w:left w:val="none" w:sz="0" w:space="0" w:color="auto"/>
        <w:bottom w:val="none" w:sz="0" w:space="0" w:color="auto"/>
        <w:right w:val="none" w:sz="0" w:space="0" w:color="auto"/>
      </w:divBdr>
      <w:divsChild>
        <w:div w:id="331958210">
          <w:marLeft w:val="0"/>
          <w:marRight w:val="0"/>
          <w:marTop w:val="0"/>
          <w:marBottom w:val="0"/>
          <w:divBdr>
            <w:top w:val="none" w:sz="0" w:space="0" w:color="auto"/>
            <w:left w:val="none" w:sz="0" w:space="0" w:color="auto"/>
            <w:bottom w:val="none" w:sz="0" w:space="0" w:color="auto"/>
            <w:right w:val="none" w:sz="0" w:space="0" w:color="auto"/>
          </w:divBdr>
          <w:divsChild>
            <w:div w:id="1384792569">
              <w:marLeft w:val="0"/>
              <w:marRight w:val="0"/>
              <w:marTop w:val="0"/>
              <w:marBottom w:val="15"/>
              <w:divBdr>
                <w:top w:val="none" w:sz="0" w:space="0" w:color="auto"/>
                <w:left w:val="none" w:sz="0" w:space="0" w:color="auto"/>
                <w:bottom w:val="none" w:sz="0" w:space="0" w:color="auto"/>
                <w:right w:val="none" w:sz="0" w:space="0" w:color="auto"/>
              </w:divBdr>
              <w:divsChild>
                <w:div w:id="795611523">
                  <w:marLeft w:val="0"/>
                  <w:marRight w:val="0"/>
                  <w:marTop w:val="0"/>
                  <w:marBottom w:val="0"/>
                  <w:divBdr>
                    <w:top w:val="none" w:sz="0" w:space="0" w:color="auto"/>
                    <w:left w:val="none" w:sz="0" w:space="0" w:color="auto"/>
                    <w:bottom w:val="none" w:sz="0" w:space="0" w:color="auto"/>
                    <w:right w:val="none" w:sz="0" w:space="0" w:color="auto"/>
                  </w:divBdr>
                  <w:divsChild>
                    <w:div w:id="1827629295">
                      <w:marLeft w:val="0"/>
                      <w:marRight w:val="0"/>
                      <w:marTop w:val="0"/>
                      <w:marBottom w:val="0"/>
                      <w:divBdr>
                        <w:top w:val="none" w:sz="0" w:space="0" w:color="auto"/>
                        <w:left w:val="none" w:sz="0" w:space="0" w:color="auto"/>
                        <w:bottom w:val="none" w:sz="0" w:space="0" w:color="auto"/>
                        <w:right w:val="none" w:sz="0" w:space="0" w:color="auto"/>
                      </w:divBdr>
                      <w:divsChild>
                        <w:div w:id="1704789479">
                          <w:marLeft w:val="0"/>
                          <w:marRight w:val="0"/>
                          <w:marTop w:val="0"/>
                          <w:marBottom w:val="0"/>
                          <w:divBdr>
                            <w:top w:val="none" w:sz="0" w:space="0" w:color="auto"/>
                            <w:left w:val="none" w:sz="0" w:space="0" w:color="auto"/>
                            <w:bottom w:val="none" w:sz="0" w:space="0" w:color="auto"/>
                            <w:right w:val="none" w:sz="0" w:space="0" w:color="auto"/>
                          </w:divBdr>
                          <w:divsChild>
                            <w:div w:id="1567179606">
                              <w:marLeft w:val="0"/>
                              <w:marRight w:val="0"/>
                              <w:marTop w:val="0"/>
                              <w:marBottom w:val="0"/>
                              <w:divBdr>
                                <w:top w:val="none" w:sz="0" w:space="0" w:color="auto"/>
                                <w:left w:val="none" w:sz="0" w:space="0" w:color="auto"/>
                                <w:bottom w:val="none" w:sz="0" w:space="0" w:color="auto"/>
                                <w:right w:val="none" w:sz="0" w:space="0" w:color="auto"/>
                              </w:divBdr>
                              <w:divsChild>
                                <w:div w:id="1311835762">
                                  <w:marLeft w:val="0"/>
                                  <w:marRight w:val="0"/>
                                  <w:marTop w:val="0"/>
                                  <w:marBottom w:val="0"/>
                                  <w:divBdr>
                                    <w:top w:val="single" w:sz="2" w:space="0" w:color="EEEEEE"/>
                                    <w:left w:val="none" w:sz="0" w:space="0" w:color="auto"/>
                                    <w:bottom w:val="none" w:sz="0" w:space="0" w:color="auto"/>
                                    <w:right w:val="none" w:sz="0" w:space="0" w:color="auto"/>
                                  </w:divBdr>
                                  <w:divsChild>
                                    <w:div w:id="1431120104">
                                      <w:marLeft w:val="0"/>
                                      <w:marRight w:val="0"/>
                                      <w:marTop w:val="0"/>
                                      <w:marBottom w:val="0"/>
                                      <w:divBdr>
                                        <w:top w:val="none" w:sz="0" w:space="0" w:color="auto"/>
                                        <w:left w:val="none" w:sz="0" w:space="0" w:color="auto"/>
                                        <w:bottom w:val="none" w:sz="0" w:space="0" w:color="auto"/>
                                        <w:right w:val="none" w:sz="0" w:space="0" w:color="auto"/>
                                      </w:divBdr>
                                      <w:divsChild>
                                        <w:div w:id="586424111">
                                          <w:marLeft w:val="0"/>
                                          <w:marRight w:val="0"/>
                                          <w:marTop w:val="0"/>
                                          <w:marBottom w:val="0"/>
                                          <w:divBdr>
                                            <w:top w:val="none" w:sz="0" w:space="0" w:color="auto"/>
                                            <w:left w:val="none" w:sz="0" w:space="0" w:color="auto"/>
                                            <w:bottom w:val="none" w:sz="0" w:space="0" w:color="auto"/>
                                            <w:right w:val="none" w:sz="0" w:space="0" w:color="auto"/>
                                          </w:divBdr>
                                          <w:divsChild>
                                            <w:div w:id="1417822787">
                                              <w:marLeft w:val="0"/>
                                              <w:marRight w:val="0"/>
                                              <w:marTop w:val="0"/>
                                              <w:marBottom w:val="0"/>
                                              <w:divBdr>
                                                <w:top w:val="none" w:sz="0" w:space="0" w:color="auto"/>
                                                <w:left w:val="none" w:sz="0" w:space="0" w:color="auto"/>
                                                <w:bottom w:val="none" w:sz="0" w:space="0" w:color="auto"/>
                                                <w:right w:val="none" w:sz="0" w:space="0" w:color="auto"/>
                                              </w:divBdr>
                                              <w:divsChild>
                                                <w:div w:id="1116294872">
                                                  <w:marLeft w:val="0"/>
                                                  <w:marRight w:val="0"/>
                                                  <w:marTop w:val="0"/>
                                                  <w:marBottom w:val="0"/>
                                                  <w:divBdr>
                                                    <w:top w:val="none" w:sz="0" w:space="0" w:color="auto"/>
                                                    <w:left w:val="none" w:sz="0" w:space="0" w:color="auto"/>
                                                    <w:bottom w:val="none" w:sz="0" w:space="0" w:color="auto"/>
                                                    <w:right w:val="none" w:sz="0" w:space="0" w:color="auto"/>
                                                  </w:divBdr>
                                                  <w:divsChild>
                                                    <w:div w:id="37753072">
                                                      <w:marLeft w:val="0"/>
                                                      <w:marRight w:val="0"/>
                                                      <w:marTop w:val="0"/>
                                                      <w:marBottom w:val="0"/>
                                                      <w:divBdr>
                                                        <w:top w:val="none" w:sz="0" w:space="0" w:color="auto"/>
                                                        <w:left w:val="none" w:sz="0" w:space="0" w:color="auto"/>
                                                        <w:bottom w:val="none" w:sz="0" w:space="0" w:color="auto"/>
                                                        <w:right w:val="none" w:sz="0" w:space="0" w:color="auto"/>
                                                      </w:divBdr>
                                                      <w:divsChild>
                                                        <w:div w:id="152257013">
                                                          <w:marLeft w:val="0"/>
                                                          <w:marRight w:val="0"/>
                                                          <w:marTop w:val="0"/>
                                                          <w:marBottom w:val="0"/>
                                                          <w:divBdr>
                                                            <w:top w:val="none" w:sz="0" w:space="0" w:color="auto"/>
                                                            <w:left w:val="none" w:sz="0" w:space="0" w:color="auto"/>
                                                            <w:bottom w:val="none" w:sz="0" w:space="0" w:color="auto"/>
                                                            <w:right w:val="none" w:sz="0" w:space="0" w:color="auto"/>
                                                          </w:divBdr>
                                                          <w:divsChild>
                                                            <w:div w:id="1986160197">
                                                              <w:marLeft w:val="0"/>
                                                              <w:marRight w:val="0"/>
                                                              <w:marTop w:val="0"/>
                                                              <w:marBottom w:val="0"/>
                                                              <w:divBdr>
                                                                <w:top w:val="none" w:sz="0" w:space="0" w:color="auto"/>
                                                                <w:left w:val="none" w:sz="0" w:space="0" w:color="auto"/>
                                                                <w:bottom w:val="none" w:sz="0" w:space="0" w:color="auto"/>
                                                                <w:right w:val="none" w:sz="0" w:space="0" w:color="auto"/>
                                                              </w:divBdr>
                                                              <w:divsChild>
                                                                <w:div w:id="1726949976">
                                                                  <w:marLeft w:val="0"/>
                                                                  <w:marRight w:val="0"/>
                                                                  <w:marTop w:val="450"/>
                                                                  <w:marBottom w:val="450"/>
                                                                  <w:divBdr>
                                                                    <w:top w:val="none" w:sz="0" w:space="0" w:color="auto"/>
                                                                    <w:left w:val="none" w:sz="0" w:space="0" w:color="auto"/>
                                                                    <w:bottom w:val="none" w:sz="0" w:space="0" w:color="auto"/>
                                                                    <w:right w:val="none" w:sz="0" w:space="0" w:color="auto"/>
                                                                  </w:divBdr>
                                                                  <w:divsChild>
                                                                    <w:div w:id="455565081">
                                                                      <w:marLeft w:val="0"/>
                                                                      <w:marRight w:val="0"/>
                                                                      <w:marTop w:val="0"/>
                                                                      <w:marBottom w:val="0"/>
                                                                      <w:divBdr>
                                                                        <w:top w:val="none" w:sz="0" w:space="0" w:color="auto"/>
                                                                        <w:left w:val="none" w:sz="0" w:space="0" w:color="auto"/>
                                                                        <w:bottom w:val="none" w:sz="0" w:space="0" w:color="auto"/>
                                                                        <w:right w:val="none" w:sz="0" w:space="0" w:color="auto"/>
                                                                      </w:divBdr>
                                                                      <w:divsChild>
                                                                        <w:div w:id="1275868942">
                                                                          <w:marLeft w:val="0"/>
                                                                          <w:marRight w:val="0"/>
                                                                          <w:marTop w:val="0"/>
                                                                          <w:marBottom w:val="0"/>
                                                                          <w:divBdr>
                                                                            <w:top w:val="none" w:sz="0" w:space="0" w:color="auto"/>
                                                                            <w:left w:val="none" w:sz="0" w:space="0" w:color="auto"/>
                                                                            <w:bottom w:val="none" w:sz="0" w:space="0" w:color="auto"/>
                                                                            <w:right w:val="none" w:sz="0" w:space="0" w:color="auto"/>
                                                                          </w:divBdr>
                                                                          <w:divsChild>
                                                                            <w:div w:id="1901747375">
                                                                              <w:marLeft w:val="0"/>
                                                                              <w:marRight w:val="0"/>
                                                                              <w:marTop w:val="0"/>
                                                                              <w:marBottom w:val="0"/>
                                                                              <w:divBdr>
                                                                                <w:top w:val="none" w:sz="0" w:space="0" w:color="auto"/>
                                                                                <w:left w:val="none" w:sz="0" w:space="0" w:color="auto"/>
                                                                                <w:bottom w:val="none" w:sz="0" w:space="0" w:color="auto"/>
                                                                                <w:right w:val="none" w:sz="0" w:space="0" w:color="auto"/>
                                                                              </w:divBdr>
                                                                              <w:divsChild>
                                                                                <w:div w:id="60762481">
                                                                                  <w:marLeft w:val="0"/>
                                                                                  <w:marRight w:val="0"/>
                                                                                  <w:marTop w:val="0"/>
                                                                                  <w:marBottom w:val="0"/>
                                                                                  <w:divBdr>
                                                                                    <w:top w:val="none" w:sz="0" w:space="0" w:color="auto"/>
                                                                                    <w:left w:val="none" w:sz="0" w:space="0" w:color="auto"/>
                                                                                    <w:bottom w:val="none" w:sz="0" w:space="0" w:color="auto"/>
                                                                                    <w:right w:val="none" w:sz="0" w:space="0" w:color="auto"/>
                                                                                  </w:divBdr>
                                                                                  <w:divsChild>
                                                                                    <w:div w:id="903180413">
                                                                                      <w:marLeft w:val="0"/>
                                                                                      <w:marRight w:val="0"/>
                                                                                      <w:marTop w:val="0"/>
                                                                                      <w:marBottom w:val="375"/>
                                                                                      <w:divBdr>
                                                                                        <w:top w:val="none" w:sz="0" w:space="0" w:color="auto"/>
                                                                                        <w:left w:val="none" w:sz="0" w:space="0" w:color="auto"/>
                                                                                        <w:bottom w:val="none" w:sz="0" w:space="0" w:color="auto"/>
                                                                                        <w:right w:val="none" w:sz="0" w:space="0" w:color="auto"/>
                                                                                      </w:divBdr>
                                                                                      <w:divsChild>
                                                                                        <w:div w:id="18890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910466">
      <w:bodyDiv w:val="1"/>
      <w:marLeft w:val="0"/>
      <w:marRight w:val="0"/>
      <w:marTop w:val="0"/>
      <w:marBottom w:val="0"/>
      <w:divBdr>
        <w:top w:val="none" w:sz="0" w:space="0" w:color="auto"/>
        <w:left w:val="none" w:sz="0" w:space="0" w:color="auto"/>
        <w:bottom w:val="none" w:sz="0" w:space="0" w:color="auto"/>
        <w:right w:val="none" w:sz="0" w:space="0" w:color="auto"/>
      </w:divBdr>
      <w:divsChild>
        <w:div w:id="1706711126">
          <w:marLeft w:val="0"/>
          <w:marRight w:val="0"/>
          <w:marTop w:val="0"/>
          <w:marBottom w:val="0"/>
          <w:divBdr>
            <w:top w:val="none" w:sz="0" w:space="0" w:color="auto"/>
            <w:left w:val="none" w:sz="0" w:space="0" w:color="auto"/>
            <w:bottom w:val="none" w:sz="0" w:space="0" w:color="auto"/>
            <w:right w:val="none" w:sz="0" w:space="0" w:color="auto"/>
          </w:divBdr>
          <w:divsChild>
            <w:div w:id="1740247981">
              <w:marLeft w:val="0"/>
              <w:marRight w:val="0"/>
              <w:marTop w:val="0"/>
              <w:marBottom w:val="0"/>
              <w:divBdr>
                <w:top w:val="none" w:sz="0" w:space="0" w:color="auto"/>
                <w:left w:val="none" w:sz="0" w:space="0" w:color="auto"/>
                <w:bottom w:val="none" w:sz="0" w:space="0" w:color="auto"/>
                <w:right w:val="none" w:sz="0" w:space="0" w:color="auto"/>
              </w:divBdr>
              <w:divsChild>
                <w:div w:id="652952316">
                  <w:marLeft w:val="0"/>
                  <w:marRight w:val="0"/>
                  <w:marTop w:val="0"/>
                  <w:marBottom w:val="0"/>
                  <w:divBdr>
                    <w:top w:val="none" w:sz="0" w:space="0" w:color="auto"/>
                    <w:left w:val="none" w:sz="0" w:space="0" w:color="auto"/>
                    <w:bottom w:val="none" w:sz="0" w:space="0" w:color="auto"/>
                    <w:right w:val="none" w:sz="0" w:space="0" w:color="auto"/>
                  </w:divBdr>
                  <w:divsChild>
                    <w:div w:id="1424303204">
                      <w:marLeft w:val="0"/>
                      <w:marRight w:val="0"/>
                      <w:marTop w:val="0"/>
                      <w:marBottom w:val="0"/>
                      <w:divBdr>
                        <w:top w:val="none" w:sz="0" w:space="0" w:color="auto"/>
                        <w:left w:val="none" w:sz="0" w:space="0" w:color="auto"/>
                        <w:bottom w:val="none" w:sz="0" w:space="0" w:color="auto"/>
                        <w:right w:val="none" w:sz="0" w:space="0" w:color="auto"/>
                      </w:divBdr>
                      <w:divsChild>
                        <w:div w:id="185679792">
                          <w:marLeft w:val="0"/>
                          <w:marRight w:val="0"/>
                          <w:marTop w:val="0"/>
                          <w:marBottom w:val="0"/>
                          <w:divBdr>
                            <w:top w:val="none" w:sz="0" w:space="0" w:color="auto"/>
                            <w:left w:val="none" w:sz="0" w:space="0" w:color="auto"/>
                            <w:bottom w:val="none" w:sz="0" w:space="0" w:color="auto"/>
                            <w:right w:val="none" w:sz="0" w:space="0" w:color="auto"/>
                          </w:divBdr>
                          <w:divsChild>
                            <w:div w:id="1556894362">
                              <w:marLeft w:val="0"/>
                              <w:marRight w:val="0"/>
                              <w:marTop w:val="0"/>
                              <w:marBottom w:val="0"/>
                              <w:divBdr>
                                <w:top w:val="none" w:sz="0" w:space="0" w:color="auto"/>
                                <w:left w:val="none" w:sz="0" w:space="0" w:color="auto"/>
                                <w:bottom w:val="none" w:sz="0" w:space="0" w:color="auto"/>
                                <w:right w:val="none" w:sz="0" w:space="0" w:color="auto"/>
                              </w:divBdr>
                              <w:divsChild>
                                <w:div w:id="1483154807">
                                  <w:marLeft w:val="0"/>
                                  <w:marRight w:val="0"/>
                                  <w:marTop w:val="0"/>
                                  <w:marBottom w:val="0"/>
                                  <w:divBdr>
                                    <w:top w:val="none" w:sz="0" w:space="0" w:color="auto"/>
                                    <w:left w:val="none" w:sz="0" w:space="0" w:color="auto"/>
                                    <w:bottom w:val="none" w:sz="0" w:space="0" w:color="auto"/>
                                    <w:right w:val="none" w:sz="0" w:space="0" w:color="auto"/>
                                  </w:divBdr>
                                  <w:divsChild>
                                    <w:div w:id="941648439">
                                      <w:marLeft w:val="0"/>
                                      <w:marRight w:val="0"/>
                                      <w:marTop w:val="0"/>
                                      <w:marBottom w:val="0"/>
                                      <w:divBdr>
                                        <w:top w:val="none" w:sz="0" w:space="0" w:color="auto"/>
                                        <w:left w:val="none" w:sz="0" w:space="0" w:color="auto"/>
                                        <w:bottom w:val="none" w:sz="0" w:space="0" w:color="auto"/>
                                        <w:right w:val="none" w:sz="0" w:space="0" w:color="auto"/>
                                      </w:divBdr>
                                      <w:divsChild>
                                        <w:div w:id="1937518263">
                                          <w:marLeft w:val="0"/>
                                          <w:marRight w:val="0"/>
                                          <w:marTop w:val="0"/>
                                          <w:marBottom w:val="0"/>
                                          <w:divBdr>
                                            <w:top w:val="none" w:sz="0" w:space="0" w:color="auto"/>
                                            <w:left w:val="none" w:sz="0" w:space="0" w:color="auto"/>
                                            <w:bottom w:val="none" w:sz="0" w:space="0" w:color="auto"/>
                                            <w:right w:val="none" w:sz="0" w:space="0" w:color="auto"/>
                                          </w:divBdr>
                                          <w:divsChild>
                                            <w:div w:id="1652758756">
                                              <w:marLeft w:val="0"/>
                                              <w:marRight w:val="0"/>
                                              <w:marTop w:val="0"/>
                                              <w:marBottom w:val="0"/>
                                              <w:divBdr>
                                                <w:top w:val="none" w:sz="0" w:space="0" w:color="auto"/>
                                                <w:left w:val="none" w:sz="0" w:space="0" w:color="auto"/>
                                                <w:bottom w:val="none" w:sz="0" w:space="0" w:color="auto"/>
                                                <w:right w:val="none" w:sz="0" w:space="0" w:color="auto"/>
                                              </w:divBdr>
                                              <w:divsChild>
                                                <w:div w:id="1568413637">
                                                  <w:marLeft w:val="0"/>
                                                  <w:marRight w:val="0"/>
                                                  <w:marTop w:val="0"/>
                                                  <w:marBottom w:val="0"/>
                                                  <w:divBdr>
                                                    <w:top w:val="none" w:sz="0" w:space="0" w:color="auto"/>
                                                    <w:left w:val="none" w:sz="0" w:space="0" w:color="auto"/>
                                                    <w:bottom w:val="none" w:sz="0" w:space="0" w:color="auto"/>
                                                    <w:right w:val="none" w:sz="0" w:space="0" w:color="auto"/>
                                                  </w:divBdr>
                                                  <w:divsChild>
                                                    <w:div w:id="643315868">
                                                      <w:marLeft w:val="0"/>
                                                      <w:marRight w:val="0"/>
                                                      <w:marTop w:val="0"/>
                                                      <w:marBottom w:val="0"/>
                                                      <w:divBdr>
                                                        <w:top w:val="none" w:sz="0" w:space="0" w:color="auto"/>
                                                        <w:left w:val="none" w:sz="0" w:space="0" w:color="auto"/>
                                                        <w:bottom w:val="none" w:sz="0" w:space="0" w:color="auto"/>
                                                        <w:right w:val="none" w:sz="0" w:space="0" w:color="auto"/>
                                                      </w:divBdr>
                                                      <w:divsChild>
                                                        <w:div w:id="1405178680">
                                                          <w:marLeft w:val="0"/>
                                                          <w:marRight w:val="0"/>
                                                          <w:marTop w:val="0"/>
                                                          <w:marBottom w:val="0"/>
                                                          <w:divBdr>
                                                            <w:top w:val="none" w:sz="0" w:space="0" w:color="auto"/>
                                                            <w:left w:val="none" w:sz="0" w:space="0" w:color="auto"/>
                                                            <w:bottom w:val="none" w:sz="0" w:space="0" w:color="auto"/>
                                                            <w:right w:val="none" w:sz="0" w:space="0" w:color="auto"/>
                                                          </w:divBdr>
                                                          <w:divsChild>
                                                            <w:div w:id="528376711">
                                                              <w:marLeft w:val="0"/>
                                                              <w:marRight w:val="0"/>
                                                              <w:marTop w:val="0"/>
                                                              <w:marBottom w:val="0"/>
                                                              <w:divBdr>
                                                                <w:top w:val="none" w:sz="0" w:space="0" w:color="auto"/>
                                                                <w:left w:val="none" w:sz="0" w:space="0" w:color="auto"/>
                                                                <w:bottom w:val="none" w:sz="0" w:space="0" w:color="auto"/>
                                                                <w:right w:val="none" w:sz="0" w:space="0" w:color="auto"/>
                                                              </w:divBdr>
                                                              <w:divsChild>
                                                                <w:div w:id="1668047526">
                                                                  <w:marLeft w:val="0"/>
                                                                  <w:marRight w:val="0"/>
                                                                  <w:marTop w:val="0"/>
                                                                  <w:marBottom w:val="0"/>
                                                                  <w:divBdr>
                                                                    <w:top w:val="none" w:sz="0" w:space="0" w:color="auto"/>
                                                                    <w:left w:val="none" w:sz="0" w:space="0" w:color="auto"/>
                                                                    <w:bottom w:val="none" w:sz="0" w:space="0" w:color="auto"/>
                                                                    <w:right w:val="none" w:sz="0" w:space="0" w:color="auto"/>
                                                                  </w:divBdr>
                                                                  <w:divsChild>
                                                                    <w:div w:id="553469332">
                                                                      <w:marLeft w:val="0"/>
                                                                      <w:marRight w:val="0"/>
                                                                      <w:marTop w:val="0"/>
                                                                      <w:marBottom w:val="0"/>
                                                                      <w:divBdr>
                                                                        <w:top w:val="none" w:sz="0" w:space="0" w:color="auto"/>
                                                                        <w:left w:val="none" w:sz="0" w:space="0" w:color="auto"/>
                                                                        <w:bottom w:val="none" w:sz="0" w:space="0" w:color="auto"/>
                                                                        <w:right w:val="none" w:sz="0" w:space="0" w:color="auto"/>
                                                                      </w:divBdr>
                                                                      <w:divsChild>
                                                                        <w:div w:id="439687230">
                                                                          <w:marLeft w:val="0"/>
                                                                          <w:marRight w:val="0"/>
                                                                          <w:marTop w:val="0"/>
                                                                          <w:marBottom w:val="0"/>
                                                                          <w:divBdr>
                                                                            <w:top w:val="none" w:sz="0" w:space="0" w:color="auto"/>
                                                                            <w:left w:val="none" w:sz="0" w:space="0" w:color="auto"/>
                                                                            <w:bottom w:val="none" w:sz="0" w:space="0" w:color="auto"/>
                                                                            <w:right w:val="none" w:sz="0" w:space="0" w:color="auto"/>
                                                                          </w:divBdr>
                                                                          <w:divsChild>
                                                                            <w:div w:id="15401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273005">
      <w:bodyDiv w:val="1"/>
      <w:marLeft w:val="0"/>
      <w:marRight w:val="0"/>
      <w:marTop w:val="0"/>
      <w:marBottom w:val="0"/>
      <w:divBdr>
        <w:top w:val="none" w:sz="0" w:space="0" w:color="auto"/>
        <w:left w:val="none" w:sz="0" w:space="0" w:color="auto"/>
        <w:bottom w:val="none" w:sz="0" w:space="0" w:color="auto"/>
        <w:right w:val="none" w:sz="0" w:space="0" w:color="auto"/>
      </w:divBdr>
      <w:divsChild>
        <w:div w:id="1589383232">
          <w:marLeft w:val="0"/>
          <w:marRight w:val="0"/>
          <w:marTop w:val="0"/>
          <w:marBottom w:val="0"/>
          <w:divBdr>
            <w:top w:val="none" w:sz="0" w:space="0" w:color="auto"/>
            <w:left w:val="none" w:sz="0" w:space="0" w:color="auto"/>
            <w:bottom w:val="none" w:sz="0" w:space="0" w:color="auto"/>
            <w:right w:val="none" w:sz="0" w:space="0" w:color="auto"/>
          </w:divBdr>
          <w:divsChild>
            <w:div w:id="1933665279">
              <w:marLeft w:val="0"/>
              <w:marRight w:val="0"/>
              <w:marTop w:val="0"/>
              <w:marBottom w:val="0"/>
              <w:divBdr>
                <w:top w:val="none" w:sz="0" w:space="0" w:color="auto"/>
                <w:left w:val="none" w:sz="0" w:space="0" w:color="auto"/>
                <w:bottom w:val="none" w:sz="0" w:space="0" w:color="auto"/>
                <w:right w:val="none" w:sz="0" w:space="0" w:color="auto"/>
              </w:divBdr>
              <w:divsChild>
                <w:div w:id="787892979">
                  <w:marLeft w:val="0"/>
                  <w:marRight w:val="0"/>
                  <w:marTop w:val="0"/>
                  <w:marBottom w:val="0"/>
                  <w:divBdr>
                    <w:top w:val="none" w:sz="0" w:space="0" w:color="auto"/>
                    <w:left w:val="none" w:sz="0" w:space="0" w:color="auto"/>
                    <w:bottom w:val="none" w:sz="0" w:space="0" w:color="auto"/>
                    <w:right w:val="none" w:sz="0" w:space="0" w:color="auto"/>
                  </w:divBdr>
                  <w:divsChild>
                    <w:div w:id="1572811877">
                      <w:marLeft w:val="0"/>
                      <w:marRight w:val="0"/>
                      <w:marTop w:val="0"/>
                      <w:marBottom w:val="0"/>
                      <w:divBdr>
                        <w:top w:val="none" w:sz="0" w:space="0" w:color="auto"/>
                        <w:left w:val="none" w:sz="0" w:space="0" w:color="auto"/>
                        <w:bottom w:val="none" w:sz="0" w:space="0" w:color="auto"/>
                        <w:right w:val="none" w:sz="0" w:space="0" w:color="auto"/>
                      </w:divBdr>
                      <w:divsChild>
                        <w:div w:id="1022047255">
                          <w:marLeft w:val="0"/>
                          <w:marRight w:val="0"/>
                          <w:marTop w:val="0"/>
                          <w:marBottom w:val="0"/>
                          <w:divBdr>
                            <w:top w:val="none" w:sz="0" w:space="0" w:color="auto"/>
                            <w:left w:val="none" w:sz="0" w:space="0" w:color="auto"/>
                            <w:bottom w:val="none" w:sz="0" w:space="0" w:color="auto"/>
                            <w:right w:val="none" w:sz="0" w:space="0" w:color="auto"/>
                          </w:divBdr>
                          <w:divsChild>
                            <w:div w:id="1528712779">
                              <w:marLeft w:val="0"/>
                              <w:marRight w:val="0"/>
                              <w:marTop w:val="0"/>
                              <w:marBottom w:val="0"/>
                              <w:divBdr>
                                <w:top w:val="none" w:sz="0" w:space="0" w:color="auto"/>
                                <w:left w:val="none" w:sz="0" w:space="0" w:color="auto"/>
                                <w:bottom w:val="none" w:sz="0" w:space="0" w:color="auto"/>
                                <w:right w:val="none" w:sz="0" w:space="0" w:color="auto"/>
                              </w:divBdr>
                              <w:divsChild>
                                <w:div w:id="164127009">
                                  <w:marLeft w:val="0"/>
                                  <w:marRight w:val="0"/>
                                  <w:marTop w:val="0"/>
                                  <w:marBottom w:val="0"/>
                                  <w:divBdr>
                                    <w:top w:val="none" w:sz="0" w:space="0" w:color="auto"/>
                                    <w:left w:val="none" w:sz="0" w:space="0" w:color="auto"/>
                                    <w:bottom w:val="none" w:sz="0" w:space="0" w:color="auto"/>
                                    <w:right w:val="none" w:sz="0" w:space="0" w:color="auto"/>
                                  </w:divBdr>
                                  <w:divsChild>
                                    <w:div w:id="1065566406">
                                      <w:marLeft w:val="0"/>
                                      <w:marRight w:val="0"/>
                                      <w:marTop w:val="0"/>
                                      <w:marBottom w:val="0"/>
                                      <w:divBdr>
                                        <w:top w:val="none" w:sz="0" w:space="0" w:color="auto"/>
                                        <w:left w:val="none" w:sz="0" w:space="0" w:color="auto"/>
                                        <w:bottom w:val="none" w:sz="0" w:space="0" w:color="auto"/>
                                        <w:right w:val="none" w:sz="0" w:space="0" w:color="auto"/>
                                      </w:divBdr>
                                      <w:divsChild>
                                        <w:div w:id="1342851899">
                                          <w:marLeft w:val="0"/>
                                          <w:marRight w:val="0"/>
                                          <w:marTop w:val="0"/>
                                          <w:marBottom w:val="0"/>
                                          <w:divBdr>
                                            <w:top w:val="none" w:sz="0" w:space="0" w:color="auto"/>
                                            <w:left w:val="none" w:sz="0" w:space="0" w:color="auto"/>
                                            <w:bottom w:val="none" w:sz="0" w:space="0" w:color="auto"/>
                                            <w:right w:val="none" w:sz="0" w:space="0" w:color="auto"/>
                                          </w:divBdr>
                                          <w:divsChild>
                                            <w:div w:id="17616759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337849">
      <w:bodyDiv w:val="1"/>
      <w:marLeft w:val="0"/>
      <w:marRight w:val="0"/>
      <w:marTop w:val="0"/>
      <w:marBottom w:val="0"/>
      <w:divBdr>
        <w:top w:val="none" w:sz="0" w:space="0" w:color="auto"/>
        <w:left w:val="none" w:sz="0" w:space="0" w:color="auto"/>
        <w:bottom w:val="none" w:sz="0" w:space="0" w:color="auto"/>
        <w:right w:val="none" w:sz="0" w:space="0" w:color="auto"/>
      </w:divBdr>
      <w:divsChild>
        <w:div w:id="1912080274">
          <w:marLeft w:val="0"/>
          <w:marRight w:val="-5040"/>
          <w:marTop w:val="0"/>
          <w:marBottom w:val="0"/>
          <w:divBdr>
            <w:top w:val="none" w:sz="0" w:space="0" w:color="auto"/>
            <w:left w:val="none" w:sz="0" w:space="0" w:color="auto"/>
            <w:bottom w:val="none" w:sz="0" w:space="0" w:color="auto"/>
            <w:right w:val="none" w:sz="0" w:space="0" w:color="auto"/>
          </w:divBdr>
          <w:divsChild>
            <w:div w:id="308704527">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208942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eagle.com/decision/1998183375bgtcm175811775" TargetMode="External"/><Relationship Id="rId21" Type="http://schemas.openxmlformats.org/officeDocument/2006/relationships/image" Target="media/image1.png"/><Relationship Id="rId34" Type="http://schemas.openxmlformats.org/officeDocument/2006/relationships/diagramColors" Target="diagrams/colors3.xml"/><Relationship Id="rId42" Type="http://schemas.openxmlformats.org/officeDocument/2006/relationships/hyperlink" Target="http://www.law.cornell.edu/uscode/text/26/677" TargetMode="External"/><Relationship Id="rId47" Type="http://schemas.openxmlformats.org/officeDocument/2006/relationships/hyperlink" Target="http://www.law.cornell.edu/uscode/text/26/2035" TargetMode="External"/><Relationship Id="rId50" Type="http://schemas.openxmlformats.org/officeDocument/2006/relationships/hyperlink" Target="http://www.gpo.gov/fdsys/pkg/PLAW-113publ295/html/PLAW-113publ295.htm" TargetMode="External"/><Relationship Id="rId55" Type="http://schemas.openxmlformats.org/officeDocument/2006/relationships/hyperlink" Target="https://www.law.cornell.edu/cfr/text/26/1.421-5" TargetMode="External"/><Relationship Id="rId63" Type="http://schemas.openxmlformats.org/officeDocument/2006/relationships/hyperlink" Target="http://www.sidley.com/state-decanting-statut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https://www.ustaxcourt.gov/UstcInOp/OpinionViewer.aspx?ID=9061" TargetMode="External"/><Relationship Id="rId11" Type="http://schemas.openxmlformats.org/officeDocument/2006/relationships/diagramData" Target="diagrams/data1.xml"/><Relationship Id="rId24" Type="http://schemas.openxmlformats.org/officeDocument/2006/relationships/hyperlink" Target="https://www.leagle.com/decision/1989165056lhtcm159411331" TargetMode="External"/><Relationship Id="rId32" Type="http://schemas.openxmlformats.org/officeDocument/2006/relationships/diagramLayout" Target="diagrams/layout3.xml"/><Relationship Id="rId37" Type="http://schemas.openxmlformats.org/officeDocument/2006/relationships/diagramLayout" Target="diagrams/layout4.xml"/><Relationship Id="rId40" Type="http://schemas.microsoft.com/office/2007/relationships/diagramDrawing" Target="diagrams/drawing4.xml"/><Relationship Id="rId45" Type="http://schemas.openxmlformats.org/officeDocument/2006/relationships/hyperlink" Target="http://www.law.cornell.edu/uscode/text/26/2035" TargetMode="External"/><Relationship Id="rId53" Type="http://schemas.openxmlformats.org/officeDocument/2006/relationships/hyperlink" Target="https://www.law.cornell.edu/cfr/text/26/1.1014-9" TargetMode="External"/><Relationship Id="rId58" Type="http://schemas.openxmlformats.org/officeDocument/2006/relationships/diagramData" Target="diagrams/data5.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Colors" Target="diagrams/colors5.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image" Target="media/image2.png"/><Relationship Id="rId27" Type="http://schemas.openxmlformats.org/officeDocument/2006/relationships/hyperlink" Target="https://www.ustaxcourt.gov/UstcInOp/OpinionViewer.aspx?ID=3528" TargetMode="External"/><Relationship Id="rId30" Type="http://schemas.openxmlformats.org/officeDocument/2006/relationships/hyperlink" Target="https://www.law.cornell.edu/cfr/text/26/25.2512-8" TargetMode="External"/><Relationship Id="rId35" Type="http://schemas.microsoft.com/office/2007/relationships/diagramDrawing" Target="diagrams/drawing3.xml"/><Relationship Id="rId43" Type="http://schemas.openxmlformats.org/officeDocument/2006/relationships/chart" Target="charts/chart1.xml"/><Relationship Id="rId48" Type="http://schemas.openxmlformats.org/officeDocument/2006/relationships/hyperlink" Target="http://www.law.cornell.edu/uscode/text/26/2036" TargetMode="External"/><Relationship Id="rId56" Type="http://schemas.openxmlformats.org/officeDocument/2006/relationships/hyperlink" Target="https://www.law.cornell.edu/cfr/text/26/1.421-8" TargetMode="External"/><Relationship Id="rId64" Type="http://schemas.openxmlformats.org/officeDocument/2006/relationships/hyperlink" Target="https://demo.lawriter.net/federal/US/books/Circuit_Opinions/result?number=1" TargetMode="External"/><Relationship Id="rId8" Type="http://schemas.openxmlformats.org/officeDocument/2006/relationships/footer" Target="footer1.xml"/><Relationship Id="rId51" Type="http://schemas.openxmlformats.org/officeDocument/2006/relationships/hyperlink" Target="http://uscode.house.gov/statviewer.htm?volume=128&amp;page=4049"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www.leagle.com/decision/1994118368iltcm11151938" TargetMode="External"/><Relationship Id="rId33" Type="http://schemas.openxmlformats.org/officeDocument/2006/relationships/diagramQuickStyle" Target="diagrams/quickStyle3.xml"/><Relationship Id="rId38" Type="http://schemas.openxmlformats.org/officeDocument/2006/relationships/diagramQuickStyle" Target="diagrams/quickStyle4.xml"/><Relationship Id="rId46" Type="http://schemas.openxmlformats.org/officeDocument/2006/relationships/hyperlink" Target="http://www.law.cornell.edu/uscode/text/26/2038" TargetMode="External"/><Relationship Id="rId59" Type="http://schemas.openxmlformats.org/officeDocument/2006/relationships/diagramLayout" Target="diagrams/layout5.xml"/><Relationship Id="rId20" Type="http://schemas.microsoft.com/office/2007/relationships/diagramDrawing" Target="diagrams/drawing2.xml"/><Relationship Id="rId41" Type="http://schemas.openxmlformats.org/officeDocument/2006/relationships/hyperlink" Target="http://www.law.cornell.edu/uscode/text/26/671" TargetMode="External"/><Relationship Id="rId54" Type="http://schemas.openxmlformats.org/officeDocument/2006/relationships/hyperlink" Target="https://www.law.cornell.edu/cfr/text/26/1.1014-2" TargetMode="External"/><Relationship Id="rId62" Type="http://schemas.microsoft.com/office/2007/relationships/diagramDrawing" Target="diagrams/drawing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s://openjurist.org/680/f2d/1248/propstra-v-united-states" TargetMode="External"/><Relationship Id="rId28" Type="http://schemas.openxmlformats.org/officeDocument/2006/relationships/hyperlink" Target="https://www.ustaxcourt.gov/UstcInOp/OpinionViewer.aspx?ID=3589" TargetMode="External"/><Relationship Id="rId36" Type="http://schemas.openxmlformats.org/officeDocument/2006/relationships/diagramData" Target="diagrams/data4.xml"/><Relationship Id="rId49" Type="http://schemas.openxmlformats.org/officeDocument/2006/relationships/hyperlink" Target="http://www.law.cornell.edu/uscode/text/26/2037" TargetMode="External"/><Relationship Id="rId57" Type="http://schemas.openxmlformats.org/officeDocument/2006/relationships/hyperlink" Target="http://www.ultimateestateplanner.com" TargetMode="External"/><Relationship Id="rId10" Type="http://schemas.openxmlformats.org/officeDocument/2006/relationships/footer" Target="footer3.xml"/><Relationship Id="rId31" Type="http://schemas.openxmlformats.org/officeDocument/2006/relationships/diagramData" Target="diagrams/data3.xml"/><Relationship Id="rId44" Type="http://schemas.openxmlformats.org/officeDocument/2006/relationships/hyperlink" Target="mailto:edwinmorrow@msn.com" TargetMode="External"/><Relationship Id="rId52" Type="http://schemas.openxmlformats.org/officeDocument/2006/relationships/hyperlink" Target="https://www.law.cornell.edu/cfr/text/26/1.1014-3" TargetMode="External"/><Relationship Id="rId60" Type="http://schemas.openxmlformats.org/officeDocument/2006/relationships/diagramQuickStyle" Target="diagrams/quickStyle5.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diagramColors" Target="diagrams/colors4.xml"/></Relationships>
</file>

<file path=word/_rels/footnotes.xml.rels><?xml version="1.0" encoding="UTF-8" standalone="yes"?>
<Relationships xmlns="http://schemas.openxmlformats.org/package/2006/relationships"><Relationship Id="rId26" Type="http://schemas.openxmlformats.org/officeDocument/2006/relationships/hyperlink" Target="https://www.irs.gov/pub/irs-wd/0403094.pdf" TargetMode="External"/><Relationship Id="rId21" Type="http://schemas.openxmlformats.org/officeDocument/2006/relationships/hyperlink" Target="http://www.actec.org/public/Documents/Studies/Zaritsky_RAP_Survey_03_2012.pdf" TargetMode="External"/><Relationship Id="rId42" Type="http://schemas.openxmlformats.org/officeDocument/2006/relationships/hyperlink" Target="https://law.justia.com/codes/alaska/2016/title-34/chapter-34.77/section-34.77.110/" TargetMode="External"/><Relationship Id="rId47" Type="http://schemas.openxmlformats.org/officeDocument/2006/relationships/hyperlink" Target="http://www.cpmlaw.com/NewsDetail/LLC-and-LP-interests" TargetMode="External"/><Relationship Id="rId63" Type="http://schemas.openxmlformats.org/officeDocument/2006/relationships/hyperlink" Target="http://www.law.cornell.edu/uscode/text/26/usc_sec_26_00000403----000-" TargetMode="External"/><Relationship Id="rId68" Type="http://schemas.openxmlformats.org/officeDocument/2006/relationships/hyperlink" Target="http://www.irs.gov/pub/irs-trty/canada.pdf" TargetMode="External"/><Relationship Id="rId84" Type="http://schemas.openxmlformats.org/officeDocument/2006/relationships/hyperlink" Target="https://case-law.vlex.com/vid/195-misc-1017-in-625013191" TargetMode="External"/><Relationship Id="rId16" Type="http://schemas.openxmlformats.org/officeDocument/2006/relationships/hyperlink" Target="http://tornado.state.co.us/gov_dir/leg_dir/olls/sl2014a/sl_209.htm" TargetMode="External"/><Relationship Id="rId11" Type="http://schemas.openxmlformats.org/officeDocument/2006/relationships/hyperlink" Target="https://vacode.org/64.2-2736/" TargetMode="External"/><Relationship Id="rId32" Type="http://schemas.openxmlformats.org/officeDocument/2006/relationships/hyperlink" Target="http://www.uniformlaws.org" TargetMode="External"/><Relationship Id="rId37" Type="http://schemas.openxmlformats.org/officeDocument/2006/relationships/hyperlink" Target="http://www.statutes.legis.state.tx.us/Docs/ES/htm/ES.112.htm" TargetMode="External"/><Relationship Id="rId53" Type="http://schemas.openxmlformats.org/officeDocument/2006/relationships/hyperlink" Target="http://www.sidley.com/state-decanting-statutes/" TargetMode="External"/><Relationship Id="rId58" Type="http://schemas.openxmlformats.org/officeDocument/2006/relationships/hyperlink" Target="http://www.law.cornell.edu/uscode/text/26/401" TargetMode="External"/><Relationship Id="rId74" Type="http://schemas.openxmlformats.org/officeDocument/2006/relationships/hyperlink" Target="http://www.tax.ny.gov/pdf/2012/inc/it201i_2012.pdf" TargetMode="External"/><Relationship Id="rId79" Type="http://schemas.openxmlformats.org/officeDocument/2006/relationships/hyperlink" Target="http://ultimateestateplanner.com/programs/dings-nings-technical-planning-issues/" TargetMode="External"/><Relationship Id="rId5" Type="http://schemas.openxmlformats.org/officeDocument/2006/relationships/hyperlink" Target="http://www.finra.org/Investors/ProtectYourself/InvestorAlerts/Bonds/P204318" TargetMode="External"/><Relationship Id="rId19" Type="http://schemas.openxmlformats.org/officeDocument/2006/relationships/hyperlink" Target="http://delcode.delaware.gov/title12/c009/index.shtml" TargetMode="External"/><Relationship Id="rId14" Type="http://schemas.openxmlformats.org/officeDocument/2006/relationships/hyperlink" Target="http://www.uniformlaws.org" TargetMode="External"/><Relationship Id="rId22" Type="http://schemas.openxmlformats.org/officeDocument/2006/relationships/hyperlink" Target="http://papers.ssrn.com/sol3/papers.cfm?abstract_id=1954062" TargetMode="External"/><Relationship Id="rId27" Type="http://schemas.openxmlformats.org/officeDocument/2006/relationships/hyperlink" Target="https://www.irs.gov/pub/irs-wd/0604028.pdf" TargetMode="External"/><Relationship Id="rId30" Type="http://schemas.openxmlformats.org/officeDocument/2006/relationships/hyperlink" Target="https://www.htts.com/documents/Del-Tax-Trap.pdf" TargetMode="External"/><Relationship Id="rId35" Type="http://schemas.openxmlformats.org/officeDocument/2006/relationships/hyperlink" Target="https://law.justia.com/codes/nevada/2017/chapter-123/statute-123.250/" TargetMode="External"/><Relationship Id="rId43" Type="http://schemas.openxmlformats.org/officeDocument/2006/relationships/hyperlink" Target="https://law.justia.com/codes/new-mexico/2017/chapter-40/article-3/section-40-3-8/" TargetMode="External"/><Relationship Id="rId48" Type="http://schemas.openxmlformats.org/officeDocument/2006/relationships/hyperlink" Target="http://www.spencerfane.com/Perfecting-a-Security-Interest-in-a-Limited-Liability-Company-Ownership-Interest--Not-a-Simple-Task-02-06-2013/" TargetMode="External"/><Relationship Id="rId56" Type="http://schemas.openxmlformats.org/officeDocument/2006/relationships/hyperlink" Target="http://www.howardmobley.com/articles/FixingBrokenTrusts.pdf" TargetMode="External"/><Relationship Id="rId64" Type="http://schemas.openxmlformats.org/officeDocument/2006/relationships/hyperlink" Target="http://www.law.cornell.edu/uscode/text/26/408" TargetMode="External"/><Relationship Id="rId69" Type="http://schemas.openxmlformats.org/officeDocument/2006/relationships/hyperlink" Target="http://tax.idaho.gov/forms/EIN00046_10-21-2014.pdf" TargetMode="External"/><Relationship Id="rId77" Type="http://schemas.openxmlformats.org/officeDocument/2006/relationships/hyperlink" Target="https://www.irs.gov/pub/irs-pdf/i990t.pdf" TargetMode="External"/><Relationship Id="rId8" Type="http://schemas.openxmlformats.org/officeDocument/2006/relationships/hyperlink" Target="http://sdlegislature.gov/Statutes/Codified_Laws/DisplayStatute.aspx?Type=Statute&amp;Statute=55-1-26" TargetMode="External"/><Relationship Id="rId51" Type="http://schemas.openxmlformats.org/officeDocument/2006/relationships/hyperlink" Target="https://s3.amazonaws.com/public-inspection.federalregister.gov/2016-04718.pdf" TargetMode="External"/><Relationship Id="rId72" Type="http://schemas.openxmlformats.org/officeDocument/2006/relationships/hyperlink" Target="http://www.maine.gov/revenue/forms/fiduciary/2010/10_1041ME_Gen%20Instructions.pdf" TargetMode="External"/><Relationship Id="rId80" Type="http://schemas.openxmlformats.org/officeDocument/2006/relationships/hyperlink" Target="http://www.ultimateestateplanner.com" TargetMode="External"/><Relationship Id="rId85" Type="http://schemas.openxmlformats.org/officeDocument/2006/relationships/hyperlink" Target="http://www.sidley.com/state-decanting-statutes/" TargetMode="External"/><Relationship Id="rId3" Type="http://schemas.openxmlformats.org/officeDocument/2006/relationships/hyperlink" Target="https://www.uniformlaws.org/committees/community-home?CommunityKey=09a6e8d3-0ee6-4b94-bd85-2386ed145502" TargetMode="External"/><Relationship Id="rId12" Type="http://schemas.openxmlformats.org/officeDocument/2006/relationships/hyperlink" Target="https://www.revisor.mn.gov/statutes/?id=502&amp;view=chapter" TargetMode="External"/><Relationship Id="rId17" Type="http://schemas.openxmlformats.org/officeDocument/2006/relationships/hyperlink" Target="https://www.actec.org/assets/1/6/Surviving_Spouse%E2%80%99s_Rights_to_Share_in_Deceased_Spouse%E2%80%99s_Estate.pdf" TargetMode="External"/><Relationship Id="rId25" Type="http://schemas.openxmlformats.org/officeDocument/2006/relationships/hyperlink" Target="http://www.actec.org/public/Documents/Studies/Zaritsky_RAP_Survey_03_2012.pdf" TargetMode="External"/><Relationship Id="rId33" Type="http://schemas.openxmlformats.org/officeDocument/2006/relationships/hyperlink" Target="http://www.uniformlaws.org" TargetMode="External"/><Relationship Id="rId38" Type="http://schemas.openxmlformats.org/officeDocument/2006/relationships/hyperlink" Target="https://docs.legis.wisconsin.gov/statutes/statutes/766/60/5/a" TargetMode="External"/><Relationship Id="rId46" Type="http://schemas.openxmlformats.org/officeDocument/2006/relationships/hyperlink" Target="https://supreme.justia.com/cases/federal/us/461/300/case.html" TargetMode="External"/><Relationship Id="rId59" Type="http://schemas.openxmlformats.org/officeDocument/2006/relationships/hyperlink" Target="http://www.law.cornell.edu/uscode/text/26/usc_sec_26_00000401----000-" TargetMode="External"/><Relationship Id="rId67" Type="http://schemas.openxmlformats.org/officeDocument/2006/relationships/hyperlink" Target="http://www.law.cornell.edu/uscode/text/26/usc_sec_26_00000457----000-" TargetMode="External"/><Relationship Id="rId20" Type="http://schemas.openxmlformats.org/officeDocument/2006/relationships/hyperlink" Target="https://casetext.com/statute/texas-codes/property-code/title-9-trusts/subtitle-b-texas-trust-code-creation-operation-and-termination-of-trusts/chapter-112-creation-validity-modification-and-termination-of-trusts/subchapter-b-validity/section-112036-rule-against-perpetuities" TargetMode="External"/><Relationship Id="rId41" Type="http://schemas.openxmlformats.org/officeDocument/2006/relationships/hyperlink" Target="http://codes.findlaw.com/az/title-33-property/az-rev-st-sect-33-431.html" TargetMode="External"/><Relationship Id="rId54" Type="http://schemas.openxmlformats.org/officeDocument/2006/relationships/hyperlink" Target="https://www.irs.gov/pub/irs-wd/0536018.pdf" TargetMode="External"/><Relationship Id="rId62" Type="http://schemas.openxmlformats.org/officeDocument/2006/relationships/hyperlink" Target="http://www.law.cornell.edu/uscode/text/26/403" TargetMode="External"/><Relationship Id="rId70" Type="http://schemas.openxmlformats.org/officeDocument/2006/relationships/hyperlink" Target="https://www.ftb.ca.gov/forms/2013/13_540.pdf" TargetMode="External"/><Relationship Id="rId75" Type="http://schemas.openxmlformats.org/officeDocument/2006/relationships/hyperlink" Target="http://tax.illinois.gov/taxforms/incmcurrentyear/business/fiduciary/il-1041-instr.pdf" TargetMode="External"/><Relationship Id="rId83" Type="http://schemas.openxmlformats.org/officeDocument/2006/relationships/hyperlink" Target="https://codes.ohio.gov/ohio-revised-code/section-2107.521" TargetMode="External"/><Relationship Id="rId1" Type="http://schemas.openxmlformats.org/officeDocument/2006/relationships/hyperlink" Target="mailto:edwin.morrow3@gmail.com" TargetMode="External"/><Relationship Id="rId6" Type="http://schemas.openxmlformats.org/officeDocument/2006/relationships/hyperlink" Target="https://leimbergservices.com/all/LISIMorrowPDF10_9_2019.pdf" TargetMode="External"/><Relationship Id="rId15" Type="http://schemas.openxmlformats.org/officeDocument/2006/relationships/hyperlink" Target="http://www.uninformlaws.org" TargetMode="External"/><Relationship Id="rId23" Type="http://schemas.openxmlformats.org/officeDocument/2006/relationships/hyperlink" Target="https://digitalcommons.unl.edu/cgi/viewcontent.cgi?referer=https://www.google.com/&amp;httpsredir=1&amp;article=2748&amp;context=nlr" TargetMode="External"/><Relationship Id="rId28" Type="http://schemas.openxmlformats.org/officeDocument/2006/relationships/hyperlink" Target="https://www.irs.gov/pub/irs-wd/202206008.pdf" TargetMode="External"/><Relationship Id="rId36" Type="http://schemas.openxmlformats.org/officeDocument/2006/relationships/hyperlink" Target="https://law.justia.com/codes/nevada/2017/chapter-111/statute-111.064/" TargetMode="External"/><Relationship Id="rId49" Type="http://schemas.openxmlformats.org/officeDocument/2006/relationships/hyperlink" Target="https://s3.amazonaws.com/public-inspection.federalregister.gov/2016-04718.pdf" TargetMode="External"/><Relationship Id="rId57" Type="http://schemas.openxmlformats.org/officeDocument/2006/relationships/hyperlink" Target="https://www.law.cornell.edu/cfr/text/26/1.6662-4" TargetMode="External"/><Relationship Id="rId10" Type="http://schemas.openxmlformats.org/officeDocument/2006/relationships/hyperlink" Target="http://revisor.mo.gov/main/OneSection.aspx?section=456.1105&amp;bid=33689&amp;hl=" TargetMode="External"/><Relationship Id="rId31" Type="http://schemas.openxmlformats.org/officeDocument/2006/relationships/hyperlink" Target="http://www.leimbergservices.com" TargetMode="External"/><Relationship Id="rId44" Type="http://schemas.openxmlformats.org/officeDocument/2006/relationships/hyperlink" Target="http://app.leg.wa.gov/rcw/default.aspx?cite=64.28&amp;full=true" TargetMode="External"/><Relationship Id="rId52" Type="http://schemas.openxmlformats.org/officeDocument/2006/relationships/hyperlink" Target="https://www.linkedin.com/pulse/new-plr-sanctions-amending-irrev-trust-testamentary-edwin-morrow-iii/" TargetMode="External"/><Relationship Id="rId60" Type="http://schemas.openxmlformats.org/officeDocument/2006/relationships/hyperlink" Target="http://www.law.cornell.edu/uscode/text/26/403" TargetMode="External"/><Relationship Id="rId65" Type="http://schemas.openxmlformats.org/officeDocument/2006/relationships/hyperlink" Target="http://www.law.cornell.edu/uscode/text/26/408A" TargetMode="External"/><Relationship Id="rId73" Type="http://schemas.openxmlformats.org/officeDocument/2006/relationships/hyperlink" Target="http://www.tax.ohio.gov" TargetMode="External"/><Relationship Id="rId78" Type="http://schemas.openxmlformats.org/officeDocument/2006/relationships/hyperlink" Target="http://www.urban.org/uploadedpdf/1001486-Who-Itemizes-Deductions.pdf" TargetMode="External"/><Relationship Id="rId81" Type="http://schemas.openxmlformats.org/officeDocument/2006/relationships/hyperlink" Target="https://www.irs.gov/pub/irs-pdf/i1065sk1.pdf" TargetMode="External"/><Relationship Id="rId4" Type="http://schemas.openxmlformats.org/officeDocument/2006/relationships/hyperlink" Target="https://codes.findlaw.com/ny/estates-powers-and-trusts-law/ept-sect-2-1-6.html" TargetMode="External"/><Relationship Id="rId9" Type="http://schemas.openxmlformats.org/officeDocument/2006/relationships/hyperlink" Target="http://codes.findlaw.com/ny/estates-powers-and-trusts-law/ept-sect-10-7-4.html" TargetMode="External"/><Relationship Id="rId13" Type="http://schemas.openxmlformats.org/officeDocument/2006/relationships/hyperlink" Target="https://le.utah.gov/xcode/Title75/Chapter10/75-10-S502.html" TargetMode="External"/><Relationship Id="rId18" Type="http://schemas.openxmlformats.org/officeDocument/2006/relationships/hyperlink" Target="https://law.justia.com/codes/michigan/2017/chapter-556/statute-act-224-of-1967/section-556.116/" TargetMode="External"/><Relationship Id="rId39" Type="http://schemas.openxmlformats.org/officeDocument/2006/relationships/hyperlink" Target="https://legislature.idaho.gov/statutesrules/idstat/title15/t15ch6/sect15-6-401/" TargetMode="External"/><Relationship Id="rId34" Type="http://schemas.openxmlformats.org/officeDocument/2006/relationships/hyperlink" Target="https://leginfo.legislature.ca.gov/faces/codes_displaySection.xhtml?lawCode=CIV&amp;sectionNum=682.1." TargetMode="External"/><Relationship Id="rId50" Type="http://schemas.openxmlformats.org/officeDocument/2006/relationships/hyperlink" Target="https://s3.amazonaws.com/public-inspection.federalregister.gov/2016-04718.pdf" TargetMode="External"/><Relationship Id="rId55" Type="http://schemas.openxmlformats.org/officeDocument/2006/relationships/hyperlink" Target="https://ssrn.com/abstract=3165592" TargetMode="External"/><Relationship Id="rId76" Type="http://schemas.openxmlformats.org/officeDocument/2006/relationships/hyperlink" Target="https://www.ca10.uscourts.gov/opinions/16/16-6371.pdf" TargetMode="External"/><Relationship Id="rId7" Type="http://schemas.openxmlformats.org/officeDocument/2006/relationships/hyperlink" Target="https://www.h2rcpa.com/uploads/6/3/0/3/63031867/pennsylvania_inheritance_tax_brochure.pdf" TargetMode="External"/><Relationship Id="rId71" Type="http://schemas.openxmlformats.org/officeDocument/2006/relationships/hyperlink" Target="http://www.itepnet.org/pdf/pb52itemized.pdf" TargetMode="External"/><Relationship Id="rId2" Type="http://schemas.openxmlformats.org/officeDocument/2006/relationships/hyperlink" Target="http://ssrn.com/abstract=2436964" TargetMode="External"/><Relationship Id="rId29" Type="http://schemas.openxmlformats.org/officeDocument/2006/relationships/hyperlink" Target="http://www.daypitney.com/news/docs/dp_5344.pdf" TargetMode="External"/><Relationship Id="rId24" Type="http://schemas.openxmlformats.org/officeDocument/2006/relationships/hyperlink" Target="https://www.uniformlaws.org/committees/community-home?communitykey=addf3263-af92-4421-a83c-2ef7bc9a1b94&amp;tab=groupdetails" TargetMode="External"/><Relationship Id="rId40" Type="http://schemas.openxmlformats.org/officeDocument/2006/relationships/hyperlink" Target="https://legislature.idaho.gov/statutesrules/idstat/title15/t15ch6/sect15-6-403/" TargetMode="External"/><Relationship Id="rId45" Type="http://schemas.openxmlformats.org/officeDocument/2006/relationships/hyperlink" Target="http://www.statutes.legis.state.tx.us/Docs/ES/htm/ES.112.htm" TargetMode="External"/><Relationship Id="rId66" Type="http://schemas.openxmlformats.org/officeDocument/2006/relationships/hyperlink" Target="http://www.law.cornell.edu/uscode/text/26/457" TargetMode="External"/><Relationship Id="rId61" Type="http://schemas.openxmlformats.org/officeDocument/2006/relationships/hyperlink" Target="http://www.law.cornell.edu/uscode/text/26/usc_sec_26_00000403----000-" TargetMode="External"/><Relationship Id="rId82" Type="http://schemas.openxmlformats.org/officeDocument/2006/relationships/hyperlink" Target="https://www.irs.gov/pub/irs-pdf/i1041.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'Comparison Chart'!$B$2</c:f>
              <c:strCache>
                <c:ptCount val="1"/>
                <c:pt idx="0">
                  <c:v>10% gift outright in kind to charity</c:v>
                </c:pt>
              </c:strCache>
            </c:strRef>
          </c:tx>
          <c:invertIfNegative val="0"/>
          <c:cat>
            <c:strRef>
              <c:f>'Comparison Chart'!$C$1:$E$1</c:f>
              <c:strCache>
                <c:ptCount val="3"/>
                <c:pt idx="0">
                  <c:v>For family</c:v>
                </c:pt>
                <c:pt idx="1">
                  <c:v>For charity</c:v>
                </c:pt>
                <c:pt idx="2">
                  <c:v>Total</c:v>
                </c:pt>
              </c:strCache>
            </c:strRef>
          </c:cat>
          <c:val>
            <c:numRef>
              <c:f>'Comparison Chart'!$C$2:$E$2</c:f>
              <c:numCache>
                <c:formatCode>"$"#,##0_);\("$"#,##0\)</c:formatCode>
                <c:ptCount val="3"/>
                <c:pt idx="0" formatCode="&quot;$&quot;#,##0">
                  <c:v>22053071.308185045</c:v>
                </c:pt>
                <c:pt idx="1">
                  <c:v>4159910.7971726428</c:v>
                </c:pt>
                <c:pt idx="2">
                  <c:v>26212982.105357688</c:v>
                </c:pt>
              </c:numCache>
            </c:numRef>
          </c:val>
          <c:extLst>
            <c:ext xmlns:c16="http://schemas.microsoft.com/office/drawing/2014/chart" uri="{C3380CC4-5D6E-409C-BE32-E72D297353CC}">
              <c16:uniqueId val="{00000000-B421-41EA-93CD-E19765435064}"/>
            </c:ext>
          </c:extLst>
        </c:ser>
        <c:ser>
          <c:idx val="1"/>
          <c:order val="1"/>
          <c:tx>
            <c:strRef>
              <c:f>'Comparison Chart'!$B$3</c:f>
              <c:strCache>
                <c:ptCount val="1"/>
                <c:pt idx="0">
                  <c:v>Ordinary Outright Taxable Sale, no CRT </c:v>
                </c:pt>
              </c:strCache>
            </c:strRef>
          </c:tx>
          <c:invertIfNegative val="0"/>
          <c:cat>
            <c:strRef>
              <c:f>'Comparison Chart'!$C$1:$E$1</c:f>
              <c:strCache>
                <c:ptCount val="3"/>
                <c:pt idx="0">
                  <c:v>For family</c:v>
                </c:pt>
                <c:pt idx="1">
                  <c:v>For charity</c:v>
                </c:pt>
                <c:pt idx="2">
                  <c:v>Total</c:v>
                </c:pt>
              </c:strCache>
            </c:strRef>
          </c:cat>
          <c:val>
            <c:numRef>
              <c:f>'Comparison Chart'!$C$3:$E$3</c:f>
              <c:numCache>
                <c:formatCode>"$"#,##0</c:formatCode>
                <c:ptCount val="3"/>
                <c:pt idx="0">
                  <c:v>22801353.934183836</c:v>
                </c:pt>
                <c:pt idx="1">
                  <c:v>0</c:v>
                </c:pt>
                <c:pt idx="2">
                  <c:v>22801353.934183836</c:v>
                </c:pt>
              </c:numCache>
            </c:numRef>
          </c:val>
          <c:extLst>
            <c:ext xmlns:c16="http://schemas.microsoft.com/office/drawing/2014/chart" uri="{C3380CC4-5D6E-409C-BE32-E72D297353CC}">
              <c16:uniqueId val="{00000001-B421-41EA-93CD-E19765435064}"/>
            </c:ext>
          </c:extLst>
        </c:ser>
        <c:ser>
          <c:idx val="2"/>
          <c:order val="2"/>
          <c:tx>
            <c:strRef>
              <c:f>'Comparison Chart'!$B$4</c:f>
              <c:strCache>
                <c:ptCount val="1"/>
                <c:pt idx="0">
                  <c:v>Transfer to DING prior to sale, no CRT</c:v>
                </c:pt>
              </c:strCache>
            </c:strRef>
          </c:tx>
          <c:invertIfNegative val="0"/>
          <c:cat>
            <c:strRef>
              <c:f>'Comparison Chart'!$C$1:$E$1</c:f>
              <c:strCache>
                <c:ptCount val="3"/>
                <c:pt idx="0">
                  <c:v>For family</c:v>
                </c:pt>
                <c:pt idx="1">
                  <c:v>For charity</c:v>
                </c:pt>
                <c:pt idx="2">
                  <c:v>Total</c:v>
                </c:pt>
              </c:strCache>
            </c:strRef>
          </c:cat>
          <c:val>
            <c:numRef>
              <c:f>'Comparison Chart'!$C$4:$E$4</c:f>
              <c:numCache>
                <c:formatCode>"$"#,##0</c:formatCode>
                <c:ptCount val="3"/>
                <c:pt idx="0">
                  <c:v>24621471.924046252</c:v>
                </c:pt>
                <c:pt idx="1">
                  <c:v>0</c:v>
                </c:pt>
                <c:pt idx="2">
                  <c:v>24621471.924046252</c:v>
                </c:pt>
              </c:numCache>
            </c:numRef>
          </c:val>
          <c:extLst>
            <c:ext xmlns:c16="http://schemas.microsoft.com/office/drawing/2014/chart" uri="{C3380CC4-5D6E-409C-BE32-E72D297353CC}">
              <c16:uniqueId val="{00000002-B421-41EA-93CD-E19765435064}"/>
            </c:ext>
          </c:extLst>
        </c:ser>
        <c:ser>
          <c:idx val="3"/>
          <c:order val="3"/>
          <c:tx>
            <c:strRef>
              <c:f>'Comparison Chart'!$B$5</c:f>
              <c:strCache>
                <c:ptCount val="1"/>
                <c:pt idx="0">
                  <c:v>Transfer to 20 Yr CRUT payable to taxpayer directly</c:v>
                </c:pt>
              </c:strCache>
            </c:strRef>
          </c:tx>
          <c:invertIfNegative val="0"/>
          <c:cat>
            <c:strRef>
              <c:f>'Comparison Chart'!$C$1:$E$1</c:f>
              <c:strCache>
                <c:ptCount val="3"/>
                <c:pt idx="0">
                  <c:v>For family</c:v>
                </c:pt>
                <c:pt idx="1">
                  <c:v>For charity</c:v>
                </c:pt>
                <c:pt idx="2">
                  <c:v>Total</c:v>
                </c:pt>
              </c:strCache>
            </c:strRef>
          </c:cat>
          <c:val>
            <c:numRef>
              <c:f>'Comparison Chart'!$C$5:$E$5</c:f>
              <c:numCache>
                <c:formatCode>"$"#,##0</c:formatCode>
                <c:ptCount val="3"/>
                <c:pt idx="0">
                  <c:v>23729126.896759145</c:v>
                </c:pt>
                <c:pt idx="1">
                  <c:v>5271749.082550372</c:v>
                </c:pt>
                <c:pt idx="2">
                  <c:v>29000875.979309518</c:v>
                </c:pt>
              </c:numCache>
            </c:numRef>
          </c:val>
          <c:extLst>
            <c:ext xmlns:c16="http://schemas.microsoft.com/office/drawing/2014/chart" uri="{C3380CC4-5D6E-409C-BE32-E72D297353CC}">
              <c16:uniqueId val="{00000003-B421-41EA-93CD-E19765435064}"/>
            </c:ext>
          </c:extLst>
        </c:ser>
        <c:ser>
          <c:idx val="4"/>
          <c:order val="4"/>
          <c:tx>
            <c:strRef>
              <c:f>'Comparison Chart'!$B$6</c:f>
              <c:strCache>
                <c:ptCount val="1"/>
                <c:pt idx="0">
                  <c:v>Transfer to 20 yr CRUT, Payable to DING</c:v>
                </c:pt>
              </c:strCache>
            </c:strRef>
          </c:tx>
          <c:invertIfNegative val="0"/>
          <c:cat>
            <c:strRef>
              <c:f>'Comparison Chart'!$C$1:$E$1</c:f>
              <c:strCache>
                <c:ptCount val="3"/>
                <c:pt idx="0">
                  <c:v>For family</c:v>
                </c:pt>
                <c:pt idx="1">
                  <c:v>For charity</c:v>
                </c:pt>
                <c:pt idx="2">
                  <c:v>Total</c:v>
                </c:pt>
              </c:strCache>
            </c:strRef>
          </c:cat>
          <c:val>
            <c:numRef>
              <c:f>'Comparison Chart'!$C$6:$E$6</c:f>
              <c:numCache>
                <c:formatCode>"$"#,##0</c:formatCode>
                <c:ptCount val="3"/>
                <c:pt idx="0">
                  <c:v>26767146.406349082</c:v>
                </c:pt>
                <c:pt idx="1">
                  <c:v>5271749.082550372</c:v>
                </c:pt>
                <c:pt idx="2">
                  <c:v>32038895.488899454</c:v>
                </c:pt>
              </c:numCache>
            </c:numRef>
          </c:val>
          <c:extLst>
            <c:ext xmlns:c16="http://schemas.microsoft.com/office/drawing/2014/chart" uri="{C3380CC4-5D6E-409C-BE32-E72D297353CC}">
              <c16:uniqueId val="{00000004-B421-41EA-93CD-E19765435064}"/>
            </c:ext>
          </c:extLst>
        </c:ser>
        <c:ser>
          <c:idx val="5"/>
          <c:order val="5"/>
          <c:tx>
            <c:strRef>
              <c:f>'Comparison Chart'!$B$7</c:f>
              <c:strCache>
                <c:ptCount val="1"/>
                <c:pt idx="0">
                  <c:v>Transfer to DING, Distribution of 1st year income to 20 yr CRUT</c:v>
                </c:pt>
              </c:strCache>
            </c:strRef>
          </c:tx>
          <c:invertIfNegative val="0"/>
          <c:cat>
            <c:strRef>
              <c:f>'Comparison Chart'!$C$1:$E$1</c:f>
              <c:strCache>
                <c:ptCount val="3"/>
                <c:pt idx="0">
                  <c:v>For family</c:v>
                </c:pt>
                <c:pt idx="1">
                  <c:v>For charity</c:v>
                </c:pt>
                <c:pt idx="2">
                  <c:v>Total</c:v>
                </c:pt>
              </c:strCache>
            </c:strRef>
          </c:cat>
          <c:val>
            <c:numRef>
              <c:f>'Comparison Chart'!$C$7:$E$7</c:f>
              <c:numCache>
                <c:formatCode>"$"#,##0</c:formatCode>
                <c:ptCount val="3"/>
                <c:pt idx="0">
                  <c:v>27512579.575300638</c:v>
                </c:pt>
                <c:pt idx="1">
                  <c:v>4290958.5555642564</c:v>
                </c:pt>
                <c:pt idx="2">
                  <c:v>31803538.130864896</c:v>
                </c:pt>
              </c:numCache>
            </c:numRef>
          </c:val>
          <c:extLst>
            <c:ext xmlns:c16="http://schemas.microsoft.com/office/drawing/2014/chart" uri="{C3380CC4-5D6E-409C-BE32-E72D297353CC}">
              <c16:uniqueId val="{00000005-B421-41EA-93CD-E19765435064}"/>
            </c:ext>
          </c:extLst>
        </c:ser>
        <c:dLbls>
          <c:showLegendKey val="0"/>
          <c:showVal val="0"/>
          <c:showCatName val="0"/>
          <c:showSerName val="0"/>
          <c:showPercent val="0"/>
          <c:showBubbleSize val="0"/>
        </c:dLbls>
        <c:gapWidth val="150"/>
        <c:shape val="box"/>
        <c:axId val="306394624"/>
        <c:axId val="306396160"/>
        <c:axId val="0"/>
      </c:bar3DChart>
      <c:catAx>
        <c:axId val="306394624"/>
        <c:scaling>
          <c:orientation val="minMax"/>
        </c:scaling>
        <c:delete val="0"/>
        <c:axPos val="b"/>
        <c:numFmt formatCode="General" sourceLinked="0"/>
        <c:majorTickMark val="out"/>
        <c:minorTickMark val="none"/>
        <c:tickLblPos val="nextTo"/>
        <c:crossAx val="306396160"/>
        <c:crosses val="autoZero"/>
        <c:auto val="1"/>
        <c:lblAlgn val="ctr"/>
        <c:lblOffset val="100"/>
        <c:noMultiLvlLbl val="0"/>
      </c:catAx>
      <c:valAx>
        <c:axId val="306396160"/>
        <c:scaling>
          <c:orientation val="minMax"/>
        </c:scaling>
        <c:delete val="0"/>
        <c:axPos val="l"/>
        <c:majorGridlines/>
        <c:numFmt formatCode="&quot;$&quot;#,##0" sourceLinked="1"/>
        <c:majorTickMark val="out"/>
        <c:minorTickMark val="none"/>
        <c:tickLblPos val="nextTo"/>
        <c:crossAx val="306394624"/>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4051D2-A74B-49FA-8FC6-4ED711B036F9}" type="doc">
      <dgm:prSet loTypeId="urn:microsoft.com/office/officeart/2005/8/layout/orgChart1" loCatId="hierarchy" qsTypeId="urn:microsoft.com/office/officeart/2005/8/quickstyle/simple1" qsCatId="simple" csTypeId="urn:microsoft.com/office/officeart/2005/8/colors/accent1_2" csCatId="accent1"/>
      <dgm:spPr/>
    </dgm:pt>
    <dgm:pt modelId="{77392235-DF3A-4EA5-BB98-E1716108F4B1}">
      <dgm:prSet/>
      <dgm:spPr/>
      <dgm:t>
        <a:bodyPr/>
        <a:lstStyle/>
        <a:p>
          <a:pPr marR="0" algn="ctr" rtl="0"/>
          <a:r>
            <a:rPr lang="en-US" b="0" i="0" u="none" strike="noStrike" baseline="0">
              <a:latin typeface="Calibri"/>
            </a:rPr>
            <a:t>John Doe Trust</a:t>
          </a:r>
          <a:endParaRPr lang="en-US" b="0" i="0" u="none" strike="noStrike" baseline="0">
            <a:latin typeface="Times New Roman"/>
          </a:endParaRPr>
        </a:p>
        <a:p>
          <a:pPr marR="0" algn="ctr" rtl="0"/>
          <a:r>
            <a:rPr lang="en-US" b="0" i="0" u="none" strike="noStrike" baseline="0">
              <a:latin typeface="Calibri"/>
            </a:rPr>
            <a:t>Traditional AB Trust</a:t>
          </a:r>
          <a:endParaRPr lang="en-US"/>
        </a:p>
      </dgm:t>
    </dgm:pt>
    <dgm:pt modelId="{A18769CF-D196-459C-8976-88709F6285B4}" type="parTrans" cxnId="{A9E9870F-D387-4AA1-B3D2-FA32559105A8}">
      <dgm:prSet/>
      <dgm:spPr/>
      <dgm:t>
        <a:bodyPr/>
        <a:lstStyle/>
        <a:p>
          <a:endParaRPr lang="en-US"/>
        </a:p>
      </dgm:t>
    </dgm:pt>
    <dgm:pt modelId="{4B594B88-949F-4B33-94BA-C68C1EAADE37}" type="sibTrans" cxnId="{A9E9870F-D387-4AA1-B3D2-FA32559105A8}">
      <dgm:prSet/>
      <dgm:spPr/>
      <dgm:t>
        <a:bodyPr/>
        <a:lstStyle/>
        <a:p>
          <a:endParaRPr lang="en-US"/>
        </a:p>
      </dgm:t>
    </dgm:pt>
    <dgm:pt modelId="{38DE53A1-E952-441C-A41C-8A9C774AF42E}">
      <dgm:prSet/>
      <dgm:spPr/>
      <dgm:t>
        <a:bodyPr/>
        <a:lstStyle/>
        <a:p>
          <a:pPr marR="0" algn="ctr" rtl="0"/>
          <a:r>
            <a:rPr lang="en-US" b="0" i="0" u="none" strike="noStrike" baseline="0">
              <a:latin typeface="Calibri"/>
            </a:rPr>
            <a:t>John Doe Trust </a:t>
          </a:r>
        </a:p>
        <a:p>
          <a:pPr marR="0" algn="ctr" rtl="0"/>
          <a:r>
            <a:rPr lang="en-US" b="0" i="0" u="none" strike="noStrike" baseline="0">
              <a:latin typeface="Calibri"/>
            </a:rPr>
            <a:t>Fbo Spouse (&amp; poss. children) </a:t>
          </a:r>
        </a:p>
        <a:p>
          <a:pPr marR="0" algn="ctr" rtl="0"/>
          <a:r>
            <a:rPr lang="en-US" b="0" i="0" u="none" strike="noStrike" baseline="0">
              <a:latin typeface="Calibri"/>
            </a:rPr>
            <a:t> &lt; $5.25mm (or basic excl)</a:t>
          </a:r>
          <a:endParaRPr lang="en-US"/>
        </a:p>
      </dgm:t>
    </dgm:pt>
    <dgm:pt modelId="{77347DFD-CF89-40DE-A24B-F3E2B79ECAF4}" type="parTrans" cxnId="{A6140A4E-78D6-41D3-B52B-0B423751DEF6}">
      <dgm:prSet/>
      <dgm:spPr/>
      <dgm:t>
        <a:bodyPr/>
        <a:lstStyle/>
        <a:p>
          <a:endParaRPr lang="en-US"/>
        </a:p>
      </dgm:t>
    </dgm:pt>
    <dgm:pt modelId="{5DC218C7-A787-43E2-99A2-63B913DC808D}" type="sibTrans" cxnId="{A6140A4E-78D6-41D3-B52B-0B423751DEF6}">
      <dgm:prSet/>
      <dgm:spPr/>
      <dgm:t>
        <a:bodyPr/>
        <a:lstStyle/>
        <a:p>
          <a:endParaRPr lang="en-US"/>
        </a:p>
      </dgm:t>
    </dgm:pt>
    <dgm:pt modelId="{A4123E7F-228C-49A0-AC59-586830CD1663}">
      <dgm:prSet/>
      <dgm:spPr/>
      <dgm:t>
        <a:bodyPr/>
        <a:lstStyle/>
        <a:p>
          <a:pPr marR="0" algn="ctr" rtl="0"/>
          <a:r>
            <a:rPr lang="en-US" b="0" i="0" u="none" strike="noStrike" baseline="0">
              <a:latin typeface="Calibri"/>
            </a:rPr>
            <a:t>Trust for children</a:t>
          </a:r>
        </a:p>
        <a:p>
          <a:pPr marR="0" algn="ctr" rtl="0"/>
          <a:r>
            <a:rPr lang="en-US" b="0" i="0" u="none" strike="noStrike" baseline="0">
              <a:latin typeface="Calibri"/>
            </a:rPr>
            <a:t>No change in basis</a:t>
          </a:r>
          <a:endParaRPr lang="en-US"/>
        </a:p>
      </dgm:t>
    </dgm:pt>
    <dgm:pt modelId="{8A3B3E9B-BA81-43A3-B16D-9B94388A7EE7}" type="parTrans" cxnId="{680A02BD-E23A-4C6C-B9A3-392A900B1313}">
      <dgm:prSet/>
      <dgm:spPr/>
      <dgm:t>
        <a:bodyPr/>
        <a:lstStyle/>
        <a:p>
          <a:endParaRPr lang="en-US"/>
        </a:p>
      </dgm:t>
    </dgm:pt>
    <dgm:pt modelId="{C3F9A469-B18B-430E-B2F4-91C50B596450}" type="sibTrans" cxnId="{680A02BD-E23A-4C6C-B9A3-392A900B1313}">
      <dgm:prSet/>
      <dgm:spPr/>
      <dgm:t>
        <a:bodyPr/>
        <a:lstStyle/>
        <a:p>
          <a:endParaRPr lang="en-US"/>
        </a:p>
      </dgm:t>
    </dgm:pt>
    <dgm:pt modelId="{5B4354BF-FA51-4986-B52B-40E5979C7FF1}">
      <dgm:prSet/>
      <dgm:spPr/>
      <dgm:t>
        <a:bodyPr/>
        <a:lstStyle/>
        <a:p>
          <a:pPr marR="0" algn="ctr" rtl="0"/>
          <a:r>
            <a:rPr lang="en-US" b="0" i="0" u="none" strike="noStrike" baseline="0">
              <a:latin typeface="Calibri"/>
            </a:rPr>
            <a:t>John Doe Trust </a:t>
          </a:r>
        </a:p>
        <a:p>
          <a:pPr marR="0" algn="ctr" rtl="0"/>
          <a:r>
            <a:rPr lang="en-US" b="0" i="0" u="none" strike="noStrike" baseline="0">
              <a:latin typeface="Calibri"/>
            </a:rPr>
            <a:t>Fbo spouse only QTIP,  </a:t>
          </a:r>
          <a:endParaRPr lang="en-US" b="0" i="0" u="none" strike="noStrike" baseline="0">
            <a:latin typeface="Times New Roman"/>
          </a:endParaRPr>
        </a:p>
        <a:p>
          <a:pPr marR="0" algn="ctr" rtl="0"/>
          <a:r>
            <a:rPr lang="en-US" b="0" i="0" u="none" strike="noStrike" baseline="0">
              <a:latin typeface="Calibri"/>
            </a:rPr>
            <a:t>&gt; $5.25mm (or basic excl)</a:t>
          </a:r>
          <a:endParaRPr lang="en-US"/>
        </a:p>
      </dgm:t>
    </dgm:pt>
    <dgm:pt modelId="{3188B43B-91E4-4A2E-BA21-BF2A7D6AAEA9}" type="parTrans" cxnId="{87A98242-CEAB-447B-AB0C-C0CFF1DB0FD3}">
      <dgm:prSet/>
      <dgm:spPr/>
      <dgm:t>
        <a:bodyPr/>
        <a:lstStyle/>
        <a:p>
          <a:endParaRPr lang="en-US"/>
        </a:p>
      </dgm:t>
    </dgm:pt>
    <dgm:pt modelId="{60357E93-541B-4483-9BD1-5E3B6CC95075}" type="sibTrans" cxnId="{87A98242-CEAB-447B-AB0C-C0CFF1DB0FD3}">
      <dgm:prSet/>
      <dgm:spPr/>
      <dgm:t>
        <a:bodyPr/>
        <a:lstStyle/>
        <a:p>
          <a:endParaRPr lang="en-US"/>
        </a:p>
      </dgm:t>
    </dgm:pt>
    <dgm:pt modelId="{BBD4A9B9-2DDF-4A8F-BC71-7BCA95E324B6}">
      <dgm:prSet/>
      <dgm:spPr/>
      <dgm:t>
        <a:bodyPr/>
        <a:lstStyle/>
        <a:p>
          <a:pPr marR="0" algn="ctr" rtl="0"/>
          <a:r>
            <a:rPr lang="en-US" b="0" i="0" u="none" strike="noStrike" baseline="0">
              <a:latin typeface="Calibri"/>
            </a:rPr>
            <a:t>Trust for children</a:t>
          </a:r>
        </a:p>
        <a:p>
          <a:pPr marR="0" algn="ctr" rtl="0"/>
          <a:r>
            <a:rPr lang="en-US" b="0" i="0" u="none" strike="noStrike" baseline="0">
              <a:latin typeface="Calibri"/>
            </a:rPr>
            <a:t>All new basis</a:t>
          </a:r>
          <a:endParaRPr lang="en-US"/>
        </a:p>
      </dgm:t>
    </dgm:pt>
    <dgm:pt modelId="{C6594E31-F294-40B3-8CF1-EAC0EBE72083}" type="parTrans" cxnId="{47522122-F904-4AD7-A2C3-5651E829ECFE}">
      <dgm:prSet/>
      <dgm:spPr/>
      <dgm:t>
        <a:bodyPr/>
        <a:lstStyle/>
        <a:p>
          <a:endParaRPr lang="en-US"/>
        </a:p>
      </dgm:t>
    </dgm:pt>
    <dgm:pt modelId="{A3693F8D-E40A-4D94-BD4C-2A6E9258C830}" type="sibTrans" cxnId="{47522122-F904-4AD7-A2C3-5651E829ECFE}">
      <dgm:prSet/>
      <dgm:spPr/>
      <dgm:t>
        <a:bodyPr/>
        <a:lstStyle/>
        <a:p>
          <a:endParaRPr lang="en-US"/>
        </a:p>
      </dgm:t>
    </dgm:pt>
    <dgm:pt modelId="{49219549-39E0-42E3-8A99-25DA6C39A4A4}" type="pres">
      <dgm:prSet presAssocID="{5D4051D2-A74B-49FA-8FC6-4ED711B036F9}" presName="hierChild1" presStyleCnt="0">
        <dgm:presLayoutVars>
          <dgm:orgChart val="1"/>
          <dgm:chPref val="1"/>
          <dgm:dir/>
          <dgm:animOne val="branch"/>
          <dgm:animLvl val="lvl"/>
          <dgm:resizeHandles/>
        </dgm:presLayoutVars>
      </dgm:prSet>
      <dgm:spPr/>
    </dgm:pt>
    <dgm:pt modelId="{1CB6A78E-1CF0-4365-A520-4ED041C5CEDB}" type="pres">
      <dgm:prSet presAssocID="{77392235-DF3A-4EA5-BB98-E1716108F4B1}" presName="hierRoot1" presStyleCnt="0">
        <dgm:presLayoutVars>
          <dgm:hierBranch/>
        </dgm:presLayoutVars>
      </dgm:prSet>
      <dgm:spPr/>
    </dgm:pt>
    <dgm:pt modelId="{8BC76064-44AF-44D6-8A27-3705A76D0716}" type="pres">
      <dgm:prSet presAssocID="{77392235-DF3A-4EA5-BB98-E1716108F4B1}" presName="rootComposite1" presStyleCnt="0"/>
      <dgm:spPr/>
    </dgm:pt>
    <dgm:pt modelId="{1F97670C-687C-4441-A65E-8202AD4B9A31}" type="pres">
      <dgm:prSet presAssocID="{77392235-DF3A-4EA5-BB98-E1716108F4B1}" presName="rootText1" presStyleLbl="node0" presStyleIdx="0" presStyleCnt="1">
        <dgm:presLayoutVars>
          <dgm:chPref val="3"/>
        </dgm:presLayoutVars>
      </dgm:prSet>
      <dgm:spPr/>
    </dgm:pt>
    <dgm:pt modelId="{B3608ADA-CCF6-4336-B645-5BBB746883A8}" type="pres">
      <dgm:prSet presAssocID="{77392235-DF3A-4EA5-BB98-E1716108F4B1}" presName="rootConnector1" presStyleLbl="node1" presStyleIdx="0" presStyleCnt="0"/>
      <dgm:spPr/>
    </dgm:pt>
    <dgm:pt modelId="{9C51193A-9932-414B-B7DF-16FC94E7A09C}" type="pres">
      <dgm:prSet presAssocID="{77392235-DF3A-4EA5-BB98-E1716108F4B1}" presName="hierChild2" presStyleCnt="0"/>
      <dgm:spPr/>
    </dgm:pt>
    <dgm:pt modelId="{82CD8203-E36D-4681-A3C5-CE7047B2B47B}" type="pres">
      <dgm:prSet presAssocID="{77347DFD-CF89-40DE-A24B-F3E2B79ECAF4}" presName="Name35" presStyleLbl="parChTrans1D2" presStyleIdx="0" presStyleCnt="2"/>
      <dgm:spPr/>
    </dgm:pt>
    <dgm:pt modelId="{4A162757-39E5-42A2-8908-1842769667E8}" type="pres">
      <dgm:prSet presAssocID="{38DE53A1-E952-441C-A41C-8A9C774AF42E}" presName="hierRoot2" presStyleCnt="0">
        <dgm:presLayoutVars>
          <dgm:hierBranch/>
        </dgm:presLayoutVars>
      </dgm:prSet>
      <dgm:spPr/>
    </dgm:pt>
    <dgm:pt modelId="{E982DA35-EEC9-4C3B-A83B-826DC3A08237}" type="pres">
      <dgm:prSet presAssocID="{38DE53A1-E952-441C-A41C-8A9C774AF42E}" presName="rootComposite" presStyleCnt="0"/>
      <dgm:spPr/>
    </dgm:pt>
    <dgm:pt modelId="{38F03712-DDD9-48D1-8805-679B9FAF817D}" type="pres">
      <dgm:prSet presAssocID="{38DE53A1-E952-441C-A41C-8A9C774AF42E}" presName="rootText" presStyleLbl="node2" presStyleIdx="0" presStyleCnt="2">
        <dgm:presLayoutVars>
          <dgm:chPref val="3"/>
        </dgm:presLayoutVars>
      </dgm:prSet>
      <dgm:spPr/>
    </dgm:pt>
    <dgm:pt modelId="{E17831E7-A8FF-493E-A770-CD747A5945C2}" type="pres">
      <dgm:prSet presAssocID="{38DE53A1-E952-441C-A41C-8A9C774AF42E}" presName="rootConnector" presStyleLbl="node2" presStyleIdx="0" presStyleCnt="2"/>
      <dgm:spPr/>
    </dgm:pt>
    <dgm:pt modelId="{32BA00E2-BBC5-45D0-B9C5-65A4531A7711}" type="pres">
      <dgm:prSet presAssocID="{38DE53A1-E952-441C-A41C-8A9C774AF42E}" presName="hierChild4" presStyleCnt="0"/>
      <dgm:spPr/>
    </dgm:pt>
    <dgm:pt modelId="{EEE8642A-50E7-4FEA-96F7-BF07BF3737E6}" type="pres">
      <dgm:prSet presAssocID="{8A3B3E9B-BA81-43A3-B16D-9B94388A7EE7}" presName="Name35" presStyleLbl="parChTrans1D3" presStyleIdx="0" presStyleCnt="2"/>
      <dgm:spPr/>
    </dgm:pt>
    <dgm:pt modelId="{1B9DEDD7-F339-401C-8400-994B3836B827}" type="pres">
      <dgm:prSet presAssocID="{A4123E7F-228C-49A0-AC59-586830CD1663}" presName="hierRoot2" presStyleCnt="0">
        <dgm:presLayoutVars>
          <dgm:hierBranch val="r"/>
        </dgm:presLayoutVars>
      </dgm:prSet>
      <dgm:spPr/>
    </dgm:pt>
    <dgm:pt modelId="{8F1035AF-6A4B-4C22-AF82-AAEFB7BF189A}" type="pres">
      <dgm:prSet presAssocID="{A4123E7F-228C-49A0-AC59-586830CD1663}" presName="rootComposite" presStyleCnt="0"/>
      <dgm:spPr/>
    </dgm:pt>
    <dgm:pt modelId="{DCA3AE75-209F-4F8E-94D5-97A3661370F0}" type="pres">
      <dgm:prSet presAssocID="{A4123E7F-228C-49A0-AC59-586830CD1663}" presName="rootText" presStyleLbl="node3" presStyleIdx="0" presStyleCnt="2">
        <dgm:presLayoutVars>
          <dgm:chPref val="3"/>
        </dgm:presLayoutVars>
      </dgm:prSet>
      <dgm:spPr/>
    </dgm:pt>
    <dgm:pt modelId="{7E24C937-8367-4424-BD41-15C637D8590A}" type="pres">
      <dgm:prSet presAssocID="{A4123E7F-228C-49A0-AC59-586830CD1663}" presName="rootConnector" presStyleLbl="node3" presStyleIdx="0" presStyleCnt="2"/>
      <dgm:spPr/>
    </dgm:pt>
    <dgm:pt modelId="{C1547D4B-D2FE-427B-BD3A-D9946BA77AF5}" type="pres">
      <dgm:prSet presAssocID="{A4123E7F-228C-49A0-AC59-586830CD1663}" presName="hierChild4" presStyleCnt="0"/>
      <dgm:spPr/>
    </dgm:pt>
    <dgm:pt modelId="{C2129CA8-5394-42A6-BA13-98C6BEF19B1B}" type="pres">
      <dgm:prSet presAssocID="{A4123E7F-228C-49A0-AC59-586830CD1663}" presName="hierChild5" presStyleCnt="0"/>
      <dgm:spPr/>
    </dgm:pt>
    <dgm:pt modelId="{EFBDA2BC-7011-4267-BF18-8740FE21BF60}" type="pres">
      <dgm:prSet presAssocID="{38DE53A1-E952-441C-A41C-8A9C774AF42E}" presName="hierChild5" presStyleCnt="0"/>
      <dgm:spPr/>
    </dgm:pt>
    <dgm:pt modelId="{FF74BC00-79FE-4356-B656-435A86BC7E96}" type="pres">
      <dgm:prSet presAssocID="{3188B43B-91E4-4A2E-BA21-BF2A7D6AAEA9}" presName="Name35" presStyleLbl="parChTrans1D2" presStyleIdx="1" presStyleCnt="2"/>
      <dgm:spPr/>
    </dgm:pt>
    <dgm:pt modelId="{DFA504C0-3DC0-4064-AF8C-77FDAF170BC6}" type="pres">
      <dgm:prSet presAssocID="{5B4354BF-FA51-4986-B52B-40E5979C7FF1}" presName="hierRoot2" presStyleCnt="0">
        <dgm:presLayoutVars>
          <dgm:hierBranch/>
        </dgm:presLayoutVars>
      </dgm:prSet>
      <dgm:spPr/>
    </dgm:pt>
    <dgm:pt modelId="{B9C3F8DF-0565-4F52-A28D-240626D215AD}" type="pres">
      <dgm:prSet presAssocID="{5B4354BF-FA51-4986-B52B-40E5979C7FF1}" presName="rootComposite" presStyleCnt="0"/>
      <dgm:spPr/>
    </dgm:pt>
    <dgm:pt modelId="{143A602A-2325-4D54-9769-D88FF67E8406}" type="pres">
      <dgm:prSet presAssocID="{5B4354BF-FA51-4986-B52B-40E5979C7FF1}" presName="rootText" presStyleLbl="node2" presStyleIdx="1" presStyleCnt="2">
        <dgm:presLayoutVars>
          <dgm:chPref val="3"/>
        </dgm:presLayoutVars>
      </dgm:prSet>
      <dgm:spPr/>
    </dgm:pt>
    <dgm:pt modelId="{EBAFD0B7-C6E1-4858-9F97-22A23CC151A7}" type="pres">
      <dgm:prSet presAssocID="{5B4354BF-FA51-4986-B52B-40E5979C7FF1}" presName="rootConnector" presStyleLbl="node2" presStyleIdx="1" presStyleCnt="2"/>
      <dgm:spPr/>
    </dgm:pt>
    <dgm:pt modelId="{BD8EB018-A629-4561-A53C-1982AD2AF904}" type="pres">
      <dgm:prSet presAssocID="{5B4354BF-FA51-4986-B52B-40E5979C7FF1}" presName="hierChild4" presStyleCnt="0"/>
      <dgm:spPr/>
    </dgm:pt>
    <dgm:pt modelId="{BD5BC614-1687-4E2C-A4EE-1E3C71EE8712}" type="pres">
      <dgm:prSet presAssocID="{C6594E31-F294-40B3-8CF1-EAC0EBE72083}" presName="Name35" presStyleLbl="parChTrans1D3" presStyleIdx="1" presStyleCnt="2"/>
      <dgm:spPr/>
    </dgm:pt>
    <dgm:pt modelId="{3AA40E41-FEEC-4192-98E1-C7607A86FA23}" type="pres">
      <dgm:prSet presAssocID="{BBD4A9B9-2DDF-4A8F-BC71-7BCA95E324B6}" presName="hierRoot2" presStyleCnt="0">
        <dgm:presLayoutVars>
          <dgm:hierBranch val="r"/>
        </dgm:presLayoutVars>
      </dgm:prSet>
      <dgm:spPr/>
    </dgm:pt>
    <dgm:pt modelId="{A9ACCC99-4A21-412D-B5EF-A154C622A36A}" type="pres">
      <dgm:prSet presAssocID="{BBD4A9B9-2DDF-4A8F-BC71-7BCA95E324B6}" presName="rootComposite" presStyleCnt="0"/>
      <dgm:spPr/>
    </dgm:pt>
    <dgm:pt modelId="{06F1FB57-0489-4358-84AC-46704C3674AA}" type="pres">
      <dgm:prSet presAssocID="{BBD4A9B9-2DDF-4A8F-BC71-7BCA95E324B6}" presName="rootText" presStyleLbl="node3" presStyleIdx="1" presStyleCnt="2">
        <dgm:presLayoutVars>
          <dgm:chPref val="3"/>
        </dgm:presLayoutVars>
      </dgm:prSet>
      <dgm:spPr/>
    </dgm:pt>
    <dgm:pt modelId="{99E9FC3C-6197-4863-BF0B-4B7774A01D80}" type="pres">
      <dgm:prSet presAssocID="{BBD4A9B9-2DDF-4A8F-BC71-7BCA95E324B6}" presName="rootConnector" presStyleLbl="node3" presStyleIdx="1" presStyleCnt="2"/>
      <dgm:spPr/>
    </dgm:pt>
    <dgm:pt modelId="{1D900816-8151-4AC4-BEDE-0F6181E81CEB}" type="pres">
      <dgm:prSet presAssocID="{BBD4A9B9-2DDF-4A8F-BC71-7BCA95E324B6}" presName="hierChild4" presStyleCnt="0"/>
      <dgm:spPr/>
    </dgm:pt>
    <dgm:pt modelId="{4522899A-A274-45D6-A72C-205625DC4024}" type="pres">
      <dgm:prSet presAssocID="{BBD4A9B9-2DDF-4A8F-BC71-7BCA95E324B6}" presName="hierChild5" presStyleCnt="0"/>
      <dgm:spPr/>
    </dgm:pt>
    <dgm:pt modelId="{04BB7AC6-4F32-4F9D-8580-36669EA9187B}" type="pres">
      <dgm:prSet presAssocID="{5B4354BF-FA51-4986-B52B-40E5979C7FF1}" presName="hierChild5" presStyleCnt="0"/>
      <dgm:spPr/>
    </dgm:pt>
    <dgm:pt modelId="{16CDDD94-2483-4320-973F-EF7F84AF1A61}" type="pres">
      <dgm:prSet presAssocID="{77392235-DF3A-4EA5-BB98-E1716108F4B1}" presName="hierChild3" presStyleCnt="0"/>
      <dgm:spPr/>
    </dgm:pt>
  </dgm:ptLst>
  <dgm:cxnLst>
    <dgm:cxn modelId="{A9E9870F-D387-4AA1-B3D2-FA32559105A8}" srcId="{5D4051D2-A74B-49FA-8FC6-4ED711B036F9}" destId="{77392235-DF3A-4EA5-BB98-E1716108F4B1}" srcOrd="0" destOrd="0" parTransId="{A18769CF-D196-459C-8976-88709F6285B4}" sibTransId="{4B594B88-949F-4B33-94BA-C68C1EAADE37}"/>
    <dgm:cxn modelId="{5A18EA1C-65CB-4852-973F-9D55DCB00585}" type="presOf" srcId="{38DE53A1-E952-441C-A41C-8A9C774AF42E}" destId="{E17831E7-A8FF-493E-A770-CD747A5945C2}" srcOrd="1" destOrd="0" presId="urn:microsoft.com/office/officeart/2005/8/layout/orgChart1"/>
    <dgm:cxn modelId="{47522122-F904-4AD7-A2C3-5651E829ECFE}" srcId="{5B4354BF-FA51-4986-B52B-40E5979C7FF1}" destId="{BBD4A9B9-2DDF-4A8F-BC71-7BCA95E324B6}" srcOrd="0" destOrd="0" parTransId="{C6594E31-F294-40B3-8CF1-EAC0EBE72083}" sibTransId="{A3693F8D-E40A-4D94-BD4C-2A6E9258C830}"/>
    <dgm:cxn modelId="{87A98242-CEAB-447B-AB0C-C0CFF1DB0FD3}" srcId="{77392235-DF3A-4EA5-BB98-E1716108F4B1}" destId="{5B4354BF-FA51-4986-B52B-40E5979C7FF1}" srcOrd="1" destOrd="0" parTransId="{3188B43B-91E4-4A2E-BA21-BF2A7D6AAEA9}" sibTransId="{60357E93-541B-4483-9BD1-5E3B6CC95075}"/>
    <dgm:cxn modelId="{338F8663-3F23-4619-B22E-8078157189B6}" type="presOf" srcId="{38DE53A1-E952-441C-A41C-8A9C774AF42E}" destId="{38F03712-DDD9-48D1-8805-679B9FAF817D}" srcOrd="0" destOrd="0" presId="urn:microsoft.com/office/officeart/2005/8/layout/orgChart1"/>
    <dgm:cxn modelId="{84A20A6A-0B78-4580-95D3-B9C8333CCF4E}" type="presOf" srcId="{5D4051D2-A74B-49FA-8FC6-4ED711B036F9}" destId="{49219549-39E0-42E3-8A99-25DA6C39A4A4}" srcOrd="0" destOrd="0" presId="urn:microsoft.com/office/officeart/2005/8/layout/orgChart1"/>
    <dgm:cxn modelId="{B4C8A16C-57C2-42BA-88E7-7BF7A8EFF5B7}" type="presOf" srcId="{8A3B3E9B-BA81-43A3-B16D-9B94388A7EE7}" destId="{EEE8642A-50E7-4FEA-96F7-BF07BF3737E6}" srcOrd="0" destOrd="0" presId="urn:microsoft.com/office/officeart/2005/8/layout/orgChart1"/>
    <dgm:cxn modelId="{A6140A4E-78D6-41D3-B52B-0B423751DEF6}" srcId="{77392235-DF3A-4EA5-BB98-E1716108F4B1}" destId="{38DE53A1-E952-441C-A41C-8A9C774AF42E}" srcOrd="0" destOrd="0" parTransId="{77347DFD-CF89-40DE-A24B-F3E2B79ECAF4}" sibTransId="{5DC218C7-A787-43E2-99A2-63B913DC808D}"/>
    <dgm:cxn modelId="{10968C4F-BCC9-47BB-8F59-CE7D078C4ADB}" type="presOf" srcId="{C6594E31-F294-40B3-8CF1-EAC0EBE72083}" destId="{BD5BC614-1687-4E2C-A4EE-1E3C71EE8712}" srcOrd="0" destOrd="0" presId="urn:microsoft.com/office/officeart/2005/8/layout/orgChart1"/>
    <dgm:cxn modelId="{F36F7E54-E4B4-4631-843F-40E153CF5D62}" type="presOf" srcId="{77392235-DF3A-4EA5-BB98-E1716108F4B1}" destId="{1F97670C-687C-4441-A65E-8202AD4B9A31}" srcOrd="0" destOrd="0" presId="urn:microsoft.com/office/officeart/2005/8/layout/orgChart1"/>
    <dgm:cxn modelId="{48D2567E-DA9E-43EC-AEE3-1C650C5A9447}" type="presOf" srcId="{77347DFD-CF89-40DE-A24B-F3E2B79ECAF4}" destId="{82CD8203-E36D-4681-A3C5-CE7047B2B47B}" srcOrd="0" destOrd="0" presId="urn:microsoft.com/office/officeart/2005/8/layout/orgChart1"/>
    <dgm:cxn modelId="{5058458D-771F-44F3-ABBB-2B4F7E8241DF}" type="presOf" srcId="{5B4354BF-FA51-4986-B52B-40E5979C7FF1}" destId="{143A602A-2325-4D54-9769-D88FF67E8406}" srcOrd="0" destOrd="0" presId="urn:microsoft.com/office/officeart/2005/8/layout/orgChart1"/>
    <dgm:cxn modelId="{4C8FD190-D0DC-431D-9823-F90DD00EC969}" type="presOf" srcId="{5B4354BF-FA51-4986-B52B-40E5979C7FF1}" destId="{EBAFD0B7-C6E1-4858-9F97-22A23CC151A7}" srcOrd="1" destOrd="0" presId="urn:microsoft.com/office/officeart/2005/8/layout/orgChart1"/>
    <dgm:cxn modelId="{6916EF94-722D-48CF-B6A7-F70AC8D77340}" type="presOf" srcId="{BBD4A9B9-2DDF-4A8F-BC71-7BCA95E324B6}" destId="{06F1FB57-0489-4358-84AC-46704C3674AA}" srcOrd="0" destOrd="0" presId="urn:microsoft.com/office/officeart/2005/8/layout/orgChart1"/>
    <dgm:cxn modelId="{84F66C95-2C5E-4166-B16D-260E1DDDCDF2}" type="presOf" srcId="{3188B43B-91E4-4A2E-BA21-BF2A7D6AAEA9}" destId="{FF74BC00-79FE-4356-B656-435A86BC7E96}" srcOrd="0" destOrd="0" presId="urn:microsoft.com/office/officeart/2005/8/layout/orgChart1"/>
    <dgm:cxn modelId="{837DF595-3B22-42F0-915C-65AAD5603A63}" type="presOf" srcId="{77392235-DF3A-4EA5-BB98-E1716108F4B1}" destId="{B3608ADA-CCF6-4336-B645-5BBB746883A8}" srcOrd="1" destOrd="0" presId="urn:microsoft.com/office/officeart/2005/8/layout/orgChart1"/>
    <dgm:cxn modelId="{D8038AB8-DE7E-4EA2-846D-077BBE877792}" type="presOf" srcId="{BBD4A9B9-2DDF-4A8F-BC71-7BCA95E324B6}" destId="{99E9FC3C-6197-4863-BF0B-4B7774A01D80}" srcOrd="1" destOrd="0" presId="urn:microsoft.com/office/officeart/2005/8/layout/orgChart1"/>
    <dgm:cxn modelId="{680A02BD-E23A-4C6C-B9A3-392A900B1313}" srcId="{38DE53A1-E952-441C-A41C-8A9C774AF42E}" destId="{A4123E7F-228C-49A0-AC59-586830CD1663}" srcOrd="0" destOrd="0" parTransId="{8A3B3E9B-BA81-43A3-B16D-9B94388A7EE7}" sibTransId="{C3F9A469-B18B-430E-B2F4-91C50B596450}"/>
    <dgm:cxn modelId="{3EA8F0BD-7BA9-49D7-8B6D-163097E86EB8}" type="presOf" srcId="{A4123E7F-228C-49A0-AC59-586830CD1663}" destId="{DCA3AE75-209F-4F8E-94D5-97A3661370F0}" srcOrd="0" destOrd="0" presId="urn:microsoft.com/office/officeart/2005/8/layout/orgChart1"/>
    <dgm:cxn modelId="{B53FD6E2-842F-48B4-BC6E-A80204326F0A}" type="presOf" srcId="{A4123E7F-228C-49A0-AC59-586830CD1663}" destId="{7E24C937-8367-4424-BD41-15C637D8590A}" srcOrd="1" destOrd="0" presId="urn:microsoft.com/office/officeart/2005/8/layout/orgChart1"/>
    <dgm:cxn modelId="{5104C79D-BA74-434D-ACA4-AB5E6CE71FAE}" type="presParOf" srcId="{49219549-39E0-42E3-8A99-25DA6C39A4A4}" destId="{1CB6A78E-1CF0-4365-A520-4ED041C5CEDB}" srcOrd="0" destOrd="0" presId="urn:microsoft.com/office/officeart/2005/8/layout/orgChart1"/>
    <dgm:cxn modelId="{3D4F3BE6-4ED2-4447-B30F-471973E7B4AD}" type="presParOf" srcId="{1CB6A78E-1CF0-4365-A520-4ED041C5CEDB}" destId="{8BC76064-44AF-44D6-8A27-3705A76D0716}" srcOrd="0" destOrd="0" presId="urn:microsoft.com/office/officeart/2005/8/layout/orgChart1"/>
    <dgm:cxn modelId="{B0BE1537-F6C0-47F7-BCCF-D3D33826DCE5}" type="presParOf" srcId="{8BC76064-44AF-44D6-8A27-3705A76D0716}" destId="{1F97670C-687C-4441-A65E-8202AD4B9A31}" srcOrd="0" destOrd="0" presId="urn:microsoft.com/office/officeart/2005/8/layout/orgChart1"/>
    <dgm:cxn modelId="{C2F59A94-F54C-44F2-AE60-4E2703621514}" type="presParOf" srcId="{8BC76064-44AF-44D6-8A27-3705A76D0716}" destId="{B3608ADA-CCF6-4336-B645-5BBB746883A8}" srcOrd="1" destOrd="0" presId="urn:microsoft.com/office/officeart/2005/8/layout/orgChart1"/>
    <dgm:cxn modelId="{F310653C-F820-4344-9BDB-8C94823E4E09}" type="presParOf" srcId="{1CB6A78E-1CF0-4365-A520-4ED041C5CEDB}" destId="{9C51193A-9932-414B-B7DF-16FC94E7A09C}" srcOrd="1" destOrd="0" presId="urn:microsoft.com/office/officeart/2005/8/layout/orgChart1"/>
    <dgm:cxn modelId="{EF9B2387-DC93-4298-BF20-78DA1B33D1EA}" type="presParOf" srcId="{9C51193A-9932-414B-B7DF-16FC94E7A09C}" destId="{82CD8203-E36D-4681-A3C5-CE7047B2B47B}" srcOrd="0" destOrd="0" presId="urn:microsoft.com/office/officeart/2005/8/layout/orgChart1"/>
    <dgm:cxn modelId="{D9B6C0AD-C62B-4EE6-969E-DDB85CFB44AB}" type="presParOf" srcId="{9C51193A-9932-414B-B7DF-16FC94E7A09C}" destId="{4A162757-39E5-42A2-8908-1842769667E8}" srcOrd="1" destOrd="0" presId="urn:microsoft.com/office/officeart/2005/8/layout/orgChart1"/>
    <dgm:cxn modelId="{29763637-17A5-47F6-A7E8-5E9FE03DF8BA}" type="presParOf" srcId="{4A162757-39E5-42A2-8908-1842769667E8}" destId="{E982DA35-EEC9-4C3B-A83B-826DC3A08237}" srcOrd="0" destOrd="0" presId="urn:microsoft.com/office/officeart/2005/8/layout/orgChart1"/>
    <dgm:cxn modelId="{B178724F-03E3-492D-BE74-2BDBC2C77CC6}" type="presParOf" srcId="{E982DA35-EEC9-4C3B-A83B-826DC3A08237}" destId="{38F03712-DDD9-48D1-8805-679B9FAF817D}" srcOrd="0" destOrd="0" presId="urn:microsoft.com/office/officeart/2005/8/layout/orgChart1"/>
    <dgm:cxn modelId="{36FF839B-C9B9-4F02-BBFF-0DAE7E3D8742}" type="presParOf" srcId="{E982DA35-EEC9-4C3B-A83B-826DC3A08237}" destId="{E17831E7-A8FF-493E-A770-CD747A5945C2}" srcOrd="1" destOrd="0" presId="urn:microsoft.com/office/officeart/2005/8/layout/orgChart1"/>
    <dgm:cxn modelId="{B4593F7E-3057-4D8C-9A0C-D67DF384BDB0}" type="presParOf" srcId="{4A162757-39E5-42A2-8908-1842769667E8}" destId="{32BA00E2-BBC5-45D0-B9C5-65A4531A7711}" srcOrd="1" destOrd="0" presId="urn:microsoft.com/office/officeart/2005/8/layout/orgChart1"/>
    <dgm:cxn modelId="{C18520AA-F992-4C8B-A602-864BF8C099D2}" type="presParOf" srcId="{32BA00E2-BBC5-45D0-B9C5-65A4531A7711}" destId="{EEE8642A-50E7-4FEA-96F7-BF07BF3737E6}" srcOrd="0" destOrd="0" presId="urn:microsoft.com/office/officeart/2005/8/layout/orgChart1"/>
    <dgm:cxn modelId="{9B7EEC88-6247-41AF-9BE8-D9ED26BF0D80}" type="presParOf" srcId="{32BA00E2-BBC5-45D0-B9C5-65A4531A7711}" destId="{1B9DEDD7-F339-401C-8400-994B3836B827}" srcOrd="1" destOrd="0" presId="urn:microsoft.com/office/officeart/2005/8/layout/orgChart1"/>
    <dgm:cxn modelId="{0D35F3A3-E1E3-4552-B285-EDB7C5AF18D7}" type="presParOf" srcId="{1B9DEDD7-F339-401C-8400-994B3836B827}" destId="{8F1035AF-6A4B-4C22-AF82-AAEFB7BF189A}" srcOrd="0" destOrd="0" presId="urn:microsoft.com/office/officeart/2005/8/layout/orgChart1"/>
    <dgm:cxn modelId="{FCB7DE85-9D7F-4759-B341-98E0CA6B3513}" type="presParOf" srcId="{8F1035AF-6A4B-4C22-AF82-AAEFB7BF189A}" destId="{DCA3AE75-209F-4F8E-94D5-97A3661370F0}" srcOrd="0" destOrd="0" presId="urn:microsoft.com/office/officeart/2005/8/layout/orgChart1"/>
    <dgm:cxn modelId="{75A989A4-22DE-4F30-A1DE-846A4F128CAD}" type="presParOf" srcId="{8F1035AF-6A4B-4C22-AF82-AAEFB7BF189A}" destId="{7E24C937-8367-4424-BD41-15C637D8590A}" srcOrd="1" destOrd="0" presId="urn:microsoft.com/office/officeart/2005/8/layout/orgChart1"/>
    <dgm:cxn modelId="{AADE253C-927C-45BD-B8F0-EC8C65051419}" type="presParOf" srcId="{1B9DEDD7-F339-401C-8400-994B3836B827}" destId="{C1547D4B-D2FE-427B-BD3A-D9946BA77AF5}" srcOrd="1" destOrd="0" presId="urn:microsoft.com/office/officeart/2005/8/layout/orgChart1"/>
    <dgm:cxn modelId="{DDC0ED2B-11F8-403F-8767-A13CF548C2F3}" type="presParOf" srcId="{1B9DEDD7-F339-401C-8400-994B3836B827}" destId="{C2129CA8-5394-42A6-BA13-98C6BEF19B1B}" srcOrd="2" destOrd="0" presId="urn:microsoft.com/office/officeart/2005/8/layout/orgChart1"/>
    <dgm:cxn modelId="{B5C3071F-D5AF-4DAC-B8C7-2442B0E388AD}" type="presParOf" srcId="{4A162757-39E5-42A2-8908-1842769667E8}" destId="{EFBDA2BC-7011-4267-BF18-8740FE21BF60}" srcOrd="2" destOrd="0" presId="urn:microsoft.com/office/officeart/2005/8/layout/orgChart1"/>
    <dgm:cxn modelId="{8214D0B2-B81E-4F06-8A1E-D705DA180387}" type="presParOf" srcId="{9C51193A-9932-414B-B7DF-16FC94E7A09C}" destId="{FF74BC00-79FE-4356-B656-435A86BC7E96}" srcOrd="2" destOrd="0" presId="urn:microsoft.com/office/officeart/2005/8/layout/orgChart1"/>
    <dgm:cxn modelId="{9E8FFA7F-A7A0-4875-B071-1E738B797A24}" type="presParOf" srcId="{9C51193A-9932-414B-B7DF-16FC94E7A09C}" destId="{DFA504C0-3DC0-4064-AF8C-77FDAF170BC6}" srcOrd="3" destOrd="0" presId="urn:microsoft.com/office/officeart/2005/8/layout/orgChart1"/>
    <dgm:cxn modelId="{08218967-2BED-4F2F-8002-BBA81F551A9A}" type="presParOf" srcId="{DFA504C0-3DC0-4064-AF8C-77FDAF170BC6}" destId="{B9C3F8DF-0565-4F52-A28D-240626D215AD}" srcOrd="0" destOrd="0" presId="urn:microsoft.com/office/officeart/2005/8/layout/orgChart1"/>
    <dgm:cxn modelId="{55924FDB-4C7D-4F79-9D05-91BDF5BE86DF}" type="presParOf" srcId="{B9C3F8DF-0565-4F52-A28D-240626D215AD}" destId="{143A602A-2325-4D54-9769-D88FF67E8406}" srcOrd="0" destOrd="0" presId="urn:microsoft.com/office/officeart/2005/8/layout/orgChart1"/>
    <dgm:cxn modelId="{9F314101-2A34-4902-A640-8AEB60146F96}" type="presParOf" srcId="{B9C3F8DF-0565-4F52-A28D-240626D215AD}" destId="{EBAFD0B7-C6E1-4858-9F97-22A23CC151A7}" srcOrd="1" destOrd="0" presId="urn:microsoft.com/office/officeart/2005/8/layout/orgChart1"/>
    <dgm:cxn modelId="{75AD46C4-0774-495E-87A3-BE6A3F66CE94}" type="presParOf" srcId="{DFA504C0-3DC0-4064-AF8C-77FDAF170BC6}" destId="{BD8EB018-A629-4561-A53C-1982AD2AF904}" srcOrd="1" destOrd="0" presId="urn:microsoft.com/office/officeart/2005/8/layout/orgChart1"/>
    <dgm:cxn modelId="{43C5CCFB-8C0E-4353-BD30-45B90E51642C}" type="presParOf" srcId="{BD8EB018-A629-4561-A53C-1982AD2AF904}" destId="{BD5BC614-1687-4E2C-A4EE-1E3C71EE8712}" srcOrd="0" destOrd="0" presId="urn:microsoft.com/office/officeart/2005/8/layout/orgChart1"/>
    <dgm:cxn modelId="{841C3F0E-30E1-4417-84A3-53705499F5E0}" type="presParOf" srcId="{BD8EB018-A629-4561-A53C-1982AD2AF904}" destId="{3AA40E41-FEEC-4192-98E1-C7607A86FA23}" srcOrd="1" destOrd="0" presId="urn:microsoft.com/office/officeart/2005/8/layout/orgChart1"/>
    <dgm:cxn modelId="{5C5FFBD1-2798-43DC-A6C8-424FB68AADD0}" type="presParOf" srcId="{3AA40E41-FEEC-4192-98E1-C7607A86FA23}" destId="{A9ACCC99-4A21-412D-B5EF-A154C622A36A}" srcOrd="0" destOrd="0" presId="urn:microsoft.com/office/officeart/2005/8/layout/orgChart1"/>
    <dgm:cxn modelId="{35CE615C-23B4-4BFE-8617-3311F31548DC}" type="presParOf" srcId="{A9ACCC99-4A21-412D-B5EF-A154C622A36A}" destId="{06F1FB57-0489-4358-84AC-46704C3674AA}" srcOrd="0" destOrd="0" presId="urn:microsoft.com/office/officeart/2005/8/layout/orgChart1"/>
    <dgm:cxn modelId="{AC188E7D-5E38-4A91-92B5-FC970BA2D543}" type="presParOf" srcId="{A9ACCC99-4A21-412D-B5EF-A154C622A36A}" destId="{99E9FC3C-6197-4863-BF0B-4B7774A01D80}" srcOrd="1" destOrd="0" presId="urn:microsoft.com/office/officeart/2005/8/layout/orgChart1"/>
    <dgm:cxn modelId="{054C5609-6CAD-421D-95C0-8449657C6F15}" type="presParOf" srcId="{3AA40E41-FEEC-4192-98E1-C7607A86FA23}" destId="{1D900816-8151-4AC4-BEDE-0F6181E81CEB}" srcOrd="1" destOrd="0" presId="urn:microsoft.com/office/officeart/2005/8/layout/orgChart1"/>
    <dgm:cxn modelId="{AD23B126-0809-428C-903D-4839C3F11AAB}" type="presParOf" srcId="{3AA40E41-FEEC-4192-98E1-C7607A86FA23}" destId="{4522899A-A274-45D6-A72C-205625DC4024}" srcOrd="2" destOrd="0" presId="urn:microsoft.com/office/officeart/2005/8/layout/orgChart1"/>
    <dgm:cxn modelId="{FC55D00D-AC92-451A-92C9-195D7427705C}" type="presParOf" srcId="{DFA504C0-3DC0-4064-AF8C-77FDAF170BC6}" destId="{04BB7AC6-4F32-4F9D-8580-36669EA9187B}" srcOrd="2" destOrd="0" presId="urn:microsoft.com/office/officeart/2005/8/layout/orgChart1"/>
    <dgm:cxn modelId="{DA75A51E-1FE8-47A4-AF8F-4DE1ADBF7553}" type="presParOf" srcId="{1CB6A78E-1CF0-4365-A520-4ED041C5CEDB}" destId="{16CDDD94-2483-4320-973F-EF7F84AF1A6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8A535D-D159-4C4C-803F-FBF51E5F9A86}" type="doc">
      <dgm:prSet loTypeId="urn:microsoft.com/office/officeart/2005/8/layout/orgChart1" loCatId="hierarchy" qsTypeId="urn:microsoft.com/office/officeart/2005/8/quickstyle/simple1" qsCatId="simple" csTypeId="urn:microsoft.com/office/officeart/2005/8/colors/accent1_2" csCatId="accent1"/>
      <dgm:spPr/>
    </dgm:pt>
    <dgm:pt modelId="{0A172065-1D3F-4C83-BD65-6F6FD798EA6C}">
      <dgm:prSet/>
      <dgm:spPr/>
      <dgm:t>
        <a:bodyPr/>
        <a:lstStyle/>
        <a:p>
          <a:pPr marR="0" algn="ctr" rtl="0"/>
          <a:r>
            <a:rPr lang="en-US" b="0" i="0" u="none" strike="noStrike" baseline="0">
              <a:latin typeface="Calibri"/>
            </a:rPr>
            <a:t>John Doe Trust</a:t>
          </a:r>
        </a:p>
        <a:p>
          <a:pPr marR="0" algn="ctr" rtl="0"/>
          <a:r>
            <a:rPr lang="en-US" b="0" i="0" u="none" strike="noStrike" baseline="0">
              <a:latin typeface="Calibri"/>
            </a:rPr>
            <a:t>Optimal Basis </a:t>
          </a:r>
        </a:p>
        <a:p>
          <a:pPr marR="0" algn="ctr" rtl="0"/>
          <a:r>
            <a:rPr lang="en-US" b="0" i="0" u="none" strike="noStrike" baseline="0">
              <a:latin typeface="Calibri"/>
            </a:rPr>
            <a:t>Increase Trust</a:t>
          </a:r>
          <a:endParaRPr lang="en-US"/>
        </a:p>
      </dgm:t>
    </dgm:pt>
    <dgm:pt modelId="{E7253582-8EA2-4B2D-B9D8-DCBAFA15FA1D}" type="parTrans" cxnId="{6F51B108-A84A-4F53-AC3F-E3B1656AC6AD}">
      <dgm:prSet/>
      <dgm:spPr/>
      <dgm:t>
        <a:bodyPr/>
        <a:lstStyle/>
        <a:p>
          <a:endParaRPr lang="en-US"/>
        </a:p>
      </dgm:t>
    </dgm:pt>
    <dgm:pt modelId="{21E7D98E-A65E-4404-9487-B8CF9BFE8D65}" type="sibTrans" cxnId="{6F51B108-A84A-4F53-AC3F-E3B1656AC6AD}">
      <dgm:prSet/>
      <dgm:spPr/>
      <dgm:t>
        <a:bodyPr/>
        <a:lstStyle/>
        <a:p>
          <a:endParaRPr lang="en-US"/>
        </a:p>
      </dgm:t>
    </dgm:pt>
    <dgm:pt modelId="{8F439464-5293-4CF5-A676-CFE856942DE4}">
      <dgm:prSet/>
      <dgm:spPr/>
      <dgm:t>
        <a:bodyPr/>
        <a:lstStyle/>
        <a:p>
          <a:pPr marR="0" algn="ctr" rtl="0"/>
          <a:r>
            <a:rPr lang="en-US" b="0" i="0" u="none" strike="noStrike" baseline="0">
              <a:latin typeface="Calibri"/>
            </a:rPr>
            <a:t>John Doe OBIT </a:t>
          </a:r>
        </a:p>
        <a:p>
          <a:pPr marR="0" algn="ctr" rtl="0"/>
          <a:r>
            <a:rPr lang="en-US" b="0" i="0" u="none" strike="noStrike" baseline="0">
              <a:latin typeface="Calibri"/>
            </a:rPr>
            <a:t>Fbo Spouse (&amp; children?) </a:t>
          </a:r>
        </a:p>
        <a:p>
          <a:pPr marR="0" algn="ctr" rtl="0"/>
          <a:r>
            <a:rPr lang="en-US" b="0" i="0" u="none" strike="noStrike" baseline="0">
              <a:latin typeface="Calibri"/>
            </a:rPr>
            <a:t> &lt; $5.25mm (or basic exclusion amount)</a:t>
          </a:r>
          <a:endParaRPr lang="en-US"/>
        </a:p>
      </dgm:t>
    </dgm:pt>
    <dgm:pt modelId="{167EEC95-F4B0-498B-8A1C-77F184E12C36}" type="parTrans" cxnId="{11753E0E-C1C6-4EAE-A426-72CEBA7336EA}">
      <dgm:prSet/>
      <dgm:spPr/>
      <dgm:t>
        <a:bodyPr/>
        <a:lstStyle/>
        <a:p>
          <a:endParaRPr lang="en-US"/>
        </a:p>
      </dgm:t>
    </dgm:pt>
    <dgm:pt modelId="{616A46D9-B517-46D8-B642-687DCDFF837A}" type="sibTrans" cxnId="{11753E0E-C1C6-4EAE-A426-72CEBA7336EA}">
      <dgm:prSet/>
      <dgm:spPr/>
      <dgm:t>
        <a:bodyPr/>
        <a:lstStyle/>
        <a:p>
          <a:endParaRPr lang="en-US"/>
        </a:p>
      </dgm:t>
    </dgm:pt>
    <dgm:pt modelId="{7358B1B5-E5B2-445A-8FAA-78153351B8F2}">
      <dgm:prSet/>
      <dgm:spPr/>
      <dgm:t>
        <a:bodyPr/>
        <a:lstStyle/>
        <a:p>
          <a:pPr marR="0" algn="ctr" rtl="0"/>
          <a:r>
            <a:rPr lang="en-US" b="0" i="0" u="none" strike="noStrike" baseline="0">
              <a:latin typeface="Calibri"/>
            </a:rPr>
            <a:t>Trust for child(ren)</a:t>
          </a:r>
        </a:p>
        <a:p>
          <a:pPr marR="0" algn="ctr" rtl="0"/>
          <a:r>
            <a:rPr lang="en-US" b="0" i="0" u="none" strike="noStrike" baseline="0">
              <a:latin typeface="Calibri"/>
            </a:rPr>
            <a:t>Step up in basis for assets w/basis &lt; FMV</a:t>
          </a:r>
        </a:p>
        <a:p>
          <a:pPr marR="0" algn="ctr" rtl="0"/>
          <a:r>
            <a:rPr lang="en-US" b="0" i="0" u="none" strike="noStrike" baseline="0">
              <a:latin typeface="Calibri"/>
            </a:rPr>
            <a:t>(up to spouse’s AEA)</a:t>
          </a:r>
          <a:endParaRPr lang="en-US"/>
        </a:p>
      </dgm:t>
    </dgm:pt>
    <dgm:pt modelId="{1D946A85-347C-4EC2-AFA3-EFFD17D34658}" type="parTrans" cxnId="{F9088906-A60C-4F51-8E7F-636E19C3AD3E}">
      <dgm:prSet/>
      <dgm:spPr/>
      <dgm:t>
        <a:bodyPr/>
        <a:lstStyle/>
        <a:p>
          <a:endParaRPr lang="en-US"/>
        </a:p>
      </dgm:t>
    </dgm:pt>
    <dgm:pt modelId="{89BFB9F9-C280-4532-A826-6F699395377E}" type="sibTrans" cxnId="{F9088906-A60C-4F51-8E7F-636E19C3AD3E}">
      <dgm:prSet/>
      <dgm:spPr/>
      <dgm:t>
        <a:bodyPr/>
        <a:lstStyle/>
        <a:p>
          <a:endParaRPr lang="en-US"/>
        </a:p>
      </dgm:t>
    </dgm:pt>
    <dgm:pt modelId="{AA33EFB4-9B56-472E-988D-F1B0241F1953}">
      <dgm:prSet/>
      <dgm:spPr/>
      <dgm:t>
        <a:bodyPr/>
        <a:lstStyle/>
        <a:p>
          <a:pPr marR="0" algn="ctr" rtl="0"/>
          <a:r>
            <a:rPr lang="en-US" b="0" i="0" u="none" strike="noStrike" baseline="0">
              <a:latin typeface="Calibri"/>
            </a:rPr>
            <a:t>Trust for children</a:t>
          </a:r>
        </a:p>
        <a:p>
          <a:pPr marR="0" algn="ctr" rtl="0"/>
          <a:r>
            <a:rPr lang="en-US" b="0" i="0" u="none" strike="noStrike" baseline="0">
              <a:latin typeface="Calibri"/>
            </a:rPr>
            <a:t>No change in basis (IRD, assets w/</a:t>
          </a:r>
        </a:p>
        <a:p>
          <a:pPr marR="0" algn="ctr" rtl="0"/>
          <a:r>
            <a:rPr lang="en-US" b="0" i="0" u="none" strike="noStrike" baseline="0">
              <a:latin typeface="Calibri"/>
            </a:rPr>
            <a:t>Basis =&gt; FMV)</a:t>
          </a:r>
          <a:endParaRPr lang="en-US"/>
        </a:p>
      </dgm:t>
    </dgm:pt>
    <dgm:pt modelId="{48BBECDD-73A8-488F-A0D3-5D53D1242E2F}" type="parTrans" cxnId="{27524527-C8C2-41A5-8B1D-C9560B546324}">
      <dgm:prSet/>
      <dgm:spPr/>
      <dgm:t>
        <a:bodyPr/>
        <a:lstStyle/>
        <a:p>
          <a:endParaRPr lang="en-US"/>
        </a:p>
      </dgm:t>
    </dgm:pt>
    <dgm:pt modelId="{19C8CF1A-0901-4976-99E6-E1BC1B1487D7}" type="sibTrans" cxnId="{27524527-C8C2-41A5-8B1D-C9560B546324}">
      <dgm:prSet/>
      <dgm:spPr/>
      <dgm:t>
        <a:bodyPr/>
        <a:lstStyle/>
        <a:p>
          <a:endParaRPr lang="en-US"/>
        </a:p>
      </dgm:t>
    </dgm:pt>
    <dgm:pt modelId="{5A6505BC-706C-46AA-8EC0-35B74A673BE0}">
      <dgm:prSet/>
      <dgm:spPr/>
      <dgm:t>
        <a:bodyPr/>
        <a:lstStyle/>
        <a:p>
          <a:pPr marR="0" algn="ctr" rtl="0"/>
          <a:r>
            <a:rPr lang="en-US" b="0" i="0" u="none" strike="noStrike" baseline="0">
              <a:latin typeface="Calibri"/>
            </a:rPr>
            <a:t>John Doe Marital Trust </a:t>
          </a:r>
        </a:p>
        <a:p>
          <a:pPr marR="0" algn="ctr" rtl="0"/>
          <a:r>
            <a:rPr lang="en-US" b="0" i="0" u="none" strike="noStrike" baseline="0">
              <a:latin typeface="Calibri"/>
            </a:rPr>
            <a:t>Fbo spouse only,  </a:t>
          </a:r>
        </a:p>
        <a:p>
          <a:pPr marR="0" algn="ctr" rtl="0"/>
          <a:r>
            <a:rPr lang="en-US" b="0" i="0" u="none" strike="noStrike" baseline="0">
              <a:latin typeface="Calibri"/>
            </a:rPr>
            <a:t>&gt; $5.25mm (or basic exclusion amount)</a:t>
          </a:r>
          <a:endParaRPr lang="en-US"/>
        </a:p>
      </dgm:t>
    </dgm:pt>
    <dgm:pt modelId="{EC9170D6-CCA4-4D3D-B231-3A82E3952739}" type="parTrans" cxnId="{2F948F34-8541-49A8-9A14-BCE53A3A6737}">
      <dgm:prSet/>
      <dgm:spPr/>
      <dgm:t>
        <a:bodyPr/>
        <a:lstStyle/>
        <a:p>
          <a:endParaRPr lang="en-US"/>
        </a:p>
      </dgm:t>
    </dgm:pt>
    <dgm:pt modelId="{634582FA-E192-4EBF-B67B-8F13EC6C17E6}" type="sibTrans" cxnId="{2F948F34-8541-49A8-9A14-BCE53A3A6737}">
      <dgm:prSet/>
      <dgm:spPr/>
      <dgm:t>
        <a:bodyPr/>
        <a:lstStyle/>
        <a:p>
          <a:endParaRPr lang="en-US"/>
        </a:p>
      </dgm:t>
    </dgm:pt>
    <dgm:pt modelId="{29A8DD53-EFCE-4EB1-9BF9-BBBF2D5A9110}">
      <dgm:prSet/>
      <dgm:spPr/>
      <dgm:t>
        <a:bodyPr/>
        <a:lstStyle/>
        <a:p>
          <a:pPr marR="0" algn="ctr" rtl="0"/>
          <a:r>
            <a:rPr lang="en-US" b="0" i="0" u="none" strike="noStrike" baseline="0">
              <a:latin typeface="Calibri"/>
            </a:rPr>
            <a:t>Trust for children</a:t>
          </a:r>
        </a:p>
        <a:p>
          <a:pPr marR="0" algn="ctr" rtl="0"/>
          <a:r>
            <a:rPr lang="en-US" b="0" i="0" u="none" strike="noStrike" baseline="0">
              <a:latin typeface="Calibri"/>
            </a:rPr>
            <a:t>All new basis</a:t>
          </a:r>
        </a:p>
        <a:p>
          <a:pPr marR="0" algn="ctr" rtl="0"/>
          <a:r>
            <a:rPr lang="en-US" b="0" i="0" u="none" strike="noStrike" baseline="0">
              <a:latin typeface="Calibri"/>
            </a:rPr>
            <a:t>(including step down)</a:t>
          </a:r>
          <a:endParaRPr lang="en-US"/>
        </a:p>
      </dgm:t>
    </dgm:pt>
    <dgm:pt modelId="{78178930-517C-4B34-BB94-4816E44FA4C6}" type="parTrans" cxnId="{DA3854A9-EFE5-4376-9498-983E8C59DD8D}">
      <dgm:prSet/>
      <dgm:spPr/>
      <dgm:t>
        <a:bodyPr/>
        <a:lstStyle/>
        <a:p>
          <a:endParaRPr lang="en-US"/>
        </a:p>
      </dgm:t>
    </dgm:pt>
    <dgm:pt modelId="{9E9FFA08-17AF-4816-B48A-6FE60E0541C8}" type="sibTrans" cxnId="{DA3854A9-EFE5-4376-9498-983E8C59DD8D}">
      <dgm:prSet/>
      <dgm:spPr/>
      <dgm:t>
        <a:bodyPr/>
        <a:lstStyle/>
        <a:p>
          <a:endParaRPr lang="en-US"/>
        </a:p>
      </dgm:t>
    </dgm:pt>
    <dgm:pt modelId="{213D7980-796E-4D7C-8CE0-7EA40BF0B953}" type="pres">
      <dgm:prSet presAssocID="{9B8A535D-D159-4C4C-803F-FBF51E5F9A86}" presName="hierChild1" presStyleCnt="0">
        <dgm:presLayoutVars>
          <dgm:orgChart val="1"/>
          <dgm:chPref val="1"/>
          <dgm:dir/>
          <dgm:animOne val="branch"/>
          <dgm:animLvl val="lvl"/>
          <dgm:resizeHandles/>
        </dgm:presLayoutVars>
      </dgm:prSet>
      <dgm:spPr/>
    </dgm:pt>
    <dgm:pt modelId="{4BFBA0C7-7698-4AC3-884D-1AF7E0243208}" type="pres">
      <dgm:prSet presAssocID="{0A172065-1D3F-4C83-BD65-6F6FD798EA6C}" presName="hierRoot1" presStyleCnt="0">
        <dgm:presLayoutVars>
          <dgm:hierBranch/>
        </dgm:presLayoutVars>
      </dgm:prSet>
      <dgm:spPr/>
    </dgm:pt>
    <dgm:pt modelId="{CB24F788-0A6E-46BA-8046-C7EAEAA831D9}" type="pres">
      <dgm:prSet presAssocID="{0A172065-1D3F-4C83-BD65-6F6FD798EA6C}" presName="rootComposite1" presStyleCnt="0"/>
      <dgm:spPr/>
    </dgm:pt>
    <dgm:pt modelId="{B80AACE0-C72F-4FC8-993E-EB6484934145}" type="pres">
      <dgm:prSet presAssocID="{0A172065-1D3F-4C83-BD65-6F6FD798EA6C}" presName="rootText1" presStyleLbl="node0" presStyleIdx="0" presStyleCnt="1">
        <dgm:presLayoutVars>
          <dgm:chPref val="3"/>
        </dgm:presLayoutVars>
      </dgm:prSet>
      <dgm:spPr/>
    </dgm:pt>
    <dgm:pt modelId="{74FC59FA-DB3B-4955-9717-9A992B3A776E}" type="pres">
      <dgm:prSet presAssocID="{0A172065-1D3F-4C83-BD65-6F6FD798EA6C}" presName="rootConnector1" presStyleLbl="node1" presStyleIdx="0" presStyleCnt="0"/>
      <dgm:spPr/>
    </dgm:pt>
    <dgm:pt modelId="{A14F3236-6CB5-4798-9CA9-0249C283FCAF}" type="pres">
      <dgm:prSet presAssocID="{0A172065-1D3F-4C83-BD65-6F6FD798EA6C}" presName="hierChild2" presStyleCnt="0"/>
      <dgm:spPr/>
    </dgm:pt>
    <dgm:pt modelId="{DC38CCDC-9E2B-4691-8687-3C0C17A9EE10}" type="pres">
      <dgm:prSet presAssocID="{167EEC95-F4B0-498B-8A1C-77F184E12C36}" presName="Name35" presStyleLbl="parChTrans1D2" presStyleIdx="0" presStyleCnt="2"/>
      <dgm:spPr/>
    </dgm:pt>
    <dgm:pt modelId="{26F319A6-05FF-4910-B024-4CCA006A2691}" type="pres">
      <dgm:prSet presAssocID="{8F439464-5293-4CF5-A676-CFE856942DE4}" presName="hierRoot2" presStyleCnt="0">
        <dgm:presLayoutVars>
          <dgm:hierBranch/>
        </dgm:presLayoutVars>
      </dgm:prSet>
      <dgm:spPr/>
    </dgm:pt>
    <dgm:pt modelId="{898AFDCD-9DFC-45C4-9B38-65DE26D98749}" type="pres">
      <dgm:prSet presAssocID="{8F439464-5293-4CF5-A676-CFE856942DE4}" presName="rootComposite" presStyleCnt="0"/>
      <dgm:spPr/>
    </dgm:pt>
    <dgm:pt modelId="{30AB1008-D56B-4B48-A070-A40D50B5D509}" type="pres">
      <dgm:prSet presAssocID="{8F439464-5293-4CF5-A676-CFE856942DE4}" presName="rootText" presStyleLbl="node2" presStyleIdx="0" presStyleCnt="2">
        <dgm:presLayoutVars>
          <dgm:chPref val="3"/>
        </dgm:presLayoutVars>
      </dgm:prSet>
      <dgm:spPr/>
    </dgm:pt>
    <dgm:pt modelId="{DEE78207-4AC6-4514-90B3-F5F4C2C42D3E}" type="pres">
      <dgm:prSet presAssocID="{8F439464-5293-4CF5-A676-CFE856942DE4}" presName="rootConnector" presStyleLbl="node2" presStyleIdx="0" presStyleCnt="2"/>
      <dgm:spPr/>
    </dgm:pt>
    <dgm:pt modelId="{4CE9B4E7-BB85-4F7B-A6FD-433F3349EB37}" type="pres">
      <dgm:prSet presAssocID="{8F439464-5293-4CF5-A676-CFE856942DE4}" presName="hierChild4" presStyleCnt="0"/>
      <dgm:spPr/>
    </dgm:pt>
    <dgm:pt modelId="{F1A49376-37E3-4EA5-BB28-56F9A460E351}" type="pres">
      <dgm:prSet presAssocID="{1D946A85-347C-4EC2-AFA3-EFFD17D34658}" presName="Name35" presStyleLbl="parChTrans1D3" presStyleIdx="0" presStyleCnt="3"/>
      <dgm:spPr/>
    </dgm:pt>
    <dgm:pt modelId="{718B2D42-5169-4090-8787-EFB8848B019E}" type="pres">
      <dgm:prSet presAssocID="{7358B1B5-E5B2-445A-8FAA-78153351B8F2}" presName="hierRoot2" presStyleCnt="0">
        <dgm:presLayoutVars>
          <dgm:hierBranch val="r"/>
        </dgm:presLayoutVars>
      </dgm:prSet>
      <dgm:spPr/>
    </dgm:pt>
    <dgm:pt modelId="{B7240744-ACB9-4882-A0F0-92CC14C81C67}" type="pres">
      <dgm:prSet presAssocID="{7358B1B5-E5B2-445A-8FAA-78153351B8F2}" presName="rootComposite" presStyleCnt="0"/>
      <dgm:spPr/>
    </dgm:pt>
    <dgm:pt modelId="{949FEC48-C0E0-4636-B460-997619830F1C}" type="pres">
      <dgm:prSet presAssocID="{7358B1B5-E5B2-445A-8FAA-78153351B8F2}" presName="rootText" presStyleLbl="node3" presStyleIdx="0" presStyleCnt="3">
        <dgm:presLayoutVars>
          <dgm:chPref val="3"/>
        </dgm:presLayoutVars>
      </dgm:prSet>
      <dgm:spPr/>
    </dgm:pt>
    <dgm:pt modelId="{8C3BE7FB-FE47-4E7E-8169-D17E8E116CCD}" type="pres">
      <dgm:prSet presAssocID="{7358B1B5-E5B2-445A-8FAA-78153351B8F2}" presName="rootConnector" presStyleLbl="node3" presStyleIdx="0" presStyleCnt="3"/>
      <dgm:spPr/>
    </dgm:pt>
    <dgm:pt modelId="{FFE8524B-DE88-4945-9FA1-B5DDF0259080}" type="pres">
      <dgm:prSet presAssocID="{7358B1B5-E5B2-445A-8FAA-78153351B8F2}" presName="hierChild4" presStyleCnt="0"/>
      <dgm:spPr/>
    </dgm:pt>
    <dgm:pt modelId="{2B8A65FA-E04A-457B-960B-3371E3A89E76}" type="pres">
      <dgm:prSet presAssocID="{7358B1B5-E5B2-445A-8FAA-78153351B8F2}" presName="hierChild5" presStyleCnt="0"/>
      <dgm:spPr/>
    </dgm:pt>
    <dgm:pt modelId="{0F82AF39-19CF-4BDD-B49B-5920BF753280}" type="pres">
      <dgm:prSet presAssocID="{48BBECDD-73A8-488F-A0D3-5D53D1242E2F}" presName="Name35" presStyleLbl="parChTrans1D3" presStyleIdx="1" presStyleCnt="3"/>
      <dgm:spPr/>
    </dgm:pt>
    <dgm:pt modelId="{167BDF4C-CEE8-43A6-BF10-FA7076110BF2}" type="pres">
      <dgm:prSet presAssocID="{AA33EFB4-9B56-472E-988D-F1B0241F1953}" presName="hierRoot2" presStyleCnt="0">
        <dgm:presLayoutVars>
          <dgm:hierBranch val="r"/>
        </dgm:presLayoutVars>
      </dgm:prSet>
      <dgm:spPr/>
    </dgm:pt>
    <dgm:pt modelId="{18477819-03A5-41E6-9D93-65B15ACE7E96}" type="pres">
      <dgm:prSet presAssocID="{AA33EFB4-9B56-472E-988D-F1B0241F1953}" presName="rootComposite" presStyleCnt="0"/>
      <dgm:spPr/>
    </dgm:pt>
    <dgm:pt modelId="{6E43A17C-0897-4F92-ABA1-19C91B26CDD3}" type="pres">
      <dgm:prSet presAssocID="{AA33EFB4-9B56-472E-988D-F1B0241F1953}" presName="rootText" presStyleLbl="node3" presStyleIdx="1" presStyleCnt="3">
        <dgm:presLayoutVars>
          <dgm:chPref val="3"/>
        </dgm:presLayoutVars>
      </dgm:prSet>
      <dgm:spPr/>
    </dgm:pt>
    <dgm:pt modelId="{A746D5BB-5EE5-4A19-8879-844938D27AEB}" type="pres">
      <dgm:prSet presAssocID="{AA33EFB4-9B56-472E-988D-F1B0241F1953}" presName="rootConnector" presStyleLbl="node3" presStyleIdx="1" presStyleCnt="3"/>
      <dgm:spPr/>
    </dgm:pt>
    <dgm:pt modelId="{468CD961-B910-4364-A274-A444B910567B}" type="pres">
      <dgm:prSet presAssocID="{AA33EFB4-9B56-472E-988D-F1B0241F1953}" presName="hierChild4" presStyleCnt="0"/>
      <dgm:spPr/>
    </dgm:pt>
    <dgm:pt modelId="{465FDC10-BC6A-455F-9214-30F5D215C092}" type="pres">
      <dgm:prSet presAssocID="{AA33EFB4-9B56-472E-988D-F1B0241F1953}" presName="hierChild5" presStyleCnt="0"/>
      <dgm:spPr/>
    </dgm:pt>
    <dgm:pt modelId="{1E99608D-133E-4990-804D-6CB5E6FC8CD0}" type="pres">
      <dgm:prSet presAssocID="{8F439464-5293-4CF5-A676-CFE856942DE4}" presName="hierChild5" presStyleCnt="0"/>
      <dgm:spPr/>
    </dgm:pt>
    <dgm:pt modelId="{7562A942-6EE7-421D-AB27-5A6C468F835F}" type="pres">
      <dgm:prSet presAssocID="{EC9170D6-CCA4-4D3D-B231-3A82E3952739}" presName="Name35" presStyleLbl="parChTrans1D2" presStyleIdx="1" presStyleCnt="2"/>
      <dgm:spPr/>
    </dgm:pt>
    <dgm:pt modelId="{6AAEA018-AE9B-4983-9A91-EF188D115530}" type="pres">
      <dgm:prSet presAssocID="{5A6505BC-706C-46AA-8EC0-35B74A673BE0}" presName="hierRoot2" presStyleCnt="0">
        <dgm:presLayoutVars>
          <dgm:hierBranch/>
        </dgm:presLayoutVars>
      </dgm:prSet>
      <dgm:spPr/>
    </dgm:pt>
    <dgm:pt modelId="{64D44EDB-0CBF-4D60-BA85-BBC77BF057BE}" type="pres">
      <dgm:prSet presAssocID="{5A6505BC-706C-46AA-8EC0-35B74A673BE0}" presName="rootComposite" presStyleCnt="0"/>
      <dgm:spPr/>
    </dgm:pt>
    <dgm:pt modelId="{9243CBF4-C142-43AB-9341-C67CB38A0F2C}" type="pres">
      <dgm:prSet presAssocID="{5A6505BC-706C-46AA-8EC0-35B74A673BE0}" presName="rootText" presStyleLbl="node2" presStyleIdx="1" presStyleCnt="2">
        <dgm:presLayoutVars>
          <dgm:chPref val="3"/>
        </dgm:presLayoutVars>
      </dgm:prSet>
      <dgm:spPr/>
    </dgm:pt>
    <dgm:pt modelId="{222697FA-257C-44C1-B3FD-5EF9738C2963}" type="pres">
      <dgm:prSet presAssocID="{5A6505BC-706C-46AA-8EC0-35B74A673BE0}" presName="rootConnector" presStyleLbl="node2" presStyleIdx="1" presStyleCnt="2"/>
      <dgm:spPr/>
    </dgm:pt>
    <dgm:pt modelId="{64676341-81E2-4733-81F3-979983446045}" type="pres">
      <dgm:prSet presAssocID="{5A6505BC-706C-46AA-8EC0-35B74A673BE0}" presName="hierChild4" presStyleCnt="0"/>
      <dgm:spPr/>
    </dgm:pt>
    <dgm:pt modelId="{C1C00F8D-5B3B-4E41-805F-AFAAD00FDFFA}" type="pres">
      <dgm:prSet presAssocID="{78178930-517C-4B34-BB94-4816E44FA4C6}" presName="Name35" presStyleLbl="parChTrans1D3" presStyleIdx="2" presStyleCnt="3"/>
      <dgm:spPr/>
    </dgm:pt>
    <dgm:pt modelId="{69F15941-481E-454D-898B-197D82EE4D50}" type="pres">
      <dgm:prSet presAssocID="{29A8DD53-EFCE-4EB1-9BF9-BBBF2D5A9110}" presName="hierRoot2" presStyleCnt="0">
        <dgm:presLayoutVars>
          <dgm:hierBranch val="r"/>
        </dgm:presLayoutVars>
      </dgm:prSet>
      <dgm:spPr/>
    </dgm:pt>
    <dgm:pt modelId="{CF5C2E4A-F8B7-4D89-8F58-2E7881686247}" type="pres">
      <dgm:prSet presAssocID="{29A8DD53-EFCE-4EB1-9BF9-BBBF2D5A9110}" presName="rootComposite" presStyleCnt="0"/>
      <dgm:spPr/>
    </dgm:pt>
    <dgm:pt modelId="{6FD9AA74-8AA1-4A5E-BBF6-729657ECD7AC}" type="pres">
      <dgm:prSet presAssocID="{29A8DD53-EFCE-4EB1-9BF9-BBBF2D5A9110}" presName="rootText" presStyleLbl="node3" presStyleIdx="2" presStyleCnt="3">
        <dgm:presLayoutVars>
          <dgm:chPref val="3"/>
        </dgm:presLayoutVars>
      </dgm:prSet>
      <dgm:spPr/>
    </dgm:pt>
    <dgm:pt modelId="{6AD9ABFD-CDFB-45F6-8FC6-F7913FAC4555}" type="pres">
      <dgm:prSet presAssocID="{29A8DD53-EFCE-4EB1-9BF9-BBBF2D5A9110}" presName="rootConnector" presStyleLbl="node3" presStyleIdx="2" presStyleCnt="3"/>
      <dgm:spPr/>
    </dgm:pt>
    <dgm:pt modelId="{3153FCA9-EB29-4B5A-9BD7-77A9E232E74C}" type="pres">
      <dgm:prSet presAssocID="{29A8DD53-EFCE-4EB1-9BF9-BBBF2D5A9110}" presName="hierChild4" presStyleCnt="0"/>
      <dgm:spPr/>
    </dgm:pt>
    <dgm:pt modelId="{FB2F2ECB-648C-4F38-AC80-C3AE1BE4AE1C}" type="pres">
      <dgm:prSet presAssocID="{29A8DD53-EFCE-4EB1-9BF9-BBBF2D5A9110}" presName="hierChild5" presStyleCnt="0"/>
      <dgm:spPr/>
    </dgm:pt>
    <dgm:pt modelId="{8F6160BC-35E1-41A9-918E-C3ED5F8D716C}" type="pres">
      <dgm:prSet presAssocID="{5A6505BC-706C-46AA-8EC0-35B74A673BE0}" presName="hierChild5" presStyleCnt="0"/>
      <dgm:spPr/>
    </dgm:pt>
    <dgm:pt modelId="{DBDE76C7-1BDF-46AC-8CAA-8A370F48774A}" type="pres">
      <dgm:prSet presAssocID="{0A172065-1D3F-4C83-BD65-6F6FD798EA6C}" presName="hierChild3" presStyleCnt="0"/>
      <dgm:spPr/>
    </dgm:pt>
  </dgm:ptLst>
  <dgm:cxnLst>
    <dgm:cxn modelId="{F9088906-A60C-4F51-8E7F-636E19C3AD3E}" srcId="{8F439464-5293-4CF5-A676-CFE856942DE4}" destId="{7358B1B5-E5B2-445A-8FAA-78153351B8F2}" srcOrd="0" destOrd="0" parTransId="{1D946A85-347C-4EC2-AFA3-EFFD17D34658}" sibTransId="{89BFB9F9-C280-4532-A826-6F699395377E}"/>
    <dgm:cxn modelId="{6F51B108-A84A-4F53-AC3F-E3B1656AC6AD}" srcId="{9B8A535D-D159-4C4C-803F-FBF51E5F9A86}" destId="{0A172065-1D3F-4C83-BD65-6F6FD798EA6C}" srcOrd="0" destOrd="0" parTransId="{E7253582-8EA2-4B2D-B9D8-DCBAFA15FA1D}" sibTransId="{21E7D98E-A65E-4404-9487-B8CF9BFE8D65}"/>
    <dgm:cxn modelId="{11753E0E-C1C6-4EAE-A426-72CEBA7336EA}" srcId="{0A172065-1D3F-4C83-BD65-6F6FD798EA6C}" destId="{8F439464-5293-4CF5-A676-CFE856942DE4}" srcOrd="0" destOrd="0" parTransId="{167EEC95-F4B0-498B-8A1C-77F184E12C36}" sibTransId="{616A46D9-B517-46D8-B642-687DCDFF837A}"/>
    <dgm:cxn modelId="{ADC3FD10-1BD5-415B-9B58-CF2E62A4D7D3}" type="presOf" srcId="{167EEC95-F4B0-498B-8A1C-77F184E12C36}" destId="{DC38CCDC-9E2B-4691-8687-3C0C17A9EE10}" srcOrd="0" destOrd="0" presId="urn:microsoft.com/office/officeart/2005/8/layout/orgChart1"/>
    <dgm:cxn modelId="{27524527-C8C2-41A5-8B1D-C9560B546324}" srcId="{8F439464-5293-4CF5-A676-CFE856942DE4}" destId="{AA33EFB4-9B56-472E-988D-F1B0241F1953}" srcOrd="1" destOrd="0" parTransId="{48BBECDD-73A8-488F-A0D3-5D53D1242E2F}" sibTransId="{19C8CF1A-0901-4976-99E6-E1BC1B1487D7}"/>
    <dgm:cxn modelId="{0766A42F-A4BC-4CC8-AA1B-2004989F3FAF}" type="presOf" srcId="{1D946A85-347C-4EC2-AFA3-EFFD17D34658}" destId="{F1A49376-37E3-4EA5-BB28-56F9A460E351}" srcOrd="0" destOrd="0" presId="urn:microsoft.com/office/officeart/2005/8/layout/orgChart1"/>
    <dgm:cxn modelId="{2F948F34-8541-49A8-9A14-BCE53A3A6737}" srcId="{0A172065-1D3F-4C83-BD65-6F6FD798EA6C}" destId="{5A6505BC-706C-46AA-8EC0-35B74A673BE0}" srcOrd="1" destOrd="0" parTransId="{EC9170D6-CCA4-4D3D-B231-3A82E3952739}" sibTransId="{634582FA-E192-4EBF-B67B-8F13EC6C17E6}"/>
    <dgm:cxn modelId="{1DC1E035-663D-44D3-A058-DCC4ECCB98F7}" type="presOf" srcId="{48BBECDD-73A8-488F-A0D3-5D53D1242E2F}" destId="{0F82AF39-19CF-4BDD-B49B-5920BF753280}" srcOrd="0" destOrd="0" presId="urn:microsoft.com/office/officeart/2005/8/layout/orgChart1"/>
    <dgm:cxn modelId="{5084F745-CEA8-408D-A0CC-129937BA70D9}" type="presOf" srcId="{0A172065-1D3F-4C83-BD65-6F6FD798EA6C}" destId="{74FC59FA-DB3B-4955-9717-9A992B3A776E}" srcOrd="1" destOrd="0" presId="urn:microsoft.com/office/officeart/2005/8/layout/orgChart1"/>
    <dgm:cxn modelId="{DBBEB346-8D56-4C8F-A556-B5273CCCE7D3}" type="presOf" srcId="{78178930-517C-4B34-BB94-4816E44FA4C6}" destId="{C1C00F8D-5B3B-4E41-805F-AFAAD00FDFFA}" srcOrd="0" destOrd="0" presId="urn:microsoft.com/office/officeart/2005/8/layout/orgChart1"/>
    <dgm:cxn modelId="{7F346D67-F9F5-46AA-B084-1177AC25C6EA}" type="presOf" srcId="{8F439464-5293-4CF5-A676-CFE856942DE4}" destId="{30AB1008-D56B-4B48-A070-A40D50B5D509}" srcOrd="0" destOrd="0" presId="urn:microsoft.com/office/officeart/2005/8/layout/orgChart1"/>
    <dgm:cxn modelId="{4314F847-4889-4482-ABE9-2BE43FEB896F}" type="presOf" srcId="{7358B1B5-E5B2-445A-8FAA-78153351B8F2}" destId="{949FEC48-C0E0-4636-B460-997619830F1C}" srcOrd="0" destOrd="0" presId="urn:microsoft.com/office/officeart/2005/8/layout/orgChart1"/>
    <dgm:cxn modelId="{DB18B977-7963-4284-AC47-D0A120C054F8}" type="presOf" srcId="{AA33EFB4-9B56-472E-988D-F1B0241F1953}" destId="{A746D5BB-5EE5-4A19-8879-844938D27AEB}" srcOrd="1" destOrd="0" presId="urn:microsoft.com/office/officeart/2005/8/layout/orgChart1"/>
    <dgm:cxn modelId="{865F4259-00A2-4491-92F8-51AC07C53F86}" type="presOf" srcId="{9B8A535D-D159-4C4C-803F-FBF51E5F9A86}" destId="{213D7980-796E-4D7C-8CE0-7EA40BF0B953}" srcOrd="0" destOrd="0" presId="urn:microsoft.com/office/officeart/2005/8/layout/orgChart1"/>
    <dgm:cxn modelId="{7BB2387E-13E2-4D91-AE13-2DDD41E0A5B2}" type="presOf" srcId="{AA33EFB4-9B56-472E-988D-F1B0241F1953}" destId="{6E43A17C-0897-4F92-ABA1-19C91B26CDD3}" srcOrd="0" destOrd="0" presId="urn:microsoft.com/office/officeart/2005/8/layout/orgChart1"/>
    <dgm:cxn modelId="{02BC249F-0EAA-4FB0-93AF-91C4E44F9AF0}" type="presOf" srcId="{8F439464-5293-4CF5-A676-CFE856942DE4}" destId="{DEE78207-4AC6-4514-90B3-F5F4C2C42D3E}" srcOrd="1" destOrd="0" presId="urn:microsoft.com/office/officeart/2005/8/layout/orgChart1"/>
    <dgm:cxn modelId="{DA3854A9-EFE5-4376-9498-983E8C59DD8D}" srcId="{5A6505BC-706C-46AA-8EC0-35B74A673BE0}" destId="{29A8DD53-EFCE-4EB1-9BF9-BBBF2D5A9110}" srcOrd="0" destOrd="0" parTransId="{78178930-517C-4B34-BB94-4816E44FA4C6}" sibTransId="{9E9FFA08-17AF-4816-B48A-6FE60E0541C8}"/>
    <dgm:cxn modelId="{268A4CBA-4FA0-4D84-96C5-C6927DF8A1DD}" type="presOf" srcId="{5A6505BC-706C-46AA-8EC0-35B74A673BE0}" destId="{9243CBF4-C142-43AB-9341-C67CB38A0F2C}" srcOrd="0" destOrd="0" presId="urn:microsoft.com/office/officeart/2005/8/layout/orgChart1"/>
    <dgm:cxn modelId="{EC577ABA-431B-49C5-8FE0-1F13A9FBB98A}" type="presOf" srcId="{7358B1B5-E5B2-445A-8FAA-78153351B8F2}" destId="{8C3BE7FB-FE47-4E7E-8169-D17E8E116CCD}" srcOrd="1" destOrd="0" presId="urn:microsoft.com/office/officeart/2005/8/layout/orgChart1"/>
    <dgm:cxn modelId="{C5D08BD2-2F26-44AE-9B67-BEF00DBB68F4}" type="presOf" srcId="{29A8DD53-EFCE-4EB1-9BF9-BBBF2D5A9110}" destId="{6FD9AA74-8AA1-4A5E-BBF6-729657ECD7AC}" srcOrd="0" destOrd="0" presId="urn:microsoft.com/office/officeart/2005/8/layout/orgChart1"/>
    <dgm:cxn modelId="{E1A6D4E9-8D6B-426D-9133-ADE3C31991B0}" type="presOf" srcId="{EC9170D6-CCA4-4D3D-B231-3A82E3952739}" destId="{7562A942-6EE7-421D-AB27-5A6C468F835F}" srcOrd="0" destOrd="0" presId="urn:microsoft.com/office/officeart/2005/8/layout/orgChart1"/>
    <dgm:cxn modelId="{8FFE45EA-090D-4C2E-BF45-B0CA3442C717}" type="presOf" srcId="{5A6505BC-706C-46AA-8EC0-35B74A673BE0}" destId="{222697FA-257C-44C1-B3FD-5EF9738C2963}" srcOrd="1" destOrd="0" presId="urn:microsoft.com/office/officeart/2005/8/layout/orgChart1"/>
    <dgm:cxn modelId="{6A6499F1-7412-4604-8462-ABB8F07EE20E}" type="presOf" srcId="{29A8DD53-EFCE-4EB1-9BF9-BBBF2D5A9110}" destId="{6AD9ABFD-CDFB-45F6-8FC6-F7913FAC4555}" srcOrd="1" destOrd="0" presId="urn:microsoft.com/office/officeart/2005/8/layout/orgChart1"/>
    <dgm:cxn modelId="{C0379EFC-2D7C-4D43-A243-982BA10EFA7C}" type="presOf" srcId="{0A172065-1D3F-4C83-BD65-6F6FD798EA6C}" destId="{B80AACE0-C72F-4FC8-993E-EB6484934145}" srcOrd="0" destOrd="0" presId="urn:microsoft.com/office/officeart/2005/8/layout/orgChart1"/>
    <dgm:cxn modelId="{AF8DFC14-EB65-444C-BDD4-3945A956DB77}" type="presParOf" srcId="{213D7980-796E-4D7C-8CE0-7EA40BF0B953}" destId="{4BFBA0C7-7698-4AC3-884D-1AF7E0243208}" srcOrd="0" destOrd="0" presId="urn:microsoft.com/office/officeart/2005/8/layout/orgChart1"/>
    <dgm:cxn modelId="{18804C67-B621-4913-92C7-83EF337A7F30}" type="presParOf" srcId="{4BFBA0C7-7698-4AC3-884D-1AF7E0243208}" destId="{CB24F788-0A6E-46BA-8046-C7EAEAA831D9}" srcOrd="0" destOrd="0" presId="urn:microsoft.com/office/officeart/2005/8/layout/orgChart1"/>
    <dgm:cxn modelId="{FDD117C4-8D7F-4A6D-8B79-3FE57739D292}" type="presParOf" srcId="{CB24F788-0A6E-46BA-8046-C7EAEAA831D9}" destId="{B80AACE0-C72F-4FC8-993E-EB6484934145}" srcOrd="0" destOrd="0" presId="urn:microsoft.com/office/officeart/2005/8/layout/orgChart1"/>
    <dgm:cxn modelId="{29935533-E2DF-46BE-9ADA-6F71E2B74677}" type="presParOf" srcId="{CB24F788-0A6E-46BA-8046-C7EAEAA831D9}" destId="{74FC59FA-DB3B-4955-9717-9A992B3A776E}" srcOrd="1" destOrd="0" presId="urn:microsoft.com/office/officeart/2005/8/layout/orgChart1"/>
    <dgm:cxn modelId="{7C395962-35BE-4744-96C8-24B02BF4D6B2}" type="presParOf" srcId="{4BFBA0C7-7698-4AC3-884D-1AF7E0243208}" destId="{A14F3236-6CB5-4798-9CA9-0249C283FCAF}" srcOrd="1" destOrd="0" presId="urn:microsoft.com/office/officeart/2005/8/layout/orgChart1"/>
    <dgm:cxn modelId="{6567A96B-56B0-4DFD-B331-6BD7FF13DF10}" type="presParOf" srcId="{A14F3236-6CB5-4798-9CA9-0249C283FCAF}" destId="{DC38CCDC-9E2B-4691-8687-3C0C17A9EE10}" srcOrd="0" destOrd="0" presId="urn:microsoft.com/office/officeart/2005/8/layout/orgChart1"/>
    <dgm:cxn modelId="{21F6E7C4-162E-471C-B46F-B9CB61FF3A46}" type="presParOf" srcId="{A14F3236-6CB5-4798-9CA9-0249C283FCAF}" destId="{26F319A6-05FF-4910-B024-4CCA006A2691}" srcOrd="1" destOrd="0" presId="urn:microsoft.com/office/officeart/2005/8/layout/orgChart1"/>
    <dgm:cxn modelId="{4761657C-EDAA-473F-A776-60C86FE6F39E}" type="presParOf" srcId="{26F319A6-05FF-4910-B024-4CCA006A2691}" destId="{898AFDCD-9DFC-45C4-9B38-65DE26D98749}" srcOrd="0" destOrd="0" presId="urn:microsoft.com/office/officeart/2005/8/layout/orgChart1"/>
    <dgm:cxn modelId="{55F32FE2-04F9-43B5-8250-988441547C8E}" type="presParOf" srcId="{898AFDCD-9DFC-45C4-9B38-65DE26D98749}" destId="{30AB1008-D56B-4B48-A070-A40D50B5D509}" srcOrd="0" destOrd="0" presId="urn:microsoft.com/office/officeart/2005/8/layout/orgChart1"/>
    <dgm:cxn modelId="{5D049E50-165F-4E85-B925-EC25E371F7BC}" type="presParOf" srcId="{898AFDCD-9DFC-45C4-9B38-65DE26D98749}" destId="{DEE78207-4AC6-4514-90B3-F5F4C2C42D3E}" srcOrd="1" destOrd="0" presId="urn:microsoft.com/office/officeart/2005/8/layout/orgChart1"/>
    <dgm:cxn modelId="{23FB6787-3264-4AFD-8621-F27949C32928}" type="presParOf" srcId="{26F319A6-05FF-4910-B024-4CCA006A2691}" destId="{4CE9B4E7-BB85-4F7B-A6FD-433F3349EB37}" srcOrd="1" destOrd="0" presId="urn:microsoft.com/office/officeart/2005/8/layout/orgChart1"/>
    <dgm:cxn modelId="{6982106A-7633-42E3-B0FA-D7F9BF991302}" type="presParOf" srcId="{4CE9B4E7-BB85-4F7B-A6FD-433F3349EB37}" destId="{F1A49376-37E3-4EA5-BB28-56F9A460E351}" srcOrd="0" destOrd="0" presId="urn:microsoft.com/office/officeart/2005/8/layout/orgChart1"/>
    <dgm:cxn modelId="{8ACD629C-2D7A-469B-A42E-928D817E618E}" type="presParOf" srcId="{4CE9B4E7-BB85-4F7B-A6FD-433F3349EB37}" destId="{718B2D42-5169-4090-8787-EFB8848B019E}" srcOrd="1" destOrd="0" presId="urn:microsoft.com/office/officeart/2005/8/layout/orgChart1"/>
    <dgm:cxn modelId="{257CB0C8-9D1E-4479-B25A-76B90AFC41BC}" type="presParOf" srcId="{718B2D42-5169-4090-8787-EFB8848B019E}" destId="{B7240744-ACB9-4882-A0F0-92CC14C81C67}" srcOrd="0" destOrd="0" presId="urn:microsoft.com/office/officeart/2005/8/layout/orgChart1"/>
    <dgm:cxn modelId="{7AF20708-F41C-4FBF-89F7-9EAD227181A0}" type="presParOf" srcId="{B7240744-ACB9-4882-A0F0-92CC14C81C67}" destId="{949FEC48-C0E0-4636-B460-997619830F1C}" srcOrd="0" destOrd="0" presId="urn:microsoft.com/office/officeart/2005/8/layout/orgChart1"/>
    <dgm:cxn modelId="{0229AFEB-8D19-493F-ABA0-06CEB658132B}" type="presParOf" srcId="{B7240744-ACB9-4882-A0F0-92CC14C81C67}" destId="{8C3BE7FB-FE47-4E7E-8169-D17E8E116CCD}" srcOrd="1" destOrd="0" presId="urn:microsoft.com/office/officeart/2005/8/layout/orgChart1"/>
    <dgm:cxn modelId="{FAF99C73-08D6-4041-85FE-7668F8F7DBAD}" type="presParOf" srcId="{718B2D42-5169-4090-8787-EFB8848B019E}" destId="{FFE8524B-DE88-4945-9FA1-B5DDF0259080}" srcOrd="1" destOrd="0" presId="urn:microsoft.com/office/officeart/2005/8/layout/orgChart1"/>
    <dgm:cxn modelId="{E4F65EA4-CAFC-4739-B95E-D13F88B83A6A}" type="presParOf" srcId="{718B2D42-5169-4090-8787-EFB8848B019E}" destId="{2B8A65FA-E04A-457B-960B-3371E3A89E76}" srcOrd="2" destOrd="0" presId="urn:microsoft.com/office/officeart/2005/8/layout/orgChart1"/>
    <dgm:cxn modelId="{A924EF3E-5E1E-4767-9E71-B5F1D66CEE45}" type="presParOf" srcId="{4CE9B4E7-BB85-4F7B-A6FD-433F3349EB37}" destId="{0F82AF39-19CF-4BDD-B49B-5920BF753280}" srcOrd="2" destOrd="0" presId="urn:microsoft.com/office/officeart/2005/8/layout/orgChart1"/>
    <dgm:cxn modelId="{D6007439-4BD7-4918-9F89-F128B867A604}" type="presParOf" srcId="{4CE9B4E7-BB85-4F7B-A6FD-433F3349EB37}" destId="{167BDF4C-CEE8-43A6-BF10-FA7076110BF2}" srcOrd="3" destOrd="0" presId="urn:microsoft.com/office/officeart/2005/8/layout/orgChart1"/>
    <dgm:cxn modelId="{6654F4EC-F1FF-427F-AE17-04942E84DCEB}" type="presParOf" srcId="{167BDF4C-CEE8-43A6-BF10-FA7076110BF2}" destId="{18477819-03A5-41E6-9D93-65B15ACE7E96}" srcOrd="0" destOrd="0" presId="urn:microsoft.com/office/officeart/2005/8/layout/orgChart1"/>
    <dgm:cxn modelId="{7559AB0A-E411-4B32-9782-3FF7B9D5CE98}" type="presParOf" srcId="{18477819-03A5-41E6-9D93-65B15ACE7E96}" destId="{6E43A17C-0897-4F92-ABA1-19C91B26CDD3}" srcOrd="0" destOrd="0" presId="urn:microsoft.com/office/officeart/2005/8/layout/orgChart1"/>
    <dgm:cxn modelId="{B56F4C22-1E27-483A-96FA-53C8E72586CD}" type="presParOf" srcId="{18477819-03A5-41E6-9D93-65B15ACE7E96}" destId="{A746D5BB-5EE5-4A19-8879-844938D27AEB}" srcOrd="1" destOrd="0" presId="urn:microsoft.com/office/officeart/2005/8/layout/orgChart1"/>
    <dgm:cxn modelId="{D49682CC-45AB-4141-A675-53A063627BD4}" type="presParOf" srcId="{167BDF4C-CEE8-43A6-BF10-FA7076110BF2}" destId="{468CD961-B910-4364-A274-A444B910567B}" srcOrd="1" destOrd="0" presId="urn:microsoft.com/office/officeart/2005/8/layout/orgChart1"/>
    <dgm:cxn modelId="{13DCAF97-506E-481D-83C1-7DD488AA2EB2}" type="presParOf" srcId="{167BDF4C-CEE8-43A6-BF10-FA7076110BF2}" destId="{465FDC10-BC6A-455F-9214-30F5D215C092}" srcOrd="2" destOrd="0" presId="urn:microsoft.com/office/officeart/2005/8/layout/orgChart1"/>
    <dgm:cxn modelId="{4FBD3734-3E97-4D54-8509-C6544D7032BD}" type="presParOf" srcId="{26F319A6-05FF-4910-B024-4CCA006A2691}" destId="{1E99608D-133E-4990-804D-6CB5E6FC8CD0}" srcOrd="2" destOrd="0" presId="urn:microsoft.com/office/officeart/2005/8/layout/orgChart1"/>
    <dgm:cxn modelId="{BE2ADC5B-634C-4B54-83B5-0DF4420545DE}" type="presParOf" srcId="{A14F3236-6CB5-4798-9CA9-0249C283FCAF}" destId="{7562A942-6EE7-421D-AB27-5A6C468F835F}" srcOrd="2" destOrd="0" presId="urn:microsoft.com/office/officeart/2005/8/layout/orgChart1"/>
    <dgm:cxn modelId="{0FE95E10-D14D-4604-BDE0-5C1BDE0042C7}" type="presParOf" srcId="{A14F3236-6CB5-4798-9CA9-0249C283FCAF}" destId="{6AAEA018-AE9B-4983-9A91-EF188D115530}" srcOrd="3" destOrd="0" presId="urn:microsoft.com/office/officeart/2005/8/layout/orgChart1"/>
    <dgm:cxn modelId="{1BA83F04-A34B-4864-B33B-51DDA543855B}" type="presParOf" srcId="{6AAEA018-AE9B-4983-9A91-EF188D115530}" destId="{64D44EDB-0CBF-4D60-BA85-BBC77BF057BE}" srcOrd="0" destOrd="0" presId="urn:microsoft.com/office/officeart/2005/8/layout/orgChart1"/>
    <dgm:cxn modelId="{8259E2EE-1A0D-4F4A-9E36-71EC16A1C541}" type="presParOf" srcId="{64D44EDB-0CBF-4D60-BA85-BBC77BF057BE}" destId="{9243CBF4-C142-43AB-9341-C67CB38A0F2C}" srcOrd="0" destOrd="0" presId="urn:microsoft.com/office/officeart/2005/8/layout/orgChart1"/>
    <dgm:cxn modelId="{64BF0B2A-D82B-4B8A-A4C4-73A566FDF0A2}" type="presParOf" srcId="{64D44EDB-0CBF-4D60-BA85-BBC77BF057BE}" destId="{222697FA-257C-44C1-B3FD-5EF9738C2963}" srcOrd="1" destOrd="0" presId="urn:microsoft.com/office/officeart/2005/8/layout/orgChart1"/>
    <dgm:cxn modelId="{501D3189-FF3F-44A1-B174-433294E29792}" type="presParOf" srcId="{6AAEA018-AE9B-4983-9A91-EF188D115530}" destId="{64676341-81E2-4733-81F3-979983446045}" srcOrd="1" destOrd="0" presId="urn:microsoft.com/office/officeart/2005/8/layout/orgChart1"/>
    <dgm:cxn modelId="{7B33B75D-D996-4A82-997F-62EAE31095B0}" type="presParOf" srcId="{64676341-81E2-4733-81F3-979983446045}" destId="{C1C00F8D-5B3B-4E41-805F-AFAAD00FDFFA}" srcOrd="0" destOrd="0" presId="urn:microsoft.com/office/officeart/2005/8/layout/orgChart1"/>
    <dgm:cxn modelId="{F37BEC49-0255-40AC-90F6-B83248A82448}" type="presParOf" srcId="{64676341-81E2-4733-81F3-979983446045}" destId="{69F15941-481E-454D-898B-197D82EE4D50}" srcOrd="1" destOrd="0" presId="urn:microsoft.com/office/officeart/2005/8/layout/orgChart1"/>
    <dgm:cxn modelId="{60BD7920-5163-43BA-AF92-71639E641BED}" type="presParOf" srcId="{69F15941-481E-454D-898B-197D82EE4D50}" destId="{CF5C2E4A-F8B7-4D89-8F58-2E7881686247}" srcOrd="0" destOrd="0" presId="urn:microsoft.com/office/officeart/2005/8/layout/orgChart1"/>
    <dgm:cxn modelId="{210E73A6-E1FB-4088-8111-C260575DBCDD}" type="presParOf" srcId="{CF5C2E4A-F8B7-4D89-8F58-2E7881686247}" destId="{6FD9AA74-8AA1-4A5E-BBF6-729657ECD7AC}" srcOrd="0" destOrd="0" presId="urn:microsoft.com/office/officeart/2005/8/layout/orgChart1"/>
    <dgm:cxn modelId="{4D9DEDF4-A9F5-4CE9-8552-988A4FC16F2F}" type="presParOf" srcId="{CF5C2E4A-F8B7-4D89-8F58-2E7881686247}" destId="{6AD9ABFD-CDFB-45F6-8FC6-F7913FAC4555}" srcOrd="1" destOrd="0" presId="urn:microsoft.com/office/officeart/2005/8/layout/orgChart1"/>
    <dgm:cxn modelId="{AC6B34B7-3081-4393-9EF3-6F2093C9F6DB}" type="presParOf" srcId="{69F15941-481E-454D-898B-197D82EE4D50}" destId="{3153FCA9-EB29-4B5A-9BD7-77A9E232E74C}" srcOrd="1" destOrd="0" presId="urn:microsoft.com/office/officeart/2005/8/layout/orgChart1"/>
    <dgm:cxn modelId="{0DE8066A-8BF5-4198-A402-5D695D3C54C2}" type="presParOf" srcId="{69F15941-481E-454D-898B-197D82EE4D50}" destId="{FB2F2ECB-648C-4F38-AC80-C3AE1BE4AE1C}" srcOrd="2" destOrd="0" presId="urn:microsoft.com/office/officeart/2005/8/layout/orgChart1"/>
    <dgm:cxn modelId="{494994E3-3426-487A-A6B7-8FB24F6CF4BC}" type="presParOf" srcId="{6AAEA018-AE9B-4983-9A91-EF188D115530}" destId="{8F6160BC-35E1-41A9-918E-C3ED5F8D716C}" srcOrd="2" destOrd="0" presId="urn:microsoft.com/office/officeart/2005/8/layout/orgChart1"/>
    <dgm:cxn modelId="{5422BB27-1B4D-4CD1-93EF-7792181356D4}" type="presParOf" srcId="{4BFBA0C7-7698-4AC3-884D-1AF7E0243208}" destId="{DBDE76C7-1BDF-46AC-8CAA-8A370F48774A}"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D2B853B-4EB5-4049-B8F5-D13339810685}" type="doc">
      <dgm:prSet loTypeId="urn:microsoft.com/office/officeart/2005/8/layout/orgChart1" loCatId="hierarchy" qsTypeId="urn:microsoft.com/office/officeart/2005/8/quickstyle/simple1" qsCatId="simple" csTypeId="urn:microsoft.com/office/officeart/2005/8/colors/accent1_2" csCatId="accent1" phldr="1"/>
      <dgm:spPr/>
    </dgm:pt>
    <dgm:pt modelId="{96EF23D9-A156-4C03-B572-19C373D0EF10}">
      <dgm:prSe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1" i="0" u="none" strike="noStrike" cap="none" normalizeH="0" baseline="0" dirty="0">
              <a:ln>
                <a:noFill/>
              </a:ln>
              <a:solidFill>
                <a:schemeClr val="tx1"/>
              </a:solidFill>
              <a:effectLst/>
              <a:latin typeface="Times New Roman" pitchFamily="18" charset="0"/>
              <a:ea typeface="MS PGothic" pitchFamily="34" charset="-128"/>
            </a:rPr>
            <a:t>John &amp; Mary Doe Trust</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dirty="0">
              <a:ln>
                <a:noFill/>
              </a:ln>
              <a:solidFill>
                <a:schemeClr val="tx1"/>
              </a:solidFill>
              <a:effectLst/>
              <a:latin typeface="Times New Roman" pitchFamily="18" charset="0"/>
              <a:ea typeface="MS PGothic" pitchFamily="34" charset="-128"/>
            </a:rPr>
            <a:t>(could be joint trust or two separate trusts)</a:t>
          </a:r>
          <a:endParaRPr kumimoji="0" lang="en-US" b="0" i="0" u="none" strike="noStrike" cap="none" normalizeH="0" baseline="0" dirty="0">
            <a:ln>
              <a:noFill/>
            </a:ln>
            <a:solidFill>
              <a:schemeClr val="tx1"/>
            </a:solidFill>
            <a:effectLst/>
            <a:latin typeface="Arial" charset="0"/>
            <a:ea typeface="MS PGothic" pitchFamily="34" charset="-128"/>
          </a:endParaRPr>
        </a:p>
      </dgm:t>
    </dgm:pt>
    <dgm:pt modelId="{511866EA-E4CC-4EED-9AD7-AEAA883DB778}" type="parTrans" cxnId="{D5A1B4B6-3AF4-4A79-86F2-AD3A9980BE4A}">
      <dgm:prSet/>
      <dgm:spPr/>
      <dgm:t>
        <a:bodyPr/>
        <a:lstStyle/>
        <a:p>
          <a:endParaRPr lang="en-US"/>
        </a:p>
      </dgm:t>
    </dgm:pt>
    <dgm:pt modelId="{7E7241A9-398B-4E5D-AC32-D3C4D1FDDF88}" type="sibTrans" cxnId="{D5A1B4B6-3AF4-4A79-86F2-AD3A9980BE4A}">
      <dgm:prSet/>
      <dgm:spPr/>
      <dgm:t>
        <a:bodyPr/>
        <a:lstStyle/>
        <a:p>
          <a:endParaRPr lang="en-US"/>
        </a:p>
      </dgm:t>
    </dgm:pt>
    <dgm:pt modelId="{BFEF32D8-973E-44C7-93C7-BD1CC9222B4E}">
      <dgm:prSe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chemeClr val="tx1"/>
              </a:solidFill>
              <a:effectLst/>
              <a:latin typeface="Times New Roman" pitchFamily="18" charset="0"/>
              <a:ea typeface="MS PGothic" pitchFamily="34" charset="-128"/>
            </a:rPr>
            <a:t>John Doe Bypass (Credit Shelter)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chemeClr val="tx1"/>
              </a:solidFill>
              <a:effectLst/>
              <a:latin typeface="Times New Roman" pitchFamily="18" charset="0"/>
              <a:ea typeface="MS PGothic" pitchFamily="34" charset="-128"/>
            </a:rPr>
            <a:t>Trust Fbo Spouse (&amp; children?)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chemeClr val="tx1"/>
              </a:solidFill>
              <a:effectLst/>
              <a:latin typeface="Times New Roman" pitchFamily="18" charset="0"/>
              <a:ea typeface="MS PGothic" pitchFamily="34" charset="-128"/>
            </a:rPr>
            <a:t> &lt; $5.34mm (or basic exclusion amount)</a:t>
          </a:r>
          <a:endParaRPr kumimoji="0" lang="en-US" b="0" i="0" u="none" strike="noStrike" cap="none" normalizeH="0" baseline="0">
            <a:ln>
              <a:noFill/>
            </a:ln>
            <a:solidFill>
              <a:schemeClr val="tx1"/>
            </a:solidFill>
            <a:effectLst/>
            <a:latin typeface="Arial" charset="0"/>
            <a:ea typeface="MS PGothic" pitchFamily="34" charset="-128"/>
          </a:endParaRPr>
        </a:p>
      </dgm:t>
    </dgm:pt>
    <dgm:pt modelId="{2C45D562-BC3D-45A7-9F4E-50E227A81822}" type="parTrans" cxnId="{7EC29508-5F3B-4159-8DD1-75C7F3C36FEF}">
      <dgm:prSet/>
      <dgm:spPr/>
      <dgm:t>
        <a:bodyPr/>
        <a:lstStyle/>
        <a:p>
          <a:endParaRPr lang="en-US"/>
        </a:p>
      </dgm:t>
    </dgm:pt>
    <dgm:pt modelId="{FB1FCCE8-4B0E-40C4-A18F-300FF8B2E470}" type="sibTrans" cxnId="{7EC29508-5F3B-4159-8DD1-75C7F3C36FEF}">
      <dgm:prSet/>
      <dgm:spPr/>
      <dgm:t>
        <a:bodyPr/>
        <a:lstStyle/>
        <a:p>
          <a:endParaRPr lang="en-US"/>
        </a:p>
      </dgm:t>
    </dgm:pt>
    <dgm:pt modelId="{4DDBD783-1E46-4C3F-8615-FC89D75BB47C}">
      <dgm:prSe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chemeClr val="tx1"/>
              </a:solidFill>
              <a:effectLst/>
              <a:latin typeface="Times New Roman" pitchFamily="18" charset="0"/>
              <a:ea typeface="MS PGothic" pitchFamily="34" charset="-128"/>
            </a:rPr>
            <a:t>Capital Gains taxed at 23.8% (long term)/43.4% (short term);</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chemeClr val="tx1"/>
              </a:solidFill>
              <a:effectLst/>
              <a:latin typeface="Times New Roman" pitchFamily="18" charset="0"/>
              <a:ea typeface="MS PGothic" pitchFamily="34" charset="-128"/>
            </a:rPr>
            <a:t>Ordinary income at 23.8% (QD)/43.4% if not distributed</a:t>
          </a:r>
          <a:endParaRPr kumimoji="0" lang="en-US" b="0" i="0" u="none" strike="noStrike" cap="none" normalizeH="0" baseline="0">
            <a:ln>
              <a:noFill/>
            </a:ln>
            <a:solidFill>
              <a:schemeClr val="tx1"/>
            </a:solidFill>
            <a:effectLst/>
            <a:latin typeface="Arial" charset="0"/>
            <a:ea typeface="MS PGothic" pitchFamily="34" charset="-128"/>
          </a:endParaRPr>
        </a:p>
      </dgm:t>
    </dgm:pt>
    <dgm:pt modelId="{FA82F3D6-BDA4-417D-9BBC-8872F35A043E}" type="parTrans" cxnId="{63D74C66-5AA6-4087-BEBD-FF01C560DF61}">
      <dgm:prSet/>
      <dgm:spPr/>
      <dgm:t>
        <a:bodyPr/>
        <a:lstStyle/>
        <a:p>
          <a:endParaRPr lang="en-US"/>
        </a:p>
      </dgm:t>
    </dgm:pt>
    <dgm:pt modelId="{2AC9B466-4053-4019-9556-D8E7910654EA}" type="sibTrans" cxnId="{63D74C66-5AA6-4087-BEBD-FF01C560DF61}">
      <dgm:prSet/>
      <dgm:spPr/>
      <dgm:t>
        <a:bodyPr/>
        <a:lstStyle/>
        <a:p>
          <a:endParaRPr lang="en-US"/>
        </a:p>
      </dgm:t>
    </dgm:pt>
    <dgm:pt modelId="{00D1968D-FB8B-4F20-8FFD-C9057B42773F}">
      <dgm:prSe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chemeClr val="tx1"/>
              </a:solidFill>
              <a:effectLst/>
              <a:latin typeface="Times New Roman" pitchFamily="18" charset="0"/>
              <a:ea typeface="MS PGothic" pitchFamily="34" charset="-128"/>
            </a:rPr>
            <a:t>John Doe Marital Trust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chemeClr val="tx1"/>
              </a:solidFill>
              <a:effectLst/>
              <a:latin typeface="Times New Roman" pitchFamily="18" charset="0"/>
              <a:ea typeface="MS PGothic" pitchFamily="34" charset="-128"/>
            </a:rPr>
            <a:t>Fbo spouse only,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chemeClr val="tx1"/>
              </a:solidFill>
              <a:effectLst/>
              <a:latin typeface="Times New Roman" pitchFamily="18" charset="0"/>
              <a:ea typeface="MS PGothic" pitchFamily="34" charset="-128"/>
            </a:rPr>
            <a:t>&gt; $5.34mm (or basic exclusion amount)</a:t>
          </a:r>
          <a:endParaRPr kumimoji="0" lang="en-US" b="0" i="0" u="none" strike="noStrike" cap="none" normalizeH="0" baseline="0">
            <a:ln>
              <a:noFill/>
            </a:ln>
            <a:solidFill>
              <a:schemeClr val="tx1"/>
            </a:solidFill>
            <a:effectLst/>
            <a:latin typeface="Arial" charset="0"/>
            <a:ea typeface="MS PGothic" pitchFamily="34" charset="-128"/>
          </a:endParaRPr>
        </a:p>
      </dgm:t>
    </dgm:pt>
    <dgm:pt modelId="{635800B2-DD28-4811-8016-F456084F7855}" type="parTrans" cxnId="{EF45EF21-3529-457E-8B1D-2A2B8490C10B}">
      <dgm:prSet/>
      <dgm:spPr/>
      <dgm:t>
        <a:bodyPr/>
        <a:lstStyle/>
        <a:p>
          <a:endParaRPr lang="en-US"/>
        </a:p>
      </dgm:t>
    </dgm:pt>
    <dgm:pt modelId="{CFEE436D-F56F-4981-8A95-603CF1CBF897}" type="sibTrans" cxnId="{EF45EF21-3529-457E-8B1D-2A2B8490C10B}">
      <dgm:prSet/>
      <dgm:spPr/>
      <dgm:t>
        <a:bodyPr/>
        <a:lstStyle/>
        <a:p>
          <a:endParaRPr lang="en-US"/>
        </a:p>
      </dgm:t>
    </dgm:pt>
    <dgm:pt modelId="{47C65B1C-93A4-47FF-AC93-A9CB157E98B2}">
      <dgm:prSe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chemeClr val="tx1"/>
              </a:solidFill>
              <a:effectLst/>
              <a:latin typeface="Times New Roman" pitchFamily="18" charset="0"/>
              <a:ea typeface="MS PGothic" pitchFamily="34" charset="-128"/>
            </a:rPr>
            <a:t>Capital Gains taxed at 23.8% (long term)/43.4% (short term);</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chemeClr val="tx1"/>
              </a:solidFill>
              <a:effectLst/>
              <a:latin typeface="Times New Roman" pitchFamily="18" charset="0"/>
              <a:ea typeface="MS PGothic" pitchFamily="34" charset="-128"/>
            </a:rPr>
            <a:t>Ordinary income at 23.8% (QD)/43.4% if not distributed</a:t>
          </a:r>
        </a:p>
      </dgm:t>
    </dgm:pt>
    <dgm:pt modelId="{B2AAB36C-AD79-440C-8DF6-D26BB9571ECD}" type="parTrans" cxnId="{3251ED8E-D3C1-4B56-8818-30D2822D998B}">
      <dgm:prSet/>
      <dgm:spPr/>
      <dgm:t>
        <a:bodyPr/>
        <a:lstStyle/>
        <a:p>
          <a:endParaRPr lang="en-US"/>
        </a:p>
      </dgm:t>
    </dgm:pt>
    <dgm:pt modelId="{BB247704-690C-47A8-B9B8-38359BDC7FE9}" type="sibTrans" cxnId="{3251ED8E-D3C1-4B56-8818-30D2822D998B}">
      <dgm:prSet/>
      <dgm:spPr/>
      <dgm:t>
        <a:bodyPr/>
        <a:lstStyle/>
        <a:p>
          <a:endParaRPr lang="en-US"/>
        </a:p>
      </dgm:t>
    </dgm:pt>
    <dgm:pt modelId="{BAAB6F0F-77DF-4DA6-8809-396EA1517A8A}" type="pres">
      <dgm:prSet presAssocID="{6D2B853B-4EB5-4049-B8F5-D13339810685}" presName="hierChild1" presStyleCnt="0">
        <dgm:presLayoutVars>
          <dgm:orgChart val="1"/>
          <dgm:chPref val="1"/>
          <dgm:dir/>
          <dgm:animOne val="branch"/>
          <dgm:animLvl val="lvl"/>
          <dgm:resizeHandles/>
        </dgm:presLayoutVars>
      </dgm:prSet>
      <dgm:spPr/>
    </dgm:pt>
    <dgm:pt modelId="{AE74F047-C562-49A7-B978-C236DF2A15DA}" type="pres">
      <dgm:prSet presAssocID="{96EF23D9-A156-4C03-B572-19C373D0EF10}" presName="hierRoot1" presStyleCnt="0">
        <dgm:presLayoutVars>
          <dgm:hierBranch/>
        </dgm:presLayoutVars>
      </dgm:prSet>
      <dgm:spPr/>
    </dgm:pt>
    <dgm:pt modelId="{C93ED573-D5B1-46EC-B493-01167F24DBC1}" type="pres">
      <dgm:prSet presAssocID="{96EF23D9-A156-4C03-B572-19C373D0EF10}" presName="rootComposite1" presStyleCnt="0"/>
      <dgm:spPr/>
    </dgm:pt>
    <dgm:pt modelId="{7B5F7D02-F218-497E-925E-471BEFE353F0}" type="pres">
      <dgm:prSet presAssocID="{96EF23D9-A156-4C03-B572-19C373D0EF10}" presName="rootText1" presStyleLbl="node0" presStyleIdx="0" presStyleCnt="1" custLinFactNeighborY="-142">
        <dgm:presLayoutVars>
          <dgm:chPref val="3"/>
        </dgm:presLayoutVars>
      </dgm:prSet>
      <dgm:spPr/>
    </dgm:pt>
    <dgm:pt modelId="{97B2CFEC-4BCB-40B5-B0C5-18B06A9294B5}" type="pres">
      <dgm:prSet presAssocID="{96EF23D9-A156-4C03-B572-19C373D0EF10}" presName="rootConnector1" presStyleLbl="node1" presStyleIdx="0" presStyleCnt="0"/>
      <dgm:spPr/>
    </dgm:pt>
    <dgm:pt modelId="{9BE1EE56-FD0D-472E-AEED-7859D70DAF95}" type="pres">
      <dgm:prSet presAssocID="{96EF23D9-A156-4C03-B572-19C373D0EF10}" presName="hierChild2" presStyleCnt="0"/>
      <dgm:spPr/>
    </dgm:pt>
    <dgm:pt modelId="{6D1A591A-FBF2-47CB-B8B4-260F2544633F}" type="pres">
      <dgm:prSet presAssocID="{2C45D562-BC3D-45A7-9F4E-50E227A81822}" presName="Name35" presStyleLbl="parChTrans1D2" presStyleIdx="0" presStyleCnt="2"/>
      <dgm:spPr/>
    </dgm:pt>
    <dgm:pt modelId="{31E02F54-95A0-4E9C-A5FA-D700BA992E18}" type="pres">
      <dgm:prSet presAssocID="{BFEF32D8-973E-44C7-93C7-BD1CC9222B4E}" presName="hierRoot2" presStyleCnt="0">
        <dgm:presLayoutVars>
          <dgm:hierBranch/>
        </dgm:presLayoutVars>
      </dgm:prSet>
      <dgm:spPr/>
    </dgm:pt>
    <dgm:pt modelId="{AAB457F7-A910-41E1-B687-FC31EEF3E51C}" type="pres">
      <dgm:prSet presAssocID="{BFEF32D8-973E-44C7-93C7-BD1CC9222B4E}" presName="rootComposite" presStyleCnt="0"/>
      <dgm:spPr/>
    </dgm:pt>
    <dgm:pt modelId="{E86F6DCB-E17B-40FB-A171-912FD09D7AB7}" type="pres">
      <dgm:prSet presAssocID="{BFEF32D8-973E-44C7-93C7-BD1CC9222B4E}" presName="rootText" presStyleLbl="node2" presStyleIdx="0" presStyleCnt="2">
        <dgm:presLayoutVars>
          <dgm:chPref val="3"/>
        </dgm:presLayoutVars>
      </dgm:prSet>
      <dgm:spPr/>
    </dgm:pt>
    <dgm:pt modelId="{681CE0CB-A8CB-43E0-B95A-5B320AC54067}" type="pres">
      <dgm:prSet presAssocID="{BFEF32D8-973E-44C7-93C7-BD1CC9222B4E}" presName="rootConnector" presStyleLbl="node2" presStyleIdx="0" presStyleCnt="2"/>
      <dgm:spPr/>
    </dgm:pt>
    <dgm:pt modelId="{DC2E5C55-AA2B-4568-86B7-CE6B2E1B3CD0}" type="pres">
      <dgm:prSet presAssocID="{BFEF32D8-973E-44C7-93C7-BD1CC9222B4E}" presName="hierChild4" presStyleCnt="0"/>
      <dgm:spPr/>
    </dgm:pt>
    <dgm:pt modelId="{5C1A34A5-9109-47DC-8201-6853233EDFC0}" type="pres">
      <dgm:prSet presAssocID="{FA82F3D6-BDA4-417D-9BBC-8872F35A043E}" presName="Name35" presStyleLbl="parChTrans1D3" presStyleIdx="0" presStyleCnt="2"/>
      <dgm:spPr/>
    </dgm:pt>
    <dgm:pt modelId="{8AD565DB-9FA1-40B6-9170-A46E74D32842}" type="pres">
      <dgm:prSet presAssocID="{4DDBD783-1E46-4C3F-8615-FC89D75BB47C}" presName="hierRoot2" presStyleCnt="0">
        <dgm:presLayoutVars>
          <dgm:hierBranch val="r"/>
        </dgm:presLayoutVars>
      </dgm:prSet>
      <dgm:spPr/>
    </dgm:pt>
    <dgm:pt modelId="{568D9063-2E48-4539-893C-A40C09B2925E}" type="pres">
      <dgm:prSet presAssocID="{4DDBD783-1E46-4C3F-8615-FC89D75BB47C}" presName="rootComposite" presStyleCnt="0"/>
      <dgm:spPr/>
    </dgm:pt>
    <dgm:pt modelId="{D98DFCAD-40A4-4690-ACAB-80A69AA0C3C8}" type="pres">
      <dgm:prSet presAssocID="{4DDBD783-1E46-4C3F-8615-FC89D75BB47C}" presName="rootText" presStyleLbl="node3" presStyleIdx="0" presStyleCnt="2">
        <dgm:presLayoutVars>
          <dgm:chPref val="3"/>
        </dgm:presLayoutVars>
      </dgm:prSet>
      <dgm:spPr/>
    </dgm:pt>
    <dgm:pt modelId="{21DEAB41-0991-48F4-8587-8E74E6018D0C}" type="pres">
      <dgm:prSet presAssocID="{4DDBD783-1E46-4C3F-8615-FC89D75BB47C}" presName="rootConnector" presStyleLbl="node3" presStyleIdx="0" presStyleCnt="2"/>
      <dgm:spPr/>
    </dgm:pt>
    <dgm:pt modelId="{1BA56B9C-1893-42E7-A34B-FF57F9A04329}" type="pres">
      <dgm:prSet presAssocID="{4DDBD783-1E46-4C3F-8615-FC89D75BB47C}" presName="hierChild4" presStyleCnt="0"/>
      <dgm:spPr/>
    </dgm:pt>
    <dgm:pt modelId="{25CD342D-5D93-4B1F-9E3E-B8C4D7B20A15}" type="pres">
      <dgm:prSet presAssocID="{4DDBD783-1E46-4C3F-8615-FC89D75BB47C}" presName="hierChild5" presStyleCnt="0"/>
      <dgm:spPr/>
    </dgm:pt>
    <dgm:pt modelId="{92FDC4E4-CC47-4C07-B228-91C7364B34C3}" type="pres">
      <dgm:prSet presAssocID="{BFEF32D8-973E-44C7-93C7-BD1CC9222B4E}" presName="hierChild5" presStyleCnt="0"/>
      <dgm:spPr/>
    </dgm:pt>
    <dgm:pt modelId="{0444CD26-43B6-4749-9689-3311F1B75DD7}" type="pres">
      <dgm:prSet presAssocID="{635800B2-DD28-4811-8016-F456084F7855}" presName="Name35" presStyleLbl="parChTrans1D2" presStyleIdx="1" presStyleCnt="2"/>
      <dgm:spPr/>
    </dgm:pt>
    <dgm:pt modelId="{51495663-1596-4046-AB2B-7C688C05D7DC}" type="pres">
      <dgm:prSet presAssocID="{00D1968D-FB8B-4F20-8FFD-C9057B42773F}" presName="hierRoot2" presStyleCnt="0">
        <dgm:presLayoutVars>
          <dgm:hierBranch/>
        </dgm:presLayoutVars>
      </dgm:prSet>
      <dgm:spPr/>
    </dgm:pt>
    <dgm:pt modelId="{BBDECF27-35E6-4909-88C7-733456D731CA}" type="pres">
      <dgm:prSet presAssocID="{00D1968D-FB8B-4F20-8FFD-C9057B42773F}" presName="rootComposite" presStyleCnt="0"/>
      <dgm:spPr/>
    </dgm:pt>
    <dgm:pt modelId="{A5B7ABED-3994-40F3-972D-A444A0689A04}" type="pres">
      <dgm:prSet presAssocID="{00D1968D-FB8B-4F20-8FFD-C9057B42773F}" presName="rootText" presStyleLbl="node2" presStyleIdx="1" presStyleCnt="2">
        <dgm:presLayoutVars>
          <dgm:chPref val="3"/>
        </dgm:presLayoutVars>
      </dgm:prSet>
      <dgm:spPr/>
    </dgm:pt>
    <dgm:pt modelId="{8CC5E6D5-0AB4-47FD-829F-0C67895F2AAC}" type="pres">
      <dgm:prSet presAssocID="{00D1968D-FB8B-4F20-8FFD-C9057B42773F}" presName="rootConnector" presStyleLbl="node2" presStyleIdx="1" presStyleCnt="2"/>
      <dgm:spPr/>
    </dgm:pt>
    <dgm:pt modelId="{D6573AE0-23B5-4AC9-90F8-E90F654CCA31}" type="pres">
      <dgm:prSet presAssocID="{00D1968D-FB8B-4F20-8FFD-C9057B42773F}" presName="hierChild4" presStyleCnt="0"/>
      <dgm:spPr/>
    </dgm:pt>
    <dgm:pt modelId="{D7126A6B-0544-410E-88E4-077D754D8AD1}" type="pres">
      <dgm:prSet presAssocID="{B2AAB36C-AD79-440C-8DF6-D26BB9571ECD}" presName="Name35" presStyleLbl="parChTrans1D3" presStyleIdx="1" presStyleCnt="2"/>
      <dgm:spPr/>
    </dgm:pt>
    <dgm:pt modelId="{41463494-EFFB-4B08-964D-F9E62E689C9C}" type="pres">
      <dgm:prSet presAssocID="{47C65B1C-93A4-47FF-AC93-A9CB157E98B2}" presName="hierRoot2" presStyleCnt="0">
        <dgm:presLayoutVars>
          <dgm:hierBranch val="r"/>
        </dgm:presLayoutVars>
      </dgm:prSet>
      <dgm:spPr/>
    </dgm:pt>
    <dgm:pt modelId="{4B7C008F-B98E-4965-800B-E39D98DB34A6}" type="pres">
      <dgm:prSet presAssocID="{47C65B1C-93A4-47FF-AC93-A9CB157E98B2}" presName="rootComposite" presStyleCnt="0"/>
      <dgm:spPr/>
    </dgm:pt>
    <dgm:pt modelId="{1C841405-0365-4965-A0AC-2AF265FFDC42}" type="pres">
      <dgm:prSet presAssocID="{47C65B1C-93A4-47FF-AC93-A9CB157E98B2}" presName="rootText" presStyleLbl="node3" presStyleIdx="1" presStyleCnt="2">
        <dgm:presLayoutVars>
          <dgm:chPref val="3"/>
        </dgm:presLayoutVars>
      </dgm:prSet>
      <dgm:spPr/>
    </dgm:pt>
    <dgm:pt modelId="{5D758CF2-C046-4AB2-BBE3-F458F3B08505}" type="pres">
      <dgm:prSet presAssocID="{47C65B1C-93A4-47FF-AC93-A9CB157E98B2}" presName="rootConnector" presStyleLbl="node3" presStyleIdx="1" presStyleCnt="2"/>
      <dgm:spPr/>
    </dgm:pt>
    <dgm:pt modelId="{846C41B6-D181-4AA7-AB6A-699DE167E48E}" type="pres">
      <dgm:prSet presAssocID="{47C65B1C-93A4-47FF-AC93-A9CB157E98B2}" presName="hierChild4" presStyleCnt="0"/>
      <dgm:spPr/>
    </dgm:pt>
    <dgm:pt modelId="{72738329-34FB-4DE6-874D-26B5950820E2}" type="pres">
      <dgm:prSet presAssocID="{47C65B1C-93A4-47FF-AC93-A9CB157E98B2}" presName="hierChild5" presStyleCnt="0"/>
      <dgm:spPr/>
    </dgm:pt>
    <dgm:pt modelId="{34FA963D-58F3-49CE-9B34-5B32C30BC661}" type="pres">
      <dgm:prSet presAssocID="{00D1968D-FB8B-4F20-8FFD-C9057B42773F}" presName="hierChild5" presStyleCnt="0"/>
      <dgm:spPr/>
    </dgm:pt>
    <dgm:pt modelId="{EA14876C-9BE5-42F4-8F0D-2EBBAF9CF098}" type="pres">
      <dgm:prSet presAssocID="{96EF23D9-A156-4C03-B572-19C373D0EF10}" presName="hierChild3" presStyleCnt="0"/>
      <dgm:spPr/>
    </dgm:pt>
  </dgm:ptLst>
  <dgm:cxnLst>
    <dgm:cxn modelId="{7EC29508-5F3B-4159-8DD1-75C7F3C36FEF}" srcId="{96EF23D9-A156-4C03-B572-19C373D0EF10}" destId="{BFEF32D8-973E-44C7-93C7-BD1CC9222B4E}" srcOrd="0" destOrd="0" parTransId="{2C45D562-BC3D-45A7-9F4E-50E227A81822}" sibTransId="{FB1FCCE8-4B0E-40C4-A18F-300FF8B2E470}"/>
    <dgm:cxn modelId="{C20C2814-6854-49C2-BC59-93BB7832B66E}" type="presOf" srcId="{635800B2-DD28-4811-8016-F456084F7855}" destId="{0444CD26-43B6-4749-9689-3311F1B75DD7}" srcOrd="0" destOrd="0" presId="urn:microsoft.com/office/officeart/2005/8/layout/orgChart1"/>
    <dgm:cxn modelId="{7A25CB16-1FEA-41C3-91AE-CFF926F41FAB}" type="presOf" srcId="{BFEF32D8-973E-44C7-93C7-BD1CC9222B4E}" destId="{E86F6DCB-E17B-40FB-A171-912FD09D7AB7}" srcOrd="0" destOrd="0" presId="urn:microsoft.com/office/officeart/2005/8/layout/orgChart1"/>
    <dgm:cxn modelId="{EF45EF21-3529-457E-8B1D-2A2B8490C10B}" srcId="{96EF23D9-A156-4C03-B572-19C373D0EF10}" destId="{00D1968D-FB8B-4F20-8FFD-C9057B42773F}" srcOrd="1" destOrd="0" parTransId="{635800B2-DD28-4811-8016-F456084F7855}" sibTransId="{CFEE436D-F56F-4981-8A95-603CF1CBF897}"/>
    <dgm:cxn modelId="{4F5A6727-D4D2-495F-A558-00D11ECF7BFA}" type="presOf" srcId="{BFEF32D8-973E-44C7-93C7-BD1CC9222B4E}" destId="{681CE0CB-A8CB-43E0-B95A-5B320AC54067}" srcOrd="1" destOrd="0" presId="urn:microsoft.com/office/officeart/2005/8/layout/orgChart1"/>
    <dgm:cxn modelId="{7FDE663E-D1D7-4D64-BA08-AACFDF72A623}" type="presOf" srcId="{B2AAB36C-AD79-440C-8DF6-D26BB9571ECD}" destId="{D7126A6B-0544-410E-88E4-077D754D8AD1}" srcOrd="0" destOrd="0" presId="urn:microsoft.com/office/officeart/2005/8/layout/orgChart1"/>
    <dgm:cxn modelId="{13C8EC5E-AC44-49D4-8F82-861A21EA6F32}" type="presOf" srcId="{47C65B1C-93A4-47FF-AC93-A9CB157E98B2}" destId="{1C841405-0365-4965-A0AC-2AF265FFDC42}" srcOrd="0" destOrd="0" presId="urn:microsoft.com/office/officeart/2005/8/layout/orgChart1"/>
    <dgm:cxn modelId="{23F30244-6C7F-4C12-BD10-94A2B16D337F}" type="presOf" srcId="{00D1968D-FB8B-4F20-8FFD-C9057B42773F}" destId="{8CC5E6D5-0AB4-47FD-829F-0C67895F2AAC}" srcOrd="1" destOrd="0" presId="urn:microsoft.com/office/officeart/2005/8/layout/orgChart1"/>
    <dgm:cxn modelId="{63D74C66-5AA6-4087-BEBD-FF01C560DF61}" srcId="{BFEF32D8-973E-44C7-93C7-BD1CC9222B4E}" destId="{4DDBD783-1E46-4C3F-8615-FC89D75BB47C}" srcOrd="0" destOrd="0" parTransId="{FA82F3D6-BDA4-417D-9BBC-8872F35A043E}" sibTransId="{2AC9B466-4053-4019-9556-D8E7910654EA}"/>
    <dgm:cxn modelId="{2694E56E-95FD-4A15-9816-C42D1AEA4262}" type="presOf" srcId="{2C45D562-BC3D-45A7-9F4E-50E227A81822}" destId="{6D1A591A-FBF2-47CB-B8B4-260F2544633F}" srcOrd="0" destOrd="0" presId="urn:microsoft.com/office/officeart/2005/8/layout/orgChart1"/>
    <dgm:cxn modelId="{BA12BB7D-A86C-4738-8DE1-1E3FEA52E2BB}" type="presOf" srcId="{FA82F3D6-BDA4-417D-9BBC-8872F35A043E}" destId="{5C1A34A5-9109-47DC-8201-6853233EDFC0}" srcOrd="0" destOrd="0" presId="urn:microsoft.com/office/officeart/2005/8/layout/orgChart1"/>
    <dgm:cxn modelId="{1412C38E-4ECC-4445-8700-D6E789980233}" type="presOf" srcId="{96EF23D9-A156-4C03-B572-19C373D0EF10}" destId="{97B2CFEC-4BCB-40B5-B0C5-18B06A9294B5}" srcOrd="1" destOrd="0" presId="urn:microsoft.com/office/officeart/2005/8/layout/orgChart1"/>
    <dgm:cxn modelId="{3251ED8E-D3C1-4B56-8818-30D2822D998B}" srcId="{00D1968D-FB8B-4F20-8FFD-C9057B42773F}" destId="{47C65B1C-93A4-47FF-AC93-A9CB157E98B2}" srcOrd="0" destOrd="0" parTransId="{B2AAB36C-AD79-440C-8DF6-D26BB9571ECD}" sibTransId="{BB247704-690C-47A8-B9B8-38359BDC7FE9}"/>
    <dgm:cxn modelId="{1BD9A0A6-557E-4668-A67C-35D6991ED5B4}" type="presOf" srcId="{4DDBD783-1E46-4C3F-8615-FC89D75BB47C}" destId="{D98DFCAD-40A4-4690-ACAB-80A69AA0C3C8}" srcOrd="0" destOrd="0" presId="urn:microsoft.com/office/officeart/2005/8/layout/orgChart1"/>
    <dgm:cxn modelId="{D5A1B4B6-3AF4-4A79-86F2-AD3A9980BE4A}" srcId="{6D2B853B-4EB5-4049-B8F5-D13339810685}" destId="{96EF23D9-A156-4C03-B572-19C373D0EF10}" srcOrd="0" destOrd="0" parTransId="{511866EA-E4CC-4EED-9AD7-AEAA883DB778}" sibTransId="{7E7241A9-398B-4E5D-AC32-D3C4D1FDDF88}"/>
    <dgm:cxn modelId="{40160EC6-98C0-48C3-99DF-EB495D3E8A08}" type="presOf" srcId="{47C65B1C-93A4-47FF-AC93-A9CB157E98B2}" destId="{5D758CF2-C046-4AB2-BBE3-F458F3B08505}" srcOrd="1" destOrd="0" presId="urn:microsoft.com/office/officeart/2005/8/layout/orgChart1"/>
    <dgm:cxn modelId="{25CF05E9-D32D-47E3-9A7A-36A602E7D54C}" type="presOf" srcId="{00D1968D-FB8B-4F20-8FFD-C9057B42773F}" destId="{A5B7ABED-3994-40F3-972D-A444A0689A04}" srcOrd="0" destOrd="0" presId="urn:microsoft.com/office/officeart/2005/8/layout/orgChart1"/>
    <dgm:cxn modelId="{A19542EF-7508-4093-8C50-B97DF598B8F4}" type="presOf" srcId="{96EF23D9-A156-4C03-B572-19C373D0EF10}" destId="{7B5F7D02-F218-497E-925E-471BEFE353F0}" srcOrd="0" destOrd="0" presId="urn:microsoft.com/office/officeart/2005/8/layout/orgChart1"/>
    <dgm:cxn modelId="{39D476F0-CC84-40CE-8254-60A6EB30376D}" type="presOf" srcId="{6D2B853B-4EB5-4049-B8F5-D13339810685}" destId="{BAAB6F0F-77DF-4DA6-8809-396EA1517A8A}" srcOrd="0" destOrd="0" presId="urn:microsoft.com/office/officeart/2005/8/layout/orgChart1"/>
    <dgm:cxn modelId="{5738E5F2-A998-4900-8900-45A0D5B92C1B}" type="presOf" srcId="{4DDBD783-1E46-4C3F-8615-FC89D75BB47C}" destId="{21DEAB41-0991-48F4-8587-8E74E6018D0C}" srcOrd="1" destOrd="0" presId="urn:microsoft.com/office/officeart/2005/8/layout/orgChart1"/>
    <dgm:cxn modelId="{9B9C9F67-78B5-4F31-ADE4-B758EE620624}" type="presParOf" srcId="{BAAB6F0F-77DF-4DA6-8809-396EA1517A8A}" destId="{AE74F047-C562-49A7-B978-C236DF2A15DA}" srcOrd="0" destOrd="0" presId="urn:microsoft.com/office/officeart/2005/8/layout/orgChart1"/>
    <dgm:cxn modelId="{9F338E3A-C963-46E6-9363-A7DB02884DDA}" type="presParOf" srcId="{AE74F047-C562-49A7-B978-C236DF2A15DA}" destId="{C93ED573-D5B1-46EC-B493-01167F24DBC1}" srcOrd="0" destOrd="0" presId="urn:microsoft.com/office/officeart/2005/8/layout/orgChart1"/>
    <dgm:cxn modelId="{0F50B500-4369-4FCA-85F9-289D70B9A64D}" type="presParOf" srcId="{C93ED573-D5B1-46EC-B493-01167F24DBC1}" destId="{7B5F7D02-F218-497E-925E-471BEFE353F0}" srcOrd="0" destOrd="0" presId="urn:microsoft.com/office/officeart/2005/8/layout/orgChart1"/>
    <dgm:cxn modelId="{D0794CA1-2E99-4823-A01B-0C1C80B21843}" type="presParOf" srcId="{C93ED573-D5B1-46EC-B493-01167F24DBC1}" destId="{97B2CFEC-4BCB-40B5-B0C5-18B06A9294B5}" srcOrd="1" destOrd="0" presId="urn:microsoft.com/office/officeart/2005/8/layout/orgChart1"/>
    <dgm:cxn modelId="{58778D54-819A-47EB-A458-F329970F43C7}" type="presParOf" srcId="{AE74F047-C562-49A7-B978-C236DF2A15DA}" destId="{9BE1EE56-FD0D-472E-AEED-7859D70DAF95}" srcOrd="1" destOrd="0" presId="urn:microsoft.com/office/officeart/2005/8/layout/orgChart1"/>
    <dgm:cxn modelId="{ADA3CA9A-8059-4E36-91BA-3D0E03CCA313}" type="presParOf" srcId="{9BE1EE56-FD0D-472E-AEED-7859D70DAF95}" destId="{6D1A591A-FBF2-47CB-B8B4-260F2544633F}" srcOrd="0" destOrd="0" presId="urn:microsoft.com/office/officeart/2005/8/layout/orgChart1"/>
    <dgm:cxn modelId="{3C3171FF-B898-4397-B609-F2948763BA4A}" type="presParOf" srcId="{9BE1EE56-FD0D-472E-AEED-7859D70DAF95}" destId="{31E02F54-95A0-4E9C-A5FA-D700BA992E18}" srcOrd="1" destOrd="0" presId="urn:microsoft.com/office/officeart/2005/8/layout/orgChart1"/>
    <dgm:cxn modelId="{3471CF7D-1CB7-4B65-8E4C-12CC5FA6F913}" type="presParOf" srcId="{31E02F54-95A0-4E9C-A5FA-D700BA992E18}" destId="{AAB457F7-A910-41E1-B687-FC31EEF3E51C}" srcOrd="0" destOrd="0" presId="urn:microsoft.com/office/officeart/2005/8/layout/orgChart1"/>
    <dgm:cxn modelId="{A7C105DB-47DD-4BC6-A500-F2DE06AF9ABB}" type="presParOf" srcId="{AAB457F7-A910-41E1-B687-FC31EEF3E51C}" destId="{E86F6DCB-E17B-40FB-A171-912FD09D7AB7}" srcOrd="0" destOrd="0" presId="urn:microsoft.com/office/officeart/2005/8/layout/orgChart1"/>
    <dgm:cxn modelId="{1BBDFE39-9760-4003-9118-28B379C8CAA4}" type="presParOf" srcId="{AAB457F7-A910-41E1-B687-FC31EEF3E51C}" destId="{681CE0CB-A8CB-43E0-B95A-5B320AC54067}" srcOrd="1" destOrd="0" presId="urn:microsoft.com/office/officeart/2005/8/layout/orgChart1"/>
    <dgm:cxn modelId="{0C77E762-770D-4A85-A07B-FBDCB4E9B688}" type="presParOf" srcId="{31E02F54-95A0-4E9C-A5FA-D700BA992E18}" destId="{DC2E5C55-AA2B-4568-86B7-CE6B2E1B3CD0}" srcOrd="1" destOrd="0" presId="urn:microsoft.com/office/officeart/2005/8/layout/orgChart1"/>
    <dgm:cxn modelId="{4D6469F4-06D8-4A2C-AD43-18CFA2E58D62}" type="presParOf" srcId="{DC2E5C55-AA2B-4568-86B7-CE6B2E1B3CD0}" destId="{5C1A34A5-9109-47DC-8201-6853233EDFC0}" srcOrd="0" destOrd="0" presId="urn:microsoft.com/office/officeart/2005/8/layout/orgChart1"/>
    <dgm:cxn modelId="{F7CCF6EF-1BF3-453A-881B-8A772323E3B0}" type="presParOf" srcId="{DC2E5C55-AA2B-4568-86B7-CE6B2E1B3CD0}" destId="{8AD565DB-9FA1-40B6-9170-A46E74D32842}" srcOrd="1" destOrd="0" presId="urn:microsoft.com/office/officeart/2005/8/layout/orgChart1"/>
    <dgm:cxn modelId="{FEA6662E-EDB9-4BB4-8C4F-A8E0C40344F9}" type="presParOf" srcId="{8AD565DB-9FA1-40B6-9170-A46E74D32842}" destId="{568D9063-2E48-4539-893C-A40C09B2925E}" srcOrd="0" destOrd="0" presId="urn:microsoft.com/office/officeart/2005/8/layout/orgChart1"/>
    <dgm:cxn modelId="{68BF3874-BDD0-4653-95DE-108EE34E8AC2}" type="presParOf" srcId="{568D9063-2E48-4539-893C-A40C09B2925E}" destId="{D98DFCAD-40A4-4690-ACAB-80A69AA0C3C8}" srcOrd="0" destOrd="0" presId="urn:microsoft.com/office/officeart/2005/8/layout/orgChart1"/>
    <dgm:cxn modelId="{EF8FE90B-108F-46C1-8DE1-282F1D97F30F}" type="presParOf" srcId="{568D9063-2E48-4539-893C-A40C09B2925E}" destId="{21DEAB41-0991-48F4-8587-8E74E6018D0C}" srcOrd="1" destOrd="0" presId="urn:microsoft.com/office/officeart/2005/8/layout/orgChart1"/>
    <dgm:cxn modelId="{D65574CD-6925-4DDA-B720-D3079E5394DD}" type="presParOf" srcId="{8AD565DB-9FA1-40B6-9170-A46E74D32842}" destId="{1BA56B9C-1893-42E7-A34B-FF57F9A04329}" srcOrd="1" destOrd="0" presId="urn:microsoft.com/office/officeart/2005/8/layout/orgChart1"/>
    <dgm:cxn modelId="{08ACF019-921E-4E6F-B000-99CACD031367}" type="presParOf" srcId="{8AD565DB-9FA1-40B6-9170-A46E74D32842}" destId="{25CD342D-5D93-4B1F-9E3E-B8C4D7B20A15}" srcOrd="2" destOrd="0" presId="urn:microsoft.com/office/officeart/2005/8/layout/orgChart1"/>
    <dgm:cxn modelId="{B89DA6FF-99F1-4B8D-B0D4-F86494FE1CA7}" type="presParOf" srcId="{31E02F54-95A0-4E9C-A5FA-D700BA992E18}" destId="{92FDC4E4-CC47-4C07-B228-91C7364B34C3}" srcOrd="2" destOrd="0" presId="urn:microsoft.com/office/officeart/2005/8/layout/orgChart1"/>
    <dgm:cxn modelId="{E13583D2-A9B4-4766-8D6C-C329BCC0B279}" type="presParOf" srcId="{9BE1EE56-FD0D-472E-AEED-7859D70DAF95}" destId="{0444CD26-43B6-4749-9689-3311F1B75DD7}" srcOrd="2" destOrd="0" presId="urn:microsoft.com/office/officeart/2005/8/layout/orgChart1"/>
    <dgm:cxn modelId="{E41CA934-7156-45E5-B576-097BA734A6B7}" type="presParOf" srcId="{9BE1EE56-FD0D-472E-AEED-7859D70DAF95}" destId="{51495663-1596-4046-AB2B-7C688C05D7DC}" srcOrd="3" destOrd="0" presId="urn:microsoft.com/office/officeart/2005/8/layout/orgChart1"/>
    <dgm:cxn modelId="{B14B65B2-4687-469A-9490-1B2FB7D0DD39}" type="presParOf" srcId="{51495663-1596-4046-AB2B-7C688C05D7DC}" destId="{BBDECF27-35E6-4909-88C7-733456D731CA}" srcOrd="0" destOrd="0" presId="urn:microsoft.com/office/officeart/2005/8/layout/orgChart1"/>
    <dgm:cxn modelId="{E4CB7154-79C1-4BFE-92A1-FCC8E19FE6A7}" type="presParOf" srcId="{BBDECF27-35E6-4909-88C7-733456D731CA}" destId="{A5B7ABED-3994-40F3-972D-A444A0689A04}" srcOrd="0" destOrd="0" presId="urn:microsoft.com/office/officeart/2005/8/layout/orgChart1"/>
    <dgm:cxn modelId="{AAF8B32A-00FF-4022-B89A-41077A1B83C8}" type="presParOf" srcId="{BBDECF27-35E6-4909-88C7-733456D731CA}" destId="{8CC5E6D5-0AB4-47FD-829F-0C67895F2AAC}" srcOrd="1" destOrd="0" presId="urn:microsoft.com/office/officeart/2005/8/layout/orgChart1"/>
    <dgm:cxn modelId="{71882F3F-EEB2-4ED9-A5C6-14A2CAAAB510}" type="presParOf" srcId="{51495663-1596-4046-AB2B-7C688C05D7DC}" destId="{D6573AE0-23B5-4AC9-90F8-E90F654CCA31}" srcOrd="1" destOrd="0" presId="urn:microsoft.com/office/officeart/2005/8/layout/orgChart1"/>
    <dgm:cxn modelId="{E7F1820A-040D-477C-925C-64E069AF4957}" type="presParOf" srcId="{D6573AE0-23B5-4AC9-90F8-E90F654CCA31}" destId="{D7126A6B-0544-410E-88E4-077D754D8AD1}" srcOrd="0" destOrd="0" presId="urn:microsoft.com/office/officeart/2005/8/layout/orgChart1"/>
    <dgm:cxn modelId="{4116D0C9-BE53-4C43-9D70-4FF13F7D9B54}" type="presParOf" srcId="{D6573AE0-23B5-4AC9-90F8-E90F654CCA31}" destId="{41463494-EFFB-4B08-964D-F9E62E689C9C}" srcOrd="1" destOrd="0" presId="urn:microsoft.com/office/officeart/2005/8/layout/orgChart1"/>
    <dgm:cxn modelId="{C5AB0B9B-B27F-419A-9DB7-7EC51B426386}" type="presParOf" srcId="{41463494-EFFB-4B08-964D-F9E62E689C9C}" destId="{4B7C008F-B98E-4965-800B-E39D98DB34A6}" srcOrd="0" destOrd="0" presId="urn:microsoft.com/office/officeart/2005/8/layout/orgChart1"/>
    <dgm:cxn modelId="{6B631DFC-AFC8-404B-94D0-29F14A22BFD0}" type="presParOf" srcId="{4B7C008F-B98E-4965-800B-E39D98DB34A6}" destId="{1C841405-0365-4965-A0AC-2AF265FFDC42}" srcOrd="0" destOrd="0" presId="urn:microsoft.com/office/officeart/2005/8/layout/orgChart1"/>
    <dgm:cxn modelId="{93E78640-2D03-4634-B2AD-A97A85C3CDE4}" type="presParOf" srcId="{4B7C008F-B98E-4965-800B-E39D98DB34A6}" destId="{5D758CF2-C046-4AB2-BBE3-F458F3B08505}" srcOrd="1" destOrd="0" presId="urn:microsoft.com/office/officeart/2005/8/layout/orgChart1"/>
    <dgm:cxn modelId="{FE6ED7B7-EEB3-4173-B8D8-B78F34A3F2E3}" type="presParOf" srcId="{41463494-EFFB-4B08-964D-F9E62E689C9C}" destId="{846C41B6-D181-4AA7-AB6A-699DE167E48E}" srcOrd="1" destOrd="0" presId="urn:microsoft.com/office/officeart/2005/8/layout/orgChart1"/>
    <dgm:cxn modelId="{9C026F95-B60B-4466-AB17-E388BEEDFDEC}" type="presParOf" srcId="{41463494-EFFB-4B08-964D-F9E62E689C9C}" destId="{72738329-34FB-4DE6-874D-26B5950820E2}" srcOrd="2" destOrd="0" presId="urn:microsoft.com/office/officeart/2005/8/layout/orgChart1"/>
    <dgm:cxn modelId="{3662E509-81AD-4AB2-909D-20853608D5A4}" type="presParOf" srcId="{51495663-1596-4046-AB2B-7C688C05D7DC}" destId="{34FA963D-58F3-49CE-9B34-5B32C30BC661}" srcOrd="2" destOrd="0" presId="urn:microsoft.com/office/officeart/2005/8/layout/orgChart1"/>
    <dgm:cxn modelId="{D005390B-41A7-4123-AA79-61DFCA47886A}" type="presParOf" srcId="{AE74F047-C562-49A7-B978-C236DF2A15DA}" destId="{EA14876C-9BE5-42F4-8F0D-2EBBAF9CF098}"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D2B853B-4EB5-4049-B8F5-D13339810685}" type="doc">
      <dgm:prSet loTypeId="urn:microsoft.com/office/officeart/2005/8/layout/orgChart1" loCatId="hierarchy" qsTypeId="urn:microsoft.com/office/officeart/2005/8/quickstyle/simple1" qsCatId="simple" csTypeId="urn:microsoft.com/office/officeart/2005/8/colors/accent1_2" csCatId="accent1" phldr="1"/>
      <dgm:spPr/>
    </dgm:pt>
    <dgm:pt modelId="{96EF23D9-A156-4C03-B572-19C373D0EF10}">
      <dgm:prSet/>
      <dgm:spPr>
        <a:xfrm>
          <a:off x="1616572" y="0"/>
          <a:ext cx="1927790" cy="96389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1" i="0" u="none" strike="noStrike" cap="none" normalizeH="0" baseline="0" dirty="0">
              <a:ln>
                <a:noFill/>
              </a:ln>
              <a:solidFill>
                <a:sysClr val="windowText" lastClr="000000"/>
              </a:solidFill>
              <a:effectLst/>
              <a:latin typeface="Times New Roman" pitchFamily="18" charset="0"/>
              <a:ea typeface="MS PGothic" pitchFamily="34" charset="-128"/>
              <a:cs typeface="+mn-cs"/>
            </a:rPr>
            <a:t>John &amp; Mary Doe Trust</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dirty="0">
              <a:ln>
                <a:noFill/>
              </a:ln>
              <a:solidFill>
                <a:sysClr val="windowText" lastClr="000000"/>
              </a:solidFill>
              <a:effectLst/>
              <a:latin typeface="Times New Roman" pitchFamily="18" charset="0"/>
              <a:ea typeface="MS PGothic" pitchFamily="34" charset="-128"/>
              <a:cs typeface="+mn-cs"/>
            </a:rPr>
            <a:t>(joint or separate trusts)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1" i="1" u="none" strike="noStrike" cap="none" normalizeH="0" baseline="0" dirty="0">
              <a:ln>
                <a:noFill/>
              </a:ln>
              <a:solidFill>
                <a:sysClr val="windowText" lastClr="000000"/>
              </a:solidFill>
              <a:effectLst/>
              <a:latin typeface="Times New Roman" pitchFamily="18" charset="0"/>
              <a:ea typeface="MS PGothic" pitchFamily="34" charset="-128"/>
              <a:cs typeface="+mn-cs"/>
            </a:rPr>
            <a:t>With Different Income Tax Provisions to Shift Tax</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US" b="0" i="0" u="none" strike="noStrike" cap="none" normalizeH="0" baseline="0" dirty="0">
            <a:ln>
              <a:noFill/>
            </a:ln>
            <a:solidFill>
              <a:sysClr val="windowText" lastClr="000000"/>
            </a:solidFill>
            <a:effectLst/>
            <a:latin typeface="Arial" charset="0"/>
            <a:ea typeface="MS PGothic" pitchFamily="34" charset="-128"/>
            <a:cs typeface="+mn-cs"/>
          </a:endParaRPr>
        </a:p>
      </dgm:t>
    </dgm:pt>
    <dgm:pt modelId="{511866EA-E4CC-4EED-9AD7-AEAA883DB778}" type="parTrans" cxnId="{D5A1B4B6-3AF4-4A79-86F2-AD3A9980BE4A}">
      <dgm:prSet/>
      <dgm:spPr/>
      <dgm:t>
        <a:bodyPr/>
        <a:lstStyle/>
        <a:p>
          <a:endParaRPr lang="en-US"/>
        </a:p>
      </dgm:t>
    </dgm:pt>
    <dgm:pt modelId="{7E7241A9-398B-4E5D-AC32-D3C4D1FDDF88}" type="sibTrans" cxnId="{D5A1B4B6-3AF4-4A79-86F2-AD3A9980BE4A}">
      <dgm:prSet/>
      <dgm:spPr/>
      <dgm:t>
        <a:bodyPr/>
        <a:lstStyle/>
        <a:p>
          <a:endParaRPr lang="en-US"/>
        </a:p>
      </dgm:t>
    </dgm:pt>
    <dgm:pt modelId="{BFEF32D8-973E-44C7-93C7-BD1CC9222B4E}">
      <dgm:prSet/>
      <dgm:spPr>
        <a:xfrm>
          <a:off x="450258" y="1370099"/>
          <a:ext cx="1927790" cy="96389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ysClr val="windowText" lastClr="000000"/>
              </a:solidFill>
              <a:effectLst/>
              <a:latin typeface="Times New Roman" pitchFamily="18" charset="0"/>
              <a:ea typeface="MS PGothic" pitchFamily="34" charset="-128"/>
              <a:cs typeface="+mn-cs"/>
            </a:rPr>
            <a:t>John Doe Bypass (Credit Shelter)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ysClr val="windowText" lastClr="000000"/>
              </a:solidFill>
              <a:effectLst/>
              <a:latin typeface="Times New Roman" pitchFamily="18" charset="0"/>
              <a:ea typeface="MS PGothic" pitchFamily="34" charset="-128"/>
              <a:cs typeface="+mn-cs"/>
            </a:rPr>
            <a:t>Trust Fbo Spouse (&amp; children?)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ysClr val="windowText" lastClr="000000"/>
              </a:solidFill>
              <a:effectLst/>
              <a:latin typeface="Times New Roman" pitchFamily="18" charset="0"/>
              <a:ea typeface="MS PGothic" pitchFamily="34" charset="-128"/>
              <a:cs typeface="+mn-cs"/>
            </a:rPr>
            <a:t> &lt; $5.34mm (or basic exclusion amount)</a:t>
          </a:r>
          <a:endParaRPr kumimoji="0" lang="en-US" b="0" i="0" u="none" strike="noStrike" cap="none" normalizeH="0" baseline="0">
            <a:ln>
              <a:noFill/>
            </a:ln>
            <a:solidFill>
              <a:sysClr val="windowText" lastClr="000000"/>
            </a:solidFill>
            <a:effectLst/>
            <a:latin typeface="Arial" charset="0"/>
            <a:ea typeface="MS PGothic" pitchFamily="34" charset="-128"/>
            <a:cs typeface="+mn-cs"/>
          </a:endParaRPr>
        </a:p>
      </dgm:t>
    </dgm:pt>
    <dgm:pt modelId="{2C45D562-BC3D-45A7-9F4E-50E227A81822}" type="parTrans" cxnId="{7EC29508-5F3B-4159-8DD1-75C7F3C36FEF}">
      <dgm:prSet/>
      <dgm:spPr>
        <a:xfrm>
          <a:off x="1414154" y="963895"/>
          <a:ext cx="1166313" cy="406204"/>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FB1FCCE8-4B0E-40C4-A18F-300FF8B2E470}" type="sibTrans" cxnId="{7EC29508-5F3B-4159-8DD1-75C7F3C36FEF}">
      <dgm:prSet/>
      <dgm:spPr/>
      <dgm:t>
        <a:bodyPr/>
        <a:lstStyle/>
        <a:p>
          <a:endParaRPr lang="en-US"/>
        </a:p>
      </dgm:t>
    </dgm:pt>
    <dgm:pt modelId="{4DDBD783-1E46-4C3F-8615-FC89D75BB47C}">
      <dgm:prSet/>
      <dgm:spPr>
        <a:xfrm>
          <a:off x="450258" y="2738831"/>
          <a:ext cx="1927790" cy="96389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ysClr val="windowText" lastClr="000000"/>
              </a:solidFill>
              <a:effectLst/>
              <a:latin typeface="Times New Roman" pitchFamily="18" charset="0"/>
              <a:ea typeface="MS PGothic" pitchFamily="34" charset="-128"/>
              <a:cs typeface="+mn-cs"/>
            </a:rPr>
            <a:t>All income can be taxed at spouse's, children's or even charity's tax rate, to extent distributed or subject to withdraw </a:t>
          </a:r>
        </a:p>
      </dgm:t>
    </dgm:pt>
    <dgm:pt modelId="{FA82F3D6-BDA4-417D-9BBC-8872F35A043E}" type="parTrans" cxnId="{63D74C66-5AA6-4087-BEBD-FF01C560DF61}">
      <dgm:prSet/>
      <dgm:spPr>
        <a:xfrm>
          <a:off x="1368434" y="2333995"/>
          <a:ext cx="91440" cy="40483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AC9B466-4053-4019-9556-D8E7910654EA}" type="sibTrans" cxnId="{63D74C66-5AA6-4087-BEBD-FF01C560DF61}">
      <dgm:prSet/>
      <dgm:spPr/>
      <dgm:t>
        <a:bodyPr/>
        <a:lstStyle/>
        <a:p>
          <a:endParaRPr lang="en-US"/>
        </a:p>
      </dgm:t>
    </dgm:pt>
    <dgm:pt modelId="{00D1968D-FB8B-4F20-8FFD-C9057B42773F}">
      <dgm:prSet/>
      <dgm:spPr>
        <a:xfrm>
          <a:off x="2782885" y="1370099"/>
          <a:ext cx="1927790" cy="96389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ysClr val="windowText" lastClr="000000"/>
              </a:solidFill>
              <a:effectLst/>
              <a:latin typeface="Times New Roman" pitchFamily="18" charset="0"/>
              <a:ea typeface="MS PGothic" pitchFamily="34" charset="-128"/>
              <a:cs typeface="+mn-cs"/>
            </a:rPr>
            <a:t>John Doe Marital Trust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ysClr val="windowText" lastClr="000000"/>
              </a:solidFill>
              <a:effectLst/>
              <a:latin typeface="Times New Roman" pitchFamily="18" charset="0"/>
              <a:ea typeface="MS PGothic" pitchFamily="34" charset="-128"/>
              <a:cs typeface="+mn-cs"/>
            </a:rPr>
            <a:t>Fbo spouse only,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ysClr val="windowText" lastClr="000000"/>
              </a:solidFill>
              <a:effectLst/>
              <a:latin typeface="Times New Roman" pitchFamily="18" charset="0"/>
              <a:ea typeface="MS PGothic" pitchFamily="34" charset="-128"/>
              <a:cs typeface="+mn-cs"/>
            </a:rPr>
            <a:t>&gt; $5.34mm (or basic exclusion amount)</a:t>
          </a:r>
          <a:endParaRPr kumimoji="0" lang="en-US" b="0" i="0" u="none" strike="noStrike" cap="none" normalizeH="0" baseline="0">
            <a:ln>
              <a:noFill/>
            </a:ln>
            <a:solidFill>
              <a:sysClr val="windowText" lastClr="000000"/>
            </a:solidFill>
            <a:effectLst/>
            <a:latin typeface="Arial" charset="0"/>
            <a:ea typeface="MS PGothic" pitchFamily="34" charset="-128"/>
            <a:cs typeface="+mn-cs"/>
          </a:endParaRPr>
        </a:p>
      </dgm:t>
    </dgm:pt>
    <dgm:pt modelId="{635800B2-DD28-4811-8016-F456084F7855}" type="parTrans" cxnId="{EF45EF21-3529-457E-8B1D-2A2B8490C10B}">
      <dgm:prSet/>
      <dgm:spPr>
        <a:xfrm>
          <a:off x="2580467" y="963895"/>
          <a:ext cx="1166313" cy="406204"/>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CFEE436D-F56F-4981-8A95-603CF1CBF897}" type="sibTrans" cxnId="{EF45EF21-3529-457E-8B1D-2A2B8490C10B}">
      <dgm:prSet/>
      <dgm:spPr/>
      <dgm:t>
        <a:bodyPr/>
        <a:lstStyle/>
        <a:p>
          <a:endParaRPr lang="en-US"/>
        </a:p>
      </dgm:t>
    </dgm:pt>
    <dgm:pt modelId="{47C65B1C-93A4-47FF-AC93-A9CB157E98B2}">
      <dgm:prSet/>
      <dgm:spPr>
        <a:xfrm>
          <a:off x="2782885" y="2738831"/>
          <a:ext cx="1927790" cy="96389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a:ln>
                <a:noFill/>
              </a:ln>
              <a:solidFill>
                <a:sysClr val="windowText" lastClr="000000"/>
              </a:solidFill>
              <a:effectLst/>
              <a:latin typeface="Times New Roman" pitchFamily="18" charset="0"/>
              <a:ea typeface="MS PGothic" pitchFamily="34" charset="-128"/>
              <a:cs typeface="+mn-cs"/>
            </a:rPr>
            <a:t>All income can be taxed at spouse's tax rates if distributed or subject to withdrawal (no ability to spray to children or charity)</a:t>
          </a:r>
        </a:p>
      </dgm:t>
    </dgm:pt>
    <dgm:pt modelId="{B2AAB36C-AD79-440C-8DF6-D26BB9571ECD}" type="parTrans" cxnId="{3251ED8E-D3C1-4B56-8818-30D2822D998B}">
      <dgm:prSet/>
      <dgm:spPr>
        <a:xfrm>
          <a:off x="3701060" y="2333995"/>
          <a:ext cx="91440" cy="40483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B247704-690C-47A8-B9B8-38359BDC7FE9}" type="sibTrans" cxnId="{3251ED8E-D3C1-4B56-8818-30D2822D998B}">
      <dgm:prSet/>
      <dgm:spPr/>
      <dgm:t>
        <a:bodyPr/>
        <a:lstStyle/>
        <a:p>
          <a:endParaRPr lang="en-US"/>
        </a:p>
      </dgm:t>
    </dgm:pt>
    <dgm:pt modelId="{BAAB6F0F-77DF-4DA6-8809-396EA1517A8A}" type="pres">
      <dgm:prSet presAssocID="{6D2B853B-4EB5-4049-B8F5-D13339810685}" presName="hierChild1" presStyleCnt="0">
        <dgm:presLayoutVars>
          <dgm:orgChart val="1"/>
          <dgm:chPref val="1"/>
          <dgm:dir/>
          <dgm:animOne val="branch"/>
          <dgm:animLvl val="lvl"/>
          <dgm:resizeHandles/>
        </dgm:presLayoutVars>
      </dgm:prSet>
      <dgm:spPr/>
    </dgm:pt>
    <dgm:pt modelId="{AE74F047-C562-49A7-B978-C236DF2A15DA}" type="pres">
      <dgm:prSet presAssocID="{96EF23D9-A156-4C03-B572-19C373D0EF10}" presName="hierRoot1" presStyleCnt="0">
        <dgm:presLayoutVars>
          <dgm:hierBranch/>
        </dgm:presLayoutVars>
      </dgm:prSet>
      <dgm:spPr/>
    </dgm:pt>
    <dgm:pt modelId="{C93ED573-D5B1-46EC-B493-01167F24DBC1}" type="pres">
      <dgm:prSet presAssocID="{96EF23D9-A156-4C03-B572-19C373D0EF10}" presName="rootComposite1" presStyleCnt="0"/>
      <dgm:spPr/>
    </dgm:pt>
    <dgm:pt modelId="{7B5F7D02-F218-497E-925E-471BEFE353F0}" type="pres">
      <dgm:prSet presAssocID="{96EF23D9-A156-4C03-B572-19C373D0EF10}" presName="rootText1" presStyleLbl="node0" presStyleIdx="0" presStyleCnt="1" custLinFactNeighborY="-142">
        <dgm:presLayoutVars>
          <dgm:chPref val="3"/>
        </dgm:presLayoutVars>
      </dgm:prSet>
      <dgm:spPr>
        <a:prstGeom prst="rect">
          <a:avLst/>
        </a:prstGeom>
      </dgm:spPr>
    </dgm:pt>
    <dgm:pt modelId="{97B2CFEC-4BCB-40B5-B0C5-18B06A9294B5}" type="pres">
      <dgm:prSet presAssocID="{96EF23D9-A156-4C03-B572-19C373D0EF10}" presName="rootConnector1" presStyleLbl="node1" presStyleIdx="0" presStyleCnt="0"/>
      <dgm:spPr/>
    </dgm:pt>
    <dgm:pt modelId="{9BE1EE56-FD0D-472E-AEED-7859D70DAF95}" type="pres">
      <dgm:prSet presAssocID="{96EF23D9-A156-4C03-B572-19C373D0EF10}" presName="hierChild2" presStyleCnt="0"/>
      <dgm:spPr/>
    </dgm:pt>
    <dgm:pt modelId="{6D1A591A-FBF2-47CB-B8B4-260F2544633F}" type="pres">
      <dgm:prSet presAssocID="{2C45D562-BC3D-45A7-9F4E-50E227A81822}" presName="Name35" presStyleLbl="parChTrans1D2" presStyleIdx="0" presStyleCnt="2"/>
      <dgm:spPr>
        <a:custGeom>
          <a:avLst/>
          <a:gdLst/>
          <a:ahLst/>
          <a:cxnLst/>
          <a:rect l="0" t="0" r="0" b="0"/>
          <a:pathLst>
            <a:path>
              <a:moveTo>
                <a:pt x="1166313" y="0"/>
              </a:moveTo>
              <a:lnTo>
                <a:pt x="1166313" y="203786"/>
              </a:lnTo>
              <a:lnTo>
                <a:pt x="0" y="203786"/>
              </a:lnTo>
              <a:lnTo>
                <a:pt x="0" y="406204"/>
              </a:lnTo>
            </a:path>
          </a:pathLst>
        </a:custGeom>
      </dgm:spPr>
    </dgm:pt>
    <dgm:pt modelId="{31E02F54-95A0-4E9C-A5FA-D700BA992E18}" type="pres">
      <dgm:prSet presAssocID="{BFEF32D8-973E-44C7-93C7-BD1CC9222B4E}" presName="hierRoot2" presStyleCnt="0">
        <dgm:presLayoutVars>
          <dgm:hierBranch/>
        </dgm:presLayoutVars>
      </dgm:prSet>
      <dgm:spPr/>
    </dgm:pt>
    <dgm:pt modelId="{AAB457F7-A910-41E1-B687-FC31EEF3E51C}" type="pres">
      <dgm:prSet presAssocID="{BFEF32D8-973E-44C7-93C7-BD1CC9222B4E}" presName="rootComposite" presStyleCnt="0"/>
      <dgm:spPr/>
    </dgm:pt>
    <dgm:pt modelId="{E86F6DCB-E17B-40FB-A171-912FD09D7AB7}" type="pres">
      <dgm:prSet presAssocID="{BFEF32D8-973E-44C7-93C7-BD1CC9222B4E}" presName="rootText" presStyleLbl="node2" presStyleIdx="0" presStyleCnt="2">
        <dgm:presLayoutVars>
          <dgm:chPref val="3"/>
        </dgm:presLayoutVars>
      </dgm:prSet>
      <dgm:spPr>
        <a:prstGeom prst="rect">
          <a:avLst/>
        </a:prstGeom>
      </dgm:spPr>
    </dgm:pt>
    <dgm:pt modelId="{681CE0CB-A8CB-43E0-B95A-5B320AC54067}" type="pres">
      <dgm:prSet presAssocID="{BFEF32D8-973E-44C7-93C7-BD1CC9222B4E}" presName="rootConnector" presStyleLbl="node2" presStyleIdx="0" presStyleCnt="2"/>
      <dgm:spPr/>
    </dgm:pt>
    <dgm:pt modelId="{DC2E5C55-AA2B-4568-86B7-CE6B2E1B3CD0}" type="pres">
      <dgm:prSet presAssocID="{BFEF32D8-973E-44C7-93C7-BD1CC9222B4E}" presName="hierChild4" presStyleCnt="0"/>
      <dgm:spPr/>
    </dgm:pt>
    <dgm:pt modelId="{5C1A34A5-9109-47DC-8201-6853233EDFC0}" type="pres">
      <dgm:prSet presAssocID="{FA82F3D6-BDA4-417D-9BBC-8872F35A043E}" presName="Name35" presStyleLbl="parChTrans1D3" presStyleIdx="0" presStyleCnt="2"/>
      <dgm:spPr>
        <a:custGeom>
          <a:avLst/>
          <a:gdLst/>
          <a:ahLst/>
          <a:cxnLst/>
          <a:rect l="0" t="0" r="0" b="0"/>
          <a:pathLst>
            <a:path>
              <a:moveTo>
                <a:pt x="45720" y="0"/>
              </a:moveTo>
              <a:lnTo>
                <a:pt x="45720" y="404836"/>
              </a:lnTo>
            </a:path>
          </a:pathLst>
        </a:custGeom>
      </dgm:spPr>
    </dgm:pt>
    <dgm:pt modelId="{8AD565DB-9FA1-40B6-9170-A46E74D32842}" type="pres">
      <dgm:prSet presAssocID="{4DDBD783-1E46-4C3F-8615-FC89D75BB47C}" presName="hierRoot2" presStyleCnt="0">
        <dgm:presLayoutVars>
          <dgm:hierBranch val="r"/>
        </dgm:presLayoutVars>
      </dgm:prSet>
      <dgm:spPr/>
    </dgm:pt>
    <dgm:pt modelId="{568D9063-2E48-4539-893C-A40C09B2925E}" type="pres">
      <dgm:prSet presAssocID="{4DDBD783-1E46-4C3F-8615-FC89D75BB47C}" presName="rootComposite" presStyleCnt="0"/>
      <dgm:spPr/>
    </dgm:pt>
    <dgm:pt modelId="{D98DFCAD-40A4-4690-ACAB-80A69AA0C3C8}" type="pres">
      <dgm:prSet presAssocID="{4DDBD783-1E46-4C3F-8615-FC89D75BB47C}" presName="rootText" presStyleLbl="node3" presStyleIdx="0" presStyleCnt="2">
        <dgm:presLayoutVars>
          <dgm:chPref val="3"/>
        </dgm:presLayoutVars>
      </dgm:prSet>
      <dgm:spPr>
        <a:prstGeom prst="rect">
          <a:avLst/>
        </a:prstGeom>
      </dgm:spPr>
    </dgm:pt>
    <dgm:pt modelId="{21DEAB41-0991-48F4-8587-8E74E6018D0C}" type="pres">
      <dgm:prSet presAssocID="{4DDBD783-1E46-4C3F-8615-FC89D75BB47C}" presName="rootConnector" presStyleLbl="node3" presStyleIdx="0" presStyleCnt="2"/>
      <dgm:spPr/>
    </dgm:pt>
    <dgm:pt modelId="{1BA56B9C-1893-42E7-A34B-FF57F9A04329}" type="pres">
      <dgm:prSet presAssocID="{4DDBD783-1E46-4C3F-8615-FC89D75BB47C}" presName="hierChild4" presStyleCnt="0"/>
      <dgm:spPr/>
    </dgm:pt>
    <dgm:pt modelId="{25CD342D-5D93-4B1F-9E3E-B8C4D7B20A15}" type="pres">
      <dgm:prSet presAssocID="{4DDBD783-1E46-4C3F-8615-FC89D75BB47C}" presName="hierChild5" presStyleCnt="0"/>
      <dgm:spPr/>
    </dgm:pt>
    <dgm:pt modelId="{92FDC4E4-CC47-4C07-B228-91C7364B34C3}" type="pres">
      <dgm:prSet presAssocID="{BFEF32D8-973E-44C7-93C7-BD1CC9222B4E}" presName="hierChild5" presStyleCnt="0"/>
      <dgm:spPr/>
    </dgm:pt>
    <dgm:pt modelId="{0444CD26-43B6-4749-9689-3311F1B75DD7}" type="pres">
      <dgm:prSet presAssocID="{635800B2-DD28-4811-8016-F456084F7855}" presName="Name35" presStyleLbl="parChTrans1D2" presStyleIdx="1" presStyleCnt="2"/>
      <dgm:spPr>
        <a:custGeom>
          <a:avLst/>
          <a:gdLst/>
          <a:ahLst/>
          <a:cxnLst/>
          <a:rect l="0" t="0" r="0" b="0"/>
          <a:pathLst>
            <a:path>
              <a:moveTo>
                <a:pt x="0" y="0"/>
              </a:moveTo>
              <a:lnTo>
                <a:pt x="0" y="203786"/>
              </a:lnTo>
              <a:lnTo>
                <a:pt x="1166313" y="203786"/>
              </a:lnTo>
              <a:lnTo>
                <a:pt x="1166313" y="406204"/>
              </a:lnTo>
            </a:path>
          </a:pathLst>
        </a:custGeom>
      </dgm:spPr>
    </dgm:pt>
    <dgm:pt modelId="{51495663-1596-4046-AB2B-7C688C05D7DC}" type="pres">
      <dgm:prSet presAssocID="{00D1968D-FB8B-4F20-8FFD-C9057B42773F}" presName="hierRoot2" presStyleCnt="0">
        <dgm:presLayoutVars>
          <dgm:hierBranch/>
        </dgm:presLayoutVars>
      </dgm:prSet>
      <dgm:spPr/>
    </dgm:pt>
    <dgm:pt modelId="{BBDECF27-35E6-4909-88C7-733456D731CA}" type="pres">
      <dgm:prSet presAssocID="{00D1968D-FB8B-4F20-8FFD-C9057B42773F}" presName="rootComposite" presStyleCnt="0"/>
      <dgm:spPr/>
    </dgm:pt>
    <dgm:pt modelId="{A5B7ABED-3994-40F3-972D-A444A0689A04}" type="pres">
      <dgm:prSet presAssocID="{00D1968D-FB8B-4F20-8FFD-C9057B42773F}" presName="rootText" presStyleLbl="node2" presStyleIdx="1" presStyleCnt="2">
        <dgm:presLayoutVars>
          <dgm:chPref val="3"/>
        </dgm:presLayoutVars>
      </dgm:prSet>
      <dgm:spPr>
        <a:prstGeom prst="rect">
          <a:avLst/>
        </a:prstGeom>
      </dgm:spPr>
    </dgm:pt>
    <dgm:pt modelId="{8CC5E6D5-0AB4-47FD-829F-0C67895F2AAC}" type="pres">
      <dgm:prSet presAssocID="{00D1968D-FB8B-4F20-8FFD-C9057B42773F}" presName="rootConnector" presStyleLbl="node2" presStyleIdx="1" presStyleCnt="2"/>
      <dgm:spPr/>
    </dgm:pt>
    <dgm:pt modelId="{D6573AE0-23B5-4AC9-90F8-E90F654CCA31}" type="pres">
      <dgm:prSet presAssocID="{00D1968D-FB8B-4F20-8FFD-C9057B42773F}" presName="hierChild4" presStyleCnt="0"/>
      <dgm:spPr/>
    </dgm:pt>
    <dgm:pt modelId="{D7126A6B-0544-410E-88E4-077D754D8AD1}" type="pres">
      <dgm:prSet presAssocID="{B2AAB36C-AD79-440C-8DF6-D26BB9571ECD}" presName="Name35" presStyleLbl="parChTrans1D3" presStyleIdx="1" presStyleCnt="2"/>
      <dgm:spPr>
        <a:custGeom>
          <a:avLst/>
          <a:gdLst/>
          <a:ahLst/>
          <a:cxnLst/>
          <a:rect l="0" t="0" r="0" b="0"/>
          <a:pathLst>
            <a:path>
              <a:moveTo>
                <a:pt x="45720" y="0"/>
              </a:moveTo>
              <a:lnTo>
                <a:pt x="45720" y="404836"/>
              </a:lnTo>
            </a:path>
          </a:pathLst>
        </a:custGeom>
      </dgm:spPr>
    </dgm:pt>
    <dgm:pt modelId="{41463494-EFFB-4B08-964D-F9E62E689C9C}" type="pres">
      <dgm:prSet presAssocID="{47C65B1C-93A4-47FF-AC93-A9CB157E98B2}" presName="hierRoot2" presStyleCnt="0">
        <dgm:presLayoutVars>
          <dgm:hierBranch val="r"/>
        </dgm:presLayoutVars>
      </dgm:prSet>
      <dgm:spPr/>
    </dgm:pt>
    <dgm:pt modelId="{4B7C008F-B98E-4965-800B-E39D98DB34A6}" type="pres">
      <dgm:prSet presAssocID="{47C65B1C-93A4-47FF-AC93-A9CB157E98B2}" presName="rootComposite" presStyleCnt="0"/>
      <dgm:spPr/>
    </dgm:pt>
    <dgm:pt modelId="{1C841405-0365-4965-A0AC-2AF265FFDC42}" type="pres">
      <dgm:prSet presAssocID="{47C65B1C-93A4-47FF-AC93-A9CB157E98B2}" presName="rootText" presStyleLbl="node3" presStyleIdx="1" presStyleCnt="2">
        <dgm:presLayoutVars>
          <dgm:chPref val="3"/>
        </dgm:presLayoutVars>
      </dgm:prSet>
      <dgm:spPr>
        <a:prstGeom prst="rect">
          <a:avLst/>
        </a:prstGeom>
      </dgm:spPr>
    </dgm:pt>
    <dgm:pt modelId="{5D758CF2-C046-4AB2-BBE3-F458F3B08505}" type="pres">
      <dgm:prSet presAssocID="{47C65B1C-93A4-47FF-AC93-A9CB157E98B2}" presName="rootConnector" presStyleLbl="node3" presStyleIdx="1" presStyleCnt="2"/>
      <dgm:spPr/>
    </dgm:pt>
    <dgm:pt modelId="{846C41B6-D181-4AA7-AB6A-699DE167E48E}" type="pres">
      <dgm:prSet presAssocID="{47C65B1C-93A4-47FF-AC93-A9CB157E98B2}" presName="hierChild4" presStyleCnt="0"/>
      <dgm:spPr/>
    </dgm:pt>
    <dgm:pt modelId="{72738329-34FB-4DE6-874D-26B5950820E2}" type="pres">
      <dgm:prSet presAssocID="{47C65B1C-93A4-47FF-AC93-A9CB157E98B2}" presName="hierChild5" presStyleCnt="0"/>
      <dgm:spPr/>
    </dgm:pt>
    <dgm:pt modelId="{34FA963D-58F3-49CE-9B34-5B32C30BC661}" type="pres">
      <dgm:prSet presAssocID="{00D1968D-FB8B-4F20-8FFD-C9057B42773F}" presName="hierChild5" presStyleCnt="0"/>
      <dgm:spPr/>
    </dgm:pt>
    <dgm:pt modelId="{EA14876C-9BE5-42F4-8F0D-2EBBAF9CF098}" type="pres">
      <dgm:prSet presAssocID="{96EF23D9-A156-4C03-B572-19C373D0EF10}" presName="hierChild3" presStyleCnt="0"/>
      <dgm:spPr/>
    </dgm:pt>
  </dgm:ptLst>
  <dgm:cxnLst>
    <dgm:cxn modelId="{DACDF505-F256-4862-A715-061DF86D346A}" type="presOf" srcId="{BFEF32D8-973E-44C7-93C7-BD1CC9222B4E}" destId="{E86F6DCB-E17B-40FB-A171-912FD09D7AB7}" srcOrd="0" destOrd="0" presId="urn:microsoft.com/office/officeart/2005/8/layout/orgChart1"/>
    <dgm:cxn modelId="{7EC29508-5F3B-4159-8DD1-75C7F3C36FEF}" srcId="{96EF23D9-A156-4C03-B572-19C373D0EF10}" destId="{BFEF32D8-973E-44C7-93C7-BD1CC9222B4E}" srcOrd="0" destOrd="0" parTransId="{2C45D562-BC3D-45A7-9F4E-50E227A81822}" sibTransId="{FB1FCCE8-4B0E-40C4-A18F-300FF8B2E470}"/>
    <dgm:cxn modelId="{F6D5801E-C969-444F-9D13-1D04813A3CC5}" type="presOf" srcId="{96EF23D9-A156-4C03-B572-19C373D0EF10}" destId="{97B2CFEC-4BCB-40B5-B0C5-18B06A9294B5}" srcOrd="1" destOrd="0" presId="urn:microsoft.com/office/officeart/2005/8/layout/orgChart1"/>
    <dgm:cxn modelId="{EF45EF21-3529-457E-8B1D-2A2B8490C10B}" srcId="{96EF23D9-A156-4C03-B572-19C373D0EF10}" destId="{00D1968D-FB8B-4F20-8FFD-C9057B42773F}" srcOrd="1" destOrd="0" parTransId="{635800B2-DD28-4811-8016-F456084F7855}" sibTransId="{CFEE436D-F56F-4981-8A95-603CF1CBF897}"/>
    <dgm:cxn modelId="{4894F822-4F1C-4477-AEAE-BDBA96C12FDC}" type="presOf" srcId="{00D1968D-FB8B-4F20-8FFD-C9057B42773F}" destId="{A5B7ABED-3994-40F3-972D-A444A0689A04}" srcOrd="0" destOrd="0" presId="urn:microsoft.com/office/officeart/2005/8/layout/orgChart1"/>
    <dgm:cxn modelId="{63D74C66-5AA6-4087-BEBD-FF01C560DF61}" srcId="{BFEF32D8-973E-44C7-93C7-BD1CC9222B4E}" destId="{4DDBD783-1E46-4C3F-8615-FC89D75BB47C}" srcOrd="0" destOrd="0" parTransId="{FA82F3D6-BDA4-417D-9BBC-8872F35A043E}" sibTransId="{2AC9B466-4053-4019-9556-D8E7910654EA}"/>
    <dgm:cxn modelId="{EFCE9A4C-3DA5-4863-BA63-64CBDE5CC0AE}" type="presOf" srcId="{4DDBD783-1E46-4C3F-8615-FC89D75BB47C}" destId="{21DEAB41-0991-48F4-8587-8E74E6018D0C}" srcOrd="1" destOrd="0" presId="urn:microsoft.com/office/officeart/2005/8/layout/orgChart1"/>
    <dgm:cxn modelId="{DF487C6D-3934-47BE-8F36-BFF8DA9A207F}" type="presOf" srcId="{2C45D562-BC3D-45A7-9F4E-50E227A81822}" destId="{6D1A591A-FBF2-47CB-B8B4-260F2544633F}" srcOrd="0" destOrd="0" presId="urn:microsoft.com/office/officeart/2005/8/layout/orgChart1"/>
    <dgm:cxn modelId="{D6B48778-4A9E-4AF8-B5AD-184411866633}" type="presOf" srcId="{96EF23D9-A156-4C03-B572-19C373D0EF10}" destId="{7B5F7D02-F218-497E-925E-471BEFE353F0}" srcOrd="0" destOrd="0" presId="urn:microsoft.com/office/officeart/2005/8/layout/orgChart1"/>
    <dgm:cxn modelId="{3251ED8E-D3C1-4B56-8818-30D2822D998B}" srcId="{00D1968D-FB8B-4F20-8FFD-C9057B42773F}" destId="{47C65B1C-93A4-47FF-AC93-A9CB157E98B2}" srcOrd="0" destOrd="0" parTransId="{B2AAB36C-AD79-440C-8DF6-D26BB9571ECD}" sibTransId="{BB247704-690C-47A8-B9B8-38359BDC7FE9}"/>
    <dgm:cxn modelId="{80928C93-A03E-4DFF-B595-549AB6BD5FC9}" type="presOf" srcId="{635800B2-DD28-4811-8016-F456084F7855}" destId="{0444CD26-43B6-4749-9689-3311F1B75DD7}" srcOrd="0" destOrd="0" presId="urn:microsoft.com/office/officeart/2005/8/layout/orgChart1"/>
    <dgm:cxn modelId="{58163798-B91C-4BF2-ADBF-2C9E90E3C657}" type="presOf" srcId="{BFEF32D8-973E-44C7-93C7-BD1CC9222B4E}" destId="{681CE0CB-A8CB-43E0-B95A-5B320AC54067}" srcOrd="1" destOrd="0" presId="urn:microsoft.com/office/officeart/2005/8/layout/orgChart1"/>
    <dgm:cxn modelId="{D5A1B4B6-3AF4-4A79-86F2-AD3A9980BE4A}" srcId="{6D2B853B-4EB5-4049-B8F5-D13339810685}" destId="{96EF23D9-A156-4C03-B572-19C373D0EF10}" srcOrd="0" destOrd="0" parTransId="{511866EA-E4CC-4EED-9AD7-AEAA883DB778}" sibTransId="{7E7241A9-398B-4E5D-AC32-D3C4D1FDDF88}"/>
    <dgm:cxn modelId="{3C05EEC4-69CC-456F-8380-F3F8253F48B1}" type="presOf" srcId="{47C65B1C-93A4-47FF-AC93-A9CB157E98B2}" destId="{5D758CF2-C046-4AB2-BBE3-F458F3B08505}" srcOrd="1" destOrd="0" presId="urn:microsoft.com/office/officeart/2005/8/layout/orgChart1"/>
    <dgm:cxn modelId="{7CEAB0D7-3069-417E-BA0C-753900444286}" type="presOf" srcId="{4DDBD783-1E46-4C3F-8615-FC89D75BB47C}" destId="{D98DFCAD-40A4-4690-ACAB-80A69AA0C3C8}" srcOrd="0" destOrd="0" presId="urn:microsoft.com/office/officeart/2005/8/layout/orgChart1"/>
    <dgm:cxn modelId="{E9E633D8-1518-43B3-AEC6-315A2C973DC9}" type="presOf" srcId="{6D2B853B-4EB5-4049-B8F5-D13339810685}" destId="{BAAB6F0F-77DF-4DA6-8809-396EA1517A8A}" srcOrd="0" destOrd="0" presId="urn:microsoft.com/office/officeart/2005/8/layout/orgChart1"/>
    <dgm:cxn modelId="{97A46AD9-3EEF-46EB-9F3E-7138E2AFDB9B}" type="presOf" srcId="{47C65B1C-93A4-47FF-AC93-A9CB157E98B2}" destId="{1C841405-0365-4965-A0AC-2AF265FFDC42}" srcOrd="0" destOrd="0" presId="urn:microsoft.com/office/officeart/2005/8/layout/orgChart1"/>
    <dgm:cxn modelId="{D1CEF7E0-4D56-4849-8C1B-25E0642DF4C7}" type="presOf" srcId="{FA82F3D6-BDA4-417D-9BBC-8872F35A043E}" destId="{5C1A34A5-9109-47DC-8201-6853233EDFC0}" srcOrd="0" destOrd="0" presId="urn:microsoft.com/office/officeart/2005/8/layout/orgChart1"/>
    <dgm:cxn modelId="{DD426EF9-888C-449D-A8B1-A6CE36F3C30C}" type="presOf" srcId="{B2AAB36C-AD79-440C-8DF6-D26BB9571ECD}" destId="{D7126A6B-0544-410E-88E4-077D754D8AD1}" srcOrd="0" destOrd="0" presId="urn:microsoft.com/office/officeart/2005/8/layout/orgChart1"/>
    <dgm:cxn modelId="{935A9BFD-51CB-415F-BE13-E91E475AD4B2}" type="presOf" srcId="{00D1968D-FB8B-4F20-8FFD-C9057B42773F}" destId="{8CC5E6D5-0AB4-47FD-829F-0C67895F2AAC}" srcOrd="1" destOrd="0" presId="urn:microsoft.com/office/officeart/2005/8/layout/orgChart1"/>
    <dgm:cxn modelId="{D6859532-379A-46DF-8A99-A0DECDD22BCF}" type="presParOf" srcId="{BAAB6F0F-77DF-4DA6-8809-396EA1517A8A}" destId="{AE74F047-C562-49A7-B978-C236DF2A15DA}" srcOrd="0" destOrd="0" presId="urn:microsoft.com/office/officeart/2005/8/layout/orgChart1"/>
    <dgm:cxn modelId="{CA8397E3-0FBE-4E2F-A37E-49A14E25B7DA}" type="presParOf" srcId="{AE74F047-C562-49A7-B978-C236DF2A15DA}" destId="{C93ED573-D5B1-46EC-B493-01167F24DBC1}" srcOrd="0" destOrd="0" presId="urn:microsoft.com/office/officeart/2005/8/layout/orgChart1"/>
    <dgm:cxn modelId="{2002DAA8-0187-4364-90F7-F738745C6233}" type="presParOf" srcId="{C93ED573-D5B1-46EC-B493-01167F24DBC1}" destId="{7B5F7D02-F218-497E-925E-471BEFE353F0}" srcOrd="0" destOrd="0" presId="urn:microsoft.com/office/officeart/2005/8/layout/orgChart1"/>
    <dgm:cxn modelId="{7E8C72A4-6920-4E3C-8C1E-EFD1C305B046}" type="presParOf" srcId="{C93ED573-D5B1-46EC-B493-01167F24DBC1}" destId="{97B2CFEC-4BCB-40B5-B0C5-18B06A9294B5}" srcOrd="1" destOrd="0" presId="urn:microsoft.com/office/officeart/2005/8/layout/orgChart1"/>
    <dgm:cxn modelId="{32B8BCA9-5035-485C-9EF9-9A39F6356723}" type="presParOf" srcId="{AE74F047-C562-49A7-B978-C236DF2A15DA}" destId="{9BE1EE56-FD0D-472E-AEED-7859D70DAF95}" srcOrd="1" destOrd="0" presId="urn:microsoft.com/office/officeart/2005/8/layout/orgChart1"/>
    <dgm:cxn modelId="{8FDA84BC-7875-42DC-BB3D-B5B288084D1D}" type="presParOf" srcId="{9BE1EE56-FD0D-472E-AEED-7859D70DAF95}" destId="{6D1A591A-FBF2-47CB-B8B4-260F2544633F}" srcOrd="0" destOrd="0" presId="urn:microsoft.com/office/officeart/2005/8/layout/orgChart1"/>
    <dgm:cxn modelId="{D2185340-339F-4901-AA30-33D659CF901B}" type="presParOf" srcId="{9BE1EE56-FD0D-472E-AEED-7859D70DAF95}" destId="{31E02F54-95A0-4E9C-A5FA-D700BA992E18}" srcOrd="1" destOrd="0" presId="urn:microsoft.com/office/officeart/2005/8/layout/orgChart1"/>
    <dgm:cxn modelId="{DE094D5B-E3E8-4061-8685-BF83EEAF1E22}" type="presParOf" srcId="{31E02F54-95A0-4E9C-A5FA-D700BA992E18}" destId="{AAB457F7-A910-41E1-B687-FC31EEF3E51C}" srcOrd="0" destOrd="0" presId="urn:microsoft.com/office/officeart/2005/8/layout/orgChart1"/>
    <dgm:cxn modelId="{C5F60E91-6069-4CE5-8809-D9F6E961B3C6}" type="presParOf" srcId="{AAB457F7-A910-41E1-B687-FC31EEF3E51C}" destId="{E86F6DCB-E17B-40FB-A171-912FD09D7AB7}" srcOrd="0" destOrd="0" presId="urn:microsoft.com/office/officeart/2005/8/layout/orgChart1"/>
    <dgm:cxn modelId="{11A6C009-5DD4-4B16-9AC1-1B6962E27F63}" type="presParOf" srcId="{AAB457F7-A910-41E1-B687-FC31EEF3E51C}" destId="{681CE0CB-A8CB-43E0-B95A-5B320AC54067}" srcOrd="1" destOrd="0" presId="urn:microsoft.com/office/officeart/2005/8/layout/orgChart1"/>
    <dgm:cxn modelId="{4726AB5B-AF08-4841-98E9-8DE3407219CB}" type="presParOf" srcId="{31E02F54-95A0-4E9C-A5FA-D700BA992E18}" destId="{DC2E5C55-AA2B-4568-86B7-CE6B2E1B3CD0}" srcOrd="1" destOrd="0" presId="urn:microsoft.com/office/officeart/2005/8/layout/orgChart1"/>
    <dgm:cxn modelId="{8A74F465-BCA2-4927-A557-2DCF9D2EFCD4}" type="presParOf" srcId="{DC2E5C55-AA2B-4568-86B7-CE6B2E1B3CD0}" destId="{5C1A34A5-9109-47DC-8201-6853233EDFC0}" srcOrd="0" destOrd="0" presId="urn:microsoft.com/office/officeart/2005/8/layout/orgChart1"/>
    <dgm:cxn modelId="{669CE1F1-35DE-4F05-AF24-AD6585A9FA10}" type="presParOf" srcId="{DC2E5C55-AA2B-4568-86B7-CE6B2E1B3CD0}" destId="{8AD565DB-9FA1-40B6-9170-A46E74D32842}" srcOrd="1" destOrd="0" presId="urn:microsoft.com/office/officeart/2005/8/layout/orgChart1"/>
    <dgm:cxn modelId="{A8EF8FBB-9D34-4181-AFDD-68484FE82397}" type="presParOf" srcId="{8AD565DB-9FA1-40B6-9170-A46E74D32842}" destId="{568D9063-2E48-4539-893C-A40C09B2925E}" srcOrd="0" destOrd="0" presId="urn:microsoft.com/office/officeart/2005/8/layout/orgChart1"/>
    <dgm:cxn modelId="{2778886A-10A4-40AF-9FB2-C85F7340470C}" type="presParOf" srcId="{568D9063-2E48-4539-893C-A40C09B2925E}" destId="{D98DFCAD-40A4-4690-ACAB-80A69AA0C3C8}" srcOrd="0" destOrd="0" presId="urn:microsoft.com/office/officeart/2005/8/layout/orgChart1"/>
    <dgm:cxn modelId="{F74A5D1B-7612-481F-A6B7-B4588AD92112}" type="presParOf" srcId="{568D9063-2E48-4539-893C-A40C09B2925E}" destId="{21DEAB41-0991-48F4-8587-8E74E6018D0C}" srcOrd="1" destOrd="0" presId="urn:microsoft.com/office/officeart/2005/8/layout/orgChart1"/>
    <dgm:cxn modelId="{EB0D0021-D381-4C10-B73C-266A5D55BBED}" type="presParOf" srcId="{8AD565DB-9FA1-40B6-9170-A46E74D32842}" destId="{1BA56B9C-1893-42E7-A34B-FF57F9A04329}" srcOrd="1" destOrd="0" presId="urn:microsoft.com/office/officeart/2005/8/layout/orgChart1"/>
    <dgm:cxn modelId="{8B48A844-A022-4F58-BD05-7F1E1B9E38E6}" type="presParOf" srcId="{8AD565DB-9FA1-40B6-9170-A46E74D32842}" destId="{25CD342D-5D93-4B1F-9E3E-B8C4D7B20A15}" srcOrd="2" destOrd="0" presId="urn:microsoft.com/office/officeart/2005/8/layout/orgChart1"/>
    <dgm:cxn modelId="{C7EDE167-0F4B-43D6-9B3E-A4E03D7F5CEC}" type="presParOf" srcId="{31E02F54-95A0-4E9C-A5FA-D700BA992E18}" destId="{92FDC4E4-CC47-4C07-B228-91C7364B34C3}" srcOrd="2" destOrd="0" presId="urn:microsoft.com/office/officeart/2005/8/layout/orgChart1"/>
    <dgm:cxn modelId="{682F6BA4-1B8E-44D9-BA94-152070DA7E80}" type="presParOf" srcId="{9BE1EE56-FD0D-472E-AEED-7859D70DAF95}" destId="{0444CD26-43B6-4749-9689-3311F1B75DD7}" srcOrd="2" destOrd="0" presId="urn:microsoft.com/office/officeart/2005/8/layout/orgChart1"/>
    <dgm:cxn modelId="{8633BF7C-4C0F-4DFC-907A-1FA0B9C3E120}" type="presParOf" srcId="{9BE1EE56-FD0D-472E-AEED-7859D70DAF95}" destId="{51495663-1596-4046-AB2B-7C688C05D7DC}" srcOrd="3" destOrd="0" presId="urn:microsoft.com/office/officeart/2005/8/layout/orgChart1"/>
    <dgm:cxn modelId="{56CFE217-AC5D-4C95-AD7F-6C93B7AB2376}" type="presParOf" srcId="{51495663-1596-4046-AB2B-7C688C05D7DC}" destId="{BBDECF27-35E6-4909-88C7-733456D731CA}" srcOrd="0" destOrd="0" presId="urn:microsoft.com/office/officeart/2005/8/layout/orgChart1"/>
    <dgm:cxn modelId="{9676F8F3-43BE-4527-A576-FC92E1F132D1}" type="presParOf" srcId="{BBDECF27-35E6-4909-88C7-733456D731CA}" destId="{A5B7ABED-3994-40F3-972D-A444A0689A04}" srcOrd="0" destOrd="0" presId="urn:microsoft.com/office/officeart/2005/8/layout/orgChart1"/>
    <dgm:cxn modelId="{A0CD4EE0-ABE1-4742-914E-B5C827539A85}" type="presParOf" srcId="{BBDECF27-35E6-4909-88C7-733456D731CA}" destId="{8CC5E6D5-0AB4-47FD-829F-0C67895F2AAC}" srcOrd="1" destOrd="0" presId="urn:microsoft.com/office/officeart/2005/8/layout/orgChart1"/>
    <dgm:cxn modelId="{4902A85B-96F2-4E40-A5C3-CAEFAD8BCD8A}" type="presParOf" srcId="{51495663-1596-4046-AB2B-7C688C05D7DC}" destId="{D6573AE0-23B5-4AC9-90F8-E90F654CCA31}" srcOrd="1" destOrd="0" presId="urn:microsoft.com/office/officeart/2005/8/layout/orgChart1"/>
    <dgm:cxn modelId="{753B345C-4285-405A-B902-0E1B6D7061C9}" type="presParOf" srcId="{D6573AE0-23B5-4AC9-90F8-E90F654CCA31}" destId="{D7126A6B-0544-410E-88E4-077D754D8AD1}" srcOrd="0" destOrd="0" presId="urn:microsoft.com/office/officeart/2005/8/layout/orgChart1"/>
    <dgm:cxn modelId="{B96872E5-0CDD-4935-BC69-D11532FD5E0F}" type="presParOf" srcId="{D6573AE0-23B5-4AC9-90F8-E90F654CCA31}" destId="{41463494-EFFB-4B08-964D-F9E62E689C9C}" srcOrd="1" destOrd="0" presId="urn:microsoft.com/office/officeart/2005/8/layout/orgChart1"/>
    <dgm:cxn modelId="{AB8D3B07-33C8-4341-A0E0-D8D300A16D9B}" type="presParOf" srcId="{41463494-EFFB-4B08-964D-F9E62E689C9C}" destId="{4B7C008F-B98E-4965-800B-E39D98DB34A6}" srcOrd="0" destOrd="0" presId="urn:microsoft.com/office/officeart/2005/8/layout/orgChart1"/>
    <dgm:cxn modelId="{4757E625-7E67-49E9-9D23-08BFB501E429}" type="presParOf" srcId="{4B7C008F-B98E-4965-800B-E39D98DB34A6}" destId="{1C841405-0365-4965-A0AC-2AF265FFDC42}" srcOrd="0" destOrd="0" presId="urn:microsoft.com/office/officeart/2005/8/layout/orgChart1"/>
    <dgm:cxn modelId="{DE3E5FBE-C6FD-40EA-8CF6-B4C2D89B4AAB}" type="presParOf" srcId="{4B7C008F-B98E-4965-800B-E39D98DB34A6}" destId="{5D758CF2-C046-4AB2-BBE3-F458F3B08505}" srcOrd="1" destOrd="0" presId="urn:microsoft.com/office/officeart/2005/8/layout/orgChart1"/>
    <dgm:cxn modelId="{2F14ECE0-72E4-43BC-8C6D-32ADC1395C21}" type="presParOf" srcId="{41463494-EFFB-4B08-964D-F9E62E689C9C}" destId="{846C41B6-D181-4AA7-AB6A-699DE167E48E}" srcOrd="1" destOrd="0" presId="urn:microsoft.com/office/officeart/2005/8/layout/orgChart1"/>
    <dgm:cxn modelId="{8EFBD3E2-AD6B-473F-B0CC-CBD1393CDE2F}" type="presParOf" srcId="{41463494-EFFB-4B08-964D-F9E62E689C9C}" destId="{72738329-34FB-4DE6-874D-26B5950820E2}" srcOrd="2" destOrd="0" presId="urn:microsoft.com/office/officeart/2005/8/layout/orgChart1"/>
    <dgm:cxn modelId="{5C375CF9-A089-4B1B-92C1-1702F5A372FF}" type="presParOf" srcId="{51495663-1596-4046-AB2B-7C688C05D7DC}" destId="{34FA963D-58F3-49CE-9B34-5B32C30BC661}" srcOrd="2" destOrd="0" presId="urn:microsoft.com/office/officeart/2005/8/layout/orgChart1"/>
    <dgm:cxn modelId="{5DD30FF2-00DF-49E4-B117-6F738493FBDF}" type="presParOf" srcId="{AE74F047-C562-49A7-B978-C236DF2A15DA}" destId="{EA14876C-9BE5-42F4-8F0D-2EBBAF9CF098}"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79F85DA-7408-4F82-9B7B-15F398E49E45}" type="doc">
      <dgm:prSet loTypeId="urn:microsoft.com/office/officeart/2005/8/layout/radial1" loCatId="relationship" qsTypeId="urn:microsoft.com/office/officeart/2005/8/quickstyle/simple1" qsCatId="simple" csTypeId="urn:microsoft.com/office/officeart/2005/8/colors/colorful2" csCatId="colorful" phldr="1"/>
      <dgm:spPr>
        <a:scene3d>
          <a:camera prst="orthographicFront">
            <a:rot lat="0" lon="0" rev="0"/>
          </a:camera>
          <a:lightRig rig="threePt" dir="t"/>
        </a:scene3d>
      </dgm:spPr>
      <dgm:t>
        <a:bodyPr/>
        <a:lstStyle/>
        <a:p>
          <a:endParaRPr lang="en-US"/>
        </a:p>
      </dgm:t>
    </dgm:pt>
    <dgm:pt modelId="{F969739C-12CE-493D-9C8B-AB9AAE504229}">
      <dgm:prSet phldrT="[Text]" custT="1"/>
      <dgm:spPr>
        <a:xfrm>
          <a:off x="1544026" y="-48329"/>
          <a:ext cx="798574" cy="74891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rot lat="0" lon="0" rev="0"/>
          </a:camera>
          <a:lightRig rig="threePt" dir="t"/>
        </a:scene3d>
      </dgm:spPr>
      <dgm:t>
        <a:bodyPr/>
        <a:lstStyle/>
        <a:p>
          <a:pPr algn="ctr"/>
          <a:r>
            <a:rPr lang="en-US" sz="900" b="1">
              <a:solidFill>
                <a:sysClr val="window" lastClr="FFFFFF"/>
              </a:solidFill>
              <a:latin typeface="Calibri" pitchFamily="34" charset="0"/>
              <a:ea typeface="+mn-ea"/>
              <a:cs typeface="+mn-cs"/>
            </a:rPr>
            <a:t>Stretch IRA </a:t>
          </a:r>
        </a:p>
        <a:p>
          <a:pPr algn="ctr"/>
          <a:r>
            <a:rPr lang="en-US" sz="900" b="1">
              <a:solidFill>
                <a:sysClr val="window" lastClr="FFFFFF"/>
              </a:solidFill>
              <a:latin typeface="Calibri" pitchFamily="34" charset="0"/>
              <a:ea typeface="+mn-ea"/>
              <a:cs typeface="+mn-cs"/>
            </a:rPr>
            <a:t>Tax Deferral</a:t>
          </a:r>
        </a:p>
      </dgm:t>
    </dgm:pt>
    <dgm:pt modelId="{0E1CA558-67B2-45C3-891C-D73EFA395806}" type="parTrans" cxnId="{0327A198-DF40-4BC3-B632-77EAC77497A4}">
      <dgm:prSet/>
      <dgm:spPr>
        <a:xfrm rot="16200000">
          <a:off x="1890647" y="738489"/>
          <a:ext cx="105330" cy="29518"/>
        </a:xfrm>
        <a:noFill/>
        <a:ln w="25400" cap="flat" cmpd="sng" algn="ctr">
          <a:solidFill>
            <a:srgbClr val="9BBB59">
              <a:hueOff val="0"/>
              <a:satOff val="0"/>
              <a:lumOff val="0"/>
              <a:alphaOff val="0"/>
            </a:srgbClr>
          </a:solidFill>
          <a:prstDash val="solid"/>
        </a:ln>
        <a:effectLst/>
        <a:scene3d>
          <a:camera prst="orthographicFront">
            <a:rot lat="0" lon="0" rev="0"/>
          </a:camera>
          <a:lightRig rig="threePt" dir="t"/>
        </a:scene3d>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FD8BF779-00AD-44E5-B5EF-26EF68C85C0A}" type="sibTrans" cxnId="{0327A198-DF40-4BC3-B632-77EAC77497A4}">
      <dgm:prSet/>
      <dgm:spPr/>
      <dgm:t>
        <a:bodyPr/>
        <a:lstStyle/>
        <a:p>
          <a:pPr algn="ctr"/>
          <a:endParaRPr lang="en-US"/>
        </a:p>
      </dgm:t>
    </dgm:pt>
    <dgm:pt modelId="{07996D52-1200-40FC-8237-992B42187218}">
      <dgm:prSet phldrT="[Text]" custT="1"/>
      <dgm:spPr>
        <a:xfrm>
          <a:off x="2705467" y="792310"/>
          <a:ext cx="804723" cy="724907"/>
        </a:xfrm>
        <a:solidFill>
          <a:srgbClr val="C0504D">
            <a:hueOff val="1560506"/>
            <a:satOff val="-1946"/>
            <a:lumOff val="458"/>
            <a:alphaOff val="0"/>
          </a:srgbClr>
        </a:solidFill>
        <a:ln w="25400" cap="flat" cmpd="sng" algn="ctr">
          <a:solidFill>
            <a:sysClr val="window" lastClr="FFFFFF">
              <a:hueOff val="0"/>
              <a:satOff val="0"/>
              <a:lumOff val="0"/>
              <a:alphaOff val="0"/>
            </a:sysClr>
          </a:solidFill>
          <a:prstDash val="solid"/>
        </a:ln>
        <a:effectLst/>
        <a:scene3d>
          <a:camera prst="orthographicFront">
            <a:rot lat="0" lon="0" rev="0"/>
          </a:camera>
          <a:lightRig rig="threePt" dir="t"/>
        </a:scene3d>
      </dgm:spPr>
      <dgm:t>
        <a:bodyPr/>
        <a:lstStyle/>
        <a:p>
          <a:pPr algn="ctr"/>
          <a:r>
            <a:rPr lang="en-US" sz="900" b="1" baseline="0">
              <a:solidFill>
                <a:sysClr val="window" lastClr="FFFFFF"/>
              </a:solidFill>
              <a:latin typeface="Calibri" pitchFamily="34" charset="0"/>
              <a:ea typeface="+mn-ea"/>
              <a:cs typeface="+mn-cs"/>
            </a:rPr>
            <a:t>Shift Income to Lower Brackets</a:t>
          </a:r>
        </a:p>
      </dgm:t>
    </dgm:pt>
    <dgm:pt modelId="{F842DDCC-D656-4874-883A-330CD9A91DBF}" type="parTrans" cxnId="{EC9A700B-5BCB-4253-ABFC-BF037E02C610}">
      <dgm:prSet/>
      <dgm:spPr>
        <a:xfrm>
          <a:off x="2379879" y="1140004"/>
          <a:ext cx="325588" cy="29518"/>
        </a:xfrm>
        <a:noFill/>
        <a:ln w="25400" cap="flat" cmpd="sng" algn="ctr">
          <a:solidFill>
            <a:srgbClr val="9BBB59">
              <a:hueOff val="0"/>
              <a:satOff val="0"/>
              <a:lumOff val="0"/>
              <a:alphaOff val="0"/>
            </a:srgbClr>
          </a:solidFill>
          <a:prstDash val="solid"/>
        </a:ln>
        <a:effectLst/>
        <a:scene3d>
          <a:camera prst="orthographicFront">
            <a:rot lat="0" lon="0" rev="0"/>
          </a:camera>
          <a:lightRig rig="threePt" dir="t"/>
        </a:scene3d>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B34B203F-2222-4500-A9F8-F979C5A08BD0}" type="sibTrans" cxnId="{EC9A700B-5BCB-4253-ABFC-BF037E02C610}">
      <dgm:prSet/>
      <dgm:spPr/>
      <dgm:t>
        <a:bodyPr/>
        <a:lstStyle/>
        <a:p>
          <a:pPr algn="ctr"/>
          <a:endParaRPr lang="en-US"/>
        </a:p>
      </dgm:t>
    </dgm:pt>
    <dgm:pt modelId="{61F51844-ECA6-47BA-8830-2EF19273CD0A}">
      <dgm:prSet phldrT="[Text]" custT="1"/>
      <dgm:spPr>
        <a:xfrm>
          <a:off x="1502637" y="1606591"/>
          <a:ext cx="881351" cy="753617"/>
        </a:xfrm>
        <a:solidFill>
          <a:srgbClr val="C0504D">
            <a:hueOff val="3121013"/>
            <a:satOff val="-3893"/>
            <a:lumOff val="915"/>
            <a:alphaOff val="0"/>
          </a:srgbClr>
        </a:solidFill>
        <a:ln w="25400" cap="flat" cmpd="sng" algn="ctr">
          <a:solidFill>
            <a:sysClr val="window" lastClr="FFFFFF">
              <a:hueOff val="0"/>
              <a:satOff val="0"/>
              <a:lumOff val="0"/>
              <a:alphaOff val="0"/>
            </a:sysClr>
          </a:solidFill>
          <a:prstDash val="solid"/>
        </a:ln>
        <a:effectLst/>
        <a:scene3d>
          <a:camera prst="orthographicFront">
            <a:rot lat="0" lon="0" rev="0"/>
          </a:camera>
          <a:lightRig rig="threePt" dir="t"/>
        </a:scene3d>
      </dgm:spPr>
      <dgm:t>
        <a:bodyPr/>
        <a:lstStyle/>
        <a:p>
          <a:pPr algn="ctr"/>
          <a:r>
            <a:rPr lang="en-US" sz="900" b="1">
              <a:solidFill>
                <a:sysClr val="window" lastClr="FFFFFF"/>
              </a:solidFill>
              <a:latin typeface="Calibri" pitchFamily="34" charset="0"/>
              <a:ea typeface="+mn-ea"/>
              <a:cs typeface="+mn-cs"/>
            </a:rPr>
            <a:t>$250k Home Tax Exclusion</a:t>
          </a:r>
        </a:p>
        <a:p>
          <a:pPr algn="ctr"/>
          <a:r>
            <a:rPr lang="en-US" sz="900" b="1">
              <a:solidFill>
                <a:sysClr val="window" lastClr="FFFFFF"/>
              </a:solidFill>
              <a:latin typeface="Calibri" pitchFamily="34" charset="0"/>
              <a:ea typeface="+mn-ea"/>
              <a:cs typeface="+mn-cs"/>
            </a:rPr>
            <a:t>Save 23.8%</a:t>
          </a:r>
        </a:p>
      </dgm:t>
    </dgm:pt>
    <dgm:pt modelId="{7B0DE437-1DF1-4018-B1EC-05AE03D32C48}" type="parTrans" cxnId="{0DEC24BD-B543-4871-94E3-46F66430A2F6}">
      <dgm:prSet/>
      <dgm:spPr>
        <a:xfrm rot="5400000">
          <a:off x="1891823" y="1540343"/>
          <a:ext cx="102978" cy="29518"/>
        </a:xfrm>
        <a:noFill/>
        <a:ln w="25400" cap="flat" cmpd="sng" algn="ctr">
          <a:solidFill>
            <a:srgbClr val="9BBB59">
              <a:hueOff val="0"/>
              <a:satOff val="0"/>
              <a:lumOff val="0"/>
              <a:alphaOff val="0"/>
            </a:srgbClr>
          </a:solidFill>
          <a:prstDash val="solid"/>
        </a:ln>
        <a:effectLst/>
        <a:scene3d>
          <a:camera prst="orthographicFront">
            <a:rot lat="0" lon="0" rev="0"/>
          </a:camera>
          <a:lightRig rig="threePt" dir="t"/>
        </a:scene3d>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1CC4D6A6-96B9-4BDA-8386-F10D7F2D8699}" type="sibTrans" cxnId="{0DEC24BD-B543-4871-94E3-46F66430A2F6}">
      <dgm:prSet/>
      <dgm:spPr/>
      <dgm:t>
        <a:bodyPr/>
        <a:lstStyle/>
        <a:p>
          <a:pPr algn="ctr"/>
          <a:endParaRPr lang="en-US"/>
        </a:p>
      </dgm:t>
    </dgm:pt>
    <dgm:pt modelId="{3E842DD9-4BF8-46EB-A055-B596F5D289F8}">
      <dgm:prSet phldrT="[Text]" custT="1"/>
      <dgm:spPr>
        <a:xfrm>
          <a:off x="429609" y="769546"/>
          <a:ext cx="814202" cy="753051"/>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a:scene3d>
          <a:camera prst="orthographicFront">
            <a:rot lat="0" lon="0" rev="0"/>
          </a:camera>
          <a:lightRig rig="threePt" dir="t"/>
        </a:scene3d>
      </dgm:spPr>
      <dgm:t>
        <a:bodyPr/>
        <a:lstStyle/>
        <a:p>
          <a:pPr algn="ctr"/>
          <a:r>
            <a:rPr lang="en-US" sz="900" b="1" baseline="0">
              <a:solidFill>
                <a:sysClr val="window" lastClr="FFFFFF"/>
              </a:solidFill>
              <a:latin typeface="Calibri" pitchFamily="34" charset="0"/>
              <a:ea typeface="+mn-ea"/>
              <a:cs typeface="+mn-cs"/>
            </a:rPr>
            <a:t>2nd Step Up, No Step Down in Basis</a:t>
          </a:r>
        </a:p>
      </dgm:t>
    </dgm:pt>
    <dgm:pt modelId="{CB151A28-7EB1-4A40-A99F-31FE9492FA2B}" type="parTrans" cxnId="{F354D11A-BCB1-4F26-AF67-1829381090CE}">
      <dgm:prSet/>
      <dgm:spPr>
        <a:xfrm rot="10827000">
          <a:off x="1243793" y="1135543"/>
          <a:ext cx="262978" cy="29518"/>
        </a:xfrm>
        <a:noFill/>
        <a:ln w="25400" cap="flat" cmpd="sng" algn="ctr">
          <a:solidFill>
            <a:srgbClr val="9BBB59">
              <a:hueOff val="0"/>
              <a:satOff val="0"/>
              <a:lumOff val="0"/>
              <a:alphaOff val="0"/>
            </a:srgbClr>
          </a:solidFill>
          <a:prstDash val="solid"/>
        </a:ln>
        <a:effectLst/>
        <a:scene3d>
          <a:camera prst="orthographicFront">
            <a:rot lat="0" lon="0" rev="0"/>
          </a:camera>
          <a:lightRig rig="threePt" dir="t"/>
        </a:scene3d>
      </dgm:spPr>
      <dgm:t>
        <a:bodyPr/>
        <a:lstStyle/>
        <a:p>
          <a:pPr algn="ctr"/>
          <a:endParaRPr lang="en-US">
            <a:solidFill>
              <a:sysClr val="windowText" lastClr="000000">
                <a:hueOff val="0"/>
                <a:satOff val="0"/>
                <a:lumOff val="0"/>
                <a:alphaOff val="0"/>
              </a:sysClr>
            </a:solidFill>
            <a:latin typeface="Calibri"/>
            <a:ea typeface="+mn-ea"/>
            <a:cs typeface="+mn-cs"/>
          </a:endParaRPr>
        </a:p>
      </dgm:t>
    </dgm:pt>
    <dgm:pt modelId="{97060795-96A9-499A-B301-9B1174B20529}" type="sibTrans" cxnId="{F354D11A-BCB1-4F26-AF67-1829381090CE}">
      <dgm:prSet/>
      <dgm:spPr/>
      <dgm:t>
        <a:bodyPr/>
        <a:lstStyle/>
        <a:p>
          <a:pPr algn="ctr"/>
          <a:endParaRPr lang="en-US"/>
        </a:p>
      </dgm:t>
    </dgm:pt>
    <dgm:pt modelId="{2A245DA8-109A-40EF-ACCE-719285AFF190}">
      <dgm:prSet phldrT="[Text]"/>
      <dgm:spPr/>
      <dgm:t>
        <a:bodyPr/>
        <a:lstStyle/>
        <a:p>
          <a:endParaRPr lang="en-US"/>
        </a:p>
      </dgm:t>
    </dgm:pt>
    <dgm:pt modelId="{AD35FCD9-0C28-4AF8-B17B-A924BD23D0E8}" type="parTrans" cxnId="{493D7E65-EB7E-4B9D-BF36-E640C527F946}">
      <dgm:prSet/>
      <dgm:spPr/>
      <dgm:t>
        <a:bodyPr/>
        <a:lstStyle/>
        <a:p>
          <a:endParaRPr lang="en-US"/>
        </a:p>
      </dgm:t>
    </dgm:pt>
    <dgm:pt modelId="{4C194E6A-CCE4-432D-A91B-71775FF4C350}" type="sibTrans" cxnId="{493D7E65-EB7E-4B9D-BF36-E640C527F946}">
      <dgm:prSet/>
      <dgm:spPr/>
      <dgm:t>
        <a:bodyPr/>
        <a:lstStyle/>
        <a:p>
          <a:endParaRPr lang="en-US"/>
        </a:p>
      </dgm:t>
    </dgm:pt>
    <dgm:pt modelId="{7FCC46B2-F523-45E8-8FAE-8B47A0A077A7}">
      <dgm:prSet phldrT="[Text]" custT="1"/>
      <dgm:spPr>
        <a:xfrm>
          <a:off x="1506746" y="805914"/>
          <a:ext cx="873132" cy="6976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rot lat="0" lon="0" rev="0"/>
          </a:camera>
          <a:lightRig rig="threePt" dir="t"/>
        </a:scene3d>
      </dgm:spPr>
      <dgm:t>
        <a:bodyPr/>
        <a:lstStyle/>
        <a:p>
          <a:pPr algn="ctr"/>
          <a:r>
            <a:rPr lang="en-US" sz="1200">
              <a:solidFill>
                <a:sysClr val="window" lastClr="FFFFFF"/>
              </a:solidFill>
              <a:latin typeface="Calibri"/>
              <a:ea typeface="+mn-ea"/>
              <a:cs typeface="+mn-cs"/>
            </a:rPr>
            <a:t>Optimal Basis/Tax Shifting Trust</a:t>
          </a:r>
        </a:p>
      </dgm:t>
    </dgm:pt>
    <dgm:pt modelId="{98A78AF1-041B-4927-8399-696A199A6F65}" type="sibTrans" cxnId="{AF678B7F-FFC5-4DFC-AAAE-3D32AE6C4CE6}">
      <dgm:prSet/>
      <dgm:spPr/>
      <dgm:t>
        <a:bodyPr/>
        <a:lstStyle/>
        <a:p>
          <a:pPr algn="ctr"/>
          <a:endParaRPr lang="en-US"/>
        </a:p>
      </dgm:t>
    </dgm:pt>
    <dgm:pt modelId="{D02BC227-8A44-424A-8EC5-1726E88DFC90}" type="parTrans" cxnId="{AF678B7F-FFC5-4DFC-AAAE-3D32AE6C4CE6}">
      <dgm:prSet/>
      <dgm:spPr/>
      <dgm:t>
        <a:bodyPr/>
        <a:lstStyle/>
        <a:p>
          <a:pPr algn="ctr"/>
          <a:endParaRPr lang="en-US"/>
        </a:p>
      </dgm:t>
    </dgm:pt>
    <dgm:pt modelId="{489262AA-F847-49C3-A8EA-FC6469A5354E}" type="pres">
      <dgm:prSet presAssocID="{979F85DA-7408-4F82-9B7B-15F398E49E45}" presName="cycle" presStyleCnt="0">
        <dgm:presLayoutVars>
          <dgm:chMax val="1"/>
          <dgm:dir/>
          <dgm:animLvl val="ctr"/>
          <dgm:resizeHandles val="exact"/>
        </dgm:presLayoutVars>
      </dgm:prSet>
      <dgm:spPr/>
    </dgm:pt>
    <dgm:pt modelId="{36746963-02FF-43F1-93AA-760F21D83475}" type="pres">
      <dgm:prSet presAssocID="{7FCC46B2-F523-45E8-8FAE-8B47A0A077A7}" presName="centerShape" presStyleLbl="node0" presStyleIdx="0" presStyleCnt="1" custScaleX="129512" custScaleY="131496"/>
      <dgm:spPr>
        <a:prstGeom prst="horizontalScroll">
          <a:avLst/>
        </a:prstGeom>
      </dgm:spPr>
    </dgm:pt>
    <dgm:pt modelId="{83466AF0-1146-4A63-8863-7BC180EDB552}" type="pres">
      <dgm:prSet presAssocID="{0E1CA558-67B2-45C3-891C-D73EFA395806}" presName="Name9" presStyleLbl="parChTrans1D2" presStyleIdx="0" presStyleCnt="4"/>
      <dgm:spPr>
        <a:custGeom>
          <a:avLst/>
          <a:gdLst/>
          <a:ahLst/>
          <a:cxnLst/>
          <a:rect l="0" t="0" r="0" b="0"/>
          <a:pathLst>
            <a:path>
              <a:moveTo>
                <a:pt x="0" y="14759"/>
              </a:moveTo>
              <a:lnTo>
                <a:pt x="105330" y="14759"/>
              </a:lnTo>
            </a:path>
          </a:pathLst>
        </a:custGeom>
      </dgm:spPr>
    </dgm:pt>
    <dgm:pt modelId="{7D83C34B-D92D-4080-8589-88016E6F69E1}" type="pres">
      <dgm:prSet presAssocID="{0E1CA558-67B2-45C3-891C-D73EFA395806}" presName="connTx" presStyleLbl="parChTrans1D2" presStyleIdx="0" presStyleCnt="4"/>
      <dgm:spPr/>
    </dgm:pt>
    <dgm:pt modelId="{FBAD9AF5-88AF-4FF3-9351-4C56436DEBEE}" type="pres">
      <dgm:prSet presAssocID="{F969739C-12CE-493D-9C8B-AB9AAE504229}" presName="node" presStyleLbl="node1" presStyleIdx="0" presStyleCnt="4" custScaleX="125444" custScaleY="117643">
        <dgm:presLayoutVars>
          <dgm:bulletEnabled val="1"/>
        </dgm:presLayoutVars>
      </dgm:prSet>
      <dgm:spPr>
        <a:prstGeom prst="ellipse">
          <a:avLst/>
        </a:prstGeom>
      </dgm:spPr>
    </dgm:pt>
    <dgm:pt modelId="{EB0DD0D2-5BDD-4D9C-94E5-5347FF842388}" type="pres">
      <dgm:prSet presAssocID="{F842DDCC-D656-4874-883A-330CD9A91DBF}" presName="Name9" presStyleLbl="parChTrans1D2" presStyleIdx="1" presStyleCnt="4"/>
      <dgm:spPr>
        <a:custGeom>
          <a:avLst/>
          <a:gdLst/>
          <a:ahLst/>
          <a:cxnLst/>
          <a:rect l="0" t="0" r="0" b="0"/>
          <a:pathLst>
            <a:path>
              <a:moveTo>
                <a:pt x="0" y="14759"/>
              </a:moveTo>
              <a:lnTo>
                <a:pt x="325588" y="14759"/>
              </a:lnTo>
            </a:path>
          </a:pathLst>
        </a:custGeom>
      </dgm:spPr>
    </dgm:pt>
    <dgm:pt modelId="{AC72256B-4362-4F09-B25F-0588BE5EB653}" type="pres">
      <dgm:prSet presAssocID="{F842DDCC-D656-4874-883A-330CD9A91DBF}" presName="connTx" presStyleLbl="parChTrans1D2" presStyleIdx="1" presStyleCnt="4"/>
      <dgm:spPr/>
    </dgm:pt>
    <dgm:pt modelId="{E27A65C3-AAAA-4A68-A458-BDEBCA949CC8}" type="pres">
      <dgm:prSet presAssocID="{07996D52-1200-40FC-8237-992B42187218}" presName="node" presStyleLbl="node1" presStyleIdx="1" presStyleCnt="4" custScaleX="126410" custScaleY="113872" custRadScaleRad="140534">
        <dgm:presLayoutVars>
          <dgm:bulletEnabled val="1"/>
        </dgm:presLayoutVars>
      </dgm:prSet>
      <dgm:spPr>
        <a:prstGeom prst="ellipse">
          <a:avLst/>
        </a:prstGeom>
      </dgm:spPr>
    </dgm:pt>
    <dgm:pt modelId="{959A06A8-F998-4DE4-B284-EC05F30F1F56}" type="pres">
      <dgm:prSet presAssocID="{7B0DE437-1DF1-4018-B1EC-05AE03D32C48}" presName="Name9" presStyleLbl="parChTrans1D2" presStyleIdx="2" presStyleCnt="4"/>
      <dgm:spPr>
        <a:custGeom>
          <a:avLst/>
          <a:gdLst/>
          <a:ahLst/>
          <a:cxnLst/>
          <a:rect l="0" t="0" r="0" b="0"/>
          <a:pathLst>
            <a:path>
              <a:moveTo>
                <a:pt x="0" y="14759"/>
              </a:moveTo>
              <a:lnTo>
                <a:pt x="102978" y="14759"/>
              </a:lnTo>
            </a:path>
          </a:pathLst>
        </a:custGeom>
      </dgm:spPr>
    </dgm:pt>
    <dgm:pt modelId="{B649C3A7-5605-4711-A14B-F1F8C0ECEFDA}" type="pres">
      <dgm:prSet presAssocID="{7B0DE437-1DF1-4018-B1EC-05AE03D32C48}" presName="connTx" presStyleLbl="parChTrans1D2" presStyleIdx="2" presStyleCnt="4"/>
      <dgm:spPr/>
    </dgm:pt>
    <dgm:pt modelId="{C55B011F-7703-4CF9-AE87-EE6B2AC00FCC}" type="pres">
      <dgm:prSet presAssocID="{61F51844-ECA6-47BA-8830-2EF19273CD0A}" presName="node" presStyleLbl="node1" presStyleIdx="2" presStyleCnt="4" custScaleX="138447" custScaleY="118382">
        <dgm:presLayoutVars>
          <dgm:bulletEnabled val="1"/>
        </dgm:presLayoutVars>
      </dgm:prSet>
      <dgm:spPr>
        <a:prstGeom prst="ellipse">
          <a:avLst/>
        </a:prstGeom>
      </dgm:spPr>
    </dgm:pt>
    <dgm:pt modelId="{2DBE0CA5-9637-4874-952B-4504A80FEB81}" type="pres">
      <dgm:prSet presAssocID="{CB151A28-7EB1-4A40-A99F-31FE9492FA2B}" presName="Name9" presStyleLbl="parChTrans1D2" presStyleIdx="3" presStyleCnt="4"/>
      <dgm:spPr>
        <a:custGeom>
          <a:avLst/>
          <a:gdLst/>
          <a:ahLst/>
          <a:cxnLst/>
          <a:rect l="0" t="0" r="0" b="0"/>
          <a:pathLst>
            <a:path>
              <a:moveTo>
                <a:pt x="0" y="14759"/>
              </a:moveTo>
              <a:lnTo>
                <a:pt x="262978" y="14759"/>
              </a:lnTo>
            </a:path>
          </a:pathLst>
        </a:custGeom>
      </dgm:spPr>
    </dgm:pt>
    <dgm:pt modelId="{C95429CA-0203-41D0-8551-455F754767DB}" type="pres">
      <dgm:prSet presAssocID="{CB151A28-7EB1-4A40-A99F-31FE9492FA2B}" presName="connTx" presStyleLbl="parChTrans1D2" presStyleIdx="3" presStyleCnt="4"/>
      <dgm:spPr/>
    </dgm:pt>
    <dgm:pt modelId="{38BB0FF9-948E-4CA5-A4CE-5CB725DB2545}" type="pres">
      <dgm:prSet presAssocID="{3E842DD9-4BF8-46EB-A055-B596F5D289F8}" presName="node" presStyleLbl="node1" presStyleIdx="3" presStyleCnt="4" custScaleX="127899" custScaleY="118293" custRadScaleRad="133549" custRadScaleInc="1000">
        <dgm:presLayoutVars>
          <dgm:bulletEnabled val="1"/>
        </dgm:presLayoutVars>
      </dgm:prSet>
      <dgm:spPr>
        <a:prstGeom prst="ellipse">
          <a:avLst/>
        </a:prstGeom>
      </dgm:spPr>
    </dgm:pt>
  </dgm:ptLst>
  <dgm:cxnLst>
    <dgm:cxn modelId="{EC9A700B-5BCB-4253-ABFC-BF037E02C610}" srcId="{7FCC46B2-F523-45E8-8FAE-8B47A0A077A7}" destId="{07996D52-1200-40FC-8237-992B42187218}" srcOrd="1" destOrd="0" parTransId="{F842DDCC-D656-4874-883A-330CD9A91DBF}" sibTransId="{B34B203F-2222-4500-A9F8-F979C5A08BD0}"/>
    <dgm:cxn modelId="{F354D11A-BCB1-4F26-AF67-1829381090CE}" srcId="{7FCC46B2-F523-45E8-8FAE-8B47A0A077A7}" destId="{3E842DD9-4BF8-46EB-A055-B596F5D289F8}" srcOrd="3" destOrd="0" parTransId="{CB151A28-7EB1-4A40-A99F-31FE9492FA2B}" sibTransId="{97060795-96A9-499A-B301-9B1174B20529}"/>
    <dgm:cxn modelId="{D60C3530-B01F-4732-A956-0112C6E8253E}" type="presOf" srcId="{61F51844-ECA6-47BA-8830-2EF19273CD0A}" destId="{C55B011F-7703-4CF9-AE87-EE6B2AC00FCC}" srcOrd="0" destOrd="0" presId="urn:microsoft.com/office/officeart/2005/8/layout/radial1"/>
    <dgm:cxn modelId="{493D7E65-EB7E-4B9D-BF36-E640C527F946}" srcId="{979F85DA-7408-4F82-9B7B-15F398E49E45}" destId="{2A245DA8-109A-40EF-ACCE-719285AFF190}" srcOrd="1" destOrd="0" parTransId="{AD35FCD9-0C28-4AF8-B17B-A924BD23D0E8}" sibTransId="{4C194E6A-CCE4-432D-A91B-71775FF4C350}"/>
    <dgm:cxn modelId="{3A03514D-A067-4EC4-A641-1BDD5D6F95FB}" type="presOf" srcId="{0E1CA558-67B2-45C3-891C-D73EFA395806}" destId="{83466AF0-1146-4A63-8863-7BC180EDB552}" srcOrd="0" destOrd="0" presId="urn:microsoft.com/office/officeart/2005/8/layout/radial1"/>
    <dgm:cxn modelId="{0E59D154-0210-4143-B207-3BD5AADA1E50}" type="presOf" srcId="{F969739C-12CE-493D-9C8B-AB9AAE504229}" destId="{FBAD9AF5-88AF-4FF3-9351-4C56436DEBEE}" srcOrd="0" destOrd="0" presId="urn:microsoft.com/office/officeart/2005/8/layout/radial1"/>
    <dgm:cxn modelId="{A62F8355-4843-472E-B760-E410AC630D59}" type="presOf" srcId="{07996D52-1200-40FC-8237-992B42187218}" destId="{E27A65C3-AAAA-4A68-A458-BDEBCA949CC8}" srcOrd="0" destOrd="0" presId="urn:microsoft.com/office/officeart/2005/8/layout/radial1"/>
    <dgm:cxn modelId="{6EBCC67E-28C3-4769-A93A-2DFE7BE0DA78}" type="presOf" srcId="{CB151A28-7EB1-4A40-A99F-31FE9492FA2B}" destId="{C95429CA-0203-41D0-8551-455F754767DB}" srcOrd="1" destOrd="0" presId="urn:microsoft.com/office/officeart/2005/8/layout/radial1"/>
    <dgm:cxn modelId="{AF678B7F-FFC5-4DFC-AAAE-3D32AE6C4CE6}" srcId="{979F85DA-7408-4F82-9B7B-15F398E49E45}" destId="{7FCC46B2-F523-45E8-8FAE-8B47A0A077A7}" srcOrd="0" destOrd="0" parTransId="{D02BC227-8A44-424A-8EC5-1726E88DFC90}" sibTransId="{98A78AF1-041B-4927-8399-696A199A6F65}"/>
    <dgm:cxn modelId="{56B2558C-4CC1-4D64-B5CD-7A5DB478DBBF}" type="presOf" srcId="{7FCC46B2-F523-45E8-8FAE-8B47A0A077A7}" destId="{36746963-02FF-43F1-93AA-760F21D83475}" srcOrd="0" destOrd="0" presId="urn:microsoft.com/office/officeart/2005/8/layout/radial1"/>
    <dgm:cxn modelId="{0327A198-DF40-4BC3-B632-77EAC77497A4}" srcId="{7FCC46B2-F523-45E8-8FAE-8B47A0A077A7}" destId="{F969739C-12CE-493D-9C8B-AB9AAE504229}" srcOrd="0" destOrd="0" parTransId="{0E1CA558-67B2-45C3-891C-D73EFA395806}" sibTransId="{FD8BF779-00AD-44E5-B5EF-26EF68C85C0A}"/>
    <dgm:cxn modelId="{433071B1-2034-4313-A1C5-9EA6CEF00016}" type="presOf" srcId="{7B0DE437-1DF1-4018-B1EC-05AE03D32C48}" destId="{959A06A8-F998-4DE4-B284-EC05F30F1F56}" srcOrd="0" destOrd="0" presId="urn:microsoft.com/office/officeart/2005/8/layout/radial1"/>
    <dgm:cxn modelId="{64D30BB5-BB54-4874-87F6-ECD264D76B21}" type="presOf" srcId="{7B0DE437-1DF1-4018-B1EC-05AE03D32C48}" destId="{B649C3A7-5605-4711-A14B-F1F8C0ECEFDA}" srcOrd="1" destOrd="0" presId="urn:microsoft.com/office/officeart/2005/8/layout/radial1"/>
    <dgm:cxn modelId="{0DEC24BD-B543-4871-94E3-46F66430A2F6}" srcId="{7FCC46B2-F523-45E8-8FAE-8B47A0A077A7}" destId="{61F51844-ECA6-47BA-8830-2EF19273CD0A}" srcOrd="2" destOrd="0" parTransId="{7B0DE437-1DF1-4018-B1EC-05AE03D32C48}" sibTransId="{1CC4D6A6-96B9-4BDA-8386-F10D7F2D8699}"/>
    <dgm:cxn modelId="{30E10BCF-CD1C-4ADF-A993-2BCBBD651684}" type="presOf" srcId="{979F85DA-7408-4F82-9B7B-15F398E49E45}" destId="{489262AA-F847-49C3-A8EA-FC6469A5354E}" srcOrd="0" destOrd="0" presId="urn:microsoft.com/office/officeart/2005/8/layout/radial1"/>
    <dgm:cxn modelId="{7AF2D9D0-C411-4A78-B808-BC08B514413E}" type="presOf" srcId="{0E1CA558-67B2-45C3-891C-D73EFA395806}" destId="{7D83C34B-D92D-4080-8589-88016E6F69E1}" srcOrd="1" destOrd="0" presId="urn:microsoft.com/office/officeart/2005/8/layout/radial1"/>
    <dgm:cxn modelId="{1C3BF5D4-B536-4A97-A714-5341B8262E8B}" type="presOf" srcId="{3E842DD9-4BF8-46EB-A055-B596F5D289F8}" destId="{38BB0FF9-948E-4CA5-A4CE-5CB725DB2545}" srcOrd="0" destOrd="0" presId="urn:microsoft.com/office/officeart/2005/8/layout/radial1"/>
    <dgm:cxn modelId="{95F04FD8-EDD1-489D-ADC7-D26AB217963C}" type="presOf" srcId="{F842DDCC-D656-4874-883A-330CD9A91DBF}" destId="{AC72256B-4362-4F09-B25F-0588BE5EB653}" srcOrd="1" destOrd="0" presId="urn:microsoft.com/office/officeart/2005/8/layout/radial1"/>
    <dgm:cxn modelId="{5E7F73DF-8732-48B3-B4A1-9F1CC16394F9}" type="presOf" srcId="{F842DDCC-D656-4874-883A-330CD9A91DBF}" destId="{EB0DD0D2-5BDD-4D9C-94E5-5347FF842388}" srcOrd="0" destOrd="0" presId="urn:microsoft.com/office/officeart/2005/8/layout/radial1"/>
    <dgm:cxn modelId="{2D0203EB-B924-4AA4-951A-92662F102382}" type="presOf" srcId="{CB151A28-7EB1-4A40-A99F-31FE9492FA2B}" destId="{2DBE0CA5-9637-4874-952B-4504A80FEB81}" srcOrd="0" destOrd="0" presId="urn:microsoft.com/office/officeart/2005/8/layout/radial1"/>
    <dgm:cxn modelId="{B11A18CC-42AE-4E0F-B852-EAC013561596}" type="presParOf" srcId="{489262AA-F847-49C3-A8EA-FC6469A5354E}" destId="{36746963-02FF-43F1-93AA-760F21D83475}" srcOrd="0" destOrd="0" presId="urn:microsoft.com/office/officeart/2005/8/layout/radial1"/>
    <dgm:cxn modelId="{155D1D0D-5FC1-4909-8C44-C36B382100E1}" type="presParOf" srcId="{489262AA-F847-49C3-A8EA-FC6469A5354E}" destId="{83466AF0-1146-4A63-8863-7BC180EDB552}" srcOrd="1" destOrd="0" presId="urn:microsoft.com/office/officeart/2005/8/layout/radial1"/>
    <dgm:cxn modelId="{0923FBEB-1E83-45C7-BCFB-2FE269B0E399}" type="presParOf" srcId="{83466AF0-1146-4A63-8863-7BC180EDB552}" destId="{7D83C34B-D92D-4080-8589-88016E6F69E1}" srcOrd="0" destOrd="0" presId="urn:microsoft.com/office/officeart/2005/8/layout/radial1"/>
    <dgm:cxn modelId="{9D51249F-547B-4EEE-B916-DC71E6BA793F}" type="presParOf" srcId="{489262AA-F847-49C3-A8EA-FC6469A5354E}" destId="{FBAD9AF5-88AF-4FF3-9351-4C56436DEBEE}" srcOrd="2" destOrd="0" presId="urn:microsoft.com/office/officeart/2005/8/layout/radial1"/>
    <dgm:cxn modelId="{5D882ABB-C147-4445-93A4-A9A18F38EB35}" type="presParOf" srcId="{489262AA-F847-49C3-A8EA-FC6469A5354E}" destId="{EB0DD0D2-5BDD-4D9C-94E5-5347FF842388}" srcOrd="3" destOrd="0" presId="urn:microsoft.com/office/officeart/2005/8/layout/radial1"/>
    <dgm:cxn modelId="{9832EFB8-7FE7-4C90-A27D-5F65F6740A3A}" type="presParOf" srcId="{EB0DD0D2-5BDD-4D9C-94E5-5347FF842388}" destId="{AC72256B-4362-4F09-B25F-0588BE5EB653}" srcOrd="0" destOrd="0" presId="urn:microsoft.com/office/officeart/2005/8/layout/radial1"/>
    <dgm:cxn modelId="{B8CB5989-8EBC-45D2-BD0F-97BD8F30A124}" type="presParOf" srcId="{489262AA-F847-49C3-A8EA-FC6469A5354E}" destId="{E27A65C3-AAAA-4A68-A458-BDEBCA949CC8}" srcOrd="4" destOrd="0" presId="urn:microsoft.com/office/officeart/2005/8/layout/radial1"/>
    <dgm:cxn modelId="{97D476F0-4FEE-4469-A055-0F0D7D234241}" type="presParOf" srcId="{489262AA-F847-49C3-A8EA-FC6469A5354E}" destId="{959A06A8-F998-4DE4-B284-EC05F30F1F56}" srcOrd="5" destOrd="0" presId="urn:microsoft.com/office/officeart/2005/8/layout/radial1"/>
    <dgm:cxn modelId="{280BC1E4-63F8-488A-AFF0-2C5E654F9026}" type="presParOf" srcId="{959A06A8-F998-4DE4-B284-EC05F30F1F56}" destId="{B649C3A7-5605-4711-A14B-F1F8C0ECEFDA}" srcOrd="0" destOrd="0" presId="urn:microsoft.com/office/officeart/2005/8/layout/radial1"/>
    <dgm:cxn modelId="{A05C0F02-8C47-4A2C-89A9-9281C4F36FB8}" type="presParOf" srcId="{489262AA-F847-49C3-A8EA-FC6469A5354E}" destId="{C55B011F-7703-4CF9-AE87-EE6B2AC00FCC}" srcOrd="6" destOrd="0" presId="urn:microsoft.com/office/officeart/2005/8/layout/radial1"/>
    <dgm:cxn modelId="{AE5EA4F1-F39F-434C-A06E-81B196F70E0D}" type="presParOf" srcId="{489262AA-F847-49C3-A8EA-FC6469A5354E}" destId="{2DBE0CA5-9637-4874-952B-4504A80FEB81}" srcOrd="7" destOrd="0" presId="urn:microsoft.com/office/officeart/2005/8/layout/radial1"/>
    <dgm:cxn modelId="{2B461489-8FAC-4CF1-B677-E9D673FF7806}" type="presParOf" srcId="{2DBE0CA5-9637-4874-952B-4504A80FEB81}" destId="{C95429CA-0203-41D0-8551-455F754767DB}" srcOrd="0" destOrd="0" presId="urn:microsoft.com/office/officeart/2005/8/layout/radial1"/>
    <dgm:cxn modelId="{DA36A501-8639-431C-8E8E-6C8DEFDDD365}" type="presParOf" srcId="{489262AA-F847-49C3-A8EA-FC6469A5354E}" destId="{38BB0FF9-948E-4CA5-A4CE-5CB725DB2545}" srcOrd="8" destOrd="0" presId="urn:microsoft.com/office/officeart/2005/8/layout/radial1"/>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5BC614-1687-4E2C-A4EE-1E3C71EE8712}">
      <dsp:nvSpPr>
        <dsp:cNvPr id="0" name=""/>
        <dsp:cNvSpPr/>
      </dsp:nvSpPr>
      <dsp:spPr>
        <a:xfrm>
          <a:off x="3561536" y="1728647"/>
          <a:ext cx="91440" cy="299920"/>
        </a:xfrm>
        <a:custGeom>
          <a:avLst/>
          <a:gdLst/>
          <a:ahLst/>
          <a:cxnLst/>
          <a:rect l="0" t="0" r="0" b="0"/>
          <a:pathLst>
            <a:path>
              <a:moveTo>
                <a:pt x="45720" y="0"/>
              </a:moveTo>
              <a:lnTo>
                <a:pt x="45720" y="2999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74BC00-79FE-4356-B656-435A86BC7E96}">
      <dsp:nvSpPr>
        <dsp:cNvPr id="0" name=""/>
        <dsp:cNvSpPr/>
      </dsp:nvSpPr>
      <dsp:spPr>
        <a:xfrm>
          <a:off x="2743200" y="714631"/>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8642A-50E7-4FEA-96F7-BF07BF3737E6}">
      <dsp:nvSpPr>
        <dsp:cNvPr id="0" name=""/>
        <dsp:cNvSpPr/>
      </dsp:nvSpPr>
      <dsp:spPr>
        <a:xfrm>
          <a:off x="1833423" y="1728647"/>
          <a:ext cx="91440" cy="299920"/>
        </a:xfrm>
        <a:custGeom>
          <a:avLst/>
          <a:gdLst/>
          <a:ahLst/>
          <a:cxnLst/>
          <a:rect l="0" t="0" r="0" b="0"/>
          <a:pathLst>
            <a:path>
              <a:moveTo>
                <a:pt x="45720" y="0"/>
              </a:moveTo>
              <a:lnTo>
                <a:pt x="45720" y="2999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CD8203-E36D-4681-A3C5-CE7047B2B47B}">
      <dsp:nvSpPr>
        <dsp:cNvPr id="0" name=""/>
        <dsp:cNvSpPr/>
      </dsp:nvSpPr>
      <dsp:spPr>
        <a:xfrm>
          <a:off x="1879143" y="714631"/>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97670C-687C-4441-A65E-8202AD4B9A31}">
      <dsp:nvSpPr>
        <dsp:cNvPr id="0" name=""/>
        <dsp:cNvSpPr/>
      </dsp:nvSpPr>
      <dsp:spPr>
        <a:xfrm>
          <a:off x="2029104" y="535"/>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US" sz="1000" b="0" i="0" u="none" strike="noStrike" kern="1200" baseline="0">
              <a:latin typeface="Calibri"/>
            </a:rPr>
            <a:t>John Doe Trust</a:t>
          </a:r>
          <a:endParaRPr lang="en-US" sz="1000" b="0" i="0" u="none" strike="noStrike" kern="1200" baseline="0">
            <a:latin typeface="Times New Roman"/>
          </a:endParaRPr>
        </a:p>
        <a:p>
          <a:pPr marL="0" marR="0" lvl="0" indent="0" algn="ctr" defTabSz="444500" rtl="0">
            <a:lnSpc>
              <a:spcPct val="90000"/>
            </a:lnSpc>
            <a:spcBef>
              <a:spcPct val="0"/>
            </a:spcBef>
            <a:spcAft>
              <a:spcPct val="35000"/>
            </a:spcAft>
            <a:buNone/>
          </a:pPr>
          <a:r>
            <a:rPr lang="en-US" sz="1000" b="0" i="0" u="none" strike="noStrike" kern="1200" baseline="0">
              <a:latin typeface="Calibri"/>
            </a:rPr>
            <a:t>Traditional AB Trust</a:t>
          </a:r>
          <a:endParaRPr lang="en-US" sz="1000" kern="1200"/>
        </a:p>
      </dsp:txBody>
      <dsp:txXfrm>
        <a:off x="2029104" y="535"/>
        <a:ext cx="1428191" cy="714095"/>
      </dsp:txXfrm>
    </dsp:sp>
    <dsp:sp modelId="{38F03712-DDD9-48D1-8805-679B9FAF817D}">
      <dsp:nvSpPr>
        <dsp:cNvPr id="0" name=""/>
        <dsp:cNvSpPr/>
      </dsp:nvSpPr>
      <dsp:spPr>
        <a:xfrm>
          <a:off x="1165047" y="1014552"/>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US" sz="1000" b="0" i="0" u="none" strike="noStrike" kern="1200" baseline="0">
              <a:latin typeface="Calibri"/>
            </a:rPr>
            <a:t>John Doe Trust </a:t>
          </a:r>
        </a:p>
        <a:p>
          <a:pPr marL="0" marR="0" lvl="0" indent="0" algn="ctr" defTabSz="444500" rtl="0">
            <a:lnSpc>
              <a:spcPct val="90000"/>
            </a:lnSpc>
            <a:spcBef>
              <a:spcPct val="0"/>
            </a:spcBef>
            <a:spcAft>
              <a:spcPct val="35000"/>
            </a:spcAft>
            <a:buNone/>
          </a:pPr>
          <a:r>
            <a:rPr lang="en-US" sz="1000" b="0" i="0" u="none" strike="noStrike" kern="1200" baseline="0">
              <a:latin typeface="Calibri"/>
            </a:rPr>
            <a:t>Fbo Spouse (&amp; poss. children) </a:t>
          </a:r>
        </a:p>
        <a:p>
          <a:pPr marL="0" marR="0" lvl="0" indent="0" algn="ctr" defTabSz="444500" rtl="0">
            <a:lnSpc>
              <a:spcPct val="90000"/>
            </a:lnSpc>
            <a:spcBef>
              <a:spcPct val="0"/>
            </a:spcBef>
            <a:spcAft>
              <a:spcPct val="35000"/>
            </a:spcAft>
            <a:buNone/>
          </a:pPr>
          <a:r>
            <a:rPr lang="en-US" sz="1000" b="0" i="0" u="none" strike="noStrike" kern="1200" baseline="0">
              <a:latin typeface="Calibri"/>
            </a:rPr>
            <a:t> &lt; $5.25mm (or basic excl)</a:t>
          </a:r>
          <a:endParaRPr lang="en-US" sz="1000" kern="1200"/>
        </a:p>
      </dsp:txBody>
      <dsp:txXfrm>
        <a:off x="1165047" y="1014552"/>
        <a:ext cx="1428191" cy="714095"/>
      </dsp:txXfrm>
    </dsp:sp>
    <dsp:sp modelId="{DCA3AE75-209F-4F8E-94D5-97A3661370F0}">
      <dsp:nvSpPr>
        <dsp:cNvPr id="0" name=""/>
        <dsp:cNvSpPr/>
      </dsp:nvSpPr>
      <dsp:spPr>
        <a:xfrm>
          <a:off x="1165047"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US" sz="1000" b="0" i="0" u="none" strike="noStrike" kern="1200" baseline="0">
              <a:latin typeface="Calibri"/>
            </a:rPr>
            <a:t>Trust for children</a:t>
          </a:r>
        </a:p>
        <a:p>
          <a:pPr marL="0" marR="0" lvl="0" indent="0" algn="ctr" defTabSz="444500" rtl="0">
            <a:lnSpc>
              <a:spcPct val="90000"/>
            </a:lnSpc>
            <a:spcBef>
              <a:spcPct val="0"/>
            </a:spcBef>
            <a:spcAft>
              <a:spcPct val="35000"/>
            </a:spcAft>
            <a:buNone/>
          </a:pPr>
          <a:r>
            <a:rPr lang="en-US" sz="1000" b="0" i="0" u="none" strike="noStrike" kern="1200" baseline="0">
              <a:latin typeface="Calibri"/>
            </a:rPr>
            <a:t>No change in basis</a:t>
          </a:r>
          <a:endParaRPr lang="en-US" sz="1000" kern="1200"/>
        </a:p>
      </dsp:txBody>
      <dsp:txXfrm>
        <a:off x="1165047" y="2028568"/>
        <a:ext cx="1428191" cy="714095"/>
      </dsp:txXfrm>
    </dsp:sp>
    <dsp:sp modelId="{143A602A-2325-4D54-9769-D88FF67E8406}">
      <dsp:nvSpPr>
        <dsp:cNvPr id="0" name=""/>
        <dsp:cNvSpPr/>
      </dsp:nvSpPr>
      <dsp:spPr>
        <a:xfrm>
          <a:off x="2893160" y="1014552"/>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US" sz="1000" b="0" i="0" u="none" strike="noStrike" kern="1200" baseline="0">
              <a:latin typeface="Calibri"/>
            </a:rPr>
            <a:t>John Doe Trust </a:t>
          </a:r>
        </a:p>
        <a:p>
          <a:pPr marL="0" marR="0" lvl="0" indent="0" algn="ctr" defTabSz="444500" rtl="0">
            <a:lnSpc>
              <a:spcPct val="90000"/>
            </a:lnSpc>
            <a:spcBef>
              <a:spcPct val="0"/>
            </a:spcBef>
            <a:spcAft>
              <a:spcPct val="35000"/>
            </a:spcAft>
            <a:buNone/>
          </a:pPr>
          <a:r>
            <a:rPr lang="en-US" sz="1000" b="0" i="0" u="none" strike="noStrike" kern="1200" baseline="0">
              <a:latin typeface="Calibri"/>
            </a:rPr>
            <a:t>Fbo spouse only QTIP,  </a:t>
          </a:r>
          <a:endParaRPr lang="en-US" sz="1000" b="0" i="0" u="none" strike="noStrike" kern="1200" baseline="0">
            <a:latin typeface="Times New Roman"/>
          </a:endParaRPr>
        </a:p>
        <a:p>
          <a:pPr marL="0" marR="0" lvl="0" indent="0" algn="ctr" defTabSz="444500" rtl="0">
            <a:lnSpc>
              <a:spcPct val="90000"/>
            </a:lnSpc>
            <a:spcBef>
              <a:spcPct val="0"/>
            </a:spcBef>
            <a:spcAft>
              <a:spcPct val="35000"/>
            </a:spcAft>
            <a:buNone/>
          </a:pPr>
          <a:r>
            <a:rPr lang="en-US" sz="1000" b="0" i="0" u="none" strike="noStrike" kern="1200" baseline="0">
              <a:latin typeface="Calibri"/>
            </a:rPr>
            <a:t>&gt; $5.25mm (or basic excl)</a:t>
          </a:r>
          <a:endParaRPr lang="en-US" sz="1000" kern="1200"/>
        </a:p>
      </dsp:txBody>
      <dsp:txXfrm>
        <a:off x="2893160" y="1014552"/>
        <a:ext cx="1428191" cy="714095"/>
      </dsp:txXfrm>
    </dsp:sp>
    <dsp:sp modelId="{06F1FB57-0489-4358-84AC-46704C3674AA}">
      <dsp:nvSpPr>
        <dsp:cNvPr id="0" name=""/>
        <dsp:cNvSpPr/>
      </dsp:nvSpPr>
      <dsp:spPr>
        <a:xfrm>
          <a:off x="2893160"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US" sz="1000" b="0" i="0" u="none" strike="noStrike" kern="1200" baseline="0">
              <a:latin typeface="Calibri"/>
            </a:rPr>
            <a:t>Trust for children</a:t>
          </a:r>
        </a:p>
        <a:p>
          <a:pPr marL="0" marR="0" lvl="0" indent="0" algn="ctr" defTabSz="444500" rtl="0">
            <a:lnSpc>
              <a:spcPct val="90000"/>
            </a:lnSpc>
            <a:spcBef>
              <a:spcPct val="0"/>
            </a:spcBef>
            <a:spcAft>
              <a:spcPct val="35000"/>
            </a:spcAft>
            <a:buNone/>
          </a:pPr>
          <a:r>
            <a:rPr lang="en-US" sz="1000" b="0" i="0" u="none" strike="noStrike" kern="1200" baseline="0">
              <a:latin typeface="Calibri"/>
            </a:rPr>
            <a:t>All new basis</a:t>
          </a:r>
          <a:endParaRPr lang="en-US" sz="1000" kern="1200"/>
        </a:p>
      </dsp:txBody>
      <dsp:txXfrm>
        <a:off x="2893160" y="2028568"/>
        <a:ext cx="1428191" cy="7140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C00F8D-5B3B-4E41-805F-AFAAD00FDFFA}">
      <dsp:nvSpPr>
        <dsp:cNvPr id="0" name=""/>
        <dsp:cNvSpPr/>
      </dsp:nvSpPr>
      <dsp:spPr>
        <a:xfrm>
          <a:off x="4632262" y="2441931"/>
          <a:ext cx="91440" cy="336403"/>
        </a:xfrm>
        <a:custGeom>
          <a:avLst/>
          <a:gdLst/>
          <a:ahLst/>
          <a:cxnLst/>
          <a:rect l="0" t="0" r="0" b="0"/>
          <a:pathLst>
            <a:path>
              <a:moveTo>
                <a:pt x="45720" y="0"/>
              </a:moveTo>
              <a:lnTo>
                <a:pt x="45720" y="336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62A942-6EE7-421D-AB27-5A6C468F835F}">
      <dsp:nvSpPr>
        <dsp:cNvPr id="0" name=""/>
        <dsp:cNvSpPr/>
      </dsp:nvSpPr>
      <dsp:spPr>
        <a:xfrm>
          <a:off x="3224237" y="1304566"/>
          <a:ext cx="1453745" cy="336403"/>
        </a:xfrm>
        <a:custGeom>
          <a:avLst/>
          <a:gdLst/>
          <a:ahLst/>
          <a:cxnLst/>
          <a:rect l="0" t="0" r="0" b="0"/>
          <a:pathLst>
            <a:path>
              <a:moveTo>
                <a:pt x="0" y="0"/>
              </a:moveTo>
              <a:lnTo>
                <a:pt x="0" y="168201"/>
              </a:lnTo>
              <a:lnTo>
                <a:pt x="1453745" y="168201"/>
              </a:lnTo>
              <a:lnTo>
                <a:pt x="1453745" y="336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82AF39-19CF-4BDD-B49B-5920BF753280}">
      <dsp:nvSpPr>
        <dsp:cNvPr id="0" name=""/>
        <dsp:cNvSpPr/>
      </dsp:nvSpPr>
      <dsp:spPr>
        <a:xfrm>
          <a:off x="1770492" y="2441931"/>
          <a:ext cx="969163" cy="336403"/>
        </a:xfrm>
        <a:custGeom>
          <a:avLst/>
          <a:gdLst/>
          <a:ahLst/>
          <a:cxnLst/>
          <a:rect l="0" t="0" r="0" b="0"/>
          <a:pathLst>
            <a:path>
              <a:moveTo>
                <a:pt x="0" y="0"/>
              </a:moveTo>
              <a:lnTo>
                <a:pt x="0" y="168201"/>
              </a:lnTo>
              <a:lnTo>
                <a:pt x="969163" y="168201"/>
              </a:lnTo>
              <a:lnTo>
                <a:pt x="969163" y="336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49376-37E3-4EA5-BB28-56F9A460E351}">
      <dsp:nvSpPr>
        <dsp:cNvPr id="0" name=""/>
        <dsp:cNvSpPr/>
      </dsp:nvSpPr>
      <dsp:spPr>
        <a:xfrm>
          <a:off x="801329" y="2441931"/>
          <a:ext cx="969163" cy="336403"/>
        </a:xfrm>
        <a:custGeom>
          <a:avLst/>
          <a:gdLst/>
          <a:ahLst/>
          <a:cxnLst/>
          <a:rect l="0" t="0" r="0" b="0"/>
          <a:pathLst>
            <a:path>
              <a:moveTo>
                <a:pt x="969163" y="0"/>
              </a:moveTo>
              <a:lnTo>
                <a:pt x="969163" y="168201"/>
              </a:lnTo>
              <a:lnTo>
                <a:pt x="0" y="168201"/>
              </a:lnTo>
              <a:lnTo>
                <a:pt x="0" y="3364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38CCDC-9E2B-4691-8687-3C0C17A9EE10}">
      <dsp:nvSpPr>
        <dsp:cNvPr id="0" name=""/>
        <dsp:cNvSpPr/>
      </dsp:nvSpPr>
      <dsp:spPr>
        <a:xfrm>
          <a:off x="1770492" y="1304566"/>
          <a:ext cx="1453745" cy="336403"/>
        </a:xfrm>
        <a:custGeom>
          <a:avLst/>
          <a:gdLst/>
          <a:ahLst/>
          <a:cxnLst/>
          <a:rect l="0" t="0" r="0" b="0"/>
          <a:pathLst>
            <a:path>
              <a:moveTo>
                <a:pt x="1453745" y="0"/>
              </a:moveTo>
              <a:lnTo>
                <a:pt x="1453745" y="168201"/>
              </a:lnTo>
              <a:lnTo>
                <a:pt x="0" y="168201"/>
              </a:lnTo>
              <a:lnTo>
                <a:pt x="0" y="336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0AACE0-C72F-4FC8-993E-EB6484934145}">
      <dsp:nvSpPr>
        <dsp:cNvPr id="0" name=""/>
        <dsp:cNvSpPr/>
      </dsp:nvSpPr>
      <dsp:spPr>
        <a:xfrm>
          <a:off x="2423276" y="503605"/>
          <a:ext cx="1601922" cy="8009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a:rPr>
            <a:t>John Doe Trust</a:t>
          </a:r>
        </a:p>
        <a:p>
          <a:pPr marL="0" marR="0" lvl="0" indent="0" algn="ctr" defTabSz="488950" rtl="0">
            <a:lnSpc>
              <a:spcPct val="90000"/>
            </a:lnSpc>
            <a:spcBef>
              <a:spcPct val="0"/>
            </a:spcBef>
            <a:spcAft>
              <a:spcPct val="35000"/>
            </a:spcAft>
            <a:buNone/>
          </a:pPr>
          <a:r>
            <a:rPr lang="en-US" sz="1100" b="0" i="0" u="none" strike="noStrike" kern="1200" baseline="0">
              <a:latin typeface="Calibri"/>
            </a:rPr>
            <a:t>Optimal Basis </a:t>
          </a:r>
        </a:p>
        <a:p>
          <a:pPr marL="0" marR="0" lvl="0" indent="0" algn="ctr" defTabSz="488950" rtl="0">
            <a:lnSpc>
              <a:spcPct val="90000"/>
            </a:lnSpc>
            <a:spcBef>
              <a:spcPct val="0"/>
            </a:spcBef>
            <a:spcAft>
              <a:spcPct val="35000"/>
            </a:spcAft>
            <a:buNone/>
          </a:pPr>
          <a:r>
            <a:rPr lang="en-US" sz="1100" b="0" i="0" u="none" strike="noStrike" kern="1200" baseline="0">
              <a:latin typeface="Calibri"/>
            </a:rPr>
            <a:t>Increase Trust</a:t>
          </a:r>
          <a:endParaRPr lang="en-US" sz="1100" kern="1200"/>
        </a:p>
      </dsp:txBody>
      <dsp:txXfrm>
        <a:off x="2423276" y="503605"/>
        <a:ext cx="1601922" cy="800961"/>
      </dsp:txXfrm>
    </dsp:sp>
    <dsp:sp modelId="{30AB1008-D56B-4B48-A070-A40D50B5D509}">
      <dsp:nvSpPr>
        <dsp:cNvPr id="0" name=""/>
        <dsp:cNvSpPr/>
      </dsp:nvSpPr>
      <dsp:spPr>
        <a:xfrm>
          <a:off x="969531" y="1640970"/>
          <a:ext cx="1601922" cy="8009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a:rPr>
            <a:t>John Doe OBIT </a:t>
          </a:r>
        </a:p>
        <a:p>
          <a:pPr marL="0" marR="0" lvl="0" indent="0" algn="ctr" defTabSz="488950" rtl="0">
            <a:lnSpc>
              <a:spcPct val="90000"/>
            </a:lnSpc>
            <a:spcBef>
              <a:spcPct val="0"/>
            </a:spcBef>
            <a:spcAft>
              <a:spcPct val="35000"/>
            </a:spcAft>
            <a:buNone/>
          </a:pPr>
          <a:r>
            <a:rPr lang="en-US" sz="1100" b="0" i="0" u="none" strike="noStrike" kern="1200" baseline="0">
              <a:latin typeface="Calibri"/>
            </a:rPr>
            <a:t>Fbo Spouse (&amp; children?) </a:t>
          </a:r>
        </a:p>
        <a:p>
          <a:pPr marL="0" marR="0" lvl="0" indent="0" algn="ctr" defTabSz="488950" rtl="0">
            <a:lnSpc>
              <a:spcPct val="90000"/>
            </a:lnSpc>
            <a:spcBef>
              <a:spcPct val="0"/>
            </a:spcBef>
            <a:spcAft>
              <a:spcPct val="35000"/>
            </a:spcAft>
            <a:buNone/>
          </a:pPr>
          <a:r>
            <a:rPr lang="en-US" sz="1100" b="0" i="0" u="none" strike="noStrike" kern="1200" baseline="0">
              <a:latin typeface="Calibri"/>
            </a:rPr>
            <a:t> &lt; $5.25mm (or basic exclusion amount)</a:t>
          </a:r>
          <a:endParaRPr lang="en-US" sz="1100" kern="1200"/>
        </a:p>
      </dsp:txBody>
      <dsp:txXfrm>
        <a:off x="969531" y="1640970"/>
        <a:ext cx="1601922" cy="800961"/>
      </dsp:txXfrm>
    </dsp:sp>
    <dsp:sp modelId="{949FEC48-C0E0-4636-B460-997619830F1C}">
      <dsp:nvSpPr>
        <dsp:cNvPr id="0" name=""/>
        <dsp:cNvSpPr/>
      </dsp:nvSpPr>
      <dsp:spPr>
        <a:xfrm>
          <a:off x="367" y="2778335"/>
          <a:ext cx="1601922" cy="8009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a:rPr>
            <a:t>Trust for child(ren)</a:t>
          </a:r>
        </a:p>
        <a:p>
          <a:pPr marL="0" marR="0" lvl="0" indent="0" algn="ctr" defTabSz="488950" rtl="0">
            <a:lnSpc>
              <a:spcPct val="90000"/>
            </a:lnSpc>
            <a:spcBef>
              <a:spcPct val="0"/>
            </a:spcBef>
            <a:spcAft>
              <a:spcPct val="35000"/>
            </a:spcAft>
            <a:buNone/>
          </a:pPr>
          <a:r>
            <a:rPr lang="en-US" sz="1100" b="0" i="0" u="none" strike="noStrike" kern="1200" baseline="0">
              <a:latin typeface="Calibri"/>
            </a:rPr>
            <a:t>Step up in basis for assets w/basis &lt; FMV</a:t>
          </a:r>
        </a:p>
        <a:p>
          <a:pPr marL="0" marR="0" lvl="0" indent="0" algn="ctr" defTabSz="488950" rtl="0">
            <a:lnSpc>
              <a:spcPct val="90000"/>
            </a:lnSpc>
            <a:spcBef>
              <a:spcPct val="0"/>
            </a:spcBef>
            <a:spcAft>
              <a:spcPct val="35000"/>
            </a:spcAft>
            <a:buNone/>
          </a:pPr>
          <a:r>
            <a:rPr lang="en-US" sz="1100" b="0" i="0" u="none" strike="noStrike" kern="1200" baseline="0">
              <a:latin typeface="Calibri"/>
            </a:rPr>
            <a:t>(up to spouse’s AEA)</a:t>
          </a:r>
          <a:endParaRPr lang="en-US" sz="1100" kern="1200"/>
        </a:p>
      </dsp:txBody>
      <dsp:txXfrm>
        <a:off x="367" y="2778335"/>
        <a:ext cx="1601922" cy="800961"/>
      </dsp:txXfrm>
    </dsp:sp>
    <dsp:sp modelId="{6E43A17C-0897-4F92-ABA1-19C91B26CDD3}">
      <dsp:nvSpPr>
        <dsp:cNvPr id="0" name=""/>
        <dsp:cNvSpPr/>
      </dsp:nvSpPr>
      <dsp:spPr>
        <a:xfrm>
          <a:off x="1938694" y="2778335"/>
          <a:ext cx="1601922" cy="8009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a:rPr>
            <a:t>Trust for children</a:t>
          </a:r>
        </a:p>
        <a:p>
          <a:pPr marL="0" marR="0" lvl="0" indent="0" algn="ctr" defTabSz="488950" rtl="0">
            <a:lnSpc>
              <a:spcPct val="90000"/>
            </a:lnSpc>
            <a:spcBef>
              <a:spcPct val="0"/>
            </a:spcBef>
            <a:spcAft>
              <a:spcPct val="35000"/>
            </a:spcAft>
            <a:buNone/>
          </a:pPr>
          <a:r>
            <a:rPr lang="en-US" sz="1100" b="0" i="0" u="none" strike="noStrike" kern="1200" baseline="0">
              <a:latin typeface="Calibri"/>
            </a:rPr>
            <a:t>No change in basis (IRD, assets w/</a:t>
          </a:r>
        </a:p>
        <a:p>
          <a:pPr marL="0" marR="0" lvl="0" indent="0" algn="ctr" defTabSz="488950" rtl="0">
            <a:lnSpc>
              <a:spcPct val="90000"/>
            </a:lnSpc>
            <a:spcBef>
              <a:spcPct val="0"/>
            </a:spcBef>
            <a:spcAft>
              <a:spcPct val="35000"/>
            </a:spcAft>
            <a:buNone/>
          </a:pPr>
          <a:r>
            <a:rPr lang="en-US" sz="1100" b="0" i="0" u="none" strike="noStrike" kern="1200" baseline="0">
              <a:latin typeface="Calibri"/>
            </a:rPr>
            <a:t>Basis =&gt; FMV)</a:t>
          </a:r>
          <a:endParaRPr lang="en-US" sz="1100" kern="1200"/>
        </a:p>
      </dsp:txBody>
      <dsp:txXfrm>
        <a:off x="1938694" y="2778335"/>
        <a:ext cx="1601922" cy="800961"/>
      </dsp:txXfrm>
    </dsp:sp>
    <dsp:sp modelId="{9243CBF4-C142-43AB-9341-C67CB38A0F2C}">
      <dsp:nvSpPr>
        <dsp:cNvPr id="0" name=""/>
        <dsp:cNvSpPr/>
      </dsp:nvSpPr>
      <dsp:spPr>
        <a:xfrm>
          <a:off x="3877021" y="1640970"/>
          <a:ext cx="1601922" cy="8009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a:rPr>
            <a:t>John Doe Marital Trust </a:t>
          </a:r>
        </a:p>
        <a:p>
          <a:pPr marL="0" marR="0" lvl="0" indent="0" algn="ctr" defTabSz="488950" rtl="0">
            <a:lnSpc>
              <a:spcPct val="90000"/>
            </a:lnSpc>
            <a:spcBef>
              <a:spcPct val="0"/>
            </a:spcBef>
            <a:spcAft>
              <a:spcPct val="35000"/>
            </a:spcAft>
            <a:buNone/>
          </a:pPr>
          <a:r>
            <a:rPr lang="en-US" sz="1100" b="0" i="0" u="none" strike="noStrike" kern="1200" baseline="0">
              <a:latin typeface="Calibri"/>
            </a:rPr>
            <a:t>Fbo spouse only,  </a:t>
          </a:r>
        </a:p>
        <a:p>
          <a:pPr marL="0" marR="0" lvl="0" indent="0" algn="ctr" defTabSz="488950" rtl="0">
            <a:lnSpc>
              <a:spcPct val="90000"/>
            </a:lnSpc>
            <a:spcBef>
              <a:spcPct val="0"/>
            </a:spcBef>
            <a:spcAft>
              <a:spcPct val="35000"/>
            </a:spcAft>
            <a:buNone/>
          </a:pPr>
          <a:r>
            <a:rPr lang="en-US" sz="1100" b="0" i="0" u="none" strike="noStrike" kern="1200" baseline="0">
              <a:latin typeface="Calibri"/>
            </a:rPr>
            <a:t>&gt; $5.25mm (or basic exclusion amount)</a:t>
          </a:r>
          <a:endParaRPr lang="en-US" sz="1100" kern="1200"/>
        </a:p>
      </dsp:txBody>
      <dsp:txXfrm>
        <a:off x="3877021" y="1640970"/>
        <a:ext cx="1601922" cy="800961"/>
      </dsp:txXfrm>
    </dsp:sp>
    <dsp:sp modelId="{6FD9AA74-8AA1-4A5E-BBF6-729657ECD7AC}">
      <dsp:nvSpPr>
        <dsp:cNvPr id="0" name=""/>
        <dsp:cNvSpPr/>
      </dsp:nvSpPr>
      <dsp:spPr>
        <a:xfrm>
          <a:off x="3877021" y="2778335"/>
          <a:ext cx="1601922" cy="8009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US" sz="1100" b="0" i="0" u="none" strike="noStrike" kern="1200" baseline="0">
              <a:latin typeface="Calibri"/>
            </a:rPr>
            <a:t>Trust for children</a:t>
          </a:r>
        </a:p>
        <a:p>
          <a:pPr marL="0" marR="0" lvl="0" indent="0" algn="ctr" defTabSz="488950" rtl="0">
            <a:lnSpc>
              <a:spcPct val="90000"/>
            </a:lnSpc>
            <a:spcBef>
              <a:spcPct val="0"/>
            </a:spcBef>
            <a:spcAft>
              <a:spcPct val="35000"/>
            </a:spcAft>
            <a:buNone/>
          </a:pPr>
          <a:r>
            <a:rPr lang="en-US" sz="1100" b="0" i="0" u="none" strike="noStrike" kern="1200" baseline="0">
              <a:latin typeface="Calibri"/>
            </a:rPr>
            <a:t>All new basis</a:t>
          </a:r>
        </a:p>
        <a:p>
          <a:pPr marL="0" marR="0" lvl="0" indent="0" algn="ctr" defTabSz="488950" rtl="0">
            <a:lnSpc>
              <a:spcPct val="90000"/>
            </a:lnSpc>
            <a:spcBef>
              <a:spcPct val="0"/>
            </a:spcBef>
            <a:spcAft>
              <a:spcPct val="35000"/>
            </a:spcAft>
            <a:buNone/>
          </a:pPr>
          <a:r>
            <a:rPr lang="en-US" sz="1100" b="0" i="0" u="none" strike="noStrike" kern="1200" baseline="0">
              <a:latin typeface="Calibri"/>
            </a:rPr>
            <a:t>(including step down)</a:t>
          </a:r>
          <a:endParaRPr lang="en-US" sz="1100" kern="1200"/>
        </a:p>
      </dsp:txBody>
      <dsp:txXfrm>
        <a:off x="3877021" y="2778335"/>
        <a:ext cx="1601922" cy="80096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26A6B-0544-410E-88E4-077D754D8AD1}">
      <dsp:nvSpPr>
        <dsp:cNvPr id="0" name=""/>
        <dsp:cNvSpPr/>
      </dsp:nvSpPr>
      <dsp:spPr>
        <a:xfrm>
          <a:off x="3701060" y="2333995"/>
          <a:ext cx="91440" cy="404836"/>
        </a:xfrm>
        <a:custGeom>
          <a:avLst/>
          <a:gdLst/>
          <a:ahLst/>
          <a:cxnLst/>
          <a:rect l="0" t="0" r="0" b="0"/>
          <a:pathLst>
            <a:path>
              <a:moveTo>
                <a:pt x="45720" y="0"/>
              </a:moveTo>
              <a:lnTo>
                <a:pt x="45720" y="4048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44CD26-43B6-4749-9689-3311F1B75DD7}">
      <dsp:nvSpPr>
        <dsp:cNvPr id="0" name=""/>
        <dsp:cNvSpPr/>
      </dsp:nvSpPr>
      <dsp:spPr>
        <a:xfrm>
          <a:off x="2580467" y="963895"/>
          <a:ext cx="1166313" cy="406204"/>
        </a:xfrm>
        <a:custGeom>
          <a:avLst/>
          <a:gdLst/>
          <a:ahLst/>
          <a:cxnLst/>
          <a:rect l="0" t="0" r="0" b="0"/>
          <a:pathLst>
            <a:path>
              <a:moveTo>
                <a:pt x="0" y="0"/>
              </a:moveTo>
              <a:lnTo>
                <a:pt x="0" y="203786"/>
              </a:lnTo>
              <a:lnTo>
                <a:pt x="1166313" y="203786"/>
              </a:lnTo>
              <a:lnTo>
                <a:pt x="1166313" y="406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1A34A5-9109-47DC-8201-6853233EDFC0}">
      <dsp:nvSpPr>
        <dsp:cNvPr id="0" name=""/>
        <dsp:cNvSpPr/>
      </dsp:nvSpPr>
      <dsp:spPr>
        <a:xfrm>
          <a:off x="1368434" y="2333995"/>
          <a:ext cx="91440" cy="404836"/>
        </a:xfrm>
        <a:custGeom>
          <a:avLst/>
          <a:gdLst/>
          <a:ahLst/>
          <a:cxnLst/>
          <a:rect l="0" t="0" r="0" b="0"/>
          <a:pathLst>
            <a:path>
              <a:moveTo>
                <a:pt x="45720" y="0"/>
              </a:moveTo>
              <a:lnTo>
                <a:pt x="45720" y="4048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1A591A-FBF2-47CB-B8B4-260F2544633F}">
      <dsp:nvSpPr>
        <dsp:cNvPr id="0" name=""/>
        <dsp:cNvSpPr/>
      </dsp:nvSpPr>
      <dsp:spPr>
        <a:xfrm>
          <a:off x="1414154" y="963895"/>
          <a:ext cx="1166313" cy="406204"/>
        </a:xfrm>
        <a:custGeom>
          <a:avLst/>
          <a:gdLst/>
          <a:ahLst/>
          <a:cxnLst/>
          <a:rect l="0" t="0" r="0" b="0"/>
          <a:pathLst>
            <a:path>
              <a:moveTo>
                <a:pt x="1166313" y="0"/>
              </a:moveTo>
              <a:lnTo>
                <a:pt x="1166313" y="203786"/>
              </a:lnTo>
              <a:lnTo>
                <a:pt x="0" y="203786"/>
              </a:lnTo>
              <a:lnTo>
                <a:pt x="0" y="406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5F7D02-F218-497E-925E-471BEFE353F0}">
      <dsp:nvSpPr>
        <dsp:cNvPr id="0" name=""/>
        <dsp:cNvSpPr/>
      </dsp:nvSpPr>
      <dsp:spPr>
        <a:xfrm>
          <a:off x="1616572" y="0"/>
          <a:ext cx="1927790" cy="9638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1" i="0" u="none" strike="noStrike" kern="1200" cap="none" normalizeH="0" baseline="0" dirty="0">
              <a:ln>
                <a:noFill/>
              </a:ln>
              <a:solidFill>
                <a:schemeClr val="tx1"/>
              </a:solidFill>
              <a:effectLst/>
              <a:latin typeface="Times New Roman" pitchFamily="18" charset="0"/>
              <a:ea typeface="MS PGothic" pitchFamily="34" charset="-128"/>
            </a:rPr>
            <a:t>John &amp; Mary Doe Trust</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dirty="0">
              <a:ln>
                <a:noFill/>
              </a:ln>
              <a:solidFill>
                <a:schemeClr val="tx1"/>
              </a:solidFill>
              <a:effectLst/>
              <a:latin typeface="Times New Roman" pitchFamily="18" charset="0"/>
              <a:ea typeface="MS PGothic" pitchFamily="34" charset="-128"/>
            </a:rPr>
            <a:t>(could be joint trust or two separate trusts)</a:t>
          </a:r>
          <a:endParaRPr kumimoji="0" lang="en-US" sz="1100" b="0" i="0" u="none" strike="noStrike" kern="1200" cap="none" normalizeH="0" baseline="0" dirty="0">
            <a:ln>
              <a:noFill/>
            </a:ln>
            <a:solidFill>
              <a:schemeClr val="tx1"/>
            </a:solidFill>
            <a:effectLst/>
            <a:latin typeface="Arial" charset="0"/>
            <a:ea typeface="MS PGothic" pitchFamily="34" charset="-128"/>
          </a:endParaRPr>
        </a:p>
      </dsp:txBody>
      <dsp:txXfrm>
        <a:off x="1616572" y="0"/>
        <a:ext cx="1927790" cy="963895"/>
      </dsp:txXfrm>
    </dsp:sp>
    <dsp:sp modelId="{E86F6DCB-E17B-40FB-A171-912FD09D7AB7}">
      <dsp:nvSpPr>
        <dsp:cNvPr id="0" name=""/>
        <dsp:cNvSpPr/>
      </dsp:nvSpPr>
      <dsp:spPr>
        <a:xfrm>
          <a:off x="450258" y="1370099"/>
          <a:ext cx="1927790" cy="9638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chemeClr val="tx1"/>
              </a:solidFill>
              <a:effectLst/>
              <a:latin typeface="Times New Roman" pitchFamily="18" charset="0"/>
              <a:ea typeface="MS PGothic" pitchFamily="34" charset="-128"/>
            </a:rPr>
            <a:t>John Doe Bypass (Credit Shelter)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chemeClr val="tx1"/>
              </a:solidFill>
              <a:effectLst/>
              <a:latin typeface="Times New Roman" pitchFamily="18" charset="0"/>
              <a:ea typeface="MS PGothic" pitchFamily="34" charset="-128"/>
            </a:rPr>
            <a:t>Trust Fbo Spouse (&amp; children?)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chemeClr val="tx1"/>
              </a:solidFill>
              <a:effectLst/>
              <a:latin typeface="Times New Roman" pitchFamily="18" charset="0"/>
              <a:ea typeface="MS PGothic" pitchFamily="34" charset="-128"/>
            </a:rPr>
            <a:t> &lt; $5.34mm (or basic exclusion amount)</a:t>
          </a:r>
          <a:endParaRPr kumimoji="0" lang="en-US" sz="1100" b="0" i="0" u="none" strike="noStrike" kern="1200" cap="none" normalizeH="0" baseline="0">
            <a:ln>
              <a:noFill/>
            </a:ln>
            <a:solidFill>
              <a:schemeClr val="tx1"/>
            </a:solidFill>
            <a:effectLst/>
            <a:latin typeface="Arial" charset="0"/>
            <a:ea typeface="MS PGothic" pitchFamily="34" charset="-128"/>
          </a:endParaRPr>
        </a:p>
      </dsp:txBody>
      <dsp:txXfrm>
        <a:off x="450258" y="1370099"/>
        <a:ext cx="1927790" cy="963895"/>
      </dsp:txXfrm>
    </dsp:sp>
    <dsp:sp modelId="{D98DFCAD-40A4-4690-ACAB-80A69AA0C3C8}">
      <dsp:nvSpPr>
        <dsp:cNvPr id="0" name=""/>
        <dsp:cNvSpPr/>
      </dsp:nvSpPr>
      <dsp:spPr>
        <a:xfrm>
          <a:off x="450258" y="2738831"/>
          <a:ext cx="1927790" cy="9638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chemeClr val="tx1"/>
              </a:solidFill>
              <a:effectLst/>
              <a:latin typeface="Times New Roman" pitchFamily="18" charset="0"/>
              <a:ea typeface="MS PGothic" pitchFamily="34" charset="-128"/>
            </a:rPr>
            <a:t>Capital Gains taxed at 23.8% (long term)/43.4% (short term);</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chemeClr val="tx1"/>
              </a:solidFill>
              <a:effectLst/>
              <a:latin typeface="Times New Roman" pitchFamily="18" charset="0"/>
              <a:ea typeface="MS PGothic" pitchFamily="34" charset="-128"/>
            </a:rPr>
            <a:t>Ordinary income at 23.8% (QD)/43.4% if not distributed</a:t>
          </a:r>
          <a:endParaRPr kumimoji="0" lang="en-US" sz="1100" b="0" i="0" u="none" strike="noStrike" kern="1200" cap="none" normalizeH="0" baseline="0">
            <a:ln>
              <a:noFill/>
            </a:ln>
            <a:solidFill>
              <a:schemeClr val="tx1"/>
            </a:solidFill>
            <a:effectLst/>
            <a:latin typeface="Arial" charset="0"/>
            <a:ea typeface="MS PGothic" pitchFamily="34" charset="-128"/>
          </a:endParaRPr>
        </a:p>
      </dsp:txBody>
      <dsp:txXfrm>
        <a:off x="450258" y="2738831"/>
        <a:ext cx="1927790" cy="963895"/>
      </dsp:txXfrm>
    </dsp:sp>
    <dsp:sp modelId="{A5B7ABED-3994-40F3-972D-A444A0689A04}">
      <dsp:nvSpPr>
        <dsp:cNvPr id="0" name=""/>
        <dsp:cNvSpPr/>
      </dsp:nvSpPr>
      <dsp:spPr>
        <a:xfrm>
          <a:off x="2782885" y="1370099"/>
          <a:ext cx="1927790" cy="9638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chemeClr val="tx1"/>
              </a:solidFill>
              <a:effectLst/>
              <a:latin typeface="Times New Roman" pitchFamily="18" charset="0"/>
              <a:ea typeface="MS PGothic" pitchFamily="34" charset="-128"/>
            </a:rPr>
            <a:t>John Doe Marital Trust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chemeClr val="tx1"/>
              </a:solidFill>
              <a:effectLst/>
              <a:latin typeface="Times New Roman" pitchFamily="18" charset="0"/>
              <a:ea typeface="MS PGothic" pitchFamily="34" charset="-128"/>
            </a:rPr>
            <a:t>Fbo spouse only,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chemeClr val="tx1"/>
              </a:solidFill>
              <a:effectLst/>
              <a:latin typeface="Times New Roman" pitchFamily="18" charset="0"/>
              <a:ea typeface="MS PGothic" pitchFamily="34" charset="-128"/>
            </a:rPr>
            <a:t>&gt; $5.34mm (or basic exclusion amount)</a:t>
          </a:r>
          <a:endParaRPr kumimoji="0" lang="en-US" sz="1100" b="0" i="0" u="none" strike="noStrike" kern="1200" cap="none" normalizeH="0" baseline="0">
            <a:ln>
              <a:noFill/>
            </a:ln>
            <a:solidFill>
              <a:schemeClr val="tx1"/>
            </a:solidFill>
            <a:effectLst/>
            <a:latin typeface="Arial" charset="0"/>
            <a:ea typeface="MS PGothic" pitchFamily="34" charset="-128"/>
          </a:endParaRPr>
        </a:p>
      </dsp:txBody>
      <dsp:txXfrm>
        <a:off x="2782885" y="1370099"/>
        <a:ext cx="1927790" cy="963895"/>
      </dsp:txXfrm>
    </dsp:sp>
    <dsp:sp modelId="{1C841405-0365-4965-A0AC-2AF265FFDC42}">
      <dsp:nvSpPr>
        <dsp:cNvPr id="0" name=""/>
        <dsp:cNvSpPr/>
      </dsp:nvSpPr>
      <dsp:spPr>
        <a:xfrm>
          <a:off x="2782885" y="2738831"/>
          <a:ext cx="1927790" cy="9638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chemeClr val="tx1"/>
              </a:solidFill>
              <a:effectLst/>
              <a:latin typeface="Times New Roman" pitchFamily="18" charset="0"/>
              <a:ea typeface="MS PGothic" pitchFamily="34" charset="-128"/>
            </a:rPr>
            <a:t>Capital Gains taxed at 23.8% (long term)/43.4% (short term);</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chemeClr val="tx1"/>
              </a:solidFill>
              <a:effectLst/>
              <a:latin typeface="Times New Roman" pitchFamily="18" charset="0"/>
              <a:ea typeface="MS PGothic" pitchFamily="34" charset="-128"/>
            </a:rPr>
            <a:t>Ordinary income at 23.8% (QD)/43.4% if not distributed</a:t>
          </a:r>
        </a:p>
      </dsp:txBody>
      <dsp:txXfrm>
        <a:off x="2782885" y="2738831"/>
        <a:ext cx="1927790" cy="9638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126A6B-0544-410E-88E4-077D754D8AD1}">
      <dsp:nvSpPr>
        <dsp:cNvPr id="0" name=""/>
        <dsp:cNvSpPr/>
      </dsp:nvSpPr>
      <dsp:spPr>
        <a:xfrm>
          <a:off x="3701060" y="2333995"/>
          <a:ext cx="91440" cy="404836"/>
        </a:xfrm>
        <a:custGeom>
          <a:avLst/>
          <a:gdLst/>
          <a:ahLst/>
          <a:cxnLst/>
          <a:rect l="0" t="0" r="0" b="0"/>
          <a:pathLst>
            <a:path>
              <a:moveTo>
                <a:pt x="45720" y="0"/>
              </a:moveTo>
              <a:lnTo>
                <a:pt x="45720" y="4048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44CD26-43B6-4749-9689-3311F1B75DD7}">
      <dsp:nvSpPr>
        <dsp:cNvPr id="0" name=""/>
        <dsp:cNvSpPr/>
      </dsp:nvSpPr>
      <dsp:spPr>
        <a:xfrm>
          <a:off x="2580467" y="963895"/>
          <a:ext cx="1166313" cy="406204"/>
        </a:xfrm>
        <a:custGeom>
          <a:avLst/>
          <a:gdLst/>
          <a:ahLst/>
          <a:cxnLst/>
          <a:rect l="0" t="0" r="0" b="0"/>
          <a:pathLst>
            <a:path>
              <a:moveTo>
                <a:pt x="0" y="0"/>
              </a:moveTo>
              <a:lnTo>
                <a:pt x="0" y="203786"/>
              </a:lnTo>
              <a:lnTo>
                <a:pt x="1166313" y="203786"/>
              </a:lnTo>
              <a:lnTo>
                <a:pt x="1166313" y="40620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1A34A5-9109-47DC-8201-6853233EDFC0}">
      <dsp:nvSpPr>
        <dsp:cNvPr id="0" name=""/>
        <dsp:cNvSpPr/>
      </dsp:nvSpPr>
      <dsp:spPr>
        <a:xfrm>
          <a:off x="1368434" y="2333995"/>
          <a:ext cx="91440" cy="404836"/>
        </a:xfrm>
        <a:custGeom>
          <a:avLst/>
          <a:gdLst/>
          <a:ahLst/>
          <a:cxnLst/>
          <a:rect l="0" t="0" r="0" b="0"/>
          <a:pathLst>
            <a:path>
              <a:moveTo>
                <a:pt x="45720" y="0"/>
              </a:moveTo>
              <a:lnTo>
                <a:pt x="45720" y="40483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1A591A-FBF2-47CB-B8B4-260F2544633F}">
      <dsp:nvSpPr>
        <dsp:cNvPr id="0" name=""/>
        <dsp:cNvSpPr/>
      </dsp:nvSpPr>
      <dsp:spPr>
        <a:xfrm>
          <a:off x="1414154" y="963895"/>
          <a:ext cx="1166313" cy="406204"/>
        </a:xfrm>
        <a:custGeom>
          <a:avLst/>
          <a:gdLst/>
          <a:ahLst/>
          <a:cxnLst/>
          <a:rect l="0" t="0" r="0" b="0"/>
          <a:pathLst>
            <a:path>
              <a:moveTo>
                <a:pt x="1166313" y="0"/>
              </a:moveTo>
              <a:lnTo>
                <a:pt x="1166313" y="203786"/>
              </a:lnTo>
              <a:lnTo>
                <a:pt x="0" y="203786"/>
              </a:lnTo>
              <a:lnTo>
                <a:pt x="0" y="40620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B5F7D02-F218-497E-925E-471BEFE353F0}">
      <dsp:nvSpPr>
        <dsp:cNvPr id="0" name=""/>
        <dsp:cNvSpPr/>
      </dsp:nvSpPr>
      <dsp:spPr>
        <a:xfrm>
          <a:off x="1616572" y="0"/>
          <a:ext cx="1927790" cy="9638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1" i="0" u="none" strike="noStrike" kern="1200" cap="none" normalizeH="0" baseline="0" dirty="0">
              <a:ln>
                <a:noFill/>
              </a:ln>
              <a:solidFill>
                <a:sysClr val="windowText" lastClr="000000"/>
              </a:solidFill>
              <a:effectLst/>
              <a:latin typeface="Times New Roman" pitchFamily="18" charset="0"/>
              <a:ea typeface="MS PGothic" pitchFamily="34" charset="-128"/>
              <a:cs typeface="+mn-cs"/>
            </a:rPr>
            <a:t>John &amp; Mary Doe Trust</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dirty="0">
              <a:ln>
                <a:noFill/>
              </a:ln>
              <a:solidFill>
                <a:sysClr val="windowText" lastClr="000000"/>
              </a:solidFill>
              <a:effectLst/>
              <a:latin typeface="Times New Roman" pitchFamily="18" charset="0"/>
              <a:ea typeface="MS PGothic" pitchFamily="34" charset="-128"/>
              <a:cs typeface="+mn-cs"/>
            </a:rPr>
            <a:t>(joint or separate trusts)</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1" i="1" u="none" strike="noStrike" kern="1200" cap="none" normalizeH="0" baseline="0" dirty="0">
              <a:ln>
                <a:noFill/>
              </a:ln>
              <a:solidFill>
                <a:sysClr val="windowText" lastClr="000000"/>
              </a:solidFill>
              <a:effectLst/>
              <a:latin typeface="Times New Roman" pitchFamily="18" charset="0"/>
              <a:ea typeface="MS PGothic" pitchFamily="34" charset="-128"/>
              <a:cs typeface="+mn-cs"/>
            </a:rPr>
            <a:t>With Different Income Tax Provisions to Shift Tax</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n-US" sz="1100" b="0" i="0" u="none" strike="noStrike" kern="1200" cap="none" normalizeH="0" baseline="0" dirty="0">
            <a:ln>
              <a:noFill/>
            </a:ln>
            <a:solidFill>
              <a:sysClr val="windowText" lastClr="000000"/>
            </a:solidFill>
            <a:effectLst/>
            <a:latin typeface="Arial" charset="0"/>
            <a:ea typeface="MS PGothic" pitchFamily="34" charset="-128"/>
            <a:cs typeface="+mn-cs"/>
          </a:endParaRPr>
        </a:p>
      </dsp:txBody>
      <dsp:txXfrm>
        <a:off x="1616572" y="0"/>
        <a:ext cx="1927790" cy="963895"/>
      </dsp:txXfrm>
    </dsp:sp>
    <dsp:sp modelId="{E86F6DCB-E17B-40FB-A171-912FD09D7AB7}">
      <dsp:nvSpPr>
        <dsp:cNvPr id="0" name=""/>
        <dsp:cNvSpPr/>
      </dsp:nvSpPr>
      <dsp:spPr>
        <a:xfrm>
          <a:off x="450258" y="1370099"/>
          <a:ext cx="1927790" cy="9638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ysClr val="windowText" lastClr="000000"/>
              </a:solidFill>
              <a:effectLst/>
              <a:latin typeface="Times New Roman" pitchFamily="18" charset="0"/>
              <a:ea typeface="MS PGothic" pitchFamily="34" charset="-128"/>
              <a:cs typeface="+mn-cs"/>
            </a:rPr>
            <a:t>John Doe Bypass (Credit Shelter)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ysClr val="windowText" lastClr="000000"/>
              </a:solidFill>
              <a:effectLst/>
              <a:latin typeface="Times New Roman" pitchFamily="18" charset="0"/>
              <a:ea typeface="MS PGothic" pitchFamily="34" charset="-128"/>
              <a:cs typeface="+mn-cs"/>
            </a:rPr>
            <a:t>Trust Fbo Spouse (&amp; children?)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ysClr val="windowText" lastClr="000000"/>
              </a:solidFill>
              <a:effectLst/>
              <a:latin typeface="Times New Roman" pitchFamily="18" charset="0"/>
              <a:ea typeface="MS PGothic" pitchFamily="34" charset="-128"/>
              <a:cs typeface="+mn-cs"/>
            </a:rPr>
            <a:t> &lt; $5.34mm (or basic exclusion amount)</a:t>
          </a:r>
          <a:endParaRPr kumimoji="0" lang="en-US" sz="1100" b="0" i="0" u="none" strike="noStrike" kern="1200" cap="none" normalizeH="0" baseline="0">
            <a:ln>
              <a:noFill/>
            </a:ln>
            <a:solidFill>
              <a:sysClr val="windowText" lastClr="000000"/>
            </a:solidFill>
            <a:effectLst/>
            <a:latin typeface="Arial" charset="0"/>
            <a:ea typeface="MS PGothic" pitchFamily="34" charset="-128"/>
            <a:cs typeface="+mn-cs"/>
          </a:endParaRPr>
        </a:p>
      </dsp:txBody>
      <dsp:txXfrm>
        <a:off x="450258" y="1370099"/>
        <a:ext cx="1927790" cy="963895"/>
      </dsp:txXfrm>
    </dsp:sp>
    <dsp:sp modelId="{D98DFCAD-40A4-4690-ACAB-80A69AA0C3C8}">
      <dsp:nvSpPr>
        <dsp:cNvPr id="0" name=""/>
        <dsp:cNvSpPr/>
      </dsp:nvSpPr>
      <dsp:spPr>
        <a:xfrm>
          <a:off x="450258" y="2738831"/>
          <a:ext cx="1927790" cy="9638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ysClr val="windowText" lastClr="000000"/>
              </a:solidFill>
              <a:effectLst/>
              <a:latin typeface="Times New Roman" pitchFamily="18" charset="0"/>
              <a:ea typeface="MS PGothic" pitchFamily="34" charset="-128"/>
              <a:cs typeface="+mn-cs"/>
            </a:rPr>
            <a:t>All income can be taxed at spouse's, children's or even charity's tax rate, to extent distributed or subject to withdraw </a:t>
          </a:r>
        </a:p>
      </dsp:txBody>
      <dsp:txXfrm>
        <a:off x="450258" y="2738831"/>
        <a:ext cx="1927790" cy="963895"/>
      </dsp:txXfrm>
    </dsp:sp>
    <dsp:sp modelId="{A5B7ABED-3994-40F3-972D-A444A0689A04}">
      <dsp:nvSpPr>
        <dsp:cNvPr id="0" name=""/>
        <dsp:cNvSpPr/>
      </dsp:nvSpPr>
      <dsp:spPr>
        <a:xfrm>
          <a:off x="2782885" y="1370099"/>
          <a:ext cx="1927790" cy="9638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ysClr val="windowText" lastClr="000000"/>
              </a:solidFill>
              <a:effectLst/>
              <a:latin typeface="Times New Roman" pitchFamily="18" charset="0"/>
              <a:ea typeface="MS PGothic" pitchFamily="34" charset="-128"/>
              <a:cs typeface="+mn-cs"/>
            </a:rPr>
            <a:t>John Doe Marital Trust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ysClr val="windowText" lastClr="000000"/>
              </a:solidFill>
              <a:effectLst/>
              <a:latin typeface="Times New Roman" pitchFamily="18" charset="0"/>
              <a:ea typeface="MS PGothic" pitchFamily="34" charset="-128"/>
              <a:cs typeface="+mn-cs"/>
            </a:rPr>
            <a:t>Fbo spouse only,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ysClr val="windowText" lastClr="000000"/>
              </a:solidFill>
              <a:effectLst/>
              <a:latin typeface="Times New Roman" pitchFamily="18" charset="0"/>
              <a:ea typeface="MS PGothic" pitchFamily="34" charset="-128"/>
              <a:cs typeface="+mn-cs"/>
            </a:rPr>
            <a:t>&gt; $5.34mm (or basic exclusion amount)</a:t>
          </a:r>
          <a:endParaRPr kumimoji="0" lang="en-US" sz="1100" b="0" i="0" u="none" strike="noStrike" kern="1200" cap="none" normalizeH="0" baseline="0">
            <a:ln>
              <a:noFill/>
            </a:ln>
            <a:solidFill>
              <a:sysClr val="windowText" lastClr="000000"/>
            </a:solidFill>
            <a:effectLst/>
            <a:latin typeface="Arial" charset="0"/>
            <a:ea typeface="MS PGothic" pitchFamily="34" charset="-128"/>
            <a:cs typeface="+mn-cs"/>
          </a:endParaRPr>
        </a:p>
      </dsp:txBody>
      <dsp:txXfrm>
        <a:off x="2782885" y="1370099"/>
        <a:ext cx="1927790" cy="963895"/>
      </dsp:txXfrm>
    </dsp:sp>
    <dsp:sp modelId="{1C841405-0365-4965-A0AC-2AF265FFDC42}">
      <dsp:nvSpPr>
        <dsp:cNvPr id="0" name=""/>
        <dsp:cNvSpPr/>
      </dsp:nvSpPr>
      <dsp:spPr>
        <a:xfrm>
          <a:off x="2782885" y="2738831"/>
          <a:ext cx="1927790" cy="96389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0" i="0" u="none" strike="noStrike" kern="1200" cap="none" normalizeH="0" baseline="0">
              <a:ln>
                <a:noFill/>
              </a:ln>
              <a:solidFill>
                <a:sysClr val="windowText" lastClr="000000"/>
              </a:solidFill>
              <a:effectLst/>
              <a:latin typeface="Times New Roman" pitchFamily="18" charset="0"/>
              <a:ea typeface="MS PGothic" pitchFamily="34" charset="-128"/>
              <a:cs typeface="+mn-cs"/>
            </a:rPr>
            <a:t>All income can be taxed at spouse's tax rates if distributed or subject to withdrawal (no ability to spray to children or charity)</a:t>
          </a:r>
        </a:p>
      </dsp:txBody>
      <dsp:txXfrm>
        <a:off x="2782885" y="2738831"/>
        <a:ext cx="1927790" cy="9638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46963-02FF-43F1-93AA-760F21D83475}">
      <dsp:nvSpPr>
        <dsp:cNvPr id="0" name=""/>
        <dsp:cNvSpPr/>
      </dsp:nvSpPr>
      <dsp:spPr>
        <a:xfrm>
          <a:off x="1482856" y="820703"/>
          <a:ext cx="918842" cy="932918"/>
        </a:xfrm>
        <a:prstGeom prst="horizontalScroll">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a:ea typeface="+mn-ea"/>
              <a:cs typeface="+mn-cs"/>
            </a:rPr>
            <a:t>Optimal Basis/Tax Shifting Trust</a:t>
          </a:r>
        </a:p>
      </dsp:txBody>
      <dsp:txXfrm>
        <a:off x="1597711" y="935558"/>
        <a:ext cx="746559" cy="703208"/>
      </dsp:txXfrm>
    </dsp:sp>
    <dsp:sp modelId="{83466AF0-1146-4A63-8863-7BC180EDB552}">
      <dsp:nvSpPr>
        <dsp:cNvPr id="0" name=""/>
        <dsp:cNvSpPr/>
      </dsp:nvSpPr>
      <dsp:spPr>
        <a:xfrm rot="16200000">
          <a:off x="1922533" y="784499"/>
          <a:ext cx="39488" cy="32919"/>
        </a:xfrm>
        <a:custGeom>
          <a:avLst/>
          <a:gdLst/>
          <a:ahLst/>
          <a:cxnLst/>
          <a:rect l="0" t="0" r="0" b="0"/>
          <a:pathLst>
            <a:path>
              <a:moveTo>
                <a:pt x="0" y="14759"/>
              </a:moveTo>
              <a:lnTo>
                <a:pt x="105330" y="14759"/>
              </a:lnTo>
            </a:path>
          </a:pathLst>
        </a:custGeom>
        <a:noFill/>
        <a:ln w="25400" cap="flat" cmpd="sng" algn="ctr">
          <a:solidFill>
            <a:srgbClr val="9BBB59">
              <a:hueOff val="0"/>
              <a:satOff val="0"/>
              <a:lumOff val="0"/>
              <a:alphaOff val="0"/>
            </a:srgb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941290" y="799971"/>
        <a:ext cx="1974" cy="1974"/>
      </dsp:txXfrm>
    </dsp:sp>
    <dsp:sp modelId="{FBAD9AF5-88AF-4FF3-9351-4C56436DEBEE}">
      <dsp:nvSpPr>
        <dsp:cNvPr id="0" name=""/>
        <dsp:cNvSpPr/>
      </dsp:nvSpPr>
      <dsp:spPr>
        <a:xfrm>
          <a:off x="1497286" y="-53421"/>
          <a:ext cx="889981" cy="834636"/>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itchFamily="34" charset="0"/>
              <a:ea typeface="+mn-ea"/>
              <a:cs typeface="+mn-cs"/>
            </a:rPr>
            <a:t>Stretch IRA </a:t>
          </a:r>
        </a:p>
        <a:p>
          <a:pPr marL="0" lvl="0" indent="0" algn="ctr" defTabSz="400050">
            <a:lnSpc>
              <a:spcPct val="90000"/>
            </a:lnSpc>
            <a:spcBef>
              <a:spcPct val="0"/>
            </a:spcBef>
            <a:spcAft>
              <a:spcPct val="35000"/>
            </a:spcAft>
            <a:buNone/>
          </a:pPr>
          <a:r>
            <a:rPr lang="en-US" sz="900" b="1" kern="1200">
              <a:solidFill>
                <a:sysClr val="window" lastClr="FFFFFF"/>
              </a:solidFill>
              <a:latin typeface="Calibri" pitchFamily="34" charset="0"/>
              <a:ea typeface="+mn-ea"/>
              <a:cs typeface="+mn-cs"/>
            </a:rPr>
            <a:t>Tax Deferral</a:t>
          </a:r>
        </a:p>
      </dsp:txBody>
      <dsp:txXfrm>
        <a:off x="1627621" y="68809"/>
        <a:ext cx="629311" cy="590176"/>
      </dsp:txXfrm>
    </dsp:sp>
    <dsp:sp modelId="{EB0DD0D2-5BDD-4D9C-94E5-5347FF842388}">
      <dsp:nvSpPr>
        <dsp:cNvPr id="0" name=""/>
        <dsp:cNvSpPr/>
      </dsp:nvSpPr>
      <dsp:spPr>
        <a:xfrm>
          <a:off x="2401698" y="1270702"/>
          <a:ext cx="389663" cy="32919"/>
        </a:xfrm>
        <a:custGeom>
          <a:avLst/>
          <a:gdLst/>
          <a:ahLst/>
          <a:cxnLst/>
          <a:rect l="0" t="0" r="0" b="0"/>
          <a:pathLst>
            <a:path>
              <a:moveTo>
                <a:pt x="0" y="14759"/>
              </a:moveTo>
              <a:lnTo>
                <a:pt x="325588" y="14759"/>
              </a:lnTo>
            </a:path>
          </a:pathLst>
        </a:custGeom>
        <a:noFill/>
        <a:ln w="25400" cap="flat" cmpd="sng" algn="ctr">
          <a:solidFill>
            <a:srgbClr val="9BBB59">
              <a:hueOff val="0"/>
              <a:satOff val="0"/>
              <a:lumOff val="0"/>
              <a:alphaOff val="0"/>
            </a:srgb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586788" y="1277420"/>
        <a:ext cx="19483" cy="19483"/>
      </dsp:txXfrm>
    </dsp:sp>
    <dsp:sp modelId="{E27A65C3-AAAA-4A68-A458-BDEBCA949CC8}">
      <dsp:nvSpPr>
        <dsp:cNvPr id="0" name=""/>
        <dsp:cNvSpPr/>
      </dsp:nvSpPr>
      <dsp:spPr>
        <a:xfrm>
          <a:off x="2791361" y="883221"/>
          <a:ext cx="896834" cy="807882"/>
        </a:xfrm>
        <a:prstGeom prst="ellipse">
          <a:avLst/>
        </a:prstGeom>
        <a:solidFill>
          <a:srgbClr val="C0504D">
            <a:hueOff val="1560506"/>
            <a:satOff val="-1946"/>
            <a:lumOff val="458"/>
            <a:alphaOff val="0"/>
          </a:srgbClr>
        </a:solidFill>
        <a:ln w="25400" cap="flat" cmpd="sng" algn="ctr">
          <a:solidFill>
            <a:sysClr val="window" lastClr="FFFFFF">
              <a:hueOff val="0"/>
              <a:satOff val="0"/>
              <a:lumOff val="0"/>
              <a:alphaOff val="0"/>
            </a:sys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baseline="0">
              <a:solidFill>
                <a:sysClr val="window" lastClr="FFFFFF"/>
              </a:solidFill>
              <a:latin typeface="Calibri" pitchFamily="34" charset="0"/>
              <a:ea typeface="+mn-ea"/>
              <a:cs typeface="+mn-cs"/>
            </a:rPr>
            <a:t>Shift Income to Lower Brackets</a:t>
          </a:r>
        </a:p>
      </dsp:txBody>
      <dsp:txXfrm>
        <a:off x="2922699" y="1001533"/>
        <a:ext cx="634158" cy="571258"/>
      </dsp:txXfrm>
    </dsp:sp>
    <dsp:sp modelId="{959A06A8-F998-4DE4-B284-EC05F30F1F56}">
      <dsp:nvSpPr>
        <dsp:cNvPr id="0" name=""/>
        <dsp:cNvSpPr/>
      </dsp:nvSpPr>
      <dsp:spPr>
        <a:xfrm rot="5400000">
          <a:off x="1923844" y="1755595"/>
          <a:ext cx="36866" cy="32919"/>
        </a:xfrm>
        <a:custGeom>
          <a:avLst/>
          <a:gdLst/>
          <a:ahLst/>
          <a:cxnLst/>
          <a:rect l="0" t="0" r="0" b="0"/>
          <a:pathLst>
            <a:path>
              <a:moveTo>
                <a:pt x="0" y="14759"/>
              </a:moveTo>
              <a:lnTo>
                <a:pt x="102978" y="14759"/>
              </a:lnTo>
            </a:path>
          </a:pathLst>
        </a:custGeom>
        <a:noFill/>
        <a:ln w="25400" cap="flat" cmpd="sng" algn="ctr">
          <a:solidFill>
            <a:srgbClr val="9BBB59">
              <a:hueOff val="0"/>
              <a:satOff val="0"/>
              <a:lumOff val="0"/>
              <a:alphaOff val="0"/>
            </a:srgb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941355" y="1771133"/>
        <a:ext cx="1843" cy="1843"/>
      </dsp:txXfrm>
    </dsp:sp>
    <dsp:sp modelId="{C55B011F-7703-4CF9-AE87-EE6B2AC00FCC}">
      <dsp:nvSpPr>
        <dsp:cNvPr id="0" name=""/>
        <dsp:cNvSpPr/>
      </dsp:nvSpPr>
      <dsp:spPr>
        <a:xfrm>
          <a:off x="1451160" y="1790488"/>
          <a:ext cx="982233" cy="839879"/>
        </a:xfrm>
        <a:prstGeom prst="ellipse">
          <a:avLst/>
        </a:prstGeom>
        <a:solidFill>
          <a:srgbClr val="C0504D">
            <a:hueOff val="3121013"/>
            <a:satOff val="-3893"/>
            <a:lumOff val="915"/>
            <a:alphaOff val="0"/>
          </a:srgbClr>
        </a:solidFill>
        <a:ln w="25400" cap="flat" cmpd="sng" algn="ctr">
          <a:solidFill>
            <a:sysClr val="window" lastClr="FFFFFF">
              <a:hueOff val="0"/>
              <a:satOff val="0"/>
              <a:lumOff val="0"/>
              <a:alphaOff val="0"/>
            </a:sys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itchFamily="34" charset="0"/>
              <a:ea typeface="+mn-ea"/>
              <a:cs typeface="+mn-cs"/>
            </a:rPr>
            <a:t>$250k Home Tax Exclusion</a:t>
          </a:r>
        </a:p>
        <a:p>
          <a:pPr marL="0" lvl="0" indent="0" algn="ctr" defTabSz="400050">
            <a:lnSpc>
              <a:spcPct val="90000"/>
            </a:lnSpc>
            <a:spcBef>
              <a:spcPct val="0"/>
            </a:spcBef>
            <a:spcAft>
              <a:spcPct val="35000"/>
            </a:spcAft>
            <a:buNone/>
          </a:pPr>
          <a:r>
            <a:rPr lang="en-US" sz="900" b="1" kern="1200">
              <a:solidFill>
                <a:sysClr val="window" lastClr="FFFFFF"/>
              </a:solidFill>
              <a:latin typeface="Calibri" pitchFamily="34" charset="0"/>
              <a:ea typeface="+mn-ea"/>
              <a:cs typeface="+mn-cs"/>
            </a:rPr>
            <a:t>Save 23.8%</a:t>
          </a:r>
        </a:p>
      </dsp:txBody>
      <dsp:txXfrm>
        <a:off x="1595005" y="1913485"/>
        <a:ext cx="694543" cy="593885"/>
      </dsp:txXfrm>
    </dsp:sp>
    <dsp:sp modelId="{2DBE0CA5-9637-4874-952B-4504A80FEB81}">
      <dsp:nvSpPr>
        <dsp:cNvPr id="0" name=""/>
        <dsp:cNvSpPr/>
      </dsp:nvSpPr>
      <dsp:spPr>
        <a:xfrm rot="10827000">
          <a:off x="1162981" y="1265838"/>
          <a:ext cx="319892" cy="32919"/>
        </a:xfrm>
        <a:custGeom>
          <a:avLst/>
          <a:gdLst/>
          <a:ahLst/>
          <a:cxnLst/>
          <a:rect l="0" t="0" r="0" b="0"/>
          <a:pathLst>
            <a:path>
              <a:moveTo>
                <a:pt x="0" y="14759"/>
              </a:moveTo>
              <a:lnTo>
                <a:pt x="262978" y="14759"/>
              </a:lnTo>
            </a:path>
          </a:pathLst>
        </a:custGeom>
        <a:noFill/>
        <a:ln w="25400" cap="flat" cmpd="sng" algn="ctr">
          <a:solidFill>
            <a:srgbClr val="9BBB59">
              <a:hueOff val="0"/>
              <a:satOff val="0"/>
              <a:lumOff val="0"/>
              <a:alphaOff val="0"/>
            </a:srgbClr>
          </a:solidFill>
          <a:prstDash val="solid"/>
        </a:ln>
        <a:effectLst/>
        <a:scene3d>
          <a:camera prst="orthographicFront">
            <a:rot lat="0" lon="0" rev="0"/>
          </a:camera>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rot="10800000">
        <a:off x="1314931" y="1274300"/>
        <a:ext cx="15994" cy="15994"/>
      </dsp:txXfrm>
    </dsp:sp>
    <dsp:sp modelId="{38BB0FF9-948E-4CA5-A4CE-5CB725DB2545}">
      <dsp:nvSpPr>
        <dsp:cNvPr id="0" name=""/>
        <dsp:cNvSpPr/>
      </dsp:nvSpPr>
      <dsp:spPr>
        <a:xfrm>
          <a:off x="255604" y="857854"/>
          <a:ext cx="907398" cy="839247"/>
        </a:xfrm>
        <a:prstGeom prst="ellipse">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a:scene3d>
          <a:camera prst="orthographicFront">
            <a:rot lat="0" lon="0" rev="0"/>
          </a:camera>
          <a:lightRig rig="threePt" dir="t"/>
        </a:scene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baseline="0">
              <a:solidFill>
                <a:sysClr val="window" lastClr="FFFFFF"/>
              </a:solidFill>
              <a:latin typeface="Calibri" pitchFamily="34" charset="0"/>
              <a:ea typeface="+mn-ea"/>
              <a:cs typeface="+mn-cs"/>
            </a:rPr>
            <a:t>2nd Step Up, No Step Down in Basis</a:t>
          </a:r>
        </a:p>
      </dsp:txBody>
      <dsp:txXfrm>
        <a:off x="388489" y="980759"/>
        <a:ext cx="641628" cy="5934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91E2A-0884-4BBA-9D8D-EABE99F9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22131</TotalTime>
  <Pages>306</Pages>
  <Words>87990</Words>
  <Characters>501545</Characters>
  <Application>Microsoft Office Word</Application>
  <DocSecurity>0</DocSecurity>
  <Lines>4179</Lines>
  <Paragraphs>1176</Paragraphs>
  <ScaleCrop>false</ScaleCrop>
  <HeadingPairs>
    <vt:vector size="2" baseType="variant">
      <vt:variant>
        <vt:lpstr>Title</vt:lpstr>
      </vt:variant>
      <vt:variant>
        <vt:i4>1</vt:i4>
      </vt:variant>
    </vt:vector>
  </HeadingPairs>
  <TitlesOfParts>
    <vt:vector size="1" baseType="lpstr">
      <vt:lpstr>The Optimal Basis Increase Trust</vt:lpstr>
    </vt:vector>
  </TitlesOfParts>
  <Company>Key Bank</Company>
  <LinksUpToDate>false</LinksUpToDate>
  <CharactersWithSpaces>588359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Optimal Basis Increase Trust</dc:title>
  <dc:subject/>
  <dc:creator>Edwin P. Morrow III</dc:creator>
  <cp:keywords/>
  <dc:description/>
  <cp:lastModifiedBy>Edwin Morrow</cp:lastModifiedBy>
  <cp:revision>224</cp:revision>
  <cp:lastPrinted>2019-03-25T02:59:00Z</cp:lastPrinted>
  <dcterms:created xsi:type="dcterms:W3CDTF">2017-09-14T11:06:00Z</dcterms:created>
  <dcterms:modified xsi:type="dcterms:W3CDTF">2024-01-17T21:13:00Z</dcterms:modified>
</cp:coreProperties>
</file>